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CEA3" w14:textId="7699BE3B" w:rsidR="00734227" w:rsidRPr="000A20CD" w:rsidRDefault="00734227">
      <w:pPr>
        <w:rPr>
          <w:i/>
          <w:iCs/>
          <w:sz w:val="22"/>
          <w:szCs w:val="22"/>
        </w:rPr>
      </w:pPr>
    </w:p>
    <w:p w14:paraId="201B37B2" w14:textId="085D5F63" w:rsidR="00734227" w:rsidRPr="000A20CD" w:rsidRDefault="00734227" w:rsidP="00734227">
      <w:pPr>
        <w:rPr>
          <w:sz w:val="22"/>
          <w:szCs w:val="22"/>
        </w:rPr>
      </w:pPr>
      <w:r w:rsidRPr="000A20CD">
        <w:rPr>
          <w:sz w:val="22"/>
          <w:szCs w:val="22"/>
        </w:rPr>
        <w:t>APPENDIX A</w:t>
      </w:r>
    </w:p>
    <w:p w14:paraId="01210DDE" w14:textId="77777777" w:rsidR="00734227" w:rsidRPr="000A20CD" w:rsidRDefault="00734227" w:rsidP="00734227">
      <w:pPr>
        <w:rPr>
          <w:sz w:val="22"/>
          <w:szCs w:val="22"/>
        </w:rPr>
      </w:pPr>
    </w:p>
    <w:p w14:paraId="2A7EB8E0" w14:textId="77777777" w:rsidR="00734227" w:rsidRPr="000A20CD" w:rsidRDefault="00734227" w:rsidP="00734227">
      <w:pPr>
        <w:rPr>
          <w:i/>
          <w:iCs/>
          <w:sz w:val="22"/>
          <w:szCs w:val="22"/>
        </w:rPr>
      </w:pPr>
    </w:p>
    <w:p w14:paraId="1A151A2F" w14:textId="4F347524" w:rsidR="00734227" w:rsidRPr="000A20CD" w:rsidRDefault="00734227" w:rsidP="00734227">
      <w:pPr>
        <w:rPr>
          <w:b/>
          <w:bCs/>
          <w:sz w:val="22"/>
          <w:szCs w:val="22"/>
        </w:rPr>
      </w:pPr>
      <w:r w:rsidRPr="000A20CD">
        <w:rPr>
          <w:b/>
          <w:bCs/>
          <w:sz w:val="22"/>
          <w:szCs w:val="22"/>
        </w:rPr>
        <w:t>Translating research into policy: An example from New South Wales</w:t>
      </w:r>
    </w:p>
    <w:p w14:paraId="369A3CC4" w14:textId="77777777" w:rsidR="00734227" w:rsidRPr="000A20CD" w:rsidRDefault="00734227" w:rsidP="00734227">
      <w:pPr>
        <w:rPr>
          <w:sz w:val="22"/>
          <w:szCs w:val="22"/>
        </w:rPr>
      </w:pPr>
    </w:p>
    <w:p w14:paraId="5619EDD0" w14:textId="77777777" w:rsidR="00734227" w:rsidRPr="000A20CD" w:rsidRDefault="00734227" w:rsidP="00734227">
      <w:pPr>
        <w:rPr>
          <w:rFonts w:ascii="Cambria" w:hAnsi="Cambria"/>
          <w:sz w:val="22"/>
          <w:szCs w:val="22"/>
        </w:rPr>
      </w:pPr>
      <w:r w:rsidRPr="000A20CD">
        <w:rPr>
          <w:sz w:val="22"/>
          <w:szCs w:val="22"/>
        </w:rPr>
        <w:t xml:space="preserve">In 2015, the state of Victoria was the first Australian jurisdiction to introduce ‘cocktail offences’ for driving after the combined use of alcohol and an illegal drug (cannabis, methamphetamine or ecstasy). </w:t>
      </w:r>
      <w:r w:rsidRPr="000A20CD">
        <w:rPr>
          <w:rFonts w:ascii="Cambria" w:hAnsi="Cambria"/>
          <w:sz w:val="22"/>
          <w:szCs w:val="22"/>
        </w:rPr>
        <w:t xml:space="preserve">The VicRoads (n.d.) website provides advice </w:t>
      </w:r>
      <w:r w:rsidRPr="000A20CD">
        <w:rPr>
          <w:sz w:val="22"/>
          <w:szCs w:val="22"/>
        </w:rPr>
        <w:t>on the dangers of driving after the combined use of cannabis and alcohol</w:t>
      </w:r>
      <w:r w:rsidRPr="000A20CD">
        <w:rPr>
          <w:rFonts w:ascii="Cambria" w:hAnsi="Cambria"/>
          <w:sz w:val="22"/>
          <w:szCs w:val="22"/>
        </w:rPr>
        <w:t>: “</w:t>
      </w:r>
      <w:r w:rsidRPr="000A20CD">
        <w:rPr>
          <w:rFonts w:ascii="Cambria" w:hAnsi="Cambria"/>
          <w:sz w:val="22"/>
          <w:szCs w:val="22"/>
          <w:shd w:val="clear" w:color="auto" w:fill="FFFFFF"/>
        </w:rPr>
        <w:t>Research shows that you increase your risk of crashing if you drive soon after taking cannabis, and if you combine cannabis with alcohol, the risk of crashing is higher than with either drug alone</w:t>
      </w:r>
      <w:r w:rsidRPr="000A20CD">
        <w:rPr>
          <w:rFonts w:ascii="Cambria" w:hAnsi="Cambria"/>
          <w:sz w:val="22"/>
          <w:szCs w:val="22"/>
        </w:rPr>
        <w:t xml:space="preserve">”.  </w:t>
      </w:r>
    </w:p>
    <w:p w14:paraId="3BC530C2" w14:textId="77777777" w:rsidR="00734227" w:rsidRPr="000A20CD" w:rsidRDefault="00734227" w:rsidP="00734227">
      <w:pPr>
        <w:rPr>
          <w:rFonts w:ascii="Cambria" w:hAnsi="Cambria"/>
          <w:sz w:val="22"/>
          <w:szCs w:val="22"/>
        </w:rPr>
      </w:pPr>
    </w:p>
    <w:p w14:paraId="16EC6768" w14:textId="77777777" w:rsidR="00734227" w:rsidRPr="000A20CD" w:rsidRDefault="00734227" w:rsidP="00734227">
      <w:pPr>
        <w:rPr>
          <w:sz w:val="22"/>
          <w:szCs w:val="22"/>
        </w:rPr>
      </w:pPr>
      <w:r w:rsidRPr="000A20CD">
        <w:rPr>
          <w:rFonts w:ascii="Cambria" w:hAnsi="Cambria"/>
          <w:sz w:val="22"/>
          <w:szCs w:val="22"/>
        </w:rPr>
        <w:t xml:space="preserve">New South Wales (NSW) followed suit in 2021 by establishing cocktail offences for the combined use of alcohol with cannabis, methamphetamine, ecstasy or cocaine </w:t>
      </w:r>
      <w:r w:rsidRPr="000A20CD">
        <w:rPr>
          <w:sz w:val="22"/>
          <w:szCs w:val="22"/>
        </w:rPr>
        <w:t>(NSW: Legislative Assembly, 10 Feb 2021; NSW: Legislative Council, 18 Feb 2021). The scientific evidence provided to the NSW members of parliament by the NSW Centre for Road Safety in support of the cocktail-offences Bill comprised only one ambiguously expressed claim, which was cited by most of the participants in the parliamentary debates relating to the Bill in the lower and upper houses. Two examples are provided:</w:t>
      </w:r>
    </w:p>
    <w:p w14:paraId="0647CDF6" w14:textId="77777777" w:rsidR="00734227" w:rsidRPr="000A20CD" w:rsidRDefault="00734227" w:rsidP="00734227">
      <w:pPr>
        <w:rPr>
          <w:sz w:val="22"/>
          <w:szCs w:val="22"/>
        </w:rPr>
      </w:pPr>
    </w:p>
    <w:p w14:paraId="0BB50D4B" w14:textId="77777777" w:rsidR="00734227" w:rsidRPr="000A20CD" w:rsidRDefault="00734227" w:rsidP="00734227">
      <w:pPr>
        <w:rPr>
          <w:sz w:val="22"/>
          <w:szCs w:val="22"/>
        </w:rPr>
      </w:pPr>
      <w:r w:rsidRPr="000A20CD">
        <w:rPr>
          <w:sz w:val="22"/>
          <w:szCs w:val="22"/>
        </w:rPr>
        <w:t xml:space="preserve">In his second reading speech to the lower house (NSW: Legislative Assembly, 10 Feb 2021: 5333), the Minister for Transport and Roads said: </w:t>
      </w:r>
    </w:p>
    <w:p w14:paraId="3BCBAF31" w14:textId="77777777" w:rsidR="00734227" w:rsidRPr="000A20CD" w:rsidRDefault="00734227" w:rsidP="00734227">
      <w:pPr>
        <w:ind w:left="567" w:right="850"/>
        <w:rPr>
          <w:sz w:val="22"/>
          <w:szCs w:val="22"/>
        </w:rPr>
      </w:pPr>
    </w:p>
    <w:p w14:paraId="100CC671" w14:textId="77777777" w:rsidR="00734227" w:rsidRPr="000A20CD" w:rsidRDefault="00734227" w:rsidP="00734227">
      <w:pPr>
        <w:ind w:left="567" w:right="850"/>
        <w:rPr>
          <w:sz w:val="22"/>
          <w:szCs w:val="22"/>
        </w:rPr>
      </w:pPr>
      <w:r w:rsidRPr="000A20CD">
        <w:rPr>
          <w:sz w:val="22"/>
          <w:szCs w:val="22"/>
        </w:rPr>
        <w:t>Research has shown – a statistic that completely and utterly blows my mind – that the combination of drugs and alcohol increases the risk of a fatal crash by 23 times.</w:t>
      </w:r>
    </w:p>
    <w:p w14:paraId="55259625" w14:textId="77777777" w:rsidR="00734227" w:rsidRPr="000A20CD" w:rsidRDefault="00734227" w:rsidP="00734227">
      <w:pPr>
        <w:ind w:right="850"/>
        <w:rPr>
          <w:sz w:val="22"/>
          <w:szCs w:val="22"/>
        </w:rPr>
      </w:pPr>
    </w:p>
    <w:p w14:paraId="1DFDF305" w14:textId="77777777" w:rsidR="00734227" w:rsidRPr="000A20CD" w:rsidRDefault="00734227" w:rsidP="00734227">
      <w:pPr>
        <w:rPr>
          <w:sz w:val="22"/>
          <w:szCs w:val="22"/>
        </w:rPr>
      </w:pPr>
      <w:r w:rsidRPr="000A20CD">
        <w:rPr>
          <w:sz w:val="22"/>
          <w:szCs w:val="22"/>
        </w:rPr>
        <w:t>The spokesperson for the Opposition in the upper house also supported the Bill, in these terms (NSW: Legislative Council, 18 Feb 2021: 5104):</w:t>
      </w:r>
    </w:p>
    <w:p w14:paraId="3260B7AC" w14:textId="77777777" w:rsidR="00734227" w:rsidRPr="000A20CD" w:rsidRDefault="00734227" w:rsidP="00734227">
      <w:pPr>
        <w:ind w:left="567" w:right="850"/>
        <w:rPr>
          <w:sz w:val="22"/>
          <w:szCs w:val="22"/>
        </w:rPr>
      </w:pPr>
    </w:p>
    <w:p w14:paraId="43730572" w14:textId="77777777" w:rsidR="00734227" w:rsidRPr="000A20CD" w:rsidRDefault="00734227" w:rsidP="00734227">
      <w:pPr>
        <w:ind w:left="567" w:right="850"/>
        <w:rPr>
          <w:sz w:val="22"/>
          <w:szCs w:val="22"/>
        </w:rPr>
      </w:pPr>
      <w:r w:rsidRPr="000A20CD">
        <w:rPr>
          <w:rFonts w:ascii="Cambria" w:hAnsi="Cambria"/>
          <w:sz w:val="22"/>
          <w:szCs w:val="22"/>
        </w:rPr>
        <w:t>The Opposition is satisfied that the Bill is tied to risk factors. One of the facts that the Minister put on the table in his second reading speech was that research has showed the effects of combining drugs and alcohol increases the risk on the road by 23 times. ... I thank the team from the NSW Centre for Road Safety, some of whom are in Parliament today, for their work in providing that evidentiary basis. ... That single fact, that a combination of alcohol and drug driving increases the probability of causing a problem by 23 times, is persuasive.</w:t>
      </w:r>
    </w:p>
    <w:p w14:paraId="2EA4B697" w14:textId="77777777" w:rsidR="00734227" w:rsidRPr="000A20CD" w:rsidRDefault="00734227" w:rsidP="00734227">
      <w:pPr>
        <w:rPr>
          <w:rFonts w:ascii="Cambria" w:hAnsi="Cambria"/>
          <w:sz w:val="22"/>
          <w:szCs w:val="22"/>
        </w:rPr>
      </w:pPr>
    </w:p>
    <w:p w14:paraId="61CA3B70" w14:textId="77777777" w:rsidR="00372644" w:rsidRPr="000A20CD" w:rsidRDefault="00734227" w:rsidP="00734227">
      <w:pPr>
        <w:rPr>
          <w:sz w:val="22"/>
          <w:szCs w:val="22"/>
        </w:rPr>
      </w:pPr>
      <w:r w:rsidRPr="000A20CD">
        <w:rPr>
          <w:sz w:val="22"/>
          <w:szCs w:val="22"/>
        </w:rPr>
        <w:t xml:space="preserve">The low level of scientific literacy evidenced by these and related comments in relation to the ‘23-times claim’ is lamentable. First, the claim that the risk of crashing is increased by 23 times is meaningless without being told the nature of the baseline risk. The crash risk from the use of psychoactive drugs with alcohol is certainly </w:t>
      </w:r>
      <w:r w:rsidRPr="000A20CD">
        <w:rPr>
          <w:i/>
          <w:iCs/>
          <w:sz w:val="22"/>
          <w:szCs w:val="22"/>
        </w:rPr>
        <w:t>not</w:t>
      </w:r>
      <w:r w:rsidRPr="000A20CD">
        <w:rPr>
          <w:sz w:val="22"/>
          <w:szCs w:val="22"/>
        </w:rPr>
        <w:t xml:space="preserve"> 23 times greater than the risk from the use of alcohol alone. Presumably, one is supposed to assume that the baseline comprises the risk for a driver who has not used either drugs or alcohol. But the question then naturally arises as to the relation between the risk for combined use versus the risk for alcohol alone. In other words, the question arises as to whether there has been an exacerbation effect. </w:t>
      </w:r>
    </w:p>
    <w:p w14:paraId="7958CAE5" w14:textId="77777777" w:rsidR="00372644" w:rsidRPr="000A20CD" w:rsidRDefault="00372644" w:rsidP="00734227">
      <w:pPr>
        <w:rPr>
          <w:sz w:val="22"/>
          <w:szCs w:val="22"/>
        </w:rPr>
      </w:pPr>
    </w:p>
    <w:p w14:paraId="714A5A5B" w14:textId="77777777" w:rsidR="00372644" w:rsidRPr="000A20CD" w:rsidRDefault="00734227" w:rsidP="00734227">
      <w:pPr>
        <w:rPr>
          <w:sz w:val="22"/>
          <w:szCs w:val="22"/>
        </w:rPr>
      </w:pPr>
      <w:r w:rsidRPr="000A20CD">
        <w:rPr>
          <w:sz w:val="22"/>
          <w:szCs w:val="22"/>
        </w:rPr>
        <w:t xml:space="preserve">Second, the statement does not specify which drug or drugs are being combined with alcohol. Does the precise number 23 apply to </w:t>
      </w:r>
      <w:r w:rsidRPr="000A20CD">
        <w:rPr>
          <w:i/>
          <w:iCs/>
          <w:sz w:val="22"/>
          <w:szCs w:val="22"/>
        </w:rPr>
        <w:t>every</w:t>
      </w:r>
      <w:r w:rsidRPr="000A20CD">
        <w:rPr>
          <w:sz w:val="22"/>
          <w:szCs w:val="22"/>
        </w:rPr>
        <w:t xml:space="preserve"> psychoactive drug? Does it apply to medicinal drugs such as benzodiazepines? And, in particular, does it apply to cannabis?</w:t>
      </w:r>
    </w:p>
    <w:p w14:paraId="6658769E" w14:textId="77777777" w:rsidR="00372644" w:rsidRPr="000A20CD" w:rsidRDefault="00734227" w:rsidP="00734227">
      <w:pPr>
        <w:rPr>
          <w:sz w:val="22"/>
          <w:szCs w:val="22"/>
        </w:rPr>
      </w:pPr>
      <w:r w:rsidRPr="000A20CD">
        <w:rPr>
          <w:sz w:val="22"/>
          <w:szCs w:val="22"/>
        </w:rPr>
        <w:t xml:space="preserve">Third, the source of the information is not provided. The number 23 is treated as though it were a universally accepted number, rather than a speculative estimate from a particular epidemiological study. </w:t>
      </w:r>
    </w:p>
    <w:p w14:paraId="1C8F51F1" w14:textId="77777777" w:rsidR="00372644" w:rsidRPr="000A20CD" w:rsidRDefault="00372644" w:rsidP="00734227">
      <w:pPr>
        <w:rPr>
          <w:sz w:val="22"/>
          <w:szCs w:val="22"/>
        </w:rPr>
      </w:pPr>
    </w:p>
    <w:p w14:paraId="7FFD7FF7" w14:textId="6ACB83E1" w:rsidR="00734227" w:rsidRPr="000A20CD" w:rsidRDefault="00734227" w:rsidP="00734227">
      <w:pPr>
        <w:rPr>
          <w:sz w:val="22"/>
          <w:szCs w:val="22"/>
        </w:rPr>
      </w:pPr>
      <w:r w:rsidRPr="000A20CD">
        <w:rPr>
          <w:sz w:val="22"/>
          <w:szCs w:val="22"/>
        </w:rPr>
        <w:t xml:space="preserve">Fourth, the number 23 is obviously cherry-picked to serve the intended purpose. There is no indication of how this number relates to comparable findings from the relevant literature. The reference to single studies rather than to review papers can be a sign of indifference to the broad body of relevant evidence.       </w:t>
      </w:r>
    </w:p>
    <w:p w14:paraId="3B232104" w14:textId="77777777" w:rsidR="00734227" w:rsidRPr="000A20CD" w:rsidRDefault="00734227" w:rsidP="00734227">
      <w:pPr>
        <w:rPr>
          <w:sz w:val="22"/>
          <w:szCs w:val="22"/>
        </w:rPr>
      </w:pPr>
      <w:r w:rsidRPr="000A20CD">
        <w:rPr>
          <w:sz w:val="22"/>
          <w:szCs w:val="22"/>
        </w:rPr>
        <w:t xml:space="preserve"> </w:t>
      </w:r>
    </w:p>
    <w:p w14:paraId="4DB65AB6" w14:textId="4C87D58A" w:rsidR="00734227" w:rsidRPr="000A20CD" w:rsidRDefault="00734227" w:rsidP="00734227">
      <w:pPr>
        <w:rPr>
          <w:rFonts w:ascii="Cambria" w:hAnsi="Cambria"/>
          <w:sz w:val="22"/>
          <w:szCs w:val="22"/>
        </w:rPr>
      </w:pPr>
      <w:r w:rsidRPr="000A20CD">
        <w:rPr>
          <w:rFonts w:ascii="Cambria" w:hAnsi="Cambria" w:cs="PvmxmhTimesLTStd-Roman"/>
          <w:sz w:val="22"/>
          <w:szCs w:val="22"/>
        </w:rPr>
        <w:t xml:space="preserve">We mentioned in the </w:t>
      </w:r>
      <w:r w:rsidR="0026327B" w:rsidRPr="000A20CD">
        <w:rPr>
          <w:rFonts w:ascii="Cambria" w:hAnsi="Cambria" w:cs="PvmxmhTimesLTStd-Roman"/>
          <w:sz w:val="22"/>
          <w:szCs w:val="22"/>
        </w:rPr>
        <w:t xml:space="preserve">Introduction </w:t>
      </w:r>
      <w:r w:rsidRPr="000A20CD">
        <w:rPr>
          <w:rFonts w:ascii="Cambria" w:hAnsi="Cambria" w:cs="PvmxmhTimesLTStd-Roman"/>
          <w:sz w:val="22"/>
          <w:szCs w:val="22"/>
        </w:rPr>
        <w:t xml:space="preserve">that a 2013 paper by Li </w:t>
      </w:r>
      <w:r w:rsidRPr="000A20CD">
        <w:rPr>
          <w:rFonts w:ascii="Cambria" w:hAnsi="Cambria" w:cs="PvmxmhTimesLTStd-Roman"/>
          <w:i/>
          <w:iCs/>
          <w:sz w:val="22"/>
          <w:szCs w:val="22"/>
        </w:rPr>
        <w:t>et al</w:t>
      </w:r>
      <w:r w:rsidRPr="000A20CD">
        <w:rPr>
          <w:rFonts w:ascii="Cambria" w:hAnsi="Cambria" w:cs="PvmxmhTimesLTStd-Roman"/>
          <w:sz w:val="22"/>
          <w:szCs w:val="22"/>
        </w:rPr>
        <w:t xml:space="preserve">. would be discussed later; and this is the appropriate place, because </w:t>
      </w:r>
      <w:r w:rsidR="00372644" w:rsidRPr="000A20CD">
        <w:rPr>
          <w:rFonts w:ascii="Cambria" w:hAnsi="Cambria" w:cs="PvmxmhTimesLTStd-Roman"/>
          <w:sz w:val="22"/>
          <w:szCs w:val="22"/>
        </w:rPr>
        <w:t xml:space="preserve">Li </w:t>
      </w:r>
      <w:r w:rsidR="00372644" w:rsidRPr="000A20CD">
        <w:rPr>
          <w:rFonts w:ascii="Cambria" w:hAnsi="Cambria" w:cs="PvmxmhTimesLTStd-Roman"/>
          <w:i/>
          <w:iCs/>
          <w:sz w:val="22"/>
          <w:szCs w:val="22"/>
        </w:rPr>
        <w:t>et al’s</w:t>
      </w:r>
      <w:r w:rsidRPr="000A20CD">
        <w:rPr>
          <w:rFonts w:ascii="Cambria" w:hAnsi="Cambria" w:cs="PvmxmhTimesLTStd-Roman"/>
          <w:sz w:val="22"/>
          <w:szCs w:val="22"/>
        </w:rPr>
        <w:t xml:space="preserve"> paper is the source of the 23-times claim. </w:t>
      </w:r>
      <w:r w:rsidRPr="000A20CD">
        <w:rPr>
          <w:rFonts w:ascii="Cambria" w:hAnsi="Cambria"/>
          <w:sz w:val="22"/>
          <w:szCs w:val="22"/>
        </w:rPr>
        <w:t xml:space="preserve">As noted above, the </w:t>
      </w:r>
      <w:r w:rsidR="00372644" w:rsidRPr="000A20CD">
        <w:rPr>
          <w:rFonts w:ascii="Cambria" w:hAnsi="Cambria"/>
          <w:sz w:val="22"/>
          <w:szCs w:val="22"/>
        </w:rPr>
        <w:t>study</w:t>
      </w:r>
      <w:r w:rsidRPr="000A20CD">
        <w:rPr>
          <w:rFonts w:ascii="Cambria" w:hAnsi="Cambria"/>
          <w:sz w:val="22"/>
          <w:szCs w:val="22"/>
        </w:rPr>
        <w:t xml:space="preserve"> by Li </w:t>
      </w:r>
      <w:r w:rsidRPr="000A20CD">
        <w:rPr>
          <w:rFonts w:ascii="Cambria" w:hAnsi="Cambria"/>
          <w:i/>
          <w:iCs/>
          <w:sz w:val="22"/>
          <w:szCs w:val="22"/>
        </w:rPr>
        <w:t xml:space="preserve">et al. </w:t>
      </w:r>
      <w:r w:rsidRPr="000A20CD">
        <w:rPr>
          <w:rFonts w:ascii="Cambria" w:hAnsi="Cambria"/>
          <w:sz w:val="22"/>
          <w:szCs w:val="22"/>
        </w:rPr>
        <w:t>is not included in the current systematic review because the cases in their case-control study were extracted from the FARS database (</w:t>
      </w:r>
      <w:r w:rsidR="00372644" w:rsidRPr="000A20CD">
        <w:rPr>
          <w:rFonts w:ascii="Cambria" w:hAnsi="Cambria"/>
          <w:sz w:val="22"/>
          <w:szCs w:val="22"/>
        </w:rPr>
        <w:t>as discussed</w:t>
      </w:r>
      <w:r w:rsidRPr="000A20CD">
        <w:rPr>
          <w:rFonts w:ascii="Cambria" w:hAnsi="Cambria"/>
          <w:sz w:val="22"/>
          <w:szCs w:val="22"/>
        </w:rPr>
        <w:t xml:space="preserve"> in our Methods section). Nevertheless, the paper deserves some attention here because of the way it has been exploited to facilitate the introduction of cocktail offences in NSW.</w:t>
      </w:r>
    </w:p>
    <w:p w14:paraId="67C2E429" w14:textId="77777777" w:rsidR="00734227" w:rsidRPr="000A20CD" w:rsidRDefault="00734227" w:rsidP="00734227">
      <w:pPr>
        <w:rPr>
          <w:rFonts w:ascii="Cambria" w:hAnsi="Cambria"/>
          <w:sz w:val="22"/>
          <w:szCs w:val="22"/>
        </w:rPr>
      </w:pPr>
    </w:p>
    <w:p w14:paraId="3AB7F640" w14:textId="77777777" w:rsidR="00734227" w:rsidRPr="000A20CD" w:rsidRDefault="00734227" w:rsidP="00734227">
      <w:pPr>
        <w:rPr>
          <w:rFonts w:ascii="Cambria" w:hAnsi="Cambria"/>
          <w:sz w:val="22"/>
          <w:szCs w:val="22"/>
        </w:rPr>
      </w:pPr>
      <w:r w:rsidRPr="000A20CD">
        <w:rPr>
          <w:rFonts w:ascii="Cambria" w:hAnsi="Cambria"/>
          <w:sz w:val="22"/>
          <w:szCs w:val="22"/>
        </w:rPr>
        <w:t xml:space="preserve">Li </w:t>
      </w:r>
      <w:r w:rsidRPr="000A20CD">
        <w:rPr>
          <w:rFonts w:ascii="Cambria" w:hAnsi="Cambria"/>
          <w:i/>
          <w:iCs/>
          <w:sz w:val="22"/>
          <w:szCs w:val="22"/>
        </w:rPr>
        <w:t>et al’s</w:t>
      </w:r>
      <w:r w:rsidRPr="000A20CD">
        <w:rPr>
          <w:rFonts w:ascii="Cambria" w:hAnsi="Cambria"/>
          <w:sz w:val="22"/>
          <w:szCs w:val="22"/>
        </w:rPr>
        <w:t xml:space="preserve"> (2013) first claim, which is strongly supported in other studies, is that the use of alcohol presents a far greater risk of crashing than the use of any other psychoactive substance. The second is that the increase in the risk of crashing from the use of marijuana (83%) is far less than for narcotics such as opioids (203%), for stimulants such as amphetamines (257%), and for depressants such as benzodiazepines (383%). There is no indication in the recorded parliamentary debates that the NSW Centre for Road Safety briefed any of the MPs on the inconvenient truth that many medical drugs (none of which are tested for in NSW’s roadside drug-testing (RDT) program) present a far greater risk of crashing than cannabis (which </w:t>
      </w:r>
      <w:r w:rsidRPr="000A20CD">
        <w:rPr>
          <w:rFonts w:ascii="Cambria" w:hAnsi="Cambria"/>
          <w:i/>
          <w:iCs/>
          <w:sz w:val="22"/>
          <w:szCs w:val="22"/>
        </w:rPr>
        <w:t>is</w:t>
      </w:r>
      <w:r w:rsidRPr="000A20CD">
        <w:rPr>
          <w:rFonts w:ascii="Cambria" w:hAnsi="Cambria"/>
          <w:sz w:val="22"/>
          <w:szCs w:val="22"/>
        </w:rPr>
        <w:t xml:space="preserve"> tested for).  </w:t>
      </w:r>
    </w:p>
    <w:p w14:paraId="3E6ECAAB" w14:textId="77777777" w:rsidR="00734227" w:rsidRPr="000A20CD" w:rsidRDefault="00734227" w:rsidP="00734227">
      <w:pPr>
        <w:rPr>
          <w:rFonts w:ascii="Cambria" w:hAnsi="Cambria"/>
          <w:sz w:val="22"/>
          <w:szCs w:val="22"/>
        </w:rPr>
      </w:pPr>
    </w:p>
    <w:p w14:paraId="3B61DEA8" w14:textId="77777777" w:rsidR="00734227" w:rsidRPr="000A20CD" w:rsidRDefault="00734227" w:rsidP="00734227">
      <w:pPr>
        <w:rPr>
          <w:rFonts w:ascii="Cambria" w:hAnsi="Cambria"/>
          <w:sz w:val="22"/>
          <w:szCs w:val="22"/>
        </w:rPr>
      </w:pPr>
      <w:r w:rsidRPr="000A20CD">
        <w:rPr>
          <w:rFonts w:ascii="Cambria" w:hAnsi="Cambria"/>
          <w:bCs/>
          <w:sz w:val="22"/>
          <w:szCs w:val="22"/>
        </w:rPr>
        <w:t xml:space="preserve">In their Abstract, Li </w:t>
      </w:r>
      <w:r w:rsidRPr="000A20CD">
        <w:rPr>
          <w:rFonts w:ascii="Cambria" w:hAnsi="Cambria"/>
          <w:bCs/>
          <w:i/>
          <w:iCs/>
          <w:sz w:val="22"/>
          <w:szCs w:val="22"/>
        </w:rPr>
        <w:t>et al</w:t>
      </w:r>
      <w:r w:rsidRPr="000A20CD">
        <w:rPr>
          <w:rFonts w:ascii="Cambria" w:hAnsi="Cambria"/>
          <w:bCs/>
          <w:sz w:val="22"/>
          <w:szCs w:val="22"/>
        </w:rPr>
        <w:t>. (2013) also claimed that their results “indicate that drug use is associated with a significantly increased risk of fatal crash involvement, particularly when used in combination with alcohol”. The baseline risk against which comparisons were made is the risk of fatal crash involvement for drivers who tested negative to both drugs and alcohol. The researchers found (see their Table 4) that the OR for the combined effect of all psychoactive drugs (medicinal and recreational) alone (i.e., without alcohol) was 2.2 (1.7-2.9), and for alcohol alone (i.e., without any other drug) was 13.6 (11.1-16.7). They also found that the OR for the effect of combining any drug with alcohol was 23.2 (17.8-30.3), which is greater than the sum of the component effects. They concluded that there was an interaction between drugs and alcohol whereby the combined effect is greater than the sum-of-the-part effects. So, while it is strictly correct to say, from their research, that “</w:t>
      </w:r>
      <w:r w:rsidRPr="000A20CD">
        <w:rPr>
          <w:sz w:val="22"/>
          <w:szCs w:val="22"/>
        </w:rPr>
        <w:t>The combination of drugs and alcohol increases the risk of a fatal crash by 23 times</w:t>
      </w:r>
      <w:r w:rsidRPr="000A20CD">
        <w:rPr>
          <w:rFonts w:ascii="Cambria" w:hAnsi="Cambria"/>
          <w:bCs/>
          <w:sz w:val="22"/>
          <w:szCs w:val="22"/>
        </w:rPr>
        <w:t xml:space="preserve">”, it is far more relevant to say that “The combined use of drugs and alcohol increases the risk of fatal crash involvement by 1.7 times more than for alcohol alone” (where the ‘exacerbation OR’ of 1.7 for all drugs is obtained by dividing 23.2 by 13.6).  </w:t>
      </w:r>
    </w:p>
    <w:p w14:paraId="34A7B962" w14:textId="77777777" w:rsidR="00734227" w:rsidRPr="000A20CD" w:rsidRDefault="00734227" w:rsidP="00734227">
      <w:pPr>
        <w:rPr>
          <w:rFonts w:ascii="Cambria" w:hAnsi="Cambria"/>
          <w:sz w:val="22"/>
          <w:szCs w:val="22"/>
        </w:rPr>
      </w:pPr>
    </w:p>
    <w:p w14:paraId="3621E2B0" w14:textId="77777777" w:rsidR="00FC04AD" w:rsidRPr="000A20CD" w:rsidRDefault="00734227" w:rsidP="00734227">
      <w:pPr>
        <w:rPr>
          <w:rFonts w:ascii="Cambria" w:hAnsi="Cambria"/>
          <w:sz w:val="22"/>
          <w:szCs w:val="22"/>
        </w:rPr>
      </w:pPr>
      <w:r w:rsidRPr="000A20CD">
        <w:rPr>
          <w:rFonts w:ascii="Cambria" w:hAnsi="Cambria"/>
          <w:sz w:val="22"/>
          <w:szCs w:val="22"/>
        </w:rPr>
        <w:t xml:space="preserve">As the focus of our review is on cannabis, it should be noted that Li </w:t>
      </w:r>
      <w:r w:rsidRPr="000A20CD">
        <w:rPr>
          <w:rFonts w:ascii="Cambria" w:hAnsi="Cambria"/>
          <w:i/>
          <w:iCs/>
          <w:sz w:val="22"/>
          <w:szCs w:val="22"/>
        </w:rPr>
        <w:t>et al.</w:t>
      </w:r>
      <w:r w:rsidRPr="000A20CD">
        <w:rPr>
          <w:rFonts w:ascii="Cambria" w:hAnsi="Cambria"/>
          <w:sz w:val="22"/>
          <w:szCs w:val="22"/>
        </w:rPr>
        <w:t xml:space="preserve"> (2013) found that cannabis alone had a much lower crash risk than the other categories of drug (many of which were medicinal). It should also be noted that Li </w:t>
      </w:r>
      <w:r w:rsidRPr="000A20CD">
        <w:rPr>
          <w:rFonts w:ascii="Cambria" w:hAnsi="Cambria"/>
          <w:i/>
          <w:iCs/>
          <w:sz w:val="22"/>
          <w:szCs w:val="22"/>
        </w:rPr>
        <w:t>et al.</w:t>
      </w:r>
      <w:r w:rsidRPr="000A20CD">
        <w:rPr>
          <w:rFonts w:ascii="Cambria" w:hAnsi="Cambria"/>
          <w:sz w:val="22"/>
          <w:szCs w:val="22"/>
        </w:rPr>
        <w:t xml:space="preserve"> provided no evidence that cannabis </w:t>
      </w:r>
      <w:r w:rsidRPr="000A20CD">
        <w:rPr>
          <w:rFonts w:ascii="Cambria" w:hAnsi="Cambria"/>
          <w:i/>
          <w:iCs/>
          <w:sz w:val="22"/>
          <w:szCs w:val="22"/>
        </w:rPr>
        <w:t>in particular</w:t>
      </w:r>
      <w:r w:rsidRPr="000A20CD">
        <w:rPr>
          <w:rFonts w:ascii="Cambria" w:hAnsi="Cambria"/>
          <w:sz w:val="22"/>
          <w:szCs w:val="22"/>
        </w:rPr>
        <w:t xml:space="preserve"> contributed to the alcohol-drug interaction effect. In fact, an almost identical study (Romano </w:t>
      </w:r>
      <w:r w:rsidRPr="000A20CD">
        <w:rPr>
          <w:rFonts w:ascii="Cambria" w:hAnsi="Cambria"/>
          <w:i/>
          <w:iCs/>
          <w:sz w:val="22"/>
          <w:szCs w:val="22"/>
        </w:rPr>
        <w:t>et al.,</w:t>
      </w:r>
      <w:r w:rsidRPr="000A20CD">
        <w:rPr>
          <w:rFonts w:ascii="Cambria" w:hAnsi="Cambria"/>
          <w:sz w:val="22"/>
          <w:szCs w:val="22"/>
        </w:rPr>
        <w:t xml:space="preserve"> 2014), which was published a year after Li </w:t>
      </w:r>
      <w:r w:rsidRPr="000A20CD">
        <w:rPr>
          <w:rFonts w:ascii="Cambria" w:hAnsi="Cambria"/>
          <w:i/>
          <w:iCs/>
          <w:sz w:val="22"/>
          <w:szCs w:val="22"/>
        </w:rPr>
        <w:t>et al’s</w:t>
      </w:r>
      <w:r w:rsidRPr="000A20CD">
        <w:rPr>
          <w:rFonts w:ascii="Cambria" w:hAnsi="Cambria"/>
          <w:sz w:val="22"/>
          <w:szCs w:val="22"/>
        </w:rPr>
        <w:t xml:space="preserve"> study, investigated the separate drug-alcohol interaction effects for cannabis alone and for all other drugs combined. They concluded: “The presence of drugs other than marijuana was found to be associated with an increase in fatal crash risk regardless of the driver’s BAC. The presence of marijuana, however, did not contribute to fatal crash risk” (p. 61). </w:t>
      </w:r>
    </w:p>
    <w:p w14:paraId="69AE94FE" w14:textId="77777777" w:rsidR="00FC04AD" w:rsidRPr="000A20CD" w:rsidRDefault="00FC04AD" w:rsidP="00734227">
      <w:pPr>
        <w:rPr>
          <w:rFonts w:ascii="Cambria" w:hAnsi="Cambria"/>
          <w:sz w:val="22"/>
          <w:szCs w:val="22"/>
        </w:rPr>
      </w:pPr>
    </w:p>
    <w:p w14:paraId="217FC317" w14:textId="502D1834" w:rsidR="00734227" w:rsidRPr="000A20CD" w:rsidRDefault="00734227" w:rsidP="00734227">
      <w:pPr>
        <w:rPr>
          <w:rFonts w:ascii="Cambria" w:hAnsi="Cambria"/>
          <w:sz w:val="22"/>
          <w:szCs w:val="22"/>
        </w:rPr>
      </w:pPr>
      <w:r w:rsidRPr="000A20CD">
        <w:rPr>
          <w:rFonts w:ascii="Cambria" w:hAnsi="Cambria"/>
          <w:sz w:val="22"/>
          <w:szCs w:val="22"/>
        </w:rPr>
        <w:t xml:space="preserve">In a follow-up study, Romano </w:t>
      </w:r>
      <w:r w:rsidRPr="000A20CD">
        <w:rPr>
          <w:rFonts w:ascii="Cambria" w:hAnsi="Cambria"/>
          <w:i/>
          <w:iCs/>
          <w:sz w:val="22"/>
          <w:szCs w:val="22"/>
        </w:rPr>
        <w:t>et a</w:t>
      </w:r>
      <w:r w:rsidRPr="000A20CD">
        <w:rPr>
          <w:rFonts w:ascii="Cambria" w:hAnsi="Cambria"/>
          <w:sz w:val="22"/>
          <w:szCs w:val="22"/>
        </w:rPr>
        <w:t xml:space="preserve">l. (2017) identified two major faults in Li </w:t>
      </w:r>
      <w:r w:rsidRPr="000A20CD">
        <w:rPr>
          <w:rFonts w:ascii="Cambria" w:hAnsi="Cambria"/>
          <w:i/>
          <w:iCs/>
          <w:sz w:val="22"/>
          <w:szCs w:val="22"/>
        </w:rPr>
        <w:t>et al’s</w:t>
      </w:r>
      <w:r w:rsidRPr="000A20CD">
        <w:rPr>
          <w:rFonts w:ascii="Cambria" w:hAnsi="Cambria"/>
          <w:sz w:val="22"/>
          <w:szCs w:val="22"/>
        </w:rPr>
        <w:t xml:space="preserve"> (2013) research methodology. First, Li </w:t>
      </w:r>
      <w:r w:rsidRPr="000A20CD">
        <w:rPr>
          <w:rFonts w:ascii="Cambria" w:hAnsi="Cambria"/>
          <w:i/>
          <w:iCs/>
          <w:sz w:val="22"/>
          <w:szCs w:val="22"/>
        </w:rPr>
        <w:t>et al</w:t>
      </w:r>
      <w:r w:rsidRPr="000A20CD">
        <w:rPr>
          <w:rFonts w:ascii="Cambria" w:hAnsi="Cambria"/>
          <w:sz w:val="22"/>
          <w:szCs w:val="22"/>
        </w:rPr>
        <w:t xml:space="preserve">. had included information from states whose FARS coverage of drug data was exceptionally patchy and biased. Second, </w:t>
      </w:r>
      <w:r w:rsidR="00FC04AD" w:rsidRPr="000A20CD">
        <w:rPr>
          <w:rFonts w:ascii="Cambria" w:hAnsi="Cambria"/>
          <w:sz w:val="22"/>
          <w:szCs w:val="22"/>
        </w:rPr>
        <w:t xml:space="preserve">Li </w:t>
      </w:r>
      <w:r w:rsidR="00FC04AD" w:rsidRPr="000A20CD">
        <w:rPr>
          <w:rFonts w:ascii="Cambria" w:hAnsi="Cambria"/>
          <w:i/>
          <w:iCs/>
          <w:sz w:val="22"/>
          <w:szCs w:val="22"/>
        </w:rPr>
        <w:t>et al.</w:t>
      </w:r>
      <w:r w:rsidRPr="000A20CD">
        <w:rPr>
          <w:rFonts w:ascii="Cambria" w:hAnsi="Cambria"/>
          <w:sz w:val="22"/>
          <w:szCs w:val="22"/>
        </w:rPr>
        <w:t xml:space="preserve"> failed to control for the effects of major confounders. We conclude that the study by Li </w:t>
      </w:r>
      <w:r w:rsidRPr="000A20CD">
        <w:rPr>
          <w:rFonts w:ascii="Cambria" w:hAnsi="Cambria"/>
          <w:i/>
          <w:iCs/>
          <w:sz w:val="22"/>
          <w:szCs w:val="22"/>
        </w:rPr>
        <w:t>et al.</w:t>
      </w:r>
      <w:r w:rsidRPr="000A20CD">
        <w:rPr>
          <w:rFonts w:ascii="Cambria" w:hAnsi="Cambria"/>
          <w:sz w:val="22"/>
          <w:szCs w:val="22"/>
        </w:rPr>
        <w:t xml:space="preserve">, which was widely cited in support of the introduction of cocktail offences in NSW, failed to provide </w:t>
      </w:r>
      <w:r w:rsidRPr="000A20CD">
        <w:rPr>
          <w:rFonts w:ascii="Cambria" w:hAnsi="Cambria"/>
          <w:i/>
          <w:iCs/>
          <w:sz w:val="22"/>
          <w:szCs w:val="22"/>
        </w:rPr>
        <w:t>any</w:t>
      </w:r>
      <w:r w:rsidRPr="000A20CD">
        <w:rPr>
          <w:rFonts w:ascii="Cambria" w:hAnsi="Cambria"/>
          <w:sz w:val="22"/>
          <w:szCs w:val="22"/>
        </w:rPr>
        <w:t xml:space="preserve"> evidence in favour of such offences for the co-use of cannabis and alcohol.    </w:t>
      </w:r>
    </w:p>
    <w:p w14:paraId="3D6BFEB4" w14:textId="77777777" w:rsidR="00734227" w:rsidRPr="000A20CD" w:rsidRDefault="00734227" w:rsidP="00734227">
      <w:pPr>
        <w:rPr>
          <w:rFonts w:ascii="Cambria" w:hAnsi="Cambria"/>
          <w:sz w:val="22"/>
          <w:szCs w:val="22"/>
        </w:rPr>
      </w:pPr>
    </w:p>
    <w:p w14:paraId="731725D1" w14:textId="77777777" w:rsidR="00734227" w:rsidRPr="000A20CD" w:rsidRDefault="00734227" w:rsidP="00734227">
      <w:pPr>
        <w:rPr>
          <w:rFonts w:ascii="Cambria" w:hAnsi="Cambria"/>
          <w:sz w:val="22"/>
          <w:szCs w:val="22"/>
        </w:rPr>
      </w:pPr>
    </w:p>
    <w:p w14:paraId="5A12A861" w14:textId="7703314E" w:rsidR="00734227" w:rsidRPr="000A20CD" w:rsidRDefault="00734227" w:rsidP="00734227">
      <w:pPr>
        <w:rPr>
          <w:rFonts w:ascii="Cambria" w:hAnsi="Cambria"/>
          <w:i/>
          <w:iCs/>
          <w:sz w:val="22"/>
          <w:szCs w:val="22"/>
        </w:rPr>
      </w:pPr>
      <w:r w:rsidRPr="000A20CD">
        <w:rPr>
          <w:rFonts w:ascii="Cambria" w:hAnsi="Cambria"/>
          <w:i/>
          <w:iCs/>
          <w:sz w:val="22"/>
          <w:szCs w:val="22"/>
        </w:rPr>
        <w:t>References for Appendix A</w:t>
      </w:r>
    </w:p>
    <w:p w14:paraId="01AA90FA" w14:textId="77777777" w:rsidR="00734227" w:rsidRPr="000A20CD" w:rsidRDefault="00734227" w:rsidP="00734227">
      <w:pPr>
        <w:rPr>
          <w:rFonts w:ascii="Cambria" w:hAnsi="Cambria"/>
          <w:sz w:val="22"/>
          <w:szCs w:val="22"/>
        </w:rPr>
      </w:pPr>
    </w:p>
    <w:p w14:paraId="37150C8E" w14:textId="77777777" w:rsidR="0026327B" w:rsidRPr="000A20CD" w:rsidRDefault="0026327B" w:rsidP="0026327B">
      <w:pPr>
        <w:rPr>
          <w:rFonts w:ascii="Cambria" w:hAnsi="Cambria" w:cs="Calibri"/>
          <w:iCs/>
          <w:sz w:val="22"/>
          <w:szCs w:val="22"/>
        </w:rPr>
      </w:pPr>
      <w:r w:rsidRPr="000A20CD">
        <w:rPr>
          <w:rFonts w:ascii="Cambria" w:hAnsi="Cambria" w:cs="Calibri"/>
          <w:sz w:val="22"/>
          <w:szCs w:val="22"/>
        </w:rPr>
        <w:t xml:space="preserve">Li G, Brady JE, and Chen Q (2013) Drug use and fatal motor vehicle crashes: A case-control study. </w:t>
      </w:r>
      <w:r w:rsidRPr="000A20CD">
        <w:rPr>
          <w:rFonts w:ascii="Cambria" w:hAnsi="Cambria" w:cs="Calibri"/>
          <w:i/>
          <w:sz w:val="22"/>
          <w:szCs w:val="22"/>
        </w:rPr>
        <w:t xml:space="preserve">Accident Analysis and Prevention </w:t>
      </w:r>
      <w:r w:rsidRPr="000A20CD">
        <w:rPr>
          <w:rFonts w:ascii="Cambria" w:hAnsi="Cambria" w:cs="Calibri"/>
          <w:iCs/>
          <w:sz w:val="22"/>
          <w:szCs w:val="22"/>
        </w:rPr>
        <w:t>60: 205-210.</w:t>
      </w:r>
    </w:p>
    <w:p w14:paraId="18D268FB" w14:textId="6C0B65CE" w:rsidR="00734227" w:rsidRPr="000A20CD" w:rsidRDefault="00734227" w:rsidP="00734227">
      <w:pPr>
        <w:rPr>
          <w:rFonts w:ascii="Cambria" w:hAnsi="Cambria"/>
          <w:sz w:val="22"/>
          <w:szCs w:val="22"/>
        </w:rPr>
      </w:pPr>
    </w:p>
    <w:p w14:paraId="01ADA76A" w14:textId="77777777" w:rsidR="00CC6858" w:rsidRPr="000A20CD" w:rsidRDefault="00CC6858" w:rsidP="00CC6858">
      <w:pPr>
        <w:rPr>
          <w:rFonts w:ascii="Cambria" w:hAnsi="Cambria"/>
          <w:sz w:val="22"/>
          <w:szCs w:val="22"/>
        </w:rPr>
      </w:pPr>
      <w:r w:rsidRPr="000A20CD">
        <w:rPr>
          <w:rFonts w:ascii="Cambria" w:hAnsi="Cambria"/>
          <w:sz w:val="22"/>
          <w:szCs w:val="22"/>
        </w:rPr>
        <w:t xml:space="preserve">NSW: Legislative Assembly. (10 February, 2021) </w:t>
      </w:r>
      <w:r w:rsidRPr="000A20CD">
        <w:rPr>
          <w:rFonts w:ascii="Cambria" w:hAnsi="Cambria"/>
          <w:i/>
          <w:iCs/>
          <w:sz w:val="22"/>
          <w:szCs w:val="22"/>
        </w:rPr>
        <w:t>Parliamentary debates (Hansard)</w:t>
      </w:r>
      <w:r w:rsidRPr="000A20CD">
        <w:rPr>
          <w:rFonts w:ascii="Cambria" w:hAnsi="Cambria"/>
          <w:sz w:val="22"/>
          <w:szCs w:val="22"/>
        </w:rPr>
        <w:t xml:space="preserve">. </w:t>
      </w:r>
      <w:hyperlink r:id="rId8" w:history="1">
        <w:r w:rsidRPr="000A20CD">
          <w:rPr>
            <w:rStyle w:val="Hyperlink"/>
            <w:rFonts w:ascii="Cambria" w:hAnsi="Cambria"/>
            <w:color w:val="auto"/>
            <w:sz w:val="22"/>
            <w:szCs w:val="22"/>
          </w:rPr>
          <w:t>https://www.parliament.nsw.gov.au/hansard/Pages/home.aspx?s=1</w:t>
        </w:r>
      </w:hyperlink>
    </w:p>
    <w:p w14:paraId="7DFC3EE2" w14:textId="77777777" w:rsidR="00CC6858" w:rsidRPr="000A20CD" w:rsidRDefault="00CC6858" w:rsidP="00CC6858">
      <w:pPr>
        <w:rPr>
          <w:rFonts w:ascii="Cambria" w:hAnsi="Cambria"/>
          <w:sz w:val="22"/>
          <w:szCs w:val="22"/>
        </w:rPr>
      </w:pPr>
    </w:p>
    <w:p w14:paraId="510558D7" w14:textId="77777777" w:rsidR="00CC6858" w:rsidRPr="000A20CD" w:rsidRDefault="00CC6858" w:rsidP="00CC6858">
      <w:pPr>
        <w:rPr>
          <w:rFonts w:ascii="Cambria" w:hAnsi="Cambria"/>
          <w:sz w:val="22"/>
          <w:szCs w:val="22"/>
        </w:rPr>
      </w:pPr>
      <w:r w:rsidRPr="000A20CD">
        <w:rPr>
          <w:rFonts w:ascii="Cambria" w:hAnsi="Cambria"/>
          <w:sz w:val="22"/>
          <w:szCs w:val="22"/>
        </w:rPr>
        <w:t xml:space="preserve">NSW: Legislative Council. (18 February, 2021) </w:t>
      </w:r>
      <w:r w:rsidRPr="000A20CD">
        <w:rPr>
          <w:rFonts w:ascii="Cambria" w:hAnsi="Cambria"/>
          <w:i/>
          <w:iCs/>
          <w:sz w:val="22"/>
          <w:szCs w:val="22"/>
        </w:rPr>
        <w:t>Parliamentary debates (Hansard)</w:t>
      </w:r>
      <w:r w:rsidRPr="000A20CD">
        <w:rPr>
          <w:rFonts w:ascii="Cambria" w:hAnsi="Cambria"/>
          <w:sz w:val="22"/>
          <w:szCs w:val="22"/>
        </w:rPr>
        <w:t xml:space="preserve">. </w:t>
      </w:r>
      <w:hyperlink r:id="rId9" w:history="1">
        <w:r w:rsidRPr="000A20CD">
          <w:rPr>
            <w:rStyle w:val="Hyperlink"/>
            <w:rFonts w:ascii="Cambria" w:hAnsi="Cambria"/>
            <w:color w:val="auto"/>
            <w:sz w:val="22"/>
            <w:szCs w:val="22"/>
          </w:rPr>
          <w:t>https://www.parliament.nsw.gov.au/hansard/Pages/home.aspx?s=1</w:t>
        </w:r>
      </w:hyperlink>
    </w:p>
    <w:p w14:paraId="6E48B689" w14:textId="06F13004" w:rsidR="00CC6858" w:rsidRPr="000A20CD" w:rsidRDefault="00CC6858" w:rsidP="00734227">
      <w:pPr>
        <w:rPr>
          <w:rFonts w:ascii="Cambria" w:hAnsi="Cambria"/>
          <w:sz w:val="22"/>
          <w:szCs w:val="22"/>
        </w:rPr>
      </w:pPr>
    </w:p>
    <w:p w14:paraId="09727BA0" w14:textId="77777777" w:rsidR="00CC6858" w:rsidRPr="000A20CD" w:rsidRDefault="00CC6858" w:rsidP="00CC6858">
      <w:pPr>
        <w:rPr>
          <w:rFonts w:ascii="Cambria" w:hAnsi="Cambria" w:cs="Calibri"/>
          <w:sz w:val="22"/>
          <w:szCs w:val="22"/>
        </w:rPr>
      </w:pPr>
      <w:r w:rsidRPr="000A20CD">
        <w:rPr>
          <w:rFonts w:ascii="Cambria" w:hAnsi="Cambria" w:cs="Calibri"/>
          <w:sz w:val="22"/>
          <w:szCs w:val="22"/>
          <w:lang w:val="pt-BR"/>
        </w:rPr>
        <w:t xml:space="preserve">Romano E, Torres-Saavedra P, Voas RB, et al. </w:t>
      </w:r>
      <w:r w:rsidRPr="000A20CD">
        <w:rPr>
          <w:rFonts w:ascii="Cambria" w:hAnsi="Cambria" w:cs="Calibri"/>
          <w:sz w:val="22"/>
          <w:szCs w:val="22"/>
        </w:rPr>
        <w:t xml:space="preserve">(2014) Drugs and alcohol: Their relative crash risk. </w:t>
      </w:r>
      <w:r w:rsidRPr="000A20CD">
        <w:rPr>
          <w:rFonts w:ascii="Cambria" w:hAnsi="Cambria" w:cs="Calibri"/>
          <w:i/>
          <w:iCs/>
          <w:sz w:val="22"/>
          <w:szCs w:val="22"/>
        </w:rPr>
        <w:t xml:space="preserve">Journal of Studies on Alcohol and Drugs </w:t>
      </w:r>
      <w:r w:rsidRPr="000A20CD">
        <w:rPr>
          <w:rFonts w:ascii="Cambria" w:hAnsi="Cambria" w:cs="Calibri"/>
          <w:sz w:val="22"/>
          <w:szCs w:val="22"/>
        </w:rPr>
        <w:t>75: 56-64.</w:t>
      </w:r>
    </w:p>
    <w:p w14:paraId="07FD605A" w14:textId="77777777" w:rsidR="00CC6858" w:rsidRPr="000A20CD" w:rsidRDefault="00CC6858" w:rsidP="00CC6858">
      <w:pPr>
        <w:rPr>
          <w:rFonts w:ascii="Cambria" w:hAnsi="Cambria"/>
          <w:sz w:val="22"/>
          <w:szCs w:val="22"/>
        </w:rPr>
      </w:pPr>
    </w:p>
    <w:p w14:paraId="1E660B27" w14:textId="77777777" w:rsidR="00CC6858" w:rsidRPr="000A20CD" w:rsidRDefault="00CC6858" w:rsidP="00CC6858">
      <w:pPr>
        <w:rPr>
          <w:rFonts w:ascii="Cambria" w:hAnsi="Cambria"/>
          <w:sz w:val="22"/>
          <w:szCs w:val="22"/>
        </w:rPr>
      </w:pPr>
      <w:r w:rsidRPr="000A20CD">
        <w:rPr>
          <w:rFonts w:ascii="Cambria" w:hAnsi="Cambria" w:cs="Calibri"/>
          <w:sz w:val="22"/>
          <w:szCs w:val="22"/>
        </w:rPr>
        <w:t xml:space="preserve">Romano E, Torres-Saavedra P, Voas RB, et al. </w:t>
      </w:r>
      <w:r w:rsidRPr="000A20CD">
        <w:rPr>
          <w:rFonts w:ascii="Cambria" w:hAnsi="Cambria"/>
          <w:sz w:val="22"/>
          <w:szCs w:val="22"/>
        </w:rPr>
        <w:t xml:space="preserve">(2017) Marijuana and the risk of fatal car crashes: What can we learn from FARS and NRS data? </w:t>
      </w:r>
      <w:r w:rsidRPr="000A20CD">
        <w:rPr>
          <w:rFonts w:ascii="Cambria" w:hAnsi="Cambria"/>
          <w:i/>
          <w:iCs/>
          <w:sz w:val="22"/>
          <w:szCs w:val="22"/>
        </w:rPr>
        <w:t xml:space="preserve">Journal of Primary Prevention </w:t>
      </w:r>
      <w:r w:rsidRPr="000A20CD">
        <w:rPr>
          <w:rFonts w:ascii="Cambria" w:hAnsi="Cambria"/>
          <w:sz w:val="22"/>
          <w:szCs w:val="22"/>
        </w:rPr>
        <w:t xml:space="preserve">38: 315-328.  </w:t>
      </w:r>
    </w:p>
    <w:p w14:paraId="43C220D6" w14:textId="77777777" w:rsidR="00CC6858" w:rsidRPr="000A20CD" w:rsidRDefault="00CC6858" w:rsidP="00734227">
      <w:pPr>
        <w:rPr>
          <w:rFonts w:ascii="Cambria" w:hAnsi="Cambria"/>
          <w:sz w:val="22"/>
          <w:szCs w:val="22"/>
        </w:rPr>
      </w:pPr>
    </w:p>
    <w:p w14:paraId="3A84FB09" w14:textId="77777777" w:rsidR="00CC6858" w:rsidRPr="000A20CD" w:rsidRDefault="00CC6858" w:rsidP="00CC6858">
      <w:pPr>
        <w:rPr>
          <w:rFonts w:ascii="Cambria" w:hAnsi="Cambria"/>
          <w:sz w:val="22"/>
          <w:szCs w:val="22"/>
        </w:rPr>
      </w:pPr>
      <w:r w:rsidRPr="000A20CD">
        <w:rPr>
          <w:rFonts w:ascii="Cambria" w:hAnsi="Cambria"/>
          <w:sz w:val="22"/>
          <w:szCs w:val="22"/>
        </w:rPr>
        <w:t xml:space="preserve">VicRoads (n.d.) </w:t>
      </w:r>
      <w:r w:rsidRPr="000A20CD">
        <w:rPr>
          <w:rFonts w:ascii="Cambria" w:hAnsi="Cambria"/>
          <w:i/>
          <w:iCs/>
          <w:sz w:val="22"/>
          <w:szCs w:val="22"/>
        </w:rPr>
        <w:t>Illicit drugs &amp; road safety: How illicit drugs affect driving ability (Cannabis and driving)</w:t>
      </w:r>
      <w:r w:rsidRPr="000A20CD">
        <w:rPr>
          <w:rFonts w:ascii="Cambria" w:hAnsi="Cambria"/>
          <w:sz w:val="22"/>
          <w:szCs w:val="22"/>
        </w:rPr>
        <w:t xml:space="preserve">. Retrieved November 5, 2022, from </w:t>
      </w:r>
      <w:hyperlink r:id="rId10" w:history="1">
        <w:r w:rsidRPr="000A20CD">
          <w:rPr>
            <w:rStyle w:val="Hyperlink"/>
            <w:rFonts w:ascii="Cambria" w:hAnsi="Cambria"/>
            <w:color w:val="auto"/>
            <w:sz w:val="22"/>
            <w:szCs w:val="22"/>
          </w:rPr>
          <w:t>https://www.vicroads.vic.gov.au/safety-and-road-rules/driver-safety/drugs-and-alcohol/illicit-drugs-and-road-safety</w:t>
        </w:r>
      </w:hyperlink>
    </w:p>
    <w:p w14:paraId="1A9F4AF5" w14:textId="77777777" w:rsidR="00CC6858" w:rsidRPr="000A20CD" w:rsidRDefault="00CC6858" w:rsidP="00CC6858">
      <w:pPr>
        <w:rPr>
          <w:rFonts w:ascii="Cambria" w:hAnsi="Cambria"/>
          <w:sz w:val="22"/>
          <w:szCs w:val="22"/>
        </w:rPr>
      </w:pPr>
    </w:p>
    <w:p w14:paraId="6AE790A6" w14:textId="77777777" w:rsidR="00D1203F" w:rsidRPr="000A20CD" w:rsidRDefault="00D1203F">
      <w:pPr>
        <w:rPr>
          <w:sz w:val="22"/>
          <w:szCs w:val="22"/>
          <w:lang w:val="en-AU"/>
        </w:rPr>
      </w:pPr>
    </w:p>
    <w:p w14:paraId="69997BB2" w14:textId="77777777" w:rsidR="00D1203F" w:rsidRPr="000A20CD" w:rsidRDefault="00D1203F">
      <w:pPr>
        <w:rPr>
          <w:sz w:val="22"/>
          <w:szCs w:val="22"/>
          <w:lang w:val="en-AU"/>
        </w:rPr>
      </w:pPr>
    </w:p>
    <w:p w14:paraId="595951DD" w14:textId="77777777" w:rsidR="00D1203F" w:rsidRPr="000A20CD" w:rsidRDefault="00D1203F">
      <w:pPr>
        <w:rPr>
          <w:sz w:val="22"/>
          <w:szCs w:val="22"/>
          <w:lang w:val="en-AU"/>
        </w:rPr>
      </w:pPr>
    </w:p>
    <w:p w14:paraId="4529DA64" w14:textId="77777777" w:rsidR="00D1203F" w:rsidRPr="000A20CD" w:rsidRDefault="00D1203F">
      <w:pPr>
        <w:rPr>
          <w:b/>
          <w:bCs/>
          <w:sz w:val="22"/>
          <w:szCs w:val="22"/>
          <w:lang w:val="en-AU"/>
        </w:rPr>
      </w:pPr>
      <w:r w:rsidRPr="000A20CD">
        <w:rPr>
          <w:b/>
          <w:bCs/>
          <w:sz w:val="22"/>
          <w:szCs w:val="22"/>
          <w:lang w:val="en-AU"/>
        </w:rPr>
        <w:br w:type="page"/>
      </w:r>
    </w:p>
    <w:p w14:paraId="56DB1344" w14:textId="0E21E3B9" w:rsidR="00D1203F" w:rsidRPr="000A20CD" w:rsidRDefault="00D1203F">
      <w:pPr>
        <w:rPr>
          <w:b/>
          <w:bCs/>
          <w:sz w:val="22"/>
          <w:szCs w:val="22"/>
          <w:lang w:val="en-AU"/>
        </w:rPr>
      </w:pPr>
      <w:r w:rsidRPr="000A20CD">
        <w:rPr>
          <w:b/>
          <w:bCs/>
          <w:sz w:val="22"/>
          <w:szCs w:val="22"/>
          <w:lang w:val="en-AU"/>
        </w:rPr>
        <w:t>APPENDIX B</w:t>
      </w:r>
    </w:p>
    <w:p w14:paraId="5EF59354" w14:textId="77777777" w:rsidR="00D1203F" w:rsidRPr="000A20CD" w:rsidRDefault="00D1203F">
      <w:pPr>
        <w:rPr>
          <w:sz w:val="22"/>
          <w:szCs w:val="22"/>
          <w:lang w:val="en-AU"/>
        </w:rPr>
      </w:pPr>
    </w:p>
    <w:p w14:paraId="39FAF95F" w14:textId="77777777" w:rsidR="00D1203F" w:rsidRPr="000A20CD" w:rsidRDefault="00D1203F" w:rsidP="00D1203F">
      <w:pPr>
        <w:rPr>
          <w:sz w:val="22"/>
          <w:szCs w:val="22"/>
        </w:rPr>
      </w:pPr>
    </w:p>
    <w:p w14:paraId="6C3D849B" w14:textId="77777777" w:rsidR="00D1203F" w:rsidRPr="000A20CD" w:rsidRDefault="00D1203F" w:rsidP="00D1203F">
      <w:pPr>
        <w:rPr>
          <w:b/>
          <w:bCs/>
          <w:sz w:val="22"/>
          <w:szCs w:val="22"/>
        </w:rPr>
      </w:pPr>
      <w:r w:rsidRPr="000A20CD">
        <w:rPr>
          <w:b/>
          <w:bCs/>
          <w:sz w:val="22"/>
          <w:szCs w:val="22"/>
        </w:rPr>
        <w:t>Two ways of demonstrating an exacerbation effect</w:t>
      </w:r>
    </w:p>
    <w:p w14:paraId="0F151903" w14:textId="77777777" w:rsidR="00D1203F" w:rsidRPr="000A20CD" w:rsidRDefault="00D1203F" w:rsidP="00D1203F">
      <w:pPr>
        <w:rPr>
          <w:sz w:val="22"/>
          <w:szCs w:val="22"/>
        </w:rPr>
      </w:pPr>
    </w:p>
    <w:p w14:paraId="376D2E61" w14:textId="07591B48" w:rsidR="00D1203F" w:rsidRPr="000A20CD" w:rsidRDefault="00D1203F" w:rsidP="00D1203F">
      <w:pPr>
        <w:rPr>
          <w:sz w:val="22"/>
          <w:szCs w:val="22"/>
        </w:rPr>
      </w:pPr>
      <w:r w:rsidRPr="000A20CD">
        <w:rPr>
          <w:sz w:val="22"/>
          <w:szCs w:val="22"/>
        </w:rPr>
        <w:t>There are two alternative statistical procedures for investigating the possibility that the use of cannabis with alcohol exacerbates the effect of alcohol on crash culpability. They are illustrated here with a worked example that uses the dummy data in Table B1. The interpretation of the groups in this table should be straightforward, with the possible exception of THC&amp;AOD-free group, who are drivers with no cannabis, alcohol, or any other psychoactive drug in their system.</w:t>
      </w:r>
    </w:p>
    <w:p w14:paraId="7299121B" w14:textId="77777777" w:rsidR="00D1203F" w:rsidRPr="000A20CD" w:rsidRDefault="00D1203F" w:rsidP="00D1203F">
      <w:pPr>
        <w:rPr>
          <w:sz w:val="22"/>
          <w:szCs w:val="22"/>
        </w:rPr>
      </w:pPr>
    </w:p>
    <w:p w14:paraId="755891F6" w14:textId="77777777" w:rsidR="00D1203F" w:rsidRPr="000A20CD" w:rsidRDefault="00D1203F" w:rsidP="00D1203F">
      <w:pPr>
        <w:rPr>
          <w:sz w:val="22"/>
          <w:szCs w:val="22"/>
        </w:rPr>
      </w:pPr>
    </w:p>
    <w:p w14:paraId="61E489D2" w14:textId="2E258CF4" w:rsidR="00D1203F" w:rsidRPr="000A20CD" w:rsidRDefault="00D1203F" w:rsidP="00D1203F">
      <w:pPr>
        <w:rPr>
          <w:sz w:val="22"/>
          <w:szCs w:val="22"/>
        </w:rPr>
      </w:pPr>
      <w:r w:rsidRPr="000A20CD">
        <w:rPr>
          <w:sz w:val="22"/>
          <w:szCs w:val="22"/>
        </w:rPr>
        <w:t>Table B1. Crash culpability and drug usage for a worked example</w:t>
      </w:r>
    </w:p>
    <w:p w14:paraId="17881615" w14:textId="77777777" w:rsidR="00D1203F" w:rsidRPr="000A20CD" w:rsidRDefault="00D1203F" w:rsidP="00D1203F">
      <w:pPr>
        <w:rPr>
          <w:sz w:val="22"/>
          <w:szCs w:val="22"/>
        </w:rPr>
      </w:pP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6"/>
        <w:gridCol w:w="1560"/>
        <w:gridCol w:w="1749"/>
        <w:gridCol w:w="1494"/>
      </w:tblGrid>
      <w:tr w:rsidR="000A20CD" w:rsidRPr="000A20CD" w14:paraId="3B2BF1DE" w14:textId="77777777" w:rsidTr="00010196">
        <w:trPr>
          <w:trHeight w:val="227"/>
          <w:jc w:val="center"/>
        </w:trPr>
        <w:tc>
          <w:tcPr>
            <w:tcW w:w="3566" w:type="dxa"/>
            <w:tcBorders>
              <w:top w:val="single" w:sz="4" w:space="0" w:color="auto"/>
              <w:left w:val="single" w:sz="4" w:space="0" w:color="auto"/>
              <w:bottom w:val="single" w:sz="4" w:space="0" w:color="auto"/>
              <w:right w:val="single" w:sz="4" w:space="0" w:color="auto"/>
            </w:tcBorders>
            <w:noWrap/>
            <w:vAlign w:val="bottom"/>
            <w:hideMark/>
          </w:tcPr>
          <w:p w14:paraId="5AC3E078" w14:textId="77777777" w:rsidR="00D1203F" w:rsidRPr="000A20CD" w:rsidRDefault="00D1203F" w:rsidP="00010196">
            <w:pPr>
              <w:rPr>
                <w:b/>
                <w:bCs/>
                <w:sz w:val="20"/>
                <w:szCs w:val="20"/>
              </w:rPr>
            </w:pPr>
            <w:r w:rsidRPr="000A20CD">
              <w:rPr>
                <w:b/>
                <w:bCs/>
                <w:sz w:val="20"/>
                <w:szCs w:val="20"/>
              </w:rPr>
              <w:t xml:space="preserve">Group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7874851" w14:textId="77777777" w:rsidR="00D1203F" w:rsidRPr="000A20CD" w:rsidRDefault="00D1203F" w:rsidP="00010196">
            <w:pPr>
              <w:jc w:val="both"/>
              <w:rPr>
                <w:b/>
                <w:bCs/>
                <w:sz w:val="20"/>
                <w:szCs w:val="20"/>
              </w:rPr>
            </w:pPr>
            <w:r w:rsidRPr="000A20CD">
              <w:rPr>
                <w:b/>
                <w:bCs/>
                <w:sz w:val="20"/>
                <w:szCs w:val="20"/>
              </w:rPr>
              <w:t>Culpable</w:t>
            </w:r>
          </w:p>
        </w:tc>
        <w:tc>
          <w:tcPr>
            <w:tcW w:w="1749" w:type="dxa"/>
            <w:tcBorders>
              <w:top w:val="single" w:sz="4" w:space="0" w:color="auto"/>
              <w:left w:val="single" w:sz="4" w:space="0" w:color="auto"/>
              <w:bottom w:val="single" w:sz="4" w:space="0" w:color="auto"/>
              <w:right w:val="single" w:sz="4" w:space="0" w:color="auto"/>
            </w:tcBorders>
            <w:vAlign w:val="bottom"/>
            <w:hideMark/>
          </w:tcPr>
          <w:p w14:paraId="0BEE1469" w14:textId="77777777" w:rsidR="00D1203F" w:rsidRPr="000A20CD" w:rsidRDefault="00D1203F" w:rsidP="00010196">
            <w:pPr>
              <w:jc w:val="both"/>
              <w:rPr>
                <w:b/>
                <w:bCs/>
                <w:sz w:val="20"/>
                <w:szCs w:val="20"/>
              </w:rPr>
            </w:pPr>
            <w:r w:rsidRPr="000A20CD">
              <w:rPr>
                <w:b/>
                <w:bCs/>
                <w:sz w:val="20"/>
                <w:szCs w:val="20"/>
              </w:rPr>
              <w:t>Not-Culpable</w:t>
            </w:r>
          </w:p>
        </w:tc>
        <w:tc>
          <w:tcPr>
            <w:tcW w:w="1494" w:type="dxa"/>
            <w:tcBorders>
              <w:top w:val="single" w:sz="4" w:space="0" w:color="auto"/>
              <w:left w:val="single" w:sz="4" w:space="0" w:color="auto"/>
              <w:bottom w:val="single" w:sz="4" w:space="0" w:color="auto"/>
              <w:right w:val="single" w:sz="4" w:space="0" w:color="auto"/>
            </w:tcBorders>
            <w:hideMark/>
          </w:tcPr>
          <w:p w14:paraId="4791B079" w14:textId="77777777" w:rsidR="00D1203F" w:rsidRPr="000A20CD" w:rsidRDefault="00D1203F" w:rsidP="00010196">
            <w:pPr>
              <w:rPr>
                <w:b/>
                <w:bCs/>
                <w:sz w:val="20"/>
                <w:szCs w:val="20"/>
              </w:rPr>
            </w:pPr>
            <w:r w:rsidRPr="000A20CD">
              <w:rPr>
                <w:b/>
                <w:bCs/>
                <w:sz w:val="20"/>
                <w:szCs w:val="20"/>
              </w:rPr>
              <w:t>Total</w:t>
            </w:r>
          </w:p>
        </w:tc>
      </w:tr>
      <w:tr w:rsidR="000A20CD" w:rsidRPr="000A20CD" w14:paraId="5F323C49" w14:textId="77777777" w:rsidTr="00010196">
        <w:trPr>
          <w:trHeight w:val="227"/>
          <w:jc w:val="center"/>
        </w:trPr>
        <w:tc>
          <w:tcPr>
            <w:tcW w:w="3566" w:type="dxa"/>
            <w:tcBorders>
              <w:top w:val="single" w:sz="4" w:space="0" w:color="auto"/>
              <w:left w:val="single" w:sz="4" w:space="0" w:color="auto"/>
              <w:bottom w:val="single" w:sz="4" w:space="0" w:color="auto"/>
              <w:right w:val="single" w:sz="4" w:space="0" w:color="auto"/>
            </w:tcBorders>
            <w:noWrap/>
            <w:vAlign w:val="bottom"/>
            <w:hideMark/>
          </w:tcPr>
          <w:p w14:paraId="1FEA984F" w14:textId="77777777" w:rsidR="00D1203F" w:rsidRPr="000A20CD" w:rsidRDefault="00D1203F" w:rsidP="00010196">
            <w:pPr>
              <w:rPr>
                <w:sz w:val="20"/>
                <w:szCs w:val="20"/>
              </w:rPr>
            </w:pPr>
            <w:r w:rsidRPr="000A20CD">
              <w:rPr>
                <w:sz w:val="20"/>
                <w:szCs w:val="20"/>
              </w:rPr>
              <w:t>Cannabis: THC-only</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5E1CD31" w14:textId="77777777" w:rsidR="00D1203F" w:rsidRPr="000A20CD" w:rsidRDefault="00D1203F" w:rsidP="00010196">
            <w:pPr>
              <w:jc w:val="both"/>
              <w:rPr>
                <w:sz w:val="20"/>
                <w:szCs w:val="20"/>
              </w:rPr>
            </w:pPr>
            <w:r w:rsidRPr="000A20CD">
              <w:rPr>
                <w:sz w:val="20"/>
                <w:szCs w:val="20"/>
              </w:rPr>
              <w:t xml:space="preserve">  100 (r)</w:t>
            </w:r>
          </w:p>
        </w:tc>
        <w:tc>
          <w:tcPr>
            <w:tcW w:w="1749" w:type="dxa"/>
            <w:tcBorders>
              <w:top w:val="single" w:sz="4" w:space="0" w:color="auto"/>
              <w:left w:val="single" w:sz="4" w:space="0" w:color="auto"/>
              <w:bottom w:val="single" w:sz="4" w:space="0" w:color="auto"/>
              <w:right w:val="single" w:sz="4" w:space="0" w:color="auto"/>
            </w:tcBorders>
            <w:vAlign w:val="bottom"/>
            <w:hideMark/>
          </w:tcPr>
          <w:p w14:paraId="42899702" w14:textId="77777777" w:rsidR="00D1203F" w:rsidRPr="000A20CD" w:rsidRDefault="00D1203F" w:rsidP="00010196">
            <w:pPr>
              <w:jc w:val="both"/>
              <w:rPr>
                <w:sz w:val="20"/>
                <w:szCs w:val="20"/>
              </w:rPr>
            </w:pPr>
            <w:r w:rsidRPr="000A20CD">
              <w:rPr>
                <w:sz w:val="20"/>
                <w:szCs w:val="20"/>
              </w:rPr>
              <w:t xml:space="preserve">  100 (s)</w:t>
            </w:r>
          </w:p>
        </w:tc>
        <w:tc>
          <w:tcPr>
            <w:tcW w:w="1494" w:type="dxa"/>
            <w:tcBorders>
              <w:top w:val="single" w:sz="4" w:space="0" w:color="auto"/>
              <w:left w:val="single" w:sz="4" w:space="0" w:color="auto"/>
              <w:bottom w:val="single" w:sz="4" w:space="0" w:color="auto"/>
              <w:right w:val="single" w:sz="4" w:space="0" w:color="auto"/>
            </w:tcBorders>
            <w:hideMark/>
          </w:tcPr>
          <w:p w14:paraId="33730922" w14:textId="77777777" w:rsidR="00D1203F" w:rsidRPr="000A20CD" w:rsidRDefault="00D1203F" w:rsidP="00010196">
            <w:pPr>
              <w:rPr>
                <w:sz w:val="20"/>
                <w:szCs w:val="20"/>
              </w:rPr>
            </w:pPr>
            <w:r w:rsidRPr="000A20CD">
              <w:rPr>
                <w:sz w:val="20"/>
                <w:szCs w:val="20"/>
              </w:rPr>
              <w:t xml:space="preserve">  200</w:t>
            </w:r>
          </w:p>
        </w:tc>
      </w:tr>
      <w:tr w:rsidR="000A20CD" w:rsidRPr="000A20CD" w14:paraId="0ED8CF02" w14:textId="77777777" w:rsidTr="00010196">
        <w:trPr>
          <w:trHeight w:val="227"/>
          <w:jc w:val="center"/>
        </w:trPr>
        <w:tc>
          <w:tcPr>
            <w:tcW w:w="3566" w:type="dxa"/>
            <w:tcBorders>
              <w:top w:val="single" w:sz="4" w:space="0" w:color="auto"/>
              <w:left w:val="single" w:sz="4" w:space="0" w:color="auto"/>
              <w:bottom w:val="single" w:sz="4" w:space="0" w:color="auto"/>
              <w:right w:val="single" w:sz="4" w:space="0" w:color="auto"/>
            </w:tcBorders>
            <w:noWrap/>
            <w:vAlign w:val="bottom"/>
            <w:hideMark/>
          </w:tcPr>
          <w:p w14:paraId="253F9BAE" w14:textId="77777777" w:rsidR="00D1203F" w:rsidRPr="000A20CD" w:rsidRDefault="00D1203F" w:rsidP="00010196">
            <w:pPr>
              <w:rPr>
                <w:sz w:val="20"/>
                <w:szCs w:val="20"/>
              </w:rPr>
            </w:pPr>
            <w:r w:rsidRPr="000A20CD">
              <w:rPr>
                <w:sz w:val="20"/>
                <w:szCs w:val="20"/>
              </w:rPr>
              <w:t>Other drug (OD) combinations</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4442FEA" w14:textId="77777777" w:rsidR="00D1203F" w:rsidRPr="000A20CD" w:rsidRDefault="00D1203F" w:rsidP="00010196">
            <w:pPr>
              <w:jc w:val="both"/>
              <w:rPr>
                <w:sz w:val="20"/>
                <w:szCs w:val="20"/>
              </w:rPr>
            </w:pPr>
            <w:r w:rsidRPr="000A20CD">
              <w:rPr>
                <w:sz w:val="20"/>
                <w:szCs w:val="20"/>
              </w:rPr>
              <w:t xml:space="preserve">  180</w:t>
            </w:r>
          </w:p>
        </w:tc>
        <w:tc>
          <w:tcPr>
            <w:tcW w:w="1749" w:type="dxa"/>
            <w:tcBorders>
              <w:top w:val="single" w:sz="4" w:space="0" w:color="auto"/>
              <w:left w:val="single" w:sz="4" w:space="0" w:color="auto"/>
              <w:bottom w:val="single" w:sz="4" w:space="0" w:color="auto"/>
              <w:right w:val="single" w:sz="4" w:space="0" w:color="auto"/>
            </w:tcBorders>
            <w:vAlign w:val="bottom"/>
            <w:hideMark/>
          </w:tcPr>
          <w:p w14:paraId="16EEE559" w14:textId="77777777" w:rsidR="00D1203F" w:rsidRPr="000A20CD" w:rsidRDefault="00D1203F" w:rsidP="00010196">
            <w:pPr>
              <w:jc w:val="both"/>
              <w:rPr>
                <w:sz w:val="20"/>
                <w:szCs w:val="20"/>
              </w:rPr>
            </w:pPr>
            <w:r w:rsidRPr="000A20CD">
              <w:rPr>
                <w:sz w:val="20"/>
                <w:szCs w:val="20"/>
              </w:rPr>
              <w:t xml:space="preserve">    90</w:t>
            </w:r>
          </w:p>
        </w:tc>
        <w:tc>
          <w:tcPr>
            <w:tcW w:w="1494" w:type="dxa"/>
            <w:tcBorders>
              <w:top w:val="single" w:sz="4" w:space="0" w:color="auto"/>
              <w:left w:val="single" w:sz="4" w:space="0" w:color="auto"/>
              <w:bottom w:val="single" w:sz="4" w:space="0" w:color="auto"/>
              <w:right w:val="single" w:sz="4" w:space="0" w:color="auto"/>
            </w:tcBorders>
            <w:hideMark/>
          </w:tcPr>
          <w:p w14:paraId="65E149CB" w14:textId="77777777" w:rsidR="00D1203F" w:rsidRPr="000A20CD" w:rsidRDefault="00D1203F" w:rsidP="00010196">
            <w:pPr>
              <w:rPr>
                <w:sz w:val="20"/>
                <w:szCs w:val="20"/>
              </w:rPr>
            </w:pPr>
            <w:r w:rsidRPr="000A20CD">
              <w:rPr>
                <w:sz w:val="20"/>
                <w:szCs w:val="20"/>
              </w:rPr>
              <w:t xml:space="preserve">  270</w:t>
            </w:r>
          </w:p>
        </w:tc>
      </w:tr>
      <w:tr w:rsidR="000A20CD" w:rsidRPr="000A20CD" w14:paraId="485B155A" w14:textId="77777777" w:rsidTr="00010196">
        <w:trPr>
          <w:trHeight w:val="227"/>
          <w:jc w:val="center"/>
        </w:trPr>
        <w:tc>
          <w:tcPr>
            <w:tcW w:w="3566" w:type="dxa"/>
            <w:tcBorders>
              <w:top w:val="single" w:sz="4" w:space="0" w:color="auto"/>
              <w:left w:val="single" w:sz="4" w:space="0" w:color="auto"/>
              <w:bottom w:val="single" w:sz="4" w:space="0" w:color="auto"/>
              <w:right w:val="single" w:sz="4" w:space="0" w:color="auto"/>
            </w:tcBorders>
            <w:noWrap/>
            <w:vAlign w:val="bottom"/>
            <w:hideMark/>
          </w:tcPr>
          <w:p w14:paraId="2E8A4689" w14:textId="77777777" w:rsidR="00D1203F" w:rsidRPr="000A20CD" w:rsidRDefault="00D1203F" w:rsidP="00010196">
            <w:pPr>
              <w:rPr>
                <w:sz w:val="20"/>
                <w:szCs w:val="20"/>
              </w:rPr>
            </w:pPr>
            <w:r w:rsidRPr="000A20CD">
              <w:rPr>
                <w:sz w:val="20"/>
                <w:szCs w:val="20"/>
              </w:rPr>
              <w:t xml:space="preserve">Combined: THC&amp;BAC-only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9C0C233" w14:textId="77777777" w:rsidR="00D1203F" w:rsidRPr="000A20CD" w:rsidRDefault="00D1203F" w:rsidP="00010196">
            <w:pPr>
              <w:jc w:val="both"/>
              <w:rPr>
                <w:sz w:val="20"/>
                <w:szCs w:val="20"/>
              </w:rPr>
            </w:pPr>
            <w:r w:rsidRPr="000A20CD">
              <w:rPr>
                <w:sz w:val="20"/>
                <w:szCs w:val="20"/>
              </w:rPr>
              <w:t xml:space="preserve">  120 (a)</w:t>
            </w:r>
          </w:p>
        </w:tc>
        <w:tc>
          <w:tcPr>
            <w:tcW w:w="1749" w:type="dxa"/>
            <w:tcBorders>
              <w:top w:val="single" w:sz="4" w:space="0" w:color="auto"/>
              <w:left w:val="single" w:sz="4" w:space="0" w:color="auto"/>
              <w:bottom w:val="single" w:sz="4" w:space="0" w:color="auto"/>
              <w:right w:val="single" w:sz="4" w:space="0" w:color="auto"/>
            </w:tcBorders>
            <w:vAlign w:val="bottom"/>
            <w:hideMark/>
          </w:tcPr>
          <w:p w14:paraId="42E6DC7E" w14:textId="77777777" w:rsidR="00D1203F" w:rsidRPr="000A20CD" w:rsidRDefault="00D1203F" w:rsidP="00010196">
            <w:pPr>
              <w:jc w:val="both"/>
              <w:rPr>
                <w:sz w:val="20"/>
                <w:szCs w:val="20"/>
              </w:rPr>
            </w:pPr>
            <w:r w:rsidRPr="000A20CD">
              <w:rPr>
                <w:sz w:val="20"/>
                <w:szCs w:val="20"/>
              </w:rPr>
              <w:t xml:space="preserve">    10 (b)</w:t>
            </w:r>
          </w:p>
        </w:tc>
        <w:tc>
          <w:tcPr>
            <w:tcW w:w="1494" w:type="dxa"/>
            <w:tcBorders>
              <w:top w:val="single" w:sz="4" w:space="0" w:color="auto"/>
              <w:left w:val="single" w:sz="4" w:space="0" w:color="auto"/>
              <w:bottom w:val="single" w:sz="4" w:space="0" w:color="auto"/>
              <w:right w:val="single" w:sz="4" w:space="0" w:color="auto"/>
            </w:tcBorders>
            <w:hideMark/>
          </w:tcPr>
          <w:p w14:paraId="2DA5AFEE" w14:textId="77777777" w:rsidR="00D1203F" w:rsidRPr="000A20CD" w:rsidRDefault="00D1203F" w:rsidP="00010196">
            <w:pPr>
              <w:rPr>
                <w:sz w:val="20"/>
                <w:szCs w:val="20"/>
              </w:rPr>
            </w:pPr>
            <w:r w:rsidRPr="000A20CD">
              <w:rPr>
                <w:sz w:val="20"/>
                <w:szCs w:val="20"/>
              </w:rPr>
              <w:t xml:space="preserve">  130</w:t>
            </w:r>
          </w:p>
        </w:tc>
      </w:tr>
      <w:tr w:rsidR="000A20CD" w:rsidRPr="000A20CD" w14:paraId="47C047B9" w14:textId="77777777" w:rsidTr="00010196">
        <w:trPr>
          <w:trHeight w:val="227"/>
          <w:jc w:val="center"/>
        </w:trPr>
        <w:tc>
          <w:tcPr>
            <w:tcW w:w="3566" w:type="dxa"/>
            <w:tcBorders>
              <w:top w:val="single" w:sz="4" w:space="0" w:color="auto"/>
              <w:left w:val="single" w:sz="4" w:space="0" w:color="auto"/>
              <w:bottom w:val="single" w:sz="4" w:space="0" w:color="auto"/>
              <w:right w:val="single" w:sz="4" w:space="0" w:color="auto"/>
            </w:tcBorders>
            <w:noWrap/>
            <w:vAlign w:val="bottom"/>
            <w:hideMark/>
          </w:tcPr>
          <w:p w14:paraId="694EFA01" w14:textId="77777777" w:rsidR="00D1203F" w:rsidRPr="000A20CD" w:rsidRDefault="00D1203F" w:rsidP="00010196">
            <w:pPr>
              <w:rPr>
                <w:sz w:val="20"/>
                <w:szCs w:val="20"/>
              </w:rPr>
            </w:pPr>
            <w:r w:rsidRPr="000A20CD">
              <w:rPr>
                <w:sz w:val="20"/>
                <w:szCs w:val="20"/>
              </w:rPr>
              <w:t>Alcohol: BAC-only</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5D9F02D" w14:textId="77777777" w:rsidR="00D1203F" w:rsidRPr="000A20CD" w:rsidRDefault="00D1203F" w:rsidP="00010196">
            <w:pPr>
              <w:jc w:val="both"/>
              <w:rPr>
                <w:sz w:val="20"/>
                <w:szCs w:val="20"/>
              </w:rPr>
            </w:pPr>
            <w:r w:rsidRPr="000A20CD">
              <w:rPr>
                <w:sz w:val="20"/>
                <w:szCs w:val="20"/>
              </w:rPr>
              <w:t xml:space="preserve">  800 (p)</w:t>
            </w:r>
          </w:p>
        </w:tc>
        <w:tc>
          <w:tcPr>
            <w:tcW w:w="1749" w:type="dxa"/>
            <w:tcBorders>
              <w:top w:val="single" w:sz="4" w:space="0" w:color="auto"/>
              <w:left w:val="single" w:sz="4" w:space="0" w:color="auto"/>
              <w:bottom w:val="single" w:sz="4" w:space="0" w:color="auto"/>
              <w:right w:val="single" w:sz="4" w:space="0" w:color="auto"/>
            </w:tcBorders>
            <w:vAlign w:val="bottom"/>
            <w:hideMark/>
          </w:tcPr>
          <w:p w14:paraId="64DFB2D5" w14:textId="77777777" w:rsidR="00D1203F" w:rsidRPr="000A20CD" w:rsidRDefault="00D1203F" w:rsidP="00010196">
            <w:pPr>
              <w:jc w:val="both"/>
              <w:rPr>
                <w:sz w:val="20"/>
                <w:szCs w:val="20"/>
              </w:rPr>
            </w:pPr>
            <w:r w:rsidRPr="000A20CD">
              <w:rPr>
                <w:sz w:val="20"/>
                <w:szCs w:val="20"/>
              </w:rPr>
              <w:t xml:space="preserve">  200 (q)</w:t>
            </w:r>
          </w:p>
        </w:tc>
        <w:tc>
          <w:tcPr>
            <w:tcW w:w="1494" w:type="dxa"/>
            <w:tcBorders>
              <w:top w:val="single" w:sz="4" w:space="0" w:color="auto"/>
              <w:left w:val="single" w:sz="4" w:space="0" w:color="auto"/>
              <w:bottom w:val="single" w:sz="4" w:space="0" w:color="auto"/>
              <w:right w:val="single" w:sz="4" w:space="0" w:color="auto"/>
            </w:tcBorders>
            <w:hideMark/>
          </w:tcPr>
          <w:p w14:paraId="74DC6FF7" w14:textId="77777777" w:rsidR="00D1203F" w:rsidRPr="000A20CD" w:rsidRDefault="00D1203F" w:rsidP="00010196">
            <w:pPr>
              <w:rPr>
                <w:sz w:val="20"/>
                <w:szCs w:val="20"/>
              </w:rPr>
            </w:pPr>
            <w:r w:rsidRPr="000A20CD">
              <w:rPr>
                <w:sz w:val="20"/>
                <w:szCs w:val="20"/>
              </w:rPr>
              <w:t>1000</w:t>
            </w:r>
          </w:p>
        </w:tc>
      </w:tr>
      <w:tr w:rsidR="000A20CD" w:rsidRPr="000A20CD" w14:paraId="669EE642" w14:textId="77777777" w:rsidTr="00010196">
        <w:trPr>
          <w:trHeight w:val="227"/>
          <w:jc w:val="center"/>
        </w:trPr>
        <w:tc>
          <w:tcPr>
            <w:tcW w:w="3566" w:type="dxa"/>
            <w:tcBorders>
              <w:top w:val="single" w:sz="4" w:space="0" w:color="auto"/>
              <w:left w:val="single" w:sz="4" w:space="0" w:color="auto"/>
              <w:bottom w:val="single" w:sz="4" w:space="0" w:color="auto"/>
              <w:right w:val="single" w:sz="4" w:space="0" w:color="auto"/>
            </w:tcBorders>
            <w:noWrap/>
            <w:vAlign w:val="bottom"/>
            <w:hideMark/>
          </w:tcPr>
          <w:p w14:paraId="368C5AC0" w14:textId="77777777" w:rsidR="00D1203F" w:rsidRPr="000A20CD" w:rsidRDefault="00D1203F" w:rsidP="00010196">
            <w:pPr>
              <w:rPr>
                <w:sz w:val="20"/>
                <w:szCs w:val="20"/>
              </w:rPr>
            </w:pPr>
            <w:r w:rsidRPr="000A20CD">
              <w:rPr>
                <w:sz w:val="20"/>
                <w:szCs w:val="20"/>
              </w:rPr>
              <w:t>Controls: THC&amp;AOD-free</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18249B9" w14:textId="77777777" w:rsidR="00D1203F" w:rsidRPr="000A20CD" w:rsidRDefault="00D1203F" w:rsidP="00010196">
            <w:pPr>
              <w:jc w:val="both"/>
              <w:rPr>
                <w:sz w:val="20"/>
                <w:szCs w:val="20"/>
              </w:rPr>
            </w:pPr>
            <w:r w:rsidRPr="000A20CD">
              <w:rPr>
                <w:sz w:val="20"/>
                <w:szCs w:val="20"/>
              </w:rPr>
              <w:t xml:space="preserve">  900 (x)</w:t>
            </w:r>
          </w:p>
        </w:tc>
        <w:tc>
          <w:tcPr>
            <w:tcW w:w="1749" w:type="dxa"/>
            <w:tcBorders>
              <w:top w:val="single" w:sz="4" w:space="0" w:color="auto"/>
              <w:left w:val="single" w:sz="4" w:space="0" w:color="auto"/>
              <w:bottom w:val="single" w:sz="4" w:space="0" w:color="auto"/>
              <w:right w:val="single" w:sz="4" w:space="0" w:color="auto"/>
            </w:tcBorders>
            <w:vAlign w:val="bottom"/>
            <w:hideMark/>
          </w:tcPr>
          <w:p w14:paraId="3E530D1B" w14:textId="77777777" w:rsidR="00D1203F" w:rsidRPr="000A20CD" w:rsidRDefault="00D1203F" w:rsidP="00010196">
            <w:pPr>
              <w:jc w:val="both"/>
              <w:rPr>
                <w:sz w:val="20"/>
                <w:szCs w:val="20"/>
              </w:rPr>
            </w:pPr>
            <w:r w:rsidRPr="000A20CD">
              <w:rPr>
                <w:sz w:val="20"/>
                <w:szCs w:val="20"/>
              </w:rPr>
              <w:t xml:space="preserve">  900 (y)</w:t>
            </w:r>
          </w:p>
        </w:tc>
        <w:tc>
          <w:tcPr>
            <w:tcW w:w="1494" w:type="dxa"/>
            <w:tcBorders>
              <w:top w:val="single" w:sz="4" w:space="0" w:color="auto"/>
              <w:left w:val="single" w:sz="4" w:space="0" w:color="auto"/>
              <w:bottom w:val="single" w:sz="4" w:space="0" w:color="auto"/>
              <w:right w:val="single" w:sz="4" w:space="0" w:color="auto"/>
            </w:tcBorders>
            <w:hideMark/>
          </w:tcPr>
          <w:p w14:paraId="132AA8EA" w14:textId="77777777" w:rsidR="00D1203F" w:rsidRPr="000A20CD" w:rsidRDefault="00D1203F" w:rsidP="00010196">
            <w:pPr>
              <w:rPr>
                <w:sz w:val="20"/>
                <w:szCs w:val="20"/>
              </w:rPr>
            </w:pPr>
            <w:r w:rsidRPr="000A20CD">
              <w:rPr>
                <w:sz w:val="20"/>
                <w:szCs w:val="20"/>
              </w:rPr>
              <w:t>1800</w:t>
            </w:r>
          </w:p>
        </w:tc>
      </w:tr>
      <w:tr w:rsidR="00D1203F" w:rsidRPr="000A20CD" w14:paraId="2C82A582" w14:textId="77777777" w:rsidTr="00010196">
        <w:trPr>
          <w:trHeight w:val="227"/>
          <w:jc w:val="center"/>
        </w:trPr>
        <w:tc>
          <w:tcPr>
            <w:tcW w:w="3566" w:type="dxa"/>
            <w:tcBorders>
              <w:top w:val="single" w:sz="4" w:space="0" w:color="auto"/>
              <w:left w:val="single" w:sz="4" w:space="0" w:color="auto"/>
              <w:bottom w:val="single" w:sz="4" w:space="0" w:color="auto"/>
              <w:right w:val="single" w:sz="4" w:space="0" w:color="auto"/>
            </w:tcBorders>
            <w:noWrap/>
            <w:vAlign w:val="bottom"/>
          </w:tcPr>
          <w:p w14:paraId="78F4563A" w14:textId="77777777" w:rsidR="00D1203F" w:rsidRPr="000A20CD" w:rsidRDefault="00D1203F" w:rsidP="00010196">
            <w:pPr>
              <w:rPr>
                <w:b/>
                <w:bCs/>
                <w:sz w:val="20"/>
                <w:szCs w:val="20"/>
              </w:rPr>
            </w:pPr>
            <w:r w:rsidRPr="000A20CD">
              <w:rPr>
                <w:b/>
                <w:bCs/>
                <w:sz w:val="20"/>
                <w:szCs w:val="20"/>
              </w:rPr>
              <w:t>Total drivers</w:t>
            </w:r>
          </w:p>
        </w:tc>
        <w:tc>
          <w:tcPr>
            <w:tcW w:w="1560" w:type="dxa"/>
            <w:tcBorders>
              <w:top w:val="single" w:sz="4" w:space="0" w:color="auto"/>
              <w:left w:val="single" w:sz="4" w:space="0" w:color="auto"/>
              <w:bottom w:val="single" w:sz="4" w:space="0" w:color="auto"/>
              <w:right w:val="single" w:sz="4" w:space="0" w:color="auto"/>
            </w:tcBorders>
            <w:noWrap/>
            <w:vAlign w:val="bottom"/>
          </w:tcPr>
          <w:p w14:paraId="509CF09F" w14:textId="77777777" w:rsidR="00D1203F" w:rsidRPr="000A20CD" w:rsidRDefault="00D1203F" w:rsidP="00010196">
            <w:pPr>
              <w:jc w:val="both"/>
              <w:rPr>
                <w:b/>
                <w:bCs/>
                <w:sz w:val="20"/>
                <w:szCs w:val="20"/>
              </w:rPr>
            </w:pPr>
            <w:r w:rsidRPr="000A20CD">
              <w:rPr>
                <w:b/>
                <w:bCs/>
                <w:sz w:val="20"/>
                <w:szCs w:val="20"/>
              </w:rPr>
              <w:t>2100</w:t>
            </w:r>
          </w:p>
        </w:tc>
        <w:tc>
          <w:tcPr>
            <w:tcW w:w="1749" w:type="dxa"/>
            <w:tcBorders>
              <w:top w:val="single" w:sz="4" w:space="0" w:color="auto"/>
              <w:left w:val="single" w:sz="4" w:space="0" w:color="auto"/>
              <w:bottom w:val="single" w:sz="4" w:space="0" w:color="auto"/>
              <w:right w:val="single" w:sz="4" w:space="0" w:color="auto"/>
            </w:tcBorders>
            <w:vAlign w:val="bottom"/>
          </w:tcPr>
          <w:p w14:paraId="2FC7DFDA" w14:textId="77777777" w:rsidR="00D1203F" w:rsidRPr="000A20CD" w:rsidRDefault="00D1203F" w:rsidP="00010196">
            <w:pPr>
              <w:jc w:val="both"/>
              <w:rPr>
                <w:b/>
                <w:bCs/>
                <w:sz w:val="20"/>
                <w:szCs w:val="20"/>
              </w:rPr>
            </w:pPr>
            <w:r w:rsidRPr="000A20CD">
              <w:rPr>
                <w:b/>
                <w:bCs/>
                <w:sz w:val="20"/>
                <w:szCs w:val="20"/>
              </w:rPr>
              <w:t>1300</w:t>
            </w:r>
          </w:p>
        </w:tc>
        <w:tc>
          <w:tcPr>
            <w:tcW w:w="1494" w:type="dxa"/>
            <w:tcBorders>
              <w:top w:val="single" w:sz="4" w:space="0" w:color="auto"/>
              <w:left w:val="single" w:sz="4" w:space="0" w:color="auto"/>
              <w:bottom w:val="single" w:sz="4" w:space="0" w:color="auto"/>
              <w:right w:val="single" w:sz="4" w:space="0" w:color="auto"/>
            </w:tcBorders>
          </w:tcPr>
          <w:p w14:paraId="21E36ABD" w14:textId="77777777" w:rsidR="00D1203F" w:rsidRPr="000A20CD" w:rsidRDefault="00D1203F" w:rsidP="00010196">
            <w:pPr>
              <w:rPr>
                <w:b/>
                <w:bCs/>
                <w:sz w:val="20"/>
                <w:szCs w:val="20"/>
              </w:rPr>
            </w:pPr>
            <w:r w:rsidRPr="000A20CD">
              <w:rPr>
                <w:b/>
                <w:bCs/>
                <w:sz w:val="20"/>
                <w:szCs w:val="20"/>
              </w:rPr>
              <w:t>3400</w:t>
            </w:r>
          </w:p>
        </w:tc>
      </w:tr>
    </w:tbl>
    <w:p w14:paraId="2B1445B1" w14:textId="77777777" w:rsidR="00D1203F" w:rsidRPr="000A20CD" w:rsidRDefault="00D1203F" w:rsidP="00D1203F">
      <w:pPr>
        <w:rPr>
          <w:sz w:val="22"/>
          <w:szCs w:val="22"/>
        </w:rPr>
      </w:pPr>
    </w:p>
    <w:p w14:paraId="43C26C7F" w14:textId="77777777" w:rsidR="00D1203F" w:rsidRPr="000A20CD" w:rsidRDefault="00D1203F" w:rsidP="00D1203F">
      <w:pPr>
        <w:rPr>
          <w:sz w:val="22"/>
          <w:szCs w:val="22"/>
        </w:rPr>
      </w:pPr>
    </w:p>
    <w:p w14:paraId="14C90BC5" w14:textId="3A8B613D" w:rsidR="00D1203F" w:rsidRPr="000A20CD" w:rsidRDefault="00D1203F" w:rsidP="00D1203F">
      <w:pPr>
        <w:rPr>
          <w:sz w:val="22"/>
          <w:szCs w:val="22"/>
        </w:rPr>
      </w:pPr>
      <w:r w:rsidRPr="000A20CD">
        <w:rPr>
          <w:sz w:val="22"/>
          <w:szCs w:val="22"/>
        </w:rPr>
        <w:t>In the calculations below, the values of the ORs are calculated directly from the information in Table B1, while the calculation of the values for the 95% CIs has required the use of statistical software.</w:t>
      </w:r>
    </w:p>
    <w:p w14:paraId="7FD550EA" w14:textId="77777777" w:rsidR="00D1203F" w:rsidRPr="000A20CD" w:rsidRDefault="00D1203F" w:rsidP="00D1203F">
      <w:pPr>
        <w:rPr>
          <w:sz w:val="22"/>
          <w:szCs w:val="22"/>
        </w:rPr>
      </w:pPr>
    </w:p>
    <w:p w14:paraId="358E24BC" w14:textId="669CABC3" w:rsidR="00D1203F" w:rsidRPr="000A20CD" w:rsidRDefault="00D1203F" w:rsidP="00D1203F">
      <w:pPr>
        <w:rPr>
          <w:sz w:val="22"/>
          <w:szCs w:val="22"/>
        </w:rPr>
      </w:pPr>
      <w:r w:rsidRPr="000A20CD">
        <w:rPr>
          <w:sz w:val="22"/>
          <w:szCs w:val="22"/>
        </w:rPr>
        <w:t xml:space="preserve">At the outset, two features of the circumstances described by Table B1 should be explained. The first is that the data for cannabis-only in Table B1 is consistent with cannabis alone playing </w:t>
      </w:r>
      <w:r w:rsidRPr="000A20CD">
        <w:rPr>
          <w:i/>
          <w:iCs/>
          <w:sz w:val="22"/>
          <w:szCs w:val="22"/>
        </w:rPr>
        <w:t>no</w:t>
      </w:r>
      <w:r w:rsidRPr="000A20CD">
        <w:rPr>
          <w:sz w:val="22"/>
          <w:szCs w:val="22"/>
        </w:rPr>
        <w:t xml:space="preserve"> direct causal role in crash culpability.</w:t>
      </w:r>
    </w:p>
    <w:p w14:paraId="2924005D" w14:textId="77777777" w:rsidR="00D1203F" w:rsidRPr="000A20CD" w:rsidRDefault="00D1203F" w:rsidP="00D1203F">
      <w:pPr>
        <w:rPr>
          <w:sz w:val="22"/>
          <w:szCs w:val="22"/>
        </w:rPr>
      </w:pPr>
    </w:p>
    <w:p w14:paraId="652EAEDF" w14:textId="77777777" w:rsidR="00D1203F" w:rsidRPr="000A20CD" w:rsidRDefault="00D1203F" w:rsidP="00D1203F">
      <w:pPr>
        <w:rPr>
          <w:sz w:val="22"/>
          <w:szCs w:val="22"/>
        </w:rPr>
      </w:pPr>
      <w:r w:rsidRPr="000A20CD">
        <w:rPr>
          <w:sz w:val="22"/>
          <w:szCs w:val="22"/>
        </w:rPr>
        <w:t>Cannabis-crash OR = (r/x)/ (s/y) = (100/900)/ (100/900) = 1.00 (0.7-1.3)</w:t>
      </w:r>
    </w:p>
    <w:p w14:paraId="4AF79EF7" w14:textId="77777777" w:rsidR="00D1203F" w:rsidRPr="000A20CD" w:rsidRDefault="00D1203F" w:rsidP="00D1203F">
      <w:pPr>
        <w:rPr>
          <w:sz w:val="22"/>
          <w:szCs w:val="22"/>
        </w:rPr>
      </w:pPr>
    </w:p>
    <w:p w14:paraId="189A5089" w14:textId="126DFB2F" w:rsidR="00D1203F" w:rsidRPr="000A20CD" w:rsidRDefault="00D1203F" w:rsidP="00D1203F">
      <w:pPr>
        <w:rPr>
          <w:sz w:val="22"/>
          <w:szCs w:val="22"/>
        </w:rPr>
      </w:pPr>
      <w:r w:rsidRPr="000A20CD">
        <w:rPr>
          <w:sz w:val="22"/>
          <w:szCs w:val="22"/>
        </w:rPr>
        <w:t xml:space="preserve">The second is that the data for alcohol-only in Table B1 is consistent with alcohol alone playing a strong direct role in crash culpability. The OR for BAC-only is: </w:t>
      </w:r>
    </w:p>
    <w:p w14:paraId="73105356" w14:textId="77777777" w:rsidR="00D1203F" w:rsidRPr="000A20CD" w:rsidRDefault="00D1203F" w:rsidP="00D1203F">
      <w:pPr>
        <w:rPr>
          <w:sz w:val="22"/>
          <w:szCs w:val="22"/>
        </w:rPr>
      </w:pPr>
    </w:p>
    <w:p w14:paraId="5459F397" w14:textId="77777777" w:rsidR="00D1203F" w:rsidRPr="000A20CD" w:rsidRDefault="00D1203F" w:rsidP="00D1203F">
      <w:pPr>
        <w:rPr>
          <w:sz w:val="22"/>
          <w:szCs w:val="22"/>
        </w:rPr>
      </w:pPr>
      <w:r w:rsidRPr="000A20CD">
        <w:rPr>
          <w:sz w:val="22"/>
          <w:szCs w:val="22"/>
        </w:rPr>
        <w:t>Alcohol-crash OR = (p/x)/ (q/y) = (800/900)/ (200/900) = 4.00 (3.3-4.8)</w:t>
      </w:r>
    </w:p>
    <w:p w14:paraId="19E2D0AF" w14:textId="77777777" w:rsidR="00D1203F" w:rsidRPr="000A20CD" w:rsidRDefault="00D1203F" w:rsidP="00D1203F">
      <w:pPr>
        <w:rPr>
          <w:sz w:val="22"/>
          <w:szCs w:val="22"/>
        </w:rPr>
      </w:pPr>
    </w:p>
    <w:p w14:paraId="2D6C8179" w14:textId="77777777" w:rsidR="00D1203F" w:rsidRPr="000A20CD" w:rsidRDefault="00D1203F" w:rsidP="00D1203F">
      <w:pPr>
        <w:rPr>
          <w:sz w:val="22"/>
          <w:szCs w:val="22"/>
        </w:rPr>
      </w:pPr>
      <w:r w:rsidRPr="000A20CD">
        <w:rPr>
          <w:sz w:val="22"/>
          <w:szCs w:val="22"/>
        </w:rPr>
        <w:t xml:space="preserve">Perhaps the most obvious way of investigating a possible exacerbation effect is to compare an OR for the combined use of cannabis and alcohol (without any other drugs) with an OR for alcohol alone (as above). Finding a combined OR that was significantly greater than the OR for alcohol alone would be good </w:t>
      </w:r>
      <w:r w:rsidRPr="000A20CD">
        <w:rPr>
          <w:i/>
          <w:iCs/>
          <w:sz w:val="22"/>
          <w:szCs w:val="22"/>
        </w:rPr>
        <w:t>prima facie</w:t>
      </w:r>
      <w:r w:rsidRPr="000A20CD">
        <w:rPr>
          <w:sz w:val="22"/>
          <w:szCs w:val="22"/>
        </w:rPr>
        <w:t xml:space="preserve"> evidence that cannabis had exacerbated the effect of alcohol. </w:t>
      </w:r>
    </w:p>
    <w:p w14:paraId="36AFC5C4" w14:textId="77777777" w:rsidR="00D1203F" w:rsidRPr="000A20CD" w:rsidRDefault="00D1203F" w:rsidP="00D1203F">
      <w:pPr>
        <w:rPr>
          <w:sz w:val="22"/>
          <w:szCs w:val="22"/>
        </w:rPr>
      </w:pPr>
    </w:p>
    <w:p w14:paraId="1042BCA2" w14:textId="77777777" w:rsidR="00D1203F" w:rsidRPr="000A20CD" w:rsidRDefault="00D1203F" w:rsidP="00D1203F">
      <w:pPr>
        <w:rPr>
          <w:sz w:val="22"/>
          <w:szCs w:val="22"/>
        </w:rPr>
      </w:pPr>
      <w:r w:rsidRPr="000A20CD">
        <w:rPr>
          <w:sz w:val="22"/>
          <w:szCs w:val="22"/>
        </w:rPr>
        <w:t>Combined-crash OR = (a/ x)/ (b/y) = (120/900)/ (10/900) = 12.00 (6.3-23.0)</w:t>
      </w:r>
    </w:p>
    <w:p w14:paraId="6B4B50D1" w14:textId="77777777" w:rsidR="00D1203F" w:rsidRPr="000A20CD" w:rsidRDefault="00D1203F" w:rsidP="00D1203F">
      <w:pPr>
        <w:rPr>
          <w:sz w:val="22"/>
          <w:szCs w:val="22"/>
        </w:rPr>
      </w:pPr>
    </w:p>
    <w:p w14:paraId="43684415" w14:textId="77777777" w:rsidR="00D1203F" w:rsidRPr="000A20CD" w:rsidRDefault="00D1203F" w:rsidP="00D1203F">
      <w:pPr>
        <w:rPr>
          <w:sz w:val="22"/>
          <w:szCs w:val="22"/>
        </w:rPr>
      </w:pPr>
      <w:r w:rsidRPr="000A20CD">
        <w:rPr>
          <w:sz w:val="22"/>
          <w:szCs w:val="22"/>
        </w:rPr>
        <w:t xml:space="preserve">It can be seen that the OR of 12.00 (6.3-23.0) for the combined use of cannabis and alcohol (without any other drugs) is three times as great at the OR of 4.00 (3.3-4.8) for the use of alcohol alone. It can also be seen that the two 95% CIs do not overlap, indicating that the difference is statistically significant. That is good </w:t>
      </w:r>
      <w:r w:rsidRPr="000A20CD">
        <w:rPr>
          <w:i/>
          <w:iCs/>
          <w:sz w:val="22"/>
          <w:szCs w:val="22"/>
        </w:rPr>
        <w:t>prima facie</w:t>
      </w:r>
      <w:r w:rsidRPr="000A20CD">
        <w:rPr>
          <w:sz w:val="22"/>
          <w:szCs w:val="22"/>
        </w:rPr>
        <w:t xml:space="preserve"> evidence that the use of cannabis has exacerbated the effect of alcohol.</w:t>
      </w:r>
    </w:p>
    <w:p w14:paraId="1208B1AC" w14:textId="77777777" w:rsidR="00D1203F" w:rsidRPr="000A20CD" w:rsidRDefault="00D1203F" w:rsidP="00D1203F">
      <w:pPr>
        <w:rPr>
          <w:sz w:val="22"/>
          <w:szCs w:val="22"/>
        </w:rPr>
      </w:pPr>
    </w:p>
    <w:p w14:paraId="7294D75E" w14:textId="77777777" w:rsidR="00D1203F" w:rsidRPr="000A20CD" w:rsidRDefault="00D1203F" w:rsidP="00D1203F">
      <w:pPr>
        <w:rPr>
          <w:sz w:val="22"/>
          <w:szCs w:val="22"/>
        </w:rPr>
      </w:pPr>
      <w:r w:rsidRPr="000A20CD">
        <w:rPr>
          <w:sz w:val="22"/>
          <w:szCs w:val="22"/>
        </w:rPr>
        <w:t xml:space="preserve">However, the two steps as described above can be reduced to one. The single-step procedure involves the direct comparison of the odds for the culpable drivers of having THC&amp;BAC-only vs. BAC-only (a/p) with comparable odds for the not-culpable drivers (b/q). If the single OR is significantly greater than 1.00, it might be concluded that cannabis has exacerbated the effect of alcohol on the risk of culpability. We describe the resulting OR as an ‘exacerbation OR’. </w:t>
      </w:r>
    </w:p>
    <w:p w14:paraId="531720B7" w14:textId="77777777" w:rsidR="00D1203F" w:rsidRPr="000A20CD" w:rsidRDefault="00D1203F" w:rsidP="00D1203F">
      <w:pPr>
        <w:rPr>
          <w:sz w:val="22"/>
          <w:szCs w:val="22"/>
        </w:rPr>
      </w:pPr>
    </w:p>
    <w:p w14:paraId="394EF827" w14:textId="77777777" w:rsidR="00D1203F" w:rsidRPr="000A20CD" w:rsidRDefault="00D1203F" w:rsidP="00D1203F">
      <w:pPr>
        <w:rPr>
          <w:sz w:val="22"/>
          <w:szCs w:val="22"/>
        </w:rPr>
      </w:pPr>
      <w:r w:rsidRPr="000A20CD">
        <w:rPr>
          <w:sz w:val="22"/>
          <w:szCs w:val="22"/>
        </w:rPr>
        <w:t>Exacerbation OR = (a/p)/ (b/q) = (120/800)/ (10/200) = 3.00 (1.6-5.8)</w:t>
      </w:r>
    </w:p>
    <w:p w14:paraId="2592CAAF" w14:textId="77777777" w:rsidR="00D1203F" w:rsidRPr="000A20CD" w:rsidRDefault="00D1203F" w:rsidP="00D1203F">
      <w:pPr>
        <w:rPr>
          <w:sz w:val="22"/>
          <w:szCs w:val="22"/>
        </w:rPr>
      </w:pPr>
    </w:p>
    <w:p w14:paraId="0B765F3D" w14:textId="77777777" w:rsidR="00D1203F" w:rsidRPr="000A20CD" w:rsidRDefault="00D1203F" w:rsidP="00D1203F">
      <w:pPr>
        <w:rPr>
          <w:sz w:val="22"/>
          <w:szCs w:val="22"/>
        </w:rPr>
      </w:pPr>
      <w:r w:rsidRPr="000A20CD">
        <w:rPr>
          <w:sz w:val="22"/>
          <w:szCs w:val="22"/>
        </w:rPr>
        <w:t xml:space="preserve">From the single-step procedure it can be observed that the odds of the joint use of cannabis and alcohol without any other drugs being related to crash culpability are three times greater than the odds of alcohol alone being related to crash culpability. It can also be observed that the 95% CI does not include the value 1.0, which indicates that the difference is statistically significant. Again, that is good </w:t>
      </w:r>
      <w:r w:rsidRPr="000A20CD">
        <w:rPr>
          <w:i/>
          <w:iCs/>
          <w:sz w:val="22"/>
          <w:szCs w:val="22"/>
        </w:rPr>
        <w:t>prima facie</w:t>
      </w:r>
      <w:r w:rsidRPr="000A20CD">
        <w:rPr>
          <w:sz w:val="22"/>
          <w:szCs w:val="22"/>
        </w:rPr>
        <w:t xml:space="preserve"> evidence that the use of cannabis has exacerbated the effect of alcohol.</w:t>
      </w:r>
    </w:p>
    <w:p w14:paraId="57305B76" w14:textId="77777777" w:rsidR="00D1203F" w:rsidRPr="000A20CD" w:rsidRDefault="00D1203F" w:rsidP="00D1203F">
      <w:pPr>
        <w:rPr>
          <w:sz w:val="22"/>
          <w:szCs w:val="22"/>
        </w:rPr>
      </w:pPr>
    </w:p>
    <w:p w14:paraId="75318F76" w14:textId="77777777" w:rsidR="00D1203F" w:rsidRPr="000A20CD" w:rsidRDefault="00D1203F" w:rsidP="00D1203F">
      <w:pPr>
        <w:rPr>
          <w:sz w:val="22"/>
          <w:szCs w:val="22"/>
        </w:rPr>
      </w:pPr>
      <w:r w:rsidRPr="000A20CD">
        <w:rPr>
          <w:sz w:val="22"/>
          <w:szCs w:val="22"/>
        </w:rPr>
        <w:t>It is worth noting that there is a simple mathematical relationship between the exacerbation OR, the combined-crash OR and the alcohol-crash OR:</w:t>
      </w:r>
    </w:p>
    <w:p w14:paraId="09599AA8" w14:textId="77777777" w:rsidR="00D1203F" w:rsidRPr="000A20CD" w:rsidRDefault="00D1203F" w:rsidP="00D1203F">
      <w:pPr>
        <w:rPr>
          <w:sz w:val="22"/>
          <w:szCs w:val="22"/>
        </w:rPr>
      </w:pPr>
    </w:p>
    <w:p w14:paraId="4D8ECB03" w14:textId="77777777" w:rsidR="00D1203F" w:rsidRPr="000A20CD" w:rsidRDefault="00D1203F" w:rsidP="00D1203F">
      <w:pPr>
        <w:rPr>
          <w:sz w:val="22"/>
          <w:szCs w:val="22"/>
        </w:rPr>
      </w:pPr>
      <w:r w:rsidRPr="000A20CD">
        <w:rPr>
          <w:sz w:val="22"/>
          <w:szCs w:val="22"/>
        </w:rPr>
        <w:t>Exacerbation OR = Combined-crash OR / Alcohol-crash OR = 12.00/4.00 = 3.00 (QED)</w:t>
      </w:r>
    </w:p>
    <w:p w14:paraId="7A0F23D4" w14:textId="77777777" w:rsidR="00D1203F" w:rsidRPr="000A20CD" w:rsidRDefault="00D1203F" w:rsidP="00D1203F">
      <w:pPr>
        <w:rPr>
          <w:sz w:val="22"/>
          <w:szCs w:val="22"/>
        </w:rPr>
      </w:pPr>
    </w:p>
    <w:p w14:paraId="31DE71E1" w14:textId="2B6B2D42" w:rsidR="00D1203F" w:rsidRPr="000A20CD" w:rsidRDefault="00D1203F" w:rsidP="00D1203F">
      <w:pPr>
        <w:rPr>
          <w:sz w:val="22"/>
          <w:szCs w:val="22"/>
        </w:rPr>
      </w:pPr>
      <w:r w:rsidRPr="000A20CD">
        <w:rPr>
          <w:sz w:val="22"/>
          <w:szCs w:val="22"/>
        </w:rPr>
        <w:t>It might be concluded that these analyses of the data in Table B1 have provided unequivocal evidence of an exacerbation effect. However, that conclusion could be premature, because the effects of possible confounders have not been taken into account. However, for most of the ORs reported in this review (including for the cannabis-crash ORs in Table 1), the possible distorting effect of confounders has been taken into account by embedding the simple calculations in complex multiple logistic regression (MLR) analyses where identified confounders are compensated for statistically.</w:t>
      </w:r>
    </w:p>
    <w:p w14:paraId="49B414DE" w14:textId="1C917077" w:rsidR="003B7DBC" w:rsidRPr="000A20CD" w:rsidRDefault="003B7DBC" w:rsidP="00D1203F">
      <w:pPr>
        <w:rPr>
          <w:sz w:val="22"/>
          <w:szCs w:val="22"/>
        </w:rPr>
      </w:pPr>
    </w:p>
    <w:p w14:paraId="7F34326E" w14:textId="75CDC8A6" w:rsidR="003F4DDE" w:rsidRPr="000A20CD" w:rsidRDefault="003F4DDE">
      <w:pPr>
        <w:rPr>
          <w:sz w:val="22"/>
          <w:szCs w:val="22"/>
          <w:lang w:val="en-AU"/>
        </w:rPr>
      </w:pPr>
      <w:r w:rsidRPr="000A20CD">
        <w:rPr>
          <w:sz w:val="22"/>
          <w:szCs w:val="22"/>
          <w:lang w:val="en-AU"/>
        </w:rPr>
        <w:br w:type="page"/>
      </w:r>
    </w:p>
    <w:p w14:paraId="6F3E5CDB" w14:textId="2C924211" w:rsidR="008719C9" w:rsidRPr="000A20CD" w:rsidRDefault="008719C9" w:rsidP="008719C9">
      <w:pPr>
        <w:rPr>
          <w:b/>
          <w:bCs/>
          <w:sz w:val="22"/>
          <w:szCs w:val="22"/>
          <w:lang w:val="en-AU"/>
        </w:rPr>
      </w:pPr>
      <w:r w:rsidRPr="000A20CD">
        <w:rPr>
          <w:b/>
          <w:bCs/>
          <w:sz w:val="22"/>
          <w:szCs w:val="22"/>
          <w:lang w:val="en-AU"/>
        </w:rPr>
        <w:t xml:space="preserve">APPENDIX </w:t>
      </w:r>
      <w:r w:rsidR="00425DA3" w:rsidRPr="000A20CD">
        <w:rPr>
          <w:b/>
          <w:bCs/>
          <w:sz w:val="22"/>
          <w:szCs w:val="22"/>
          <w:lang w:val="en-AU"/>
        </w:rPr>
        <w:t>C</w:t>
      </w:r>
    </w:p>
    <w:p w14:paraId="467D25EF" w14:textId="5AE727F5" w:rsidR="008719C9" w:rsidRPr="000A20CD" w:rsidRDefault="008719C9" w:rsidP="008719C9">
      <w:pPr>
        <w:rPr>
          <w:b/>
          <w:bCs/>
          <w:sz w:val="22"/>
          <w:szCs w:val="22"/>
          <w:lang w:val="en-AU"/>
        </w:rPr>
      </w:pPr>
    </w:p>
    <w:p w14:paraId="70F4CA27" w14:textId="77777777" w:rsidR="009F27D7" w:rsidRPr="000A20CD" w:rsidRDefault="009F27D7" w:rsidP="008719C9">
      <w:pPr>
        <w:rPr>
          <w:b/>
          <w:bCs/>
          <w:sz w:val="22"/>
          <w:szCs w:val="22"/>
          <w:lang w:val="en-AU"/>
        </w:rPr>
      </w:pPr>
    </w:p>
    <w:p w14:paraId="4A251CB6" w14:textId="4C057559" w:rsidR="008719C9" w:rsidRPr="000A20CD" w:rsidRDefault="008719C9" w:rsidP="008719C9">
      <w:pPr>
        <w:rPr>
          <w:b/>
          <w:bCs/>
          <w:sz w:val="22"/>
          <w:szCs w:val="22"/>
          <w:lang w:val="en-AU"/>
        </w:rPr>
      </w:pPr>
      <w:r w:rsidRPr="000A20CD">
        <w:rPr>
          <w:b/>
          <w:bCs/>
          <w:sz w:val="22"/>
          <w:szCs w:val="22"/>
          <w:lang w:val="en-AU"/>
        </w:rPr>
        <w:t xml:space="preserve">Table </w:t>
      </w:r>
      <w:r w:rsidR="00425DA3" w:rsidRPr="000A20CD">
        <w:rPr>
          <w:b/>
          <w:bCs/>
          <w:sz w:val="22"/>
          <w:szCs w:val="22"/>
          <w:lang w:val="en-AU"/>
        </w:rPr>
        <w:t>C</w:t>
      </w:r>
      <w:r w:rsidRPr="000A20CD">
        <w:rPr>
          <w:b/>
          <w:bCs/>
          <w:sz w:val="22"/>
          <w:szCs w:val="22"/>
          <w:lang w:val="en-AU"/>
        </w:rPr>
        <w:t xml:space="preserve">1. Sources of the </w:t>
      </w:r>
      <w:r w:rsidR="004D04C5" w:rsidRPr="000A20CD">
        <w:rPr>
          <w:b/>
          <w:bCs/>
          <w:sz w:val="22"/>
          <w:szCs w:val="22"/>
          <w:lang w:val="en-AU"/>
        </w:rPr>
        <w:t xml:space="preserve">counts </w:t>
      </w:r>
      <w:r w:rsidRPr="000A20CD">
        <w:rPr>
          <w:b/>
          <w:bCs/>
          <w:sz w:val="22"/>
          <w:szCs w:val="22"/>
          <w:lang w:val="en-AU"/>
        </w:rPr>
        <w:t xml:space="preserve">data included in Table </w:t>
      </w:r>
      <w:r w:rsidR="004D04C5" w:rsidRPr="000A20CD">
        <w:rPr>
          <w:b/>
          <w:bCs/>
          <w:sz w:val="22"/>
          <w:szCs w:val="22"/>
          <w:lang w:val="en-AU"/>
        </w:rPr>
        <w:t>2</w:t>
      </w:r>
    </w:p>
    <w:p w14:paraId="0CCB589F" w14:textId="77777777" w:rsidR="008719C9" w:rsidRPr="000A20CD" w:rsidRDefault="008719C9" w:rsidP="008719C9">
      <w:pPr>
        <w:rPr>
          <w:sz w:val="22"/>
          <w:szCs w:val="22"/>
          <w:lang w:val="en-AU"/>
        </w:rPr>
      </w:pPr>
    </w:p>
    <w:tbl>
      <w:tblPr>
        <w:tblStyle w:val="TableGrid"/>
        <w:tblW w:w="8926" w:type="dxa"/>
        <w:tblLook w:val="04A0" w:firstRow="1" w:lastRow="0" w:firstColumn="1" w:lastColumn="0" w:noHBand="0" w:noVBand="1"/>
      </w:tblPr>
      <w:tblGrid>
        <w:gridCol w:w="2228"/>
        <w:gridCol w:w="6698"/>
      </w:tblGrid>
      <w:tr w:rsidR="000A20CD" w:rsidRPr="000A20CD" w14:paraId="2DCD11CE" w14:textId="77777777" w:rsidTr="008719C9">
        <w:trPr>
          <w:trHeight w:val="265"/>
        </w:trPr>
        <w:tc>
          <w:tcPr>
            <w:tcW w:w="2228" w:type="dxa"/>
            <w:tcBorders>
              <w:top w:val="single" w:sz="4" w:space="0" w:color="auto"/>
              <w:left w:val="single" w:sz="4" w:space="0" w:color="auto"/>
              <w:bottom w:val="single" w:sz="4" w:space="0" w:color="auto"/>
              <w:right w:val="single" w:sz="4" w:space="0" w:color="auto"/>
            </w:tcBorders>
            <w:hideMark/>
          </w:tcPr>
          <w:p w14:paraId="701391D1" w14:textId="77777777" w:rsidR="008719C9" w:rsidRPr="000A20CD" w:rsidRDefault="008719C9" w:rsidP="008719C9">
            <w:pPr>
              <w:rPr>
                <w:sz w:val="20"/>
                <w:szCs w:val="20"/>
                <w:lang w:val="en-AU"/>
              </w:rPr>
            </w:pPr>
            <w:r w:rsidRPr="000A20CD">
              <w:rPr>
                <w:sz w:val="20"/>
                <w:szCs w:val="20"/>
                <w:lang w:val="en-AU"/>
              </w:rPr>
              <w:t>Terhune (1982)</w:t>
            </w:r>
          </w:p>
        </w:tc>
        <w:tc>
          <w:tcPr>
            <w:tcW w:w="6698" w:type="dxa"/>
            <w:tcBorders>
              <w:top w:val="single" w:sz="4" w:space="0" w:color="auto"/>
              <w:left w:val="single" w:sz="4" w:space="0" w:color="auto"/>
              <w:bottom w:val="single" w:sz="4" w:space="0" w:color="auto"/>
              <w:right w:val="single" w:sz="4" w:space="0" w:color="auto"/>
            </w:tcBorders>
            <w:hideMark/>
          </w:tcPr>
          <w:p w14:paraId="39CDF8C3" w14:textId="77777777" w:rsidR="008719C9" w:rsidRPr="000A20CD" w:rsidRDefault="008719C9" w:rsidP="008719C9">
            <w:pPr>
              <w:rPr>
                <w:sz w:val="20"/>
                <w:szCs w:val="20"/>
                <w:lang w:val="en-AU"/>
              </w:rPr>
            </w:pPr>
            <w:r w:rsidRPr="000A20CD">
              <w:rPr>
                <w:sz w:val="20"/>
                <w:szCs w:val="20"/>
                <w:lang w:val="en-AU"/>
              </w:rPr>
              <w:t>Table 15, p. 87; unnumbered table p. 92</w:t>
            </w:r>
          </w:p>
        </w:tc>
      </w:tr>
      <w:tr w:rsidR="000A20CD" w:rsidRPr="000A20CD" w14:paraId="12F8FDAF" w14:textId="77777777" w:rsidTr="008719C9">
        <w:trPr>
          <w:trHeight w:val="276"/>
        </w:trPr>
        <w:tc>
          <w:tcPr>
            <w:tcW w:w="2228" w:type="dxa"/>
            <w:tcBorders>
              <w:top w:val="single" w:sz="4" w:space="0" w:color="auto"/>
              <w:left w:val="single" w:sz="4" w:space="0" w:color="auto"/>
              <w:bottom w:val="single" w:sz="4" w:space="0" w:color="auto"/>
              <w:right w:val="single" w:sz="4" w:space="0" w:color="auto"/>
            </w:tcBorders>
            <w:hideMark/>
          </w:tcPr>
          <w:p w14:paraId="2F30D1D2" w14:textId="77777777" w:rsidR="008719C9" w:rsidRPr="000A20CD" w:rsidRDefault="008719C9" w:rsidP="008719C9">
            <w:pPr>
              <w:rPr>
                <w:sz w:val="20"/>
                <w:szCs w:val="20"/>
                <w:lang w:val="en-AU"/>
              </w:rPr>
            </w:pPr>
            <w:r w:rsidRPr="000A20CD">
              <w:rPr>
                <w:sz w:val="20"/>
                <w:szCs w:val="20"/>
                <w:lang w:val="en-AU"/>
              </w:rPr>
              <w:t>Williams (1985)</w:t>
            </w:r>
          </w:p>
        </w:tc>
        <w:tc>
          <w:tcPr>
            <w:tcW w:w="6698" w:type="dxa"/>
            <w:tcBorders>
              <w:top w:val="single" w:sz="4" w:space="0" w:color="auto"/>
              <w:left w:val="single" w:sz="4" w:space="0" w:color="auto"/>
              <w:bottom w:val="single" w:sz="4" w:space="0" w:color="auto"/>
              <w:right w:val="single" w:sz="4" w:space="0" w:color="auto"/>
            </w:tcBorders>
            <w:hideMark/>
          </w:tcPr>
          <w:p w14:paraId="7EEE31CA" w14:textId="77777777" w:rsidR="008719C9" w:rsidRPr="000A20CD" w:rsidRDefault="008719C9" w:rsidP="008719C9">
            <w:pPr>
              <w:rPr>
                <w:sz w:val="20"/>
                <w:szCs w:val="20"/>
                <w:lang w:val="en-AU"/>
              </w:rPr>
            </w:pPr>
            <w:r w:rsidRPr="000A20CD">
              <w:rPr>
                <w:sz w:val="20"/>
                <w:szCs w:val="20"/>
                <w:lang w:val="en-AU"/>
              </w:rPr>
              <w:t>Table 7, p. 23</w:t>
            </w:r>
          </w:p>
        </w:tc>
      </w:tr>
      <w:tr w:rsidR="000A20CD" w:rsidRPr="000A20CD" w14:paraId="0D06601C" w14:textId="77777777" w:rsidTr="008719C9">
        <w:trPr>
          <w:trHeight w:val="265"/>
        </w:trPr>
        <w:tc>
          <w:tcPr>
            <w:tcW w:w="2228" w:type="dxa"/>
            <w:tcBorders>
              <w:top w:val="single" w:sz="4" w:space="0" w:color="auto"/>
              <w:left w:val="single" w:sz="4" w:space="0" w:color="auto"/>
              <w:bottom w:val="single" w:sz="4" w:space="0" w:color="auto"/>
              <w:right w:val="single" w:sz="4" w:space="0" w:color="auto"/>
            </w:tcBorders>
            <w:hideMark/>
          </w:tcPr>
          <w:p w14:paraId="7528DA3E" w14:textId="77777777" w:rsidR="008719C9" w:rsidRPr="000A20CD" w:rsidRDefault="008719C9" w:rsidP="008719C9">
            <w:pPr>
              <w:rPr>
                <w:sz w:val="20"/>
                <w:szCs w:val="20"/>
                <w:lang w:val="en-AU"/>
              </w:rPr>
            </w:pPr>
            <w:r w:rsidRPr="000A20CD">
              <w:rPr>
                <w:sz w:val="20"/>
                <w:szCs w:val="20"/>
                <w:lang w:val="en-AU"/>
              </w:rPr>
              <w:t>Terhune (1992)</w:t>
            </w:r>
          </w:p>
        </w:tc>
        <w:tc>
          <w:tcPr>
            <w:tcW w:w="6698" w:type="dxa"/>
            <w:tcBorders>
              <w:top w:val="single" w:sz="4" w:space="0" w:color="auto"/>
              <w:left w:val="single" w:sz="4" w:space="0" w:color="auto"/>
              <w:bottom w:val="single" w:sz="4" w:space="0" w:color="auto"/>
              <w:right w:val="single" w:sz="4" w:space="0" w:color="auto"/>
            </w:tcBorders>
            <w:hideMark/>
          </w:tcPr>
          <w:p w14:paraId="3B497B27" w14:textId="77777777" w:rsidR="008719C9" w:rsidRPr="000A20CD" w:rsidRDefault="008719C9" w:rsidP="008719C9">
            <w:pPr>
              <w:rPr>
                <w:sz w:val="20"/>
                <w:szCs w:val="20"/>
                <w:lang w:val="en-AU"/>
              </w:rPr>
            </w:pPr>
            <w:r w:rsidRPr="000A20CD">
              <w:rPr>
                <w:sz w:val="20"/>
                <w:szCs w:val="20"/>
                <w:lang w:val="en-AU"/>
              </w:rPr>
              <w:t>Table 5.14, p. 68</w:t>
            </w:r>
          </w:p>
        </w:tc>
      </w:tr>
      <w:tr w:rsidR="000A20CD" w:rsidRPr="000A20CD" w14:paraId="7828EE34" w14:textId="77777777" w:rsidTr="008719C9">
        <w:trPr>
          <w:trHeight w:val="265"/>
        </w:trPr>
        <w:tc>
          <w:tcPr>
            <w:tcW w:w="2228" w:type="dxa"/>
            <w:tcBorders>
              <w:top w:val="single" w:sz="4" w:space="0" w:color="auto"/>
              <w:left w:val="single" w:sz="4" w:space="0" w:color="auto"/>
              <w:bottom w:val="single" w:sz="4" w:space="0" w:color="auto"/>
              <w:right w:val="single" w:sz="4" w:space="0" w:color="auto"/>
            </w:tcBorders>
            <w:hideMark/>
          </w:tcPr>
          <w:p w14:paraId="48A1DCF3" w14:textId="77777777" w:rsidR="008719C9" w:rsidRPr="000A20CD" w:rsidRDefault="008719C9" w:rsidP="008719C9">
            <w:pPr>
              <w:rPr>
                <w:sz w:val="20"/>
                <w:szCs w:val="20"/>
                <w:lang w:val="en-AU"/>
              </w:rPr>
            </w:pPr>
            <w:r w:rsidRPr="000A20CD">
              <w:rPr>
                <w:sz w:val="20"/>
                <w:szCs w:val="20"/>
                <w:lang w:val="en-AU"/>
              </w:rPr>
              <w:t>Longo (2000)</w:t>
            </w:r>
          </w:p>
        </w:tc>
        <w:tc>
          <w:tcPr>
            <w:tcW w:w="6698" w:type="dxa"/>
            <w:tcBorders>
              <w:top w:val="single" w:sz="4" w:space="0" w:color="auto"/>
              <w:left w:val="single" w:sz="4" w:space="0" w:color="auto"/>
              <w:bottom w:val="single" w:sz="4" w:space="0" w:color="auto"/>
              <w:right w:val="single" w:sz="4" w:space="0" w:color="auto"/>
            </w:tcBorders>
            <w:hideMark/>
          </w:tcPr>
          <w:p w14:paraId="04A63AC3" w14:textId="77777777" w:rsidR="008719C9" w:rsidRPr="000A20CD" w:rsidRDefault="008719C9" w:rsidP="008719C9">
            <w:pPr>
              <w:rPr>
                <w:sz w:val="20"/>
                <w:szCs w:val="20"/>
                <w:lang w:val="en-AU"/>
              </w:rPr>
            </w:pPr>
            <w:r w:rsidRPr="000A20CD">
              <w:rPr>
                <w:sz w:val="20"/>
                <w:szCs w:val="20"/>
                <w:lang w:val="en-AU"/>
              </w:rPr>
              <w:t>Table 1, p. 626</w:t>
            </w:r>
          </w:p>
        </w:tc>
      </w:tr>
      <w:tr w:rsidR="000A20CD" w:rsidRPr="000A20CD" w14:paraId="5957FF75" w14:textId="77777777" w:rsidTr="008719C9">
        <w:trPr>
          <w:trHeight w:val="276"/>
        </w:trPr>
        <w:tc>
          <w:tcPr>
            <w:tcW w:w="2228" w:type="dxa"/>
            <w:tcBorders>
              <w:top w:val="single" w:sz="4" w:space="0" w:color="auto"/>
              <w:left w:val="single" w:sz="4" w:space="0" w:color="auto"/>
              <w:bottom w:val="single" w:sz="4" w:space="0" w:color="auto"/>
              <w:right w:val="single" w:sz="4" w:space="0" w:color="auto"/>
            </w:tcBorders>
            <w:hideMark/>
          </w:tcPr>
          <w:p w14:paraId="554736E7" w14:textId="77777777" w:rsidR="008719C9" w:rsidRPr="000A20CD" w:rsidRDefault="008719C9" w:rsidP="008719C9">
            <w:pPr>
              <w:rPr>
                <w:sz w:val="20"/>
                <w:szCs w:val="20"/>
                <w:lang w:val="en-AU"/>
              </w:rPr>
            </w:pPr>
            <w:r w:rsidRPr="000A20CD">
              <w:rPr>
                <w:sz w:val="20"/>
                <w:szCs w:val="20"/>
                <w:lang w:val="en-AU"/>
              </w:rPr>
              <w:t>Mura (2003)</w:t>
            </w:r>
          </w:p>
        </w:tc>
        <w:tc>
          <w:tcPr>
            <w:tcW w:w="6698" w:type="dxa"/>
            <w:tcBorders>
              <w:top w:val="single" w:sz="4" w:space="0" w:color="auto"/>
              <w:left w:val="single" w:sz="4" w:space="0" w:color="auto"/>
              <w:bottom w:val="single" w:sz="4" w:space="0" w:color="auto"/>
              <w:right w:val="single" w:sz="4" w:space="0" w:color="auto"/>
            </w:tcBorders>
            <w:hideMark/>
          </w:tcPr>
          <w:p w14:paraId="2812190E" w14:textId="7E8985DA" w:rsidR="008719C9" w:rsidRPr="000A20CD" w:rsidRDefault="008719C9" w:rsidP="008719C9">
            <w:pPr>
              <w:rPr>
                <w:sz w:val="20"/>
                <w:szCs w:val="20"/>
                <w:lang w:val="en-AU"/>
              </w:rPr>
            </w:pPr>
            <w:r w:rsidRPr="000A20CD">
              <w:rPr>
                <w:sz w:val="20"/>
                <w:szCs w:val="20"/>
                <w:lang w:val="en-AU"/>
              </w:rPr>
              <w:t>Table 1, p. 81</w:t>
            </w:r>
            <w:r w:rsidR="002E748F" w:rsidRPr="000A20CD">
              <w:rPr>
                <w:sz w:val="20"/>
                <w:szCs w:val="20"/>
                <w:lang w:val="en-AU"/>
              </w:rPr>
              <w:t xml:space="preserve"> (for </w:t>
            </w:r>
            <w:r w:rsidR="00C06EF1" w:rsidRPr="000A20CD">
              <w:rPr>
                <w:sz w:val="20"/>
                <w:szCs w:val="20"/>
                <w:lang w:val="en-AU"/>
              </w:rPr>
              <w:t xml:space="preserve">total </w:t>
            </w:r>
            <w:r w:rsidR="002E748F" w:rsidRPr="000A20CD">
              <w:rPr>
                <w:sz w:val="20"/>
                <w:szCs w:val="20"/>
                <w:lang w:val="en-AU"/>
              </w:rPr>
              <w:t>n &lt; 27 years old)</w:t>
            </w:r>
            <w:r w:rsidRPr="000A20CD">
              <w:rPr>
                <w:sz w:val="20"/>
                <w:szCs w:val="20"/>
                <w:lang w:val="en-AU"/>
              </w:rPr>
              <w:t>; Table 2, p. 82</w:t>
            </w:r>
          </w:p>
        </w:tc>
      </w:tr>
      <w:tr w:rsidR="000A20CD" w:rsidRPr="000A20CD" w14:paraId="0ABE2452" w14:textId="77777777" w:rsidTr="008719C9">
        <w:trPr>
          <w:trHeight w:val="265"/>
        </w:trPr>
        <w:tc>
          <w:tcPr>
            <w:tcW w:w="2228" w:type="dxa"/>
            <w:tcBorders>
              <w:top w:val="single" w:sz="4" w:space="0" w:color="auto"/>
              <w:left w:val="single" w:sz="4" w:space="0" w:color="auto"/>
              <w:bottom w:val="single" w:sz="4" w:space="0" w:color="auto"/>
              <w:right w:val="single" w:sz="4" w:space="0" w:color="auto"/>
            </w:tcBorders>
            <w:hideMark/>
          </w:tcPr>
          <w:p w14:paraId="1FF00F63" w14:textId="77777777" w:rsidR="008719C9" w:rsidRPr="000A20CD" w:rsidRDefault="008719C9" w:rsidP="008719C9">
            <w:pPr>
              <w:rPr>
                <w:sz w:val="20"/>
                <w:szCs w:val="20"/>
                <w:lang w:val="en-AU"/>
              </w:rPr>
            </w:pPr>
            <w:r w:rsidRPr="000A20CD">
              <w:rPr>
                <w:sz w:val="20"/>
                <w:szCs w:val="20"/>
                <w:lang w:val="en-AU"/>
              </w:rPr>
              <w:t>Drummer (2004)</w:t>
            </w:r>
          </w:p>
        </w:tc>
        <w:tc>
          <w:tcPr>
            <w:tcW w:w="6698" w:type="dxa"/>
            <w:tcBorders>
              <w:top w:val="single" w:sz="4" w:space="0" w:color="auto"/>
              <w:left w:val="single" w:sz="4" w:space="0" w:color="auto"/>
              <w:bottom w:val="single" w:sz="4" w:space="0" w:color="auto"/>
              <w:right w:val="single" w:sz="4" w:space="0" w:color="auto"/>
            </w:tcBorders>
          </w:tcPr>
          <w:p w14:paraId="728955A0" w14:textId="77777777" w:rsidR="00A4526D" w:rsidRPr="000A20CD" w:rsidRDefault="00AB47C5" w:rsidP="008719C9">
            <w:pPr>
              <w:rPr>
                <w:sz w:val="20"/>
                <w:szCs w:val="20"/>
                <w:lang w:val="en-AU"/>
              </w:rPr>
            </w:pPr>
            <w:r w:rsidRPr="000A20CD">
              <w:rPr>
                <w:sz w:val="20"/>
                <w:szCs w:val="20"/>
                <w:lang w:val="en-AU"/>
              </w:rPr>
              <w:t>No alcohol or drugs: Table</w:t>
            </w:r>
            <w:r w:rsidR="00A4526D" w:rsidRPr="000A20CD">
              <w:rPr>
                <w:sz w:val="20"/>
                <w:szCs w:val="20"/>
                <w:lang w:val="en-AU"/>
              </w:rPr>
              <w:t xml:space="preserve"> 2, p 243</w:t>
            </w:r>
            <w:r w:rsidRPr="000A20CD">
              <w:rPr>
                <w:sz w:val="20"/>
                <w:szCs w:val="20"/>
                <w:lang w:val="en-AU"/>
              </w:rPr>
              <w:t xml:space="preserve">. </w:t>
            </w:r>
          </w:p>
          <w:p w14:paraId="00766663" w14:textId="59429A96" w:rsidR="00A4526D" w:rsidRPr="000A20CD" w:rsidRDefault="00A4526D" w:rsidP="008719C9">
            <w:pPr>
              <w:rPr>
                <w:sz w:val="20"/>
                <w:szCs w:val="20"/>
                <w:lang w:val="en-AU"/>
              </w:rPr>
            </w:pPr>
            <w:r w:rsidRPr="000A20CD">
              <w:rPr>
                <w:sz w:val="20"/>
                <w:szCs w:val="20"/>
                <w:lang w:val="da-DK"/>
              </w:rPr>
              <w:t xml:space="preserve">Alcohol only: Drummer </w:t>
            </w:r>
            <w:r w:rsidRPr="000A20CD">
              <w:rPr>
                <w:i/>
                <w:iCs/>
                <w:sz w:val="20"/>
                <w:szCs w:val="20"/>
                <w:lang w:val="da-DK"/>
              </w:rPr>
              <w:t>et al.</w:t>
            </w:r>
            <w:r w:rsidRPr="000A20CD">
              <w:rPr>
                <w:sz w:val="20"/>
                <w:szCs w:val="20"/>
                <w:lang w:val="da-DK"/>
              </w:rPr>
              <w:t xml:space="preserve"> </w:t>
            </w:r>
            <w:r w:rsidRPr="000A20CD">
              <w:rPr>
                <w:sz w:val="20"/>
                <w:szCs w:val="20"/>
                <w:lang w:val="en-AU"/>
              </w:rPr>
              <w:t>(2001), Table 1, p.4.</w:t>
            </w:r>
          </w:p>
          <w:p w14:paraId="578B014F" w14:textId="66D28B89" w:rsidR="00A4526D" w:rsidRPr="000A20CD" w:rsidRDefault="00A4526D" w:rsidP="008719C9">
            <w:pPr>
              <w:rPr>
                <w:sz w:val="20"/>
                <w:szCs w:val="20"/>
                <w:lang w:val="en-AU"/>
              </w:rPr>
            </w:pPr>
            <w:r w:rsidRPr="000A20CD">
              <w:rPr>
                <w:sz w:val="20"/>
                <w:szCs w:val="20"/>
                <w:lang w:val="en-AU"/>
              </w:rPr>
              <w:t>Alcohol and THC: Table 4, p. 244</w:t>
            </w:r>
            <w:r w:rsidR="0095138E" w:rsidRPr="000A20CD">
              <w:rPr>
                <w:sz w:val="20"/>
                <w:szCs w:val="20"/>
                <w:lang w:val="en-AU"/>
              </w:rPr>
              <w:t>; and</w:t>
            </w:r>
            <w:r w:rsidRPr="000A20CD">
              <w:rPr>
                <w:sz w:val="20"/>
                <w:szCs w:val="20"/>
                <w:lang w:val="en-AU"/>
              </w:rPr>
              <w:t xml:space="preserve"> Drummer </w:t>
            </w:r>
            <w:r w:rsidRPr="000A20CD">
              <w:rPr>
                <w:i/>
                <w:iCs/>
                <w:sz w:val="20"/>
                <w:szCs w:val="20"/>
                <w:lang w:val="en-AU"/>
              </w:rPr>
              <w:t>et al.</w:t>
            </w:r>
            <w:r w:rsidRPr="000A20CD">
              <w:rPr>
                <w:sz w:val="20"/>
                <w:szCs w:val="20"/>
                <w:lang w:val="en-AU"/>
              </w:rPr>
              <w:t xml:space="preserve"> (2001), Table 1, p.4.</w:t>
            </w:r>
          </w:p>
        </w:tc>
      </w:tr>
      <w:tr w:rsidR="000A20CD" w:rsidRPr="000A20CD" w14:paraId="11D48CF1" w14:textId="77777777" w:rsidTr="008719C9">
        <w:trPr>
          <w:trHeight w:val="265"/>
        </w:trPr>
        <w:tc>
          <w:tcPr>
            <w:tcW w:w="2228" w:type="dxa"/>
            <w:tcBorders>
              <w:top w:val="single" w:sz="4" w:space="0" w:color="auto"/>
              <w:left w:val="single" w:sz="4" w:space="0" w:color="auto"/>
              <w:bottom w:val="single" w:sz="4" w:space="0" w:color="auto"/>
              <w:right w:val="single" w:sz="4" w:space="0" w:color="auto"/>
            </w:tcBorders>
            <w:hideMark/>
          </w:tcPr>
          <w:p w14:paraId="3B84117D" w14:textId="77777777" w:rsidR="008719C9" w:rsidRPr="000A20CD" w:rsidRDefault="008719C9" w:rsidP="008719C9">
            <w:pPr>
              <w:rPr>
                <w:sz w:val="20"/>
                <w:szCs w:val="20"/>
                <w:lang w:val="en-AU"/>
              </w:rPr>
            </w:pPr>
            <w:r w:rsidRPr="000A20CD">
              <w:rPr>
                <w:sz w:val="20"/>
                <w:szCs w:val="20"/>
                <w:lang w:val="en-AU"/>
              </w:rPr>
              <w:t>Gadegbeku (2011)</w:t>
            </w:r>
          </w:p>
        </w:tc>
        <w:tc>
          <w:tcPr>
            <w:tcW w:w="6698" w:type="dxa"/>
            <w:tcBorders>
              <w:top w:val="single" w:sz="4" w:space="0" w:color="auto"/>
              <w:left w:val="single" w:sz="4" w:space="0" w:color="auto"/>
              <w:bottom w:val="single" w:sz="4" w:space="0" w:color="auto"/>
              <w:right w:val="single" w:sz="4" w:space="0" w:color="auto"/>
            </w:tcBorders>
            <w:hideMark/>
          </w:tcPr>
          <w:p w14:paraId="549FCEFC" w14:textId="10382EC4" w:rsidR="008719C9" w:rsidRPr="000A20CD" w:rsidRDefault="002459AC" w:rsidP="008719C9">
            <w:pPr>
              <w:rPr>
                <w:sz w:val="20"/>
                <w:szCs w:val="20"/>
                <w:lang w:val="en-AU"/>
              </w:rPr>
            </w:pPr>
            <w:r w:rsidRPr="000A20CD">
              <w:rPr>
                <w:sz w:val="20"/>
                <w:szCs w:val="20"/>
                <w:lang w:val="en-AU"/>
              </w:rPr>
              <w:t>Personal communication to MW from Bernard Laumon</w:t>
            </w:r>
          </w:p>
        </w:tc>
      </w:tr>
      <w:tr w:rsidR="000A20CD" w:rsidRPr="000A20CD" w14:paraId="5065B195" w14:textId="77777777" w:rsidTr="008719C9">
        <w:trPr>
          <w:trHeight w:val="265"/>
        </w:trPr>
        <w:tc>
          <w:tcPr>
            <w:tcW w:w="2228" w:type="dxa"/>
            <w:tcBorders>
              <w:top w:val="single" w:sz="4" w:space="0" w:color="auto"/>
              <w:left w:val="single" w:sz="4" w:space="0" w:color="auto"/>
              <w:bottom w:val="single" w:sz="4" w:space="0" w:color="auto"/>
              <w:right w:val="single" w:sz="4" w:space="0" w:color="auto"/>
            </w:tcBorders>
            <w:hideMark/>
          </w:tcPr>
          <w:p w14:paraId="63523859" w14:textId="77777777" w:rsidR="008719C9" w:rsidRPr="000A20CD" w:rsidRDefault="008719C9" w:rsidP="008719C9">
            <w:pPr>
              <w:rPr>
                <w:sz w:val="20"/>
                <w:szCs w:val="20"/>
                <w:lang w:val="en-AU"/>
              </w:rPr>
            </w:pPr>
            <w:r w:rsidRPr="000A20CD">
              <w:rPr>
                <w:sz w:val="20"/>
                <w:szCs w:val="20"/>
                <w:lang w:val="en-AU"/>
              </w:rPr>
              <w:t>Poulsen (2014)</w:t>
            </w:r>
          </w:p>
        </w:tc>
        <w:tc>
          <w:tcPr>
            <w:tcW w:w="6698" w:type="dxa"/>
            <w:tcBorders>
              <w:top w:val="single" w:sz="4" w:space="0" w:color="auto"/>
              <w:left w:val="single" w:sz="4" w:space="0" w:color="auto"/>
              <w:bottom w:val="single" w:sz="4" w:space="0" w:color="auto"/>
              <w:right w:val="single" w:sz="4" w:space="0" w:color="auto"/>
            </w:tcBorders>
            <w:hideMark/>
          </w:tcPr>
          <w:p w14:paraId="64489AC0" w14:textId="77777777" w:rsidR="008719C9" w:rsidRPr="000A20CD" w:rsidRDefault="008719C9" w:rsidP="008719C9">
            <w:pPr>
              <w:rPr>
                <w:sz w:val="20"/>
                <w:szCs w:val="20"/>
                <w:lang w:val="en-AU"/>
              </w:rPr>
            </w:pPr>
            <w:r w:rsidRPr="000A20CD">
              <w:rPr>
                <w:sz w:val="20"/>
                <w:szCs w:val="20"/>
                <w:lang w:val="en-AU"/>
              </w:rPr>
              <w:t>Table 1, p. 122</w:t>
            </w:r>
          </w:p>
        </w:tc>
      </w:tr>
      <w:tr w:rsidR="000A20CD" w:rsidRPr="000A20CD" w14:paraId="3D5EDBD6" w14:textId="77777777" w:rsidTr="008719C9">
        <w:trPr>
          <w:trHeight w:val="265"/>
        </w:trPr>
        <w:tc>
          <w:tcPr>
            <w:tcW w:w="2228" w:type="dxa"/>
            <w:tcBorders>
              <w:top w:val="single" w:sz="4" w:space="0" w:color="auto"/>
              <w:left w:val="single" w:sz="4" w:space="0" w:color="auto"/>
              <w:bottom w:val="single" w:sz="4" w:space="0" w:color="auto"/>
              <w:right w:val="single" w:sz="4" w:space="0" w:color="auto"/>
            </w:tcBorders>
            <w:hideMark/>
          </w:tcPr>
          <w:p w14:paraId="557B269C" w14:textId="77777777" w:rsidR="008719C9" w:rsidRPr="000A20CD" w:rsidRDefault="008719C9" w:rsidP="008719C9">
            <w:pPr>
              <w:rPr>
                <w:sz w:val="20"/>
                <w:szCs w:val="20"/>
                <w:lang w:val="en-AU"/>
              </w:rPr>
            </w:pPr>
            <w:r w:rsidRPr="000A20CD">
              <w:rPr>
                <w:bCs/>
                <w:sz w:val="20"/>
                <w:szCs w:val="20"/>
                <w:lang w:val="en-GB"/>
              </w:rPr>
              <w:t>Lacey (2016)</w:t>
            </w:r>
          </w:p>
        </w:tc>
        <w:tc>
          <w:tcPr>
            <w:tcW w:w="6698" w:type="dxa"/>
            <w:tcBorders>
              <w:top w:val="single" w:sz="4" w:space="0" w:color="auto"/>
              <w:left w:val="single" w:sz="4" w:space="0" w:color="auto"/>
              <w:bottom w:val="single" w:sz="4" w:space="0" w:color="auto"/>
              <w:right w:val="single" w:sz="4" w:space="0" w:color="auto"/>
            </w:tcBorders>
            <w:hideMark/>
          </w:tcPr>
          <w:p w14:paraId="70851AB7" w14:textId="007A3512" w:rsidR="008719C9" w:rsidRPr="000A20CD" w:rsidRDefault="008719C9" w:rsidP="008719C9">
            <w:pPr>
              <w:rPr>
                <w:sz w:val="20"/>
                <w:szCs w:val="20"/>
                <w:lang w:val="en-AU"/>
              </w:rPr>
            </w:pPr>
            <w:r w:rsidRPr="000A20CD">
              <w:rPr>
                <w:sz w:val="20"/>
                <w:szCs w:val="20"/>
                <w:lang w:val="en-AU"/>
              </w:rPr>
              <w:t xml:space="preserve">Appendix Q, Table 7: </w:t>
            </w:r>
            <w:r w:rsidR="009F27D7" w:rsidRPr="000A20CD">
              <w:rPr>
                <w:sz w:val="20"/>
                <w:szCs w:val="20"/>
                <w:lang w:val="en-AU"/>
              </w:rPr>
              <w:t>THC r</w:t>
            </w:r>
            <w:r w:rsidRPr="000A20CD">
              <w:rPr>
                <w:sz w:val="20"/>
                <w:szCs w:val="20"/>
                <w:lang w:val="en-AU"/>
              </w:rPr>
              <w:t xml:space="preserve">esults </w:t>
            </w:r>
            <w:r w:rsidR="009F27D7" w:rsidRPr="000A20CD">
              <w:rPr>
                <w:sz w:val="20"/>
                <w:szCs w:val="20"/>
                <w:lang w:val="en-AU"/>
              </w:rPr>
              <w:t>from</w:t>
            </w:r>
            <w:r w:rsidRPr="000A20CD">
              <w:rPr>
                <w:sz w:val="20"/>
                <w:szCs w:val="20"/>
                <w:lang w:val="en-AU"/>
              </w:rPr>
              <w:t xml:space="preserve"> oral fluid; BAC 0.05 and above vs zero; comparison of ‘Marijuana’ and ‘Negative’</w:t>
            </w:r>
          </w:p>
        </w:tc>
      </w:tr>
      <w:tr w:rsidR="000A20CD" w:rsidRPr="000A20CD" w14:paraId="562FCF34" w14:textId="77777777" w:rsidTr="008719C9">
        <w:trPr>
          <w:trHeight w:val="265"/>
        </w:trPr>
        <w:tc>
          <w:tcPr>
            <w:tcW w:w="2228" w:type="dxa"/>
            <w:tcBorders>
              <w:top w:val="single" w:sz="4" w:space="0" w:color="auto"/>
              <w:left w:val="single" w:sz="4" w:space="0" w:color="auto"/>
              <w:bottom w:val="single" w:sz="4" w:space="0" w:color="auto"/>
              <w:right w:val="single" w:sz="4" w:space="0" w:color="auto"/>
            </w:tcBorders>
            <w:hideMark/>
          </w:tcPr>
          <w:p w14:paraId="7B24763B" w14:textId="77777777" w:rsidR="008719C9" w:rsidRPr="000A20CD" w:rsidRDefault="008719C9" w:rsidP="008719C9">
            <w:pPr>
              <w:rPr>
                <w:sz w:val="20"/>
                <w:szCs w:val="20"/>
                <w:lang w:val="en-AU"/>
              </w:rPr>
            </w:pPr>
            <w:r w:rsidRPr="000A20CD">
              <w:rPr>
                <w:sz w:val="20"/>
                <w:szCs w:val="20"/>
                <w:lang w:val="en-AU"/>
              </w:rPr>
              <w:t>Martin (2017)</w:t>
            </w:r>
          </w:p>
        </w:tc>
        <w:tc>
          <w:tcPr>
            <w:tcW w:w="6698" w:type="dxa"/>
            <w:tcBorders>
              <w:top w:val="single" w:sz="4" w:space="0" w:color="auto"/>
              <w:left w:val="single" w:sz="4" w:space="0" w:color="auto"/>
              <w:bottom w:val="single" w:sz="4" w:space="0" w:color="auto"/>
              <w:right w:val="single" w:sz="4" w:space="0" w:color="auto"/>
            </w:tcBorders>
          </w:tcPr>
          <w:p w14:paraId="40D8BF4D" w14:textId="6909894D" w:rsidR="008719C9" w:rsidRPr="000A20CD" w:rsidRDefault="00BA36B4" w:rsidP="008719C9">
            <w:pPr>
              <w:rPr>
                <w:sz w:val="20"/>
                <w:szCs w:val="20"/>
                <w:lang w:val="en-AU"/>
              </w:rPr>
            </w:pPr>
            <w:r w:rsidRPr="000A20CD">
              <w:rPr>
                <w:sz w:val="20"/>
                <w:szCs w:val="20"/>
                <w:lang w:val="en-AU"/>
              </w:rPr>
              <w:t>Table 6, p.11</w:t>
            </w:r>
            <w:r w:rsidR="003D3AE4" w:rsidRPr="000A20CD">
              <w:rPr>
                <w:sz w:val="20"/>
                <w:szCs w:val="20"/>
                <w:lang w:val="en-AU"/>
              </w:rPr>
              <w:t xml:space="preserve"> (from %s of Responsible &amp; Not-Responsible)</w:t>
            </w:r>
          </w:p>
        </w:tc>
      </w:tr>
      <w:tr w:rsidR="000A20CD" w:rsidRPr="000A20CD" w14:paraId="6741B45F" w14:textId="77777777" w:rsidTr="008719C9">
        <w:trPr>
          <w:trHeight w:val="265"/>
        </w:trPr>
        <w:tc>
          <w:tcPr>
            <w:tcW w:w="2228" w:type="dxa"/>
            <w:tcBorders>
              <w:top w:val="single" w:sz="4" w:space="0" w:color="auto"/>
              <w:left w:val="single" w:sz="4" w:space="0" w:color="auto"/>
              <w:bottom w:val="single" w:sz="4" w:space="0" w:color="auto"/>
              <w:right w:val="single" w:sz="4" w:space="0" w:color="auto"/>
            </w:tcBorders>
            <w:hideMark/>
          </w:tcPr>
          <w:p w14:paraId="032CDCC1" w14:textId="77777777" w:rsidR="008719C9" w:rsidRPr="000A20CD" w:rsidRDefault="008719C9" w:rsidP="008719C9">
            <w:pPr>
              <w:rPr>
                <w:sz w:val="20"/>
                <w:szCs w:val="20"/>
                <w:lang w:val="en-AU"/>
              </w:rPr>
            </w:pPr>
            <w:r w:rsidRPr="000A20CD">
              <w:rPr>
                <w:sz w:val="20"/>
                <w:szCs w:val="20"/>
                <w:lang w:val="en-AU"/>
              </w:rPr>
              <w:t>Brubacher (2019)</w:t>
            </w:r>
          </w:p>
        </w:tc>
        <w:tc>
          <w:tcPr>
            <w:tcW w:w="6698" w:type="dxa"/>
            <w:tcBorders>
              <w:top w:val="single" w:sz="4" w:space="0" w:color="auto"/>
              <w:left w:val="single" w:sz="4" w:space="0" w:color="auto"/>
              <w:bottom w:val="single" w:sz="4" w:space="0" w:color="auto"/>
              <w:right w:val="single" w:sz="4" w:space="0" w:color="auto"/>
            </w:tcBorders>
          </w:tcPr>
          <w:p w14:paraId="6B1D89F0" w14:textId="6D3D9C8D" w:rsidR="008719C9" w:rsidRPr="000A20CD" w:rsidRDefault="000830E0" w:rsidP="008719C9">
            <w:pPr>
              <w:rPr>
                <w:sz w:val="20"/>
                <w:szCs w:val="20"/>
                <w:lang w:val="en-AU"/>
              </w:rPr>
            </w:pPr>
            <w:r w:rsidRPr="000A20CD">
              <w:rPr>
                <w:sz w:val="20"/>
                <w:szCs w:val="20"/>
                <w:lang w:val="en-AU"/>
              </w:rPr>
              <w:t>Table 2, p. 1621</w:t>
            </w:r>
          </w:p>
        </w:tc>
      </w:tr>
      <w:tr w:rsidR="008719C9" w:rsidRPr="000A20CD" w14:paraId="77E1EA2E" w14:textId="77777777" w:rsidTr="008719C9">
        <w:trPr>
          <w:trHeight w:val="276"/>
        </w:trPr>
        <w:tc>
          <w:tcPr>
            <w:tcW w:w="2228" w:type="dxa"/>
            <w:tcBorders>
              <w:top w:val="single" w:sz="4" w:space="0" w:color="auto"/>
              <w:left w:val="single" w:sz="4" w:space="0" w:color="auto"/>
              <w:bottom w:val="single" w:sz="4" w:space="0" w:color="auto"/>
              <w:right w:val="single" w:sz="4" w:space="0" w:color="auto"/>
            </w:tcBorders>
            <w:hideMark/>
          </w:tcPr>
          <w:p w14:paraId="5EB19EEA" w14:textId="77777777" w:rsidR="008719C9" w:rsidRPr="000A20CD" w:rsidRDefault="008719C9" w:rsidP="008719C9">
            <w:pPr>
              <w:rPr>
                <w:sz w:val="20"/>
                <w:szCs w:val="20"/>
                <w:lang w:val="en-AU"/>
              </w:rPr>
            </w:pPr>
            <w:r w:rsidRPr="000A20CD">
              <w:rPr>
                <w:sz w:val="20"/>
                <w:szCs w:val="20"/>
                <w:lang w:val="en-AU"/>
              </w:rPr>
              <w:t>Drummer (2020)</w:t>
            </w:r>
          </w:p>
        </w:tc>
        <w:tc>
          <w:tcPr>
            <w:tcW w:w="6698" w:type="dxa"/>
            <w:tcBorders>
              <w:top w:val="single" w:sz="4" w:space="0" w:color="auto"/>
              <w:left w:val="single" w:sz="4" w:space="0" w:color="auto"/>
              <w:bottom w:val="single" w:sz="4" w:space="0" w:color="auto"/>
              <w:right w:val="single" w:sz="4" w:space="0" w:color="auto"/>
            </w:tcBorders>
          </w:tcPr>
          <w:p w14:paraId="5F2A6141" w14:textId="0D8D5D35" w:rsidR="008719C9" w:rsidRPr="000A20CD" w:rsidRDefault="00194819" w:rsidP="008719C9">
            <w:pPr>
              <w:rPr>
                <w:sz w:val="20"/>
                <w:szCs w:val="20"/>
                <w:lang w:val="en-AU"/>
              </w:rPr>
            </w:pPr>
            <w:r w:rsidRPr="000A20CD">
              <w:rPr>
                <w:sz w:val="20"/>
                <w:szCs w:val="20"/>
                <w:lang w:val="en-AU"/>
              </w:rPr>
              <w:t>Table 2, p.5</w:t>
            </w:r>
          </w:p>
        </w:tc>
      </w:tr>
    </w:tbl>
    <w:p w14:paraId="30E1D24F" w14:textId="54B85ABE" w:rsidR="008719C9" w:rsidRPr="000A20CD" w:rsidRDefault="008719C9" w:rsidP="008719C9">
      <w:pPr>
        <w:rPr>
          <w:sz w:val="22"/>
          <w:szCs w:val="22"/>
          <w:lang w:val="en-AU"/>
        </w:rPr>
      </w:pPr>
    </w:p>
    <w:p w14:paraId="3F7E20A9" w14:textId="64B7D3FA" w:rsidR="009F27D7" w:rsidRPr="000A20CD" w:rsidRDefault="009F27D7" w:rsidP="008719C9">
      <w:pPr>
        <w:rPr>
          <w:sz w:val="22"/>
          <w:szCs w:val="22"/>
          <w:lang w:val="en-AU"/>
        </w:rPr>
      </w:pPr>
    </w:p>
    <w:p w14:paraId="0BD4C929" w14:textId="2AF81C42" w:rsidR="009F27D7" w:rsidRPr="000A20CD" w:rsidRDefault="009F27D7" w:rsidP="009F27D7">
      <w:pPr>
        <w:rPr>
          <w:b/>
          <w:bCs/>
          <w:sz w:val="22"/>
          <w:szCs w:val="22"/>
          <w:lang w:val="en-AU"/>
        </w:rPr>
      </w:pPr>
    </w:p>
    <w:p w14:paraId="0B60DAAF" w14:textId="1DB222B9" w:rsidR="00B8743B" w:rsidRPr="000A20CD" w:rsidRDefault="00B8743B" w:rsidP="009F27D7">
      <w:pPr>
        <w:rPr>
          <w:b/>
          <w:bCs/>
          <w:sz w:val="22"/>
          <w:szCs w:val="22"/>
          <w:lang w:val="en-AU"/>
        </w:rPr>
      </w:pPr>
    </w:p>
    <w:p w14:paraId="7FFC969F" w14:textId="77777777" w:rsidR="00B8743B" w:rsidRPr="000A20CD" w:rsidRDefault="00B8743B">
      <w:pPr>
        <w:rPr>
          <w:b/>
          <w:bCs/>
          <w:sz w:val="22"/>
          <w:szCs w:val="22"/>
          <w:lang w:val="en-AU"/>
        </w:rPr>
      </w:pPr>
      <w:r w:rsidRPr="000A20CD">
        <w:rPr>
          <w:b/>
          <w:bCs/>
          <w:sz w:val="22"/>
          <w:szCs w:val="22"/>
          <w:lang w:val="en-AU"/>
        </w:rPr>
        <w:br w:type="page"/>
      </w:r>
    </w:p>
    <w:p w14:paraId="16FFA75C" w14:textId="0AFE2E18" w:rsidR="00734227" w:rsidRPr="000A20CD" w:rsidRDefault="00B8743B" w:rsidP="009F27D7">
      <w:pPr>
        <w:rPr>
          <w:b/>
          <w:bCs/>
          <w:sz w:val="22"/>
          <w:szCs w:val="22"/>
          <w:lang w:val="en-AU"/>
        </w:rPr>
      </w:pPr>
      <w:r w:rsidRPr="000A20CD">
        <w:rPr>
          <w:b/>
          <w:bCs/>
          <w:sz w:val="22"/>
          <w:szCs w:val="22"/>
          <w:lang w:val="en-AU"/>
        </w:rPr>
        <w:t xml:space="preserve">APPENDIX </w:t>
      </w:r>
      <w:r w:rsidR="00425DA3" w:rsidRPr="000A20CD">
        <w:rPr>
          <w:b/>
          <w:bCs/>
          <w:sz w:val="22"/>
          <w:szCs w:val="22"/>
          <w:lang w:val="en-AU"/>
        </w:rPr>
        <w:t>D</w:t>
      </w:r>
    </w:p>
    <w:p w14:paraId="498B691F" w14:textId="33D58D26" w:rsidR="00734227" w:rsidRPr="000A20CD" w:rsidRDefault="00734227" w:rsidP="009F27D7">
      <w:pPr>
        <w:rPr>
          <w:b/>
          <w:bCs/>
          <w:sz w:val="22"/>
          <w:szCs w:val="22"/>
          <w:lang w:val="en-AU"/>
        </w:rPr>
      </w:pPr>
    </w:p>
    <w:p w14:paraId="2294A9BF" w14:textId="77777777" w:rsidR="00805957" w:rsidRPr="000A20CD" w:rsidRDefault="00805957" w:rsidP="009F27D7">
      <w:pPr>
        <w:rPr>
          <w:b/>
          <w:bCs/>
          <w:sz w:val="22"/>
          <w:szCs w:val="22"/>
          <w:lang w:val="en-AU"/>
        </w:rPr>
      </w:pPr>
    </w:p>
    <w:p w14:paraId="5624C5B9" w14:textId="68C430A7" w:rsidR="00425DA3" w:rsidRPr="000A20CD" w:rsidRDefault="00425DA3" w:rsidP="009F27D7">
      <w:pPr>
        <w:rPr>
          <w:b/>
          <w:bCs/>
          <w:sz w:val="22"/>
          <w:szCs w:val="22"/>
          <w:lang w:val="en-AU"/>
        </w:rPr>
      </w:pPr>
      <w:r w:rsidRPr="000A20CD">
        <w:rPr>
          <w:b/>
          <w:bCs/>
          <w:sz w:val="22"/>
          <w:szCs w:val="22"/>
          <w:lang w:val="en-AU"/>
        </w:rPr>
        <w:t>Consideration of the evidence for exacerbation as provided in the twelve individual studies</w:t>
      </w:r>
    </w:p>
    <w:p w14:paraId="683C58CA" w14:textId="182B4BF9" w:rsidR="00B8743B" w:rsidRPr="000A20CD" w:rsidRDefault="00B8743B" w:rsidP="009F27D7">
      <w:pPr>
        <w:rPr>
          <w:b/>
          <w:bCs/>
          <w:sz w:val="22"/>
          <w:szCs w:val="22"/>
          <w:lang w:val="en-AU"/>
        </w:rPr>
      </w:pPr>
    </w:p>
    <w:p w14:paraId="500E4CD3" w14:textId="4FA60B6D" w:rsidR="00B8743B" w:rsidRPr="000A20CD" w:rsidRDefault="00B8743B" w:rsidP="009F27D7">
      <w:pPr>
        <w:rPr>
          <w:b/>
          <w:bCs/>
          <w:sz w:val="22"/>
          <w:szCs w:val="22"/>
          <w:lang w:val="en-AU"/>
        </w:rPr>
      </w:pPr>
    </w:p>
    <w:p w14:paraId="1D159D09" w14:textId="77777777" w:rsidR="00B8743B" w:rsidRPr="000A20CD" w:rsidRDefault="00B8743B" w:rsidP="00B8743B">
      <w:pPr>
        <w:rPr>
          <w:i/>
          <w:iCs/>
          <w:sz w:val="22"/>
          <w:szCs w:val="22"/>
        </w:rPr>
      </w:pPr>
      <w:r w:rsidRPr="000A20CD">
        <w:rPr>
          <w:i/>
          <w:iCs/>
          <w:sz w:val="22"/>
          <w:szCs w:val="22"/>
        </w:rPr>
        <w:t>Consideration of individual studies where the unadjusted exacerbation OR is 1.0 or less</w:t>
      </w:r>
    </w:p>
    <w:p w14:paraId="0200C710" w14:textId="77777777" w:rsidR="00AE0DB3" w:rsidRPr="000A20CD" w:rsidRDefault="00AE0DB3" w:rsidP="00B8743B">
      <w:pPr>
        <w:rPr>
          <w:sz w:val="22"/>
          <w:szCs w:val="22"/>
        </w:rPr>
      </w:pPr>
    </w:p>
    <w:p w14:paraId="445895F0" w14:textId="6AF2E511" w:rsidR="00B8743B" w:rsidRPr="000A20CD" w:rsidRDefault="00B8743B" w:rsidP="00B8743B">
      <w:pPr>
        <w:rPr>
          <w:sz w:val="22"/>
          <w:szCs w:val="22"/>
        </w:rPr>
      </w:pPr>
      <w:r w:rsidRPr="000A20CD">
        <w:rPr>
          <w:sz w:val="22"/>
          <w:szCs w:val="22"/>
        </w:rPr>
        <w:t xml:space="preserve">In five of the twelve included studies (Terhune, 1982; Longo </w:t>
      </w:r>
      <w:r w:rsidRPr="000A20CD">
        <w:rPr>
          <w:i/>
          <w:iCs/>
          <w:sz w:val="22"/>
          <w:szCs w:val="22"/>
        </w:rPr>
        <w:t>et al</w:t>
      </w:r>
      <w:r w:rsidRPr="000A20CD">
        <w:rPr>
          <w:sz w:val="22"/>
          <w:szCs w:val="22"/>
        </w:rPr>
        <w:t xml:space="preserve">., 2000; Poulsen </w:t>
      </w:r>
      <w:r w:rsidRPr="000A20CD">
        <w:rPr>
          <w:i/>
          <w:iCs/>
          <w:sz w:val="22"/>
          <w:szCs w:val="22"/>
        </w:rPr>
        <w:t>et al.</w:t>
      </w:r>
      <w:r w:rsidRPr="000A20CD">
        <w:rPr>
          <w:sz w:val="22"/>
          <w:szCs w:val="22"/>
        </w:rPr>
        <w:t xml:space="preserve">, 2014; Lacey </w:t>
      </w:r>
      <w:r w:rsidRPr="000A20CD">
        <w:rPr>
          <w:i/>
          <w:iCs/>
          <w:sz w:val="22"/>
          <w:szCs w:val="22"/>
        </w:rPr>
        <w:t>et al.,</w:t>
      </w:r>
      <w:r w:rsidRPr="000A20CD">
        <w:rPr>
          <w:sz w:val="22"/>
          <w:szCs w:val="22"/>
        </w:rPr>
        <w:t xml:space="preserve"> 2016; Drummer </w:t>
      </w:r>
      <w:r w:rsidRPr="000A20CD">
        <w:rPr>
          <w:i/>
          <w:iCs/>
          <w:sz w:val="22"/>
          <w:szCs w:val="22"/>
        </w:rPr>
        <w:t>et al</w:t>
      </w:r>
      <w:r w:rsidRPr="000A20CD">
        <w:rPr>
          <w:sz w:val="22"/>
          <w:szCs w:val="22"/>
        </w:rPr>
        <w:t xml:space="preserve">., 2020), there was obviously no </w:t>
      </w:r>
      <w:r w:rsidRPr="000A20CD">
        <w:rPr>
          <w:i/>
          <w:iCs/>
          <w:sz w:val="22"/>
          <w:szCs w:val="22"/>
        </w:rPr>
        <w:t>prima facie</w:t>
      </w:r>
      <w:r w:rsidRPr="000A20CD">
        <w:rPr>
          <w:sz w:val="22"/>
          <w:szCs w:val="22"/>
        </w:rPr>
        <w:t xml:space="preserve"> evidence for an exacerbation effect from the unadjusted analyses reported in Table </w:t>
      </w:r>
      <w:r w:rsidR="00BC718E" w:rsidRPr="000A20CD">
        <w:rPr>
          <w:sz w:val="22"/>
          <w:szCs w:val="22"/>
        </w:rPr>
        <w:t>3</w:t>
      </w:r>
      <w:r w:rsidRPr="000A20CD">
        <w:rPr>
          <w:sz w:val="22"/>
          <w:szCs w:val="22"/>
        </w:rPr>
        <w:t>, because the OR for the combined use of alcohol and cannabis was equal to or less than that for the use of alcohol alone, and the exacerbation OR was therefore equal to or less than 1.0. The reactions of the researchers to those null findings are now considered.</w:t>
      </w:r>
    </w:p>
    <w:p w14:paraId="157CE1EB" w14:textId="77777777" w:rsidR="00B8743B" w:rsidRPr="000A20CD" w:rsidRDefault="00B8743B" w:rsidP="00B8743B">
      <w:pPr>
        <w:rPr>
          <w:sz w:val="22"/>
          <w:szCs w:val="22"/>
        </w:rPr>
      </w:pPr>
    </w:p>
    <w:p w14:paraId="72F3C404" w14:textId="6583CD32" w:rsidR="00B8743B" w:rsidRPr="000A20CD" w:rsidRDefault="00B8743B" w:rsidP="00B8743B">
      <w:pPr>
        <w:rPr>
          <w:sz w:val="22"/>
          <w:szCs w:val="22"/>
        </w:rPr>
      </w:pPr>
      <w:r w:rsidRPr="000A20CD">
        <w:rPr>
          <w:sz w:val="22"/>
          <w:szCs w:val="22"/>
        </w:rPr>
        <w:t xml:space="preserve">In relation to his analyses of his counts data as presented in our Table </w:t>
      </w:r>
      <w:r w:rsidR="00BC718E" w:rsidRPr="000A20CD">
        <w:rPr>
          <w:sz w:val="22"/>
          <w:szCs w:val="22"/>
        </w:rPr>
        <w:t>2</w:t>
      </w:r>
      <w:r w:rsidRPr="000A20CD">
        <w:rPr>
          <w:sz w:val="22"/>
          <w:szCs w:val="22"/>
        </w:rPr>
        <w:t>,</w:t>
      </w:r>
      <w:r w:rsidRPr="000A20CD">
        <w:rPr>
          <w:b/>
          <w:bCs/>
          <w:sz w:val="22"/>
          <w:szCs w:val="22"/>
        </w:rPr>
        <w:t xml:space="preserve"> Terhune</w:t>
      </w:r>
      <w:r w:rsidRPr="000A20CD">
        <w:rPr>
          <w:sz w:val="22"/>
          <w:szCs w:val="22"/>
        </w:rPr>
        <w:t xml:space="preserve"> (1982</w:t>
      </w:r>
      <w:r w:rsidR="005E3795" w:rsidRPr="000A20CD">
        <w:rPr>
          <w:sz w:val="22"/>
          <w:szCs w:val="22"/>
        </w:rPr>
        <w:t xml:space="preserve">: </w:t>
      </w:r>
      <w:r w:rsidRPr="000A20CD">
        <w:rPr>
          <w:sz w:val="22"/>
          <w:szCs w:val="22"/>
        </w:rPr>
        <w:t xml:space="preserve">92) commented: “With such small numbers of cases the results must be considered inconclusive. Though they do </w:t>
      </w:r>
      <w:r w:rsidRPr="000A20CD">
        <w:rPr>
          <w:i/>
          <w:iCs/>
          <w:sz w:val="22"/>
          <w:szCs w:val="22"/>
        </w:rPr>
        <w:t>not</w:t>
      </w:r>
      <w:r w:rsidRPr="000A20CD">
        <w:rPr>
          <w:sz w:val="22"/>
          <w:szCs w:val="22"/>
        </w:rPr>
        <w:t xml:space="preserve"> suggest a synergistic impairment effect when alcohol is combined with marijuana …, a more definite conclusion must await a larger study with necessary controls”. </w:t>
      </w:r>
    </w:p>
    <w:p w14:paraId="0CB3D0E1" w14:textId="77777777" w:rsidR="00B8743B" w:rsidRPr="000A20CD" w:rsidRDefault="00B8743B" w:rsidP="00B8743B">
      <w:pPr>
        <w:rPr>
          <w:sz w:val="22"/>
          <w:szCs w:val="22"/>
        </w:rPr>
      </w:pPr>
    </w:p>
    <w:p w14:paraId="6961124A" w14:textId="6D898E33" w:rsidR="00B8743B" w:rsidRPr="000A20CD" w:rsidRDefault="00B8743B" w:rsidP="00B8743B">
      <w:pPr>
        <w:rPr>
          <w:sz w:val="22"/>
          <w:szCs w:val="22"/>
        </w:rPr>
      </w:pPr>
      <w:r w:rsidRPr="000A20CD">
        <w:rPr>
          <w:sz w:val="22"/>
          <w:szCs w:val="22"/>
        </w:rPr>
        <w:t xml:space="preserve">In relation to their analyses of their counts data as presented in our Table </w:t>
      </w:r>
      <w:r w:rsidR="00BC718E" w:rsidRPr="000A20CD">
        <w:rPr>
          <w:sz w:val="22"/>
          <w:szCs w:val="22"/>
        </w:rPr>
        <w:t>2</w:t>
      </w:r>
      <w:r w:rsidRPr="000A20CD">
        <w:rPr>
          <w:sz w:val="22"/>
          <w:szCs w:val="22"/>
        </w:rPr>
        <w:t>,</w:t>
      </w:r>
      <w:r w:rsidRPr="000A20CD">
        <w:rPr>
          <w:b/>
          <w:bCs/>
          <w:sz w:val="22"/>
          <w:szCs w:val="22"/>
        </w:rPr>
        <w:t xml:space="preserve"> Longo </w:t>
      </w:r>
      <w:r w:rsidRPr="000A20CD">
        <w:rPr>
          <w:b/>
          <w:bCs/>
          <w:i/>
          <w:iCs/>
          <w:sz w:val="22"/>
          <w:szCs w:val="22"/>
        </w:rPr>
        <w:t>et al.</w:t>
      </w:r>
      <w:r w:rsidRPr="000A20CD">
        <w:rPr>
          <w:sz w:val="22"/>
          <w:szCs w:val="22"/>
        </w:rPr>
        <w:t xml:space="preserve"> (2000) concluded:</w:t>
      </w:r>
    </w:p>
    <w:p w14:paraId="4C0796D2" w14:textId="77777777" w:rsidR="00B8743B" w:rsidRPr="000A20CD" w:rsidRDefault="00B8743B" w:rsidP="00B8743B">
      <w:pPr>
        <w:rPr>
          <w:sz w:val="22"/>
          <w:szCs w:val="22"/>
        </w:rPr>
      </w:pPr>
    </w:p>
    <w:p w14:paraId="5A31CC61" w14:textId="77777777" w:rsidR="00B8743B" w:rsidRPr="000A20CD" w:rsidRDefault="00B8743B" w:rsidP="00B8743B">
      <w:pPr>
        <w:ind w:left="567" w:right="850"/>
        <w:rPr>
          <w:sz w:val="22"/>
          <w:szCs w:val="22"/>
          <w:lang w:val="en-AU"/>
        </w:rPr>
      </w:pPr>
      <w:r w:rsidRPr="000A20CD">
        <w:rPr>
          <w:sz w:val="22"/>
          <w:szCs w:val="22"/>
          <w:lang w:val="en-AU"/>
        </w:rPr>
        <w:t xml:space="preserve">There was no significant difference in culpability between the two groups: 90% of drivers who tested positive for only alcohol were culpable compared with 85.7% of drivers who tested positive for alcohol and THC (Chi-squared = 0.004, </w:t>
      </w:r>
      <w:r w:rsidRPr="000A20CD">
        <w:rPr>
          <w:i/>
          <w:iCs/>
          <w:sz w:val="22"/>
          <w:szCs w:val="22"/>
          <w:lang w:val="en-AU"/>
        </w:rPr>
        <w:t>p</w:t>
      </w:r>
      <w:r w:rsidRPr="000A20CD">
        <w:rPr>
          <w:sz w:val="22"/>
          <w:szCs w:val="22"/>
          <w:lang w:val="en-AU"/>
        </w:rPr>
        <w:t xml:space="preserve"> &gt; 0.05). This suggests that the effect of alcohol and THC was due mainly to the effect of alcohol. However, these results should be interpreted with caution as the number of drivers who tested positive for alcohol and THC was small.</w:t>
      </w:r>
    </w:p>
    <w:p w14:paraId="437A9A20" w14:textId="77777777" w:rsidR="00B8743B" w:rsidRPr="000A20CD" w:rsidRDefault="00B8743B" w:rsidP="00B8743B">
      <w:pPr>
        <w:rPr>
          <w:sz w:val="22"/>
          <w:szCs w:val="22"/>
          <w:lang w:val="en-AU"/>
        </w:rPr>
      </w:pPr>
    </w:p>
    <w:p w14:paraId="5177A540" w14:textId="16D5D63F" w:rsidR="00B8743B" w:rsidRPr="000A20CD" w:rsidRDefault="00B8743B" w:rsidP="00B8743B">
      <w:pPr>
        <w:rPr>
          <w:sz w:val="22"/>
          <w:szCs w:val="22"/>
        </w:rPr>
      </w:pPr>
      <w:r w:rsidRPr="000A20CD">
        <w:rPr>
          <w:sz w:val="22"/>
          <w:szCs w:val="22"/>
        </w:rPr>
        <w:t xml:space="preserve">In relation to their analyses, as reproduced in our Table </w:t>
      </w:r>
      <w:r w:rsidR="00BC718E" w:rsidRPr="000A20CD">
        <w:rPr>
          <w:sz w:val="22"/>
          <w:szCs w:val="22"/>
        </w:rPr>
        <w:t>3</w:t>
      </w:r>
      <w:r w:rsidRPr="000A20CD">
        <w:rPr>
          <w:sz w:val="22"/>
          <w:szCs w:val="22"/>
        </w:rPr>
        <w:t xml:space="preserve">, of their counts data, as provided in our Table </w:t>
      </w:r>
      <w:r w:rsidR="00BC718E" w:rsidRPr="000A20CD">
        <w:rPr>
          <w:sz w:val="22"/>
          <w:szCs w:val="22"/>
        </w:rPr>
        <w:t>2</w:t>
      </w:r>
      <w:r w:rsidRPr="000A20CD">
        <w:rPr>
          <w:sz w:val="22"/>
          <w:szCs w:val="22"/>
        </w:rPr>
        <w:t xml:space="preserve">, </w:t>
      </w:r>
      <w:r w:rsidRPr="000A20CD">
        <w:rPr>
          <w:b/>
          <w:bCs/>
          <w:sz w:val="22"/>
          <w:szCs w:val="22"/>
        </w:rPr>
        <w:t xml:space="preserve">Poulsen </w:t>
      </w:r>
      <w:r w:rsidRPr="000A20CD">
        <w:rPr>
          <w:b/>
          <w:bCs/>
          <w:i/>
          <w:iCs/>
          <w:sz w:val="22"/>
          <w:szCs w:val="22"/>
        </w:rPr>
        <w:t>et al</w:t>
      </w:r>
      <w:r w:rsidRPr="000A20CD">
        <w:rPr>
          <w:b/>
          <w:bCs/>
          <w:sz w:val="22"/>
          <w:szCs w:val="22"/>
        </w:rPr>
        <w:t>.</w:t>
      </w:r>
      <w:r w:rsidRPr="000A20CD">
        <w:rPr>
          <w:sz w:val="22"/>
          <w:szCs w:val="22"/>
        </w:rPr>
        <w:t xml:space="preserve"> (2014</w:t>
      </w:r>
      <w:r w:rsidR="005E3795" w:rsidRPr="000A20CD">
        <w:rPr>
          <w:sz w:val="22"/>
          <w:szCs w:val="22"/>
        </w:rPr>
        <w:t xml:space="preserve">: </w:t>
      </w:r>
      <w:r w:rsidRPr="000A20CD">
        <w:rPr>
          <w:sz w:val="22"/>
          <w:szCs w:val="22"/>
        </w:rPr>
        <w:t xml:space="preserve">127) concluded: “This study indicates a </w:t>
      </w:r>
      <w:r w:rsidRPr="000A20CD">
        <w:rPr>
          <w:i/>
          <w:iCs/>
          <w:sz w:val="22"/>
          <w:szCs w:val="22"/>
        </w:rPr>
        <w:t>lower</w:t>
      </w:r>
      <w:r w:rsidRPr="000A20CD">
        <w:rPr>
          <w:sz w:val="22"/>
          <w:szCs w:val="22"/>
        </w:rPr>
        <w:t xml:space="preserve"> impact on crash risk when alcohol and cannabis use is combined, relative to alcohol by itself”. In other words, Poulsen </w:t>
      </w:r>
      <w:r w:rsidRPr="000A20CD">
        <w:rPr>
          <w:i/>
          <w:iCs/>
          <w:sz w:val="22"/>
          <w:szCs w:val="22"/>
        </w:rPr>
        <w:t>et al.</w:t>
      </w:r>
      <w:r w:rsidRPr="000A20CD">
        <w:rPr>
          <w:sz w:val="22"/>
          <w:szCs w:val="22"/>
        </w:rPr>
        <w:t xml:space="preserve"> believe that their study indicates the possibility of an </w:t>
      </w:r>
      <w:r w:rsidRPr="000A20CD">
        <w:rPr>
          <w:i/>
          <w:iCs/>
          <w:sz w:val="22"/>
          <w:szCs w:val="22"/>
        </w:rPr>
        <w:t xml:space="preserve">ameliorating </w:t>
      </w:r>
      <w:r w:rsidRPr="000A20CD">
        <w:rPr>
          <w:sz w:val="22"/>
          <w:szCs w:val="22"/>
        </w:rPr>
        <w:t xml:space="preserve">effect of cannabis on risks from the use of alcohol, rather than an exacerbating effect.   </w:t>
      </w:r>
    </w:p>
    <w:p w14:paraId="760B6A1A" w14:textId="77777777" w:rsidR="00B8743B" w:rsidRPr="000A20CD" w:rsidRDefault="00B8743B" w:rsidP="00B8743B">
      <w:pPr>
        <w:rPr>
          <w:sz w:val="22"/>
          <w:szCs w:val="22"/>
        </w:rPr>
      </w:pPr>
    </w:p>
    <w:p w14:paraId="2EF27031" w14:textId="31BD02D4" w:rsidR="00B8743B" w:rsidRPr="000A20CD" w:rsidRDefault="00B8743B" w:rsidP="00B8743B">
      <w:pPr>
        <w:rPr>
          <w:sz w:val="22"/>
          <w:szCs w:val="22"/>
        </w:rPr>
      </w:pPr>
      <w:r w:rsidRPr="000A20CD">
        <w:rPr>
          <w:b/>
          <w:bCs/>
          <w:sz w:val="22"/>
          <w:szCs w:val="22"/>
        </w:rPr>
        <w:t xml:space="preserve">Lacey </w:t>
      </w:r>
      <w:r w:rsidRPr="000A20CD">
        <w:rPr>
          <w:b/>
          <w:bCs/>
          <w:i/>
          <w:iCs/>
          <w:sz w:val="22"/>
          <w:szCs w:val="22"/>
        </w:rPr>
        <w:t>et al</w:t>
      </w:r>
      <w:r w:rsidRPr="000A20CD">
        <w:rPr>
          <w:b/>
          <w:bCs/>
          <w:sz w:val="22"/>
          <w:szCs w:val="22"/>
        </w:rPr>
        <w:t>.</w:t>
      </w:r>
      <w:r w:rsidRPr="000A20CD">
        <w:rPr>
          <w:sz w:val="22"/>
          <w:szCs w:val="22"/>
        </w:rPr>
        <w:t xml:space="preserve"> (2016) did not analyze their data in the way we did in our Table </w:t>
      </w:r>
      <w:r w:rsidR="00BC718E" w:rsidRPr="000A20CD">
        <w:rPr>
          <w:sz w:val="22"/>
          <w:szCs w:val="22"/>
        </w:rPr>
        <w:t>3</w:t>
      </w:r>
      <w:r w:rsidRPr="000A20CD">
        <w:rPr>
          <w:sz w:val="22"/>
          <w:szCs w:val="22"/>
        </w:rPr>
        <w:t xml:space="preserve">. Instead, they created a number of statistical models of the shape of the dose-response curve relating BAC to crash risk (Figure 7, p. 59). Two of their models were identical, except with respect to the fact that one included only the effect of alcohol, while the other also included the effects of all other drugs (including cannabis). In commenting on the similar shapes of the two modelled curves, Lacey </w:t>
      </w:r>
      <w:r w:rsidRPr="000A20CD">
        <w:rPr>
          <w:i/>
          <w:iCs/>
          <w:sz w:val="22"/>
          <w:szCs w:val="22"/>
        </w:rPr>
        <w:t>et al.</w:t>
      </w:r>
      <w:r w:rsidRPr="000A20CD">
        <w:rPr>
          <w:sz w:val="22"/>
          <w:szCs w:val="22"/>
        </w:rPr>
        <w:t xml:space="preserve"> observed that “Drug presence did not have a large impact on the alcohol crash-risk relationship. That is, there was no significant alcohol-by-drug interaction, which indicates that the presence of a drug, in addition to alcohol, did not increase crash risk”. Compton and Berning (2015) published an NHTSA ‘Research Note’ to summarize the main findings of Lacey </w:t>
      </w:r>
      <w:r w:rsidRPr="000A20CD">
        <w:rPr>
          <w:i/>
          <w:iCs/>
          <w:sz w:val="22"/>
          <w:szCs w:val="22"/>
        </w:rPr>
        <w:t>et al’s</w:t>
      </w:r>
      <w:r w:rsidRPr="000A20CD">
        <w:rPr>
          <w:sz w:val="22"/>
          <w:szCs w:val="22"/>
        </w:rPr>
        <w:t xml:space="preserve"> study, in which they commented: “There was no difference in crash risk for THC-positive drivers who were also positive for alcohol … beyond the risk attributable to alcohol” (p. 5). </w:t>
      </w:r>
    </w:p>
    <w:p w14:paraId="25C6CE4F" w14:textId="77777777" w:rsidR="00B8743B" w:rsidRPr="000A20CD" w:rsidRDefault="00B8743B" w:rsidP="00B8743B">
      <w:pPr>
        <w:rPr>
          <w:sz w:val="22"/>
          <w:szCs w:val="22"/>
        </w:rPr>
      </w:pPr>
    </w:p>
    <w:p w14:paraId="56E5839D" w14:textId="0FC2EB70" w:rsidR="00B8743B" w:rsidRPr="000A20CD" w:rsidRDefault="00B8743B" w:rsidP="00B8743B">
      <w:pPr>
        <w:rPr>
          <w:sz w:val="22"/>
          <w:szCs w:val="22"/>
        </w:rPr>
      </w:pPr>
      <w:r w:rsidRPr="000A20CD">
        <w:rPr>
          <w:b/>
          <w:bCs/>
          <w:sz w:val="22"/>
          <w:szCs w:val="22"/>
        </w:rPr>
        <w:t xml:space="preserve">Drummer </w:t>
      </w:r>
      <w:r w:rsidRPr="000A20CD">
        <w:rPr>
          <w:b/>
          <w:bCs/>
          <w:i/>
          <w:iCs/>
          <w:sz w:val="22"/>
          <w:szCs w:val="22"/>
        </w:rPr>
        <w:t>et al.</w:t>
      </w:r>
      <w:r w:rsidRPr="000A20CD">
        <w:rPr>
          <w:sz w:val="22"/>
          <w:szCs w:val="22"/>
        </w:rPr>
        <w:t xml:space="preserve"> (2020) did not analyze their data in the way we did in our Table </w:t>
      </w:r>
      <w:r w:rsidR="00BC718E" w:rsidRPr="000A20CD">
        <w:rPr>
          <w:sz w:val="22"/>
          <w:szCs w:val="22"/>
        </w:rPr>
        <w:t>3</w:t>
      </w:r>
      <w:r w:rsidRPr="000A20CD">
        <w:rPr>
          <w:sz w:val="22"/>
          <w:szCs w:val="22"/>
        </w:rPr>
        <w:t xml:space="preserve">. However, as reproduced here in Table </w:t>
      </w:r>
      <w:r w:rsidR="00BC718E" w:rsidRPr="000A20CD">
        <w:rPr>
          <w:sz w:val="22"/>
          <w:szCs w:val="22"/>
        </w:rPr>
        <w:t>4</w:t>
      </w:r>
      <w:r w:rsidRPr="000A20CD">
        <w:rPr>
          <w:sz w:val="22"/>
          <w:szCs w:val="22"/>
        </w:rPr>
        <w:t xml:space="preserve">, in their Table 2 they reported an adjusted OR of 16 (9.4-26) for alcohol alone, which was marginally smaller than the adjusted OR of 14 (4.4-46) for the combined effect of alcohol and cannabis. They made no comment on their failure to replicate their earlier purported demonstration of an exacerbation effect (Drummer </w:t>
      </w:r>
      <w:r w:rsidRPr="000A20CD">
        <w:rPr>
          <w:i/>
          <w:iCs/>
          <w:sz w:val="22"/>
          <w:szCs w:val="22"/>
        </w:rPr>
        <w:t>et al</w:t>
      </w:r>
      <w:r w:rsidRPr="000A20CD">
        <w:rPr>
          <w:sz w:val="22"/>
          <w:szCs w:val="22"/>
        </w:rPr>
        <w:t xml:space="preserve">, 2004; see below).  </w:t>
      </w:r>
    </w:p>
    <w:p w14:paraId="3DF712D9" w14:textId="77777777" w:rsidR="00B8743B" w:rsidRPr="000A20CD" w:rsidRDefault="00B8743B" w:rsidP="00B8743B">
      <w:pPr>
        <w:rPr>
          <w:sz w:val="22"/>
          <w:szCs w:val="22"/>
        </w:rPr>
      </w:pPr>
    </w:p>
    <w:p w14:paraId="4A9AEF7D" w14:textId="77777777" w:rsidR="00B8743B" w:rsidRPr="000A20CD" w:rsidRDefault="00B8743B" w:rsidP="00B8743B">
      <w:pPr>
        <w:rPr>
          <w:sz w:val="22"/>
          <w:szCs w:val="22"/>
        </w:rPr>
      </w:pPr>
    </w:p>
    <w:p w14:paraId="34E27463" w14:textId="77777777" w:rsidR="00B8743B" w:rsidRPr="000A20CD" w:rsidRDefault="00B8743B" w:rsidP="00B8743B">
      <w:pPr>
        <w:rPr>
          <w:i/>
          <w:iCs/>
          <w:sz w:val="22"/>
          <w:szCs w:val="22"/>
        </w:rPr>
      </w:pPr>
      <w:r w:rsidRPr="000A20CD">
        <w:rPr>
          <w:i/>
          <w:iCs/>
          <w:sz w:val="22"/>
          <w:szCs w:val="22"/>
        </w:rPr>
        <w:t>Consideration of individual studies where the results indicate the possibility of an exacerbation effect</w:t>
      </w:r>
    </w:p>
    <w:p w14:paraId="6E97DBF8" w14:textId="77777777" w:rsidR="00B8743B" w:rsidRPr="000A20CD" w:rsidRDefault="00B8743B" w:rsidP="00B8743B">
      <w:pPr>
        <w:rPr>
          <w:sz w:val="22"/>
          <w:szCs w:val="22"/>
        </w:rPr>
      </w:pPr>
    </w:p>
    <w:p w14:paraId="52DEA969" w14:textId="77777777" w:rsidR="00B8743B" w:rsidRPr="000A20CD" w:rsidRDefault="00B8743B" w:rsidP="00B8743B">
      <w:pPr>
        <w:rPr>
          <w:sz w:val="22"/>
          <w:szCs w:val="22"/>
        </w:rPr>
      </w:pPr>
      <w:r w:rsidRPr="000A20CD">
        <w:rPr>
          <w:sz w:val="22"/>
          <w:szCs w:val="22"/>
        </w:rPr>
        <w:t xml:space="preserve">In seven of the twelve included studies (Williams </w:t>
      </w:r>
      <w:r w:rsidRPr="000A20CD">
        <w:rPr>
          <w:i/>
          <w:iCs/>
          <w:sz w:val="22"/>
          <w:szCs w:val="22"/>
        </w:rPr>
        <w:t>et al</w:t>
      </w:r>
      <w:r w:rsidRPr="000A20CD">
        <w:rPr>
          <w:sz w:val="22"/>
          <w:szCs w:val="22"/>
        </w:rPr>
        <w:t xml:space="preserve">., 1985; Terhune </w:t>
      </w:r>
      <w:r w:rsidRPr="000A20CD">
        <w:rPr>
          <w:i/>
          <w:iCs/>
          <w:sz w:val="22"/>
          <w:szCs w:val="22"/>
        </w:rPr>
        <w:t>et al</w:t>
      </w:r>
      <w:r w:rsidRPr="000A20CD">
        <w:rPr>
          <w:sz w:val="22"/>
          <w:szCs w:val="22"/>
        </w:rPr>
        <w:t xml:space="preserve">., 1992; Mura </w:t>
      </w:r>
      <w:r w:rsidRPr="000A20CD">
        <w:rPr>
          <w:i/>
          <w:iCs/>
          <w:sz w:val="22"/>
          <w:szCs w:val="22"/>
        </w:rPr>
        <w:t>et al</w:t>
      </w:r>
      <w:r w:rsidRPr="000A20CD">
        <w:rPr>
          <w:sz w:val="22"/>
          <w:szCs w:val="22"/>
        </w:rPr>
        <w:t xml:space="preserve">., 2003; Drummer </w:t>
      </w:r>
      <w:r w:rsidRPr="000A20CD">
        <w:rPr>
          <w:i/>
          <w:iCs/>
          <w:sz w:val="22"/>
          <w:szCs w:val="22"/>
        </w:rPr>
        <w:t>et al</w:t>
      </w:r>
      <w:r w:rsidRPr="000A20CD">
        <w:rPr>
          <w:sz w:val="22"/>
          <w:szCs w:val="22"/>
        </w:rPr>
        <w:t xml:space="preserve">., 2004; Gadegbeku </w:t>
      </w:r>
      <w:r w:rsidRPr="000A20CD">
        <w:rPr>
          <w:i/>
          <w:iCs/>
          <w:sz w:val="22"/>
          <w:szCs w:val="22"/>
        </w:rPr>
        <w:t>et al</w:t>
      </w:r>
      <w:r w:rsidRPr="000A20CD">
        <w:rPr>
          <w:sz w:val="22"/>
          <w:szCs w:val="22"/>
        </w:rPr>
        <w:t xml:space="preserve">., 2011: Martin </w:t>
      </w:r>
      <w:r w:rsidRPr="000A20CD">
        <w:rPr>
          <w:i/>
          <w:iCs/>
          <w:sz w:val="22"/>
          <w:szCs w:val="22"/>
        </w:rPr>
        <w:t>et al</w:t>
      </w:r>
      <w:r w:rsidRPr="000A20CD">
        <w:rPr>
          <w:sz w:val="22"/>
          <w:szCs w:val="22"/>
        </w:rPr>
        <w:t xml:space="preserve">., 2017; Brubacher </w:t>
      </w:r>
      <w:r w:rsidRPr="000A20CD">
        <w:rPr>
          <w:i/>
          <w:iCs/>
          <w:sz w:val="22"/>
          <w:szCs w:val="22"/>
        </w:rPr>
        <w:t>et al</w:t>
      </w:r>
      <w:r w:rsidRPr="000A20CD">
        <w:rPr>
          <w:sz w:val="22"/>
          <w:szCs w:val="22"/>
        </w:rPr>
        <w:t xml:space="preserve">., 2019) the </w:t>
      </w:r>
      <w:r w:rsidRPr="000A20CD">
        <w:rPr>
          <w:i/>
          <w:iCs/>
          <w:sz w:val="22"/>
          <w:szCs w:val="22"/>
        </w:rPr>
        <w:t>direction</w:t>
      </w:r>
      <w:r w:rsidRPr="000A20CD">
        <w:rPr>
          <w:sz w:val="22"/>
          <w:szCs w:val="22"/>
        </w:rPr>
        <w:t xml:space="preserve"> of results was compatible with the possibility of an exacerbation effect. However, there were only three studies (Drummer </w:t>
      </w:r>
      <w:r w:rsidRPr="000A20CD">
        <w:rPr>
          <w:i/>
          <w:iCs/>
          <w:sz w:val="22"/>
          <w:szCs w:val="22"/>
        </w:rPr>
        <w:t>et al.,</w:t>
      </w:r>
      <w:r w:rsidRPr="000A20CD">
        <w:rPr>
          <w:sz w:val="22"/>
          <w:szCs w:val="22"/>
        </w:rPr>
        <w:t xml:space="preserve"> 2004; Gadegbeku </w:t>
      </w:r>
      <w:r w:rsidRPr="000A20CD">
        <w:rPr>
          <w:i/>
          <w:iCs/>
          <w:sz w:val="22"/>
          <w:szCs w:val="22"/>
        </w:rPr>
        <w:t>et al</w:t>
      </w:r>
      <w:r w:rsidRPr="000A20CD">
        <w:rPr>
          <w:sz w:val="22"/>
          <w:szCs w:val="22"/>
        </w:rPr>
        <w:t xml:space="preserve">., 2011; and Martin </w:t>
      </w:r>
      <w:r w:rsidRPr="000A20CD">
        <w:rPr>
          <w:i/>
          <w:iCs/>
          <w:sz w:val="22"/>
          <w:szCs w:val="22"/>
        </w:rPr>
        <w:t>et al</w:t>
      </w:r>
      <w:r w:rsidRPr="000A20CD">
        <w:rPr>
          <w:sz w:val="22"/>
          <w:szCs w:val="22"/>
        </w:rPr>
        <w:t xml:space="preserve">., 2017) where the researchers claimed to have demonstrated a statistically-significant exacerbation or equivalent effect. The comments of the researchers on these findings are now considered.  </w:t>
      </w:r>
    </w:p>
    <w:p w14:paraId="431605C6" w14:textId="77777777" w:rsidR="00B8743B" w:rsidRPr="000A20CD" w:rsidRDefault="00B8743B" w:rsidP="00B8743B">
      <w:pPr>
        <w:rPr>
          <w:sz w:val="22"/>
          <w:szCs w:val="22"/>
        </w:rPr>
      </w:pPr>
    </w:p>
    <w:p w14:paraId="3EE85499" w14:textId="7407F16A" w:rsidR="00B8743B" w:rsidRPr="000A20CD" w:rsidRDefault="00B8743B" w:rsidP="00B8743B">
      <w:pPr>
        <w:rPr>
          <w:sz w:val="22"/>
          <w:szCs w:val="22"/>
        </w:rPr>
      </w:pPr>
      <w:r w:rsidRPr="000A20CD">
        <w:rPr>
          <w:sz w:val="22"/>
          <w:szCs w:val="22"/>
        </w:rPr>
        <w:t xml:space="preserve">In relation to their analyses of their counts data as presented in our Table </w:t>
      </w:r>
      <w:r w:rsidR="00BC718E" w:rsidRPr="000A20CD">
        <w:rPr>
          <w:sz w:val="22"/>
          <w:szCs w:val="22"/>
        </w:rPr>
        <w:t>2</w:t>
      </w:r>
      <w:r w:rsidRPr="000A20CD">
        <w:rPr>
          <w:sz w:val="22"/>
          <w:szCs w:val="22"/>
        </w:rPr>
        <w:t xml:space="preserve">, </w:t>
      </w:r>
      <w:r w:rsidRPr="000A20CD">
        <w:rPr>
          <w:b/>
          <w:bCs/>
          <w:sz w:val="22"/>
          <w:szCs w:val="22"/>
        </w:rPr>
        <w:t xml:space="preserve">Williams </w:t>
      </w:r>
      <w:r w:rsidRPr="000A20CD">
        <w:rPr>
          <w:b/>
          <w:bCs/>
          <w:i/>
          <w:iCs/>
          <w:sz w:val="22"/>
          <w:szCs w:val="22"/>
        </w:rPr>
        <w:t>et al</w:t>
      </w:r>
      <w:r w:rsidRPr="000A20CD">
        <w:rPr>
          <w:b/>
          <w:bCs/>
          <w:sz w:val="22"/>
          <w:szCs w:val="22"/>
        </w:rPr>
        <w:t>.</w:t>
      </w:r>
      <w:r w:rsidRPr="000A20CD">
        <w:rPr>
          <w:sz w:val="22"/>
          <w:szCs w:val="22"/>
        </w:rPr>
        <w:t xml:space="preserve"> (1985</w:t>
      </w:r>
      <w:r w:rsidR="005E3795" w:rsidRPr="000A20CD">
        <w:rPr>
          <w:sz w:val="22"/>
          <w:szCs w:val="22"/>
        </w:rPr>
        <w:t xml:space="preserve">: </w:t>
      </w:r>
      <w:r w:rsidRPr="000A20CD">
        <w:rPr>
          <w:sz w:val="22"/>
          <w:szCs w:val="22"/>
        </w:rPr>
        <w:t xml:space="preserve">24) made comments to the effect that any exacerbation effect would be difficult to demonstrate: “The marijuana analysis was constrained by small numbers, and by the fact that, in the population studied, crash responsibility rates related to alcohol alone were greater than 90%, so that adding marijuana could not increase these rates by much”.    </w:t>
      </w:r>
    </w:p>
    <w:p w14:paraId="720238FC" w14:textId="77777777" w:rsidR="00B8743B" w:rsidRPr="000A20CD" w:rsidRDefault="00B8743B" w:rsidP="00B8743B">
      <w:pPr>
        <w:rPr>
          <w:sz w:val="22"/>
          <w:szCs w:val="22"/>
        </w:rPr>
      </w:pPr>
    </w:p>
    <w:p w14:paraId="5A511FB8" w14:textId="042A8D24" w:rsidR="00B8743B" w:rsidRPr="000A20CD" w:rsidRDefault="00B8743B" w:rsidP="00B8743B">
      <w:pPr>
        <w:rPr>
          <w:sz w:val="22"/>
          <w:szCs w:val="22"/>
        </w:rPr>
      </w:pPr>
      <w:r w:rsidRPr="000A20CD">
        <w:rPr>
          <w:sz w:val="22"/>
          <w:szCs w:val="22"/>
        </w:rPr>
        <w:t xml:space="preserve">In relation to their analyses of their counts data as presented in our Table </w:t>
      </w:r>
      <w:r w:rsidR="00BC718E" w:rsidRPr="000A20CD">
        <w:rPr>
          <w:sz w:val="22"/>
          <w:szCs w:val="22"/>
        </w:rPr>
        <w:t>2</w:t>
      </w:r>
      <w:r w:rsidRPr="000A20CD">
        <w:rPr>
          <w:sz w:val="22"/>
          <w:szCs w:val="22"/>
        </w:rPr>
        <w:t xml:space="preserve">, </w:t>
      </w:r>
      <w:r w:rsidRPr="000A20CD">
        <w:rPr>
          <w:b/>
          <w:bCs/>
          <w:sz w:val="22"/>
          <w:szCs w:val="22"/>
        </w:rPr>
        <w:t xml:space="preserve">Terhune </w:t>
      </w:r>
      <w:r w:rsidRPr="000A20CD">
        <w:rPr>
          <w:b/>
          <w:bCs/>
          <w:i/>
          <w:iCs/>
          <w:sz w:val="22"/>
          <w:szCs w:val="22"/>
        </w:rPr>
        <w:t>et al.</w:t>
      </w:r>
      <w:r w:rsidRPr="000A20CD">
        <w:rPr>
          <w:sz w:val="22"/>
          <w:szCs w:val="22"/>
        </w:rPr>
        <w:t xml:space="preserve"> (1992</w:t>
      </w:r>
      <w:r w:rsidR="005E3795" w:rsidRPr="000A20CD">
        <w:rPr>
          <w:sz w:val="22"/>
          <w:szCs w:val="22"/>
        </w:rPr>
        <w:t xml:space="preserve">: </w:t>
      </w:r>
      <w:r w:rsidRPr="000A20CD">
        <w:rPr>
          <w:sz w:val="22"/>
          <w:szCs w:val="22"/>
        </w:rPr>
        <w:t>69) acknowledged that “The question of alcohol-drug additive or interactive (synergistic) effects is an important one”. They compared culpability rates for alcohol and cannabis combined with culpability rates for cannabis alone (Table 5.15, p. 70), and found that the differences were not statistically significant, either at low BACs (below BAC = 0.10) or at high BACs (above BAC = 0.10). They commented that “Among the low-BAC drivers, the elevated responsibility rates at least suggest the possibility of drug contributions” (p. 69). They also observed that any incremental exacerbating effect of cannabis at high BACs would be very difficult to demonstrate because of the already very high baseline culpability rate of alcohol on its own (94%).</w:t>
      </w:r>
    </w:p>
    <w:p w14:paraId="753ABF91" w14:textId="77777777" w:rsidR="00B8743B" w:rsidRPr="000A20CD" w:rsidRDefault="00B8743B" w:rsidP="00B8743B">
      <w:pPr>
        <w:rPr>
          <w:sz w:val="22"/>
          <w:szCs w:val="22"/>
        </w:rPr>
      </w:pPr>
    </w:p>
    <w:p w14:paraId="69D402D4" w14:textId="77777777" w:rsidR="00B8743B" w:rsidRPr="000A20CD" w:rsidRDefault="00B8743B" w:rsidP="00B8743B">
      <w:pPr>
        <w:rPr>
          <w:sz w:val="22"/>
          <w:szCs w:val="22"/>
        </w:rPr>
      </w:pPr>
      <w:r w:rsidRPr="000A20CD">
        <w:rPr>
          <w:b/>
          <w:bCs/>
          <w:sz w:val="22"/>
          <w:szCs w:val="22"/>
        </w:rPr>
        <w:t xml:space="preserve">Mura </w:t>
      </w:r>
      <w:r w:rsidRPr="000A20CD">
        <w:rPr>
          <w:b/>
          <w:bCs/>
          <w:i/>
          <w:iCs/>
          <w:sz w:val="22"/>
          <w:szCs w:val="22"/>
        </w:rPr>
        <w:t>et al</w:t>
      </w:r>
      <w:r w:rsidRPr="000A20CD">
        <w:rPr>
          <w:b/>
          <w:bCs/>
          <w:sz w:val="22"/>
          <w:szCs w:val="22"/>
        </w:rPr>
        <w:t>. (2003)</w:t>
      </w:r>
      <w:r w:rsidRPr="000A20CD">
        <w:rPr>
          <w:sz w:val="22"/>
          <w:szCs w:val="22"/>
        </w:rPr>
        <w:t xml:space="preserve"> were mostly interested in their younger subjects (&lt; 27 years old). For that sub-sample, in their Table 2, they reported an unadjusted OR of 3.8 (2.1-6.8) for alcohol alone, and an unadjusted OR of 4.6 (2.0-10.7) for the combination of alcohol and cannabis without any other drugs. Although the combined effect of alcohol and cannabis is slightly greater than the individual effect of alcohol, the 95% CIs are mostly overlapping, so the difference between the ORs is not statistically significant, and Mura </w:t>
      </w:r>
      <w:r w:rsidRPr="000A20CD">
        <w:rPr>
          <w:i/>
          <w:iCs/>
          <w:sz w:val="22"/>
          <w:szCs w:val="22"/>
        </w:rPr>
        <w:t>et al</w:t>
      </w:r>
      <w:r w:rsidRPr="000A20CD">
        <w:rPr>
          <w:sz w:val="22"/>
          <w:szCs w:val="22"/>
        </w:rPr>
        <w:t>. have therefore failed to demonstrate an exacerbation effect. However, the researchers were apparently not interested in the possibility of an exacerbation effect, as they said nothing about it.</w:t>
      </w:r>
    </w:p>
    <w:p w14:paraId="057D6140" w14:textId="77777777" w:rsidR="00B8743B" w:rsidRPr="000A20CD" w:rsidRDefault="00B8743B" w:rsidP="00B8743B">
      <w:pPr>
        <w:rPr>
          <w:sz w:val="22"/>
          <w:szCs w:val="22"/>
        </w:rPr>
      </w:pPr>
    </w:p>
    <w:p w14:paraId="36088CBF" w14:textId="3AAB55C5" w:rsidR="00B8743B" w:rsidRPr="000A20CD" w:rsidRDefault="00B8743B" w:rsidP="00B8743B">
      <w:pPr>
        <w:rPr>
          <w:sz w:val="22"/>
          <w:szCs w:val="22"/>
        </w:rPr>
      </w:pPr>
      <w:r w:rsidRPr="000A20CD">
        <w:rPr>
          <w:sz w:val="22"/>
          <w:szCs w:val="22"/>
        </w:rPr>
        <w:t xml:space="preserve">We extracted counts data from Mura </w:t>
      </w:r>
      <w:r w:rsidRPr="000A20CD">
        <w:rPr>
          <w:i/>
          <w:iCs/>
          <w:sz w:val="22"/>
          <w:szCs w:val="22"/>
        </w:rPr>
        <w:t>et al</w:t>
      </w:r>
      <w:r w:rsidRPr="000A20CD">
        <w:rPr>
          <w:sz w:val="22"/>
          <w:szCs w:val="22"/>
        </w:rPr>
        <w:t xml:space="preserve">., as provided in our Table </w:t>
      </w:r>
      <w:r w:rsidR="00BC718E" w:rsidRPr="000A20CD">
        <w:rPr>
          <w:sz w:val="22"/>
          <w:szCs w:val="22"/>
        </w:rPr>
        <w:t>2</w:t>
      </w:r>
      <w:r w:rsidRPr="000A20CD">
        <w:rPr>
          <w:sz w:val="22"/>
          <w:szCs w:val="22"/>
        </w:rPr>
        <w:t xml:space="preserve">. However, our estimates of the ORs for alcohol alone and for alcohol and cannabis combined, as presented in our in our Table </w:t>
      </w:r>
      <w:r w:rsidR="00BC718E" w:rsidRPr="000A20CD">
        <w:rPr>
          <w:sz w:val="22"/>
          <w:szCs w:val="22"/>
        </w:rPr>
        <w:t>3</w:t>
      </w:r>
      <w:r w:rsidRPr="000A20CD">
        <w:rPr>
          <w:sz w:val="22"/>
          <w:szCs w:val="22"/>
        </w:rPr>
        <w:t xml:space="preserve">, differ somewhat from the values reported by Mura </w:t>
      </w:r>
      <w:r w:rsidRPr="000A20CD">
        <w:rPr>
          <w:i/>
          <w:iCs/>
          <w:sz w:val="22"/>
          <w:szCs w:val="22"/>
        </w:rPr>
        <w:t>et al.</w:t>
      </w:r>
      <w:r w:rsidRPr="000A20CD">
        <w:rPr>
          <w:sz w:val="22"/>
          <w:szCs w:val="22"/>
        </w:rPr>
        <w:t xml:space="preserve"> in their Table 2. Where they report values of 3.8 (2.1-6.8) and 4.6 (2.0-10.7), we find larger values of 4.8 (2.7-8.6) and 6.0 (2.6-13.9). The relativities stay the same. However, the reasons for the discrepancy are not known.   </w:t>
      </w:r>
    </w:p>
    <w:p w14:paraId="010C5395" w14:textId="77777777" w:rsidR="00B8743B" w:rsidRPr="000A20CD" w:rsidRDefault="00B8743B" w:rsidP="00B8743B">
      <w:pPr>
        <w:rPr>
          <w:sz w:val="22"/>
          <w:szCs w:val="22"/>
        </w:rPr>
      </w:pPr>
    </w:p>
    <w:p w14:paraId="50EF2696" w14:textId="3CB96944" w:rsidR="00B8743B" w:rsidRPr="000A20CD" w:rsidRDefault="00B8743B" w:rsidP="00B8743B">
      <w:pPr>
        <w:rPr>
          <w:sz w:val="22"/>
          <w:szCs w:val="22"/>
        </w:rPr>
      </w:pPr>
      <w:r w:rsidRPr="000A20CD">
        <w:rPr>
          <w:sz w:val="22"/>
          <w:szCs w:val="22"/>
        </w:rPr>
        <w:t xml:space="preserve">The only researchers who claim to have demonstrated a statistically significant exacerbation effect are </w:t>
      </w:r>
      <w:r w:rsidRPr="000A20CD">
        <w:rPr>
          <w:b/>
          <w:bCs/>
          <w:sz w:val="22"/>
          <w:szCs w:val="22"/>
        </w:rPr>
        <w:t xml:space="preserve">Drummer </w:t>
      </w:r>
      <w:r w:rsidRPr="000A20CD">
        <w:rPr>
          <w:b/>
          <w:bCs/>
          <w:i/>
          <w:iCs/>
          <w:sz w:val="22"/>
          <w:szCs w:val="22"/>
        </w:rPr>
        <w:t>et al</w:t>
      </w:r>
      <w:r w:rsidRPr="000A20CD">
        <w:rPr>
          <w:b/>
          <w:bCs/>
          <w:sz w:val="22"/>
          <w:szCs w:val="22"/>
        </w:rPr>
        <w:t>.</w:t>
      </w:r>
      <w:r w:rsidRPr="000A20CD">
        <w:rPr>
          <w:sz w:val="22"/>
          <w:szCs w:val="22"/>
        </w:rPr>
        <w:t xml:space="preserve"> (2004). As recorded in our Table </w:t>
      </w:r>
      <w:r w:rsidR="00BC718E" w:rsidRPr="000A20CD">
        <w:rPr>
          <w:sz w:val="22"/>
          <w:szCs w:val="22"/>
        </w:rPr>
        <w:t>4</w:t>
      </w:r>
      <w:r w:rsidRPr="000A20CD">
        <w:rPr>
          <w:sz w:val="22"/>
          <w:szCs w:val="22"/>
        </w:rPr>
        <w:t>, they reported an adjusted exacerbation OR of 2.9 (1.1-7.7). They concluded that their statistically-significant exacerbation OR “strongly suggests that THC does enhance the impairment caused by alcohol” (p. 244).</w:t>
      </w:r>
    </w:p>
    <w:p w14:paraId="01A82FD3" w14:textId="77777777" w:rsidR="00B8743B" w:rsidRPr="000A20CD" w:rsidRDefault="00B8743B" w:rsidP="00B8743B">
      <w:pPr>
        <w:rPr>
          <w:sz w:val="22"/>
          <w:szCs w:val="22"/>
        </w:rPr>
      </w:pPr>
    </w:p>
    <w:p w14:paraId="2C3F5CBD" w14:textId="058A4C99" w:rsidR="00B8743B" w:rsidRPr="000A20CD" w:rsidRDefault="00B8743B" w:rsidP="00B8743B">
      <w:pPr>
        <w:rPr>
          <w:sz w:val="22"/>
          <w:szCs w:val="22"/>
        </w:rPr>
      </w:pPr>
      <w:r w:rsidRPr="000A20CD">
        <w:rPr>
          <w:sz w:val="22"/>
          <w:szCs w:val="22"/>
        </w:rPr>
        <w:t xml:space="preserve">Drummer </w:t>
      </w:r>
      <w:r w:rsidRPr="000A20CD">
        <w:rPr>
          <w:i/>
          <w:iCs/>
          <w:sz w:val="22"/>
          <w:szCs w:val="22"/>
        </w:rPr>
        <w:t>et al.</w:t>
      </w:r>
      <w:r w:rsidRPr="000A20CD">
        <w:rPr>
          <w:sz w:val="22"/>
          <w:szCs w:val="22"/>
        </w:rPr>
        <w:t xml:space="preserve"> (2004) did not provide all the counts data from which an unadjusted estimate of the OR could be calculated. However, some missing information was given in an earlier conference paper (Drummer</w:t>
      </w:r>
      <w:r w:rsidR="00562AB6" w:rsidRPr="000A20CD">
        <w:rPr>
          <w:sz w:val="22"/>
          <w:szCs w:val="22"/>
        </w:rPr>
        <w:t xml:space="preserve"> </w:t>
      </w:r>
      <w:r w:rsidR="00562AB6" w:rsidRPr="000A20CD">
        <w:rPr>
          <w:i/>
          <w:iCs/>
          <w:sz w:val="22"/>
          <w:szCs w:val="22"/>
        </w:rPr>
        <w:t>et al</w:t>
      </w:r>
      <w:r w:rsidR="00562AB6" w:rsidRPr="000A20CD">
        <w:rPr>
          <w:sz w:val="22"/>
          <w:szCs w:val="22"/>
        </w:rPr>
        <w:t>.</w:t>
      </w:r>
      <w:r w:rsidRPr="000A20CD">
        <w:rPr>
          <w:sz w:val="22"/>
          <w:szCs w:val="22"/>
        </w:rPr>
        <w:t xml:space="preserve">, 2001). That </w:t>
      </w:r>
      <w:r w:rsidR="00562AB6" w:rsidRPr="000A20CD">
        <w:rPr>
          <w:sz w:val="22"/>
          <w:szCs w:val="22"/>
        </w:rPr>
        <w:t>information</w:t>
      </w:r>
      <w:r w:rsidRPr="000A20CD">
        <w:rPr>
          <w:sz w:val="22"/>
          <w:szCs w:val="22"/>
        </w:rPr>
        <w:t xml:space="preserve"> is provided here in Table </w:t>
      </w:r>
      <w:r w:rsidR="00BC718E" w:rsidRPr="000A20CD">
        <w:rPr>
          <w:sz w:val="22"/>
          <w:szCs w:val="22"/>
        </w:rPr>
        <w:t>2</w:t>
      </w:r>
      <w:r w:rsidRPr="000A20CD">
        <w:rPr>
          <w:sz w:val="22"/>
          <w:szCs w:val="22"/>
        </w:rPr>
        <w:t xml:space="preserve">. An analysis of the data, as presented in our Table </w:t>
      </w:r>
      <w:r w:rsidR="00BC718E" w:rsidRPr="000A20CD">
        <w:rPr>
          <w:sz w:val="22"/>
          <w:szCs w:val="22"/>
        </w:rPr>
        <w:t>3</w:t>
      </w:r>
      <w:r w:rsidRPr="000A20CD">
        <w:rPr>
          <w:sz w:val="22"/>
          <w:szCs w:val="22"/>
        </w:rPr>
        <w:t xml:space="preserve">, gives a non-significant unadjusted exacerbation OR of 2.3 (0.3-17.0). So, </w:t>
      </w:r>
      <w:r w:rsidR="00562AB6" w:rsidRPr="000A20CD">
        <w:rPr>
          <w:sz w:val="22"/>
          <w:szCs w:val="22"/>
        </w:rPr>
        <w:t>the</w:t>
      </w:r>
      <w:r w:rsidRPr="000A20CD">
        <w:rPr>
          <w:sz w:val="22"/>
          <w:szCs w:val="22"/>
        </w:rPr>
        <w:t xml:space="preserve"> unadjusted OR</w:t>
      </w:r>
      <w:r w:rsidR="00562AB6" w:rsidRPr="000A20CD">
        <w:rPr>
          <w:sz w:val="22"/>
          <w:szCs w:val="22"/>
        </w:rPr>
        <w:t xml:space="preserve"> as calculated by us</w:t>
      </w:r>
      <w:r w:rsidRPr="000A20CD">
        <w:rPr>
          <w:sz w:val="22"/>
          <w:szCs w:val="22"/>
        </w:rPr>
        <w:t xml:space="preserve"> is smaller than their adjusted OR - and non-significant. It would normally be expected that an adjusted OR would be smaller than the corresponding unadjusted OR, because the MLR re-allocates some of the drug-effect variance to the other covariates such as age and gender, but that is not the situation here. The reasons for this unexpected difference are unknown. </w:t>
      </w:r>
    </w:p>
    <w:p w14:paraId="15D58326" w14:textId="77777777" w:rsidR="00B8743B" w:rsidRPr="000A20CD" w:rsidRDefault="00B8743B" w:rsidP="00B8743B">
      <w:pPr>
        <w:rPr>
          <w:sz w:val="22"/>
          <w:szCs w:val="22"/>
        </w:rPr>
      </w:pPr>
    </w:p>
    <w:p w14:paraId="3B150888" w14:textId="77777777" w:rsidR="00B8743B" w:rsidRPr="000A20CD" w:rsidRDefault="00B8743B" w:rsidP="00B8743B">
      <w:pPr>
        <w:rPr>
          <w:sz w:val="22"/>
          <w:szCs w:val="22"/>
        </w:rPr>
      </w:pPr>
      <w:r w:rsidRPr="000A20CD">
        <w:rPr>
          <w:sz w:val="22"/>
          <w:szCs w:val="22"/>
        </w:rPr>
        <w:t xml:space="preserve">One concerning feature of Drummer </w:t>
      </w:r>
      <w:r w:rsidRPr="000A20CD">
        <w:rPr>
          <w:i/>
          <w:iCs/>
          <w:sz w:val="22"/>
          <w:szCs w:val="22"/>
        </w:rPr>
        <w:t>et al’s</w:t>
      </w:r>
      <w:r w:rsidRPr="000A20CD">
        <w:rPr>
          <w:sz w:val="22"/>
          <w:szCs w:val="22"/>
        </w:rPr>
        <w:t xml:space="preserve"> (2004) study is that the statistical analyses underlying the calculation of the exacerbation OR (whether adjusted or unadjusted) were seriously flawed by having different sampling timeframes for the drivers with alcohol alone (10 years) and the those with both alcohol and THC (the last 2 to 5 years of the 10-year period - depending on the jurisdiction from which the data were provided). The implications of that defect for the size of the exacerbation OR are unclear. </w:t>
      </w:r>
    </w:p>
    <w:p w14:paraId="30F522AF" w14:textId="77777777" w:rsidR="00B8743B" w:rsidRPr="000A20CD" w:rsidRDefault="00B8743B" w:rsidP="00B8743B">
      <w:pPr>
        <w:rPr>
          <w:sz w:val="22"/>
          <w:szCs w:val="22"/>
        </w:rPr>
      </w:pPr>
    </w:p>
    <w:p w14:paraId="47406A7E" w14:textId="77777777" w:rsidR="00B8743B" w:rsidRPr="000A20CD" w:rsidRDefault="00B8743B" w:rsidP="00B8743B">
      <w:pPr>
        <w:rPr>
          <w:bCs/>
          <w:sz w:val="22"/>
          <w:szCs w:val="22"/>
        </w:rPr>
      </w:pPr>
      <w:r w:rsidRPr="000A20CD">
        <w:rPr>
          <w:bCs/>
          <w:sz w:val="22"/>
          <w:szCs w:val="22"/>
        </w:rPr>
        <w:t xml:space="preserve">Poulsen </w:t>
      </w:r>
      <w:r w:rsidRPr="000A20CD">
        <w:rPr>
          <w:bCs/>
          <w:i/>
          <w:iCs/>
          <w:sz w:val="22"/>
          <w:szCs w:val="22"/>
        </w:rPr>
        <w:t>et al.</w:t>
      </w:r>
      <w:r w:rsidRPr="000A20CD">
        <w:rPr>
          <w:bCs/>
          <w:sz w:val="22"/>
          <w:szCs w:val="22"/>
        </w:rPr>
        <w:t xml:space="preserve"> (2014; as reviewed above) had intentionally designed their New Zealand study as a replication of Drummer </w:t>
      </w:r>
      <w:r w:rsidRPr="000A20CD">
        <w:rPr>
          <w:bCs/>
          <w:i/>
          <w:iCs/>
          <w:sz w:val="22"/>
          <w:szCs w:val="22"/>
        </w:rPr>
        <w:t>et al</w:t>
      </w:r>
      <w:r w:rsidRPr="000A20CD">
        <w:rPr>
          <w:bCs/>
          <w:sz w:val="22"/>
          <w:szCs w:val="22"/>
        </w:rPr>
        <w:t xml:space="preserve">’s (2004) Australian study. Using a considerably greater number of cannabis-and-alcohol-combined drivers than Drummer </w:t>
      </w:r>
      <w:r w:rsidRPr="000A20CD">
        <w:rPr>
          <w:bCs/>
          <w:i/>
          <w:iCs/>
          <w:sz w:val="22"/>
          <w:szCs w:val="22"/>
        </w:rPr>
        <w:t>et al</w:t>
      </w:r>
      <w:r w:rsidRPr="000A20CD">
        <w:rPr>
          <w:bCs/>
          <w:sz w:val="22"/>
          <w:szCs w:val="22"/>
        </w:rPr>
        <w:t xml:space="preserve">. (136 vs. 43), Poulsen </w:t>
      </w:r>
      <w:r w:rsidRPr="000A20CD">
        <w:rPr>
          <w:bCs/>
          <w:i/>
          <w:iCs/>
          <w:sz w:val="22"/>
          <w:szCs w:val="22"/>
        </w:rPr>
        <w:t>et al.</w:t>
      </w:r>
      <w:r w:rsidRPr="000A20CD">
        <w:rPr>
          <w:bCs/>
          <w:sz w:val="22"/>
          <w:szCs w:val="22"/>
        </w:rPr>
        <w:t xml:space="preserve"> failed to replicate Drummer </w:t>
      </w:r>
      <w:r w:rsidRPr="000A20CD">
        <w:rPr>
          <w:bCs/>
          <w:i/>
          <w:iCs/>
          <w:sz w:val="22"/>
          <w:szCs w:val="22"/>
        </w:rPr>
        <w:t>et al</w:t>
      </w:r>
      <w:r w:rsidRPr="000A20CD">
        <w:rPr>
          <w:bCs/>
          <w:sz w:val="22"/>
          <w:szCs w:val="22"/>
        </w:rPr>
        <w:t xml:space="preserve">’s purported exacerbation effect. And, as also mentioned above, Drummer’s own research team (Drummer </w:t>
      </w:r>
      <w:r w:rsidRPr="000A20CD">
        <w:rPr>
          <w:bCs/>
          <w:i/>
          <w:iCs/>
          <w:sz w:val="22"/>
          <w:szCs w:val="22"/>
        </w:rPr>
        <w:t>et al.,</w:t>
      </w:r>
      <w:r w:rsidRPr="000A20CD">
        <w:rPr>
          <w:bCs/>
          <w:sz w:val="22"/>
          <w:szCs w:val="22"/>
        </w:rPr>
        <w:t xml:space="preserve"> 2020) failed to replicate their earlier demonstration of an exacerbation effect when investigating hospitalized rather than fatally-injured drivers. In summary, we conclude that the evidence from Drummer </w:t>
      </w:r>
      <w:r w:rsidRPr="000A20CD">
        <w:rPr>
          <w:bCs/>
          <w:i/>
          <w:iCs/>
          <w:sz w:val="22"/>
          <w:szCs w:val="22"/>
        </w:rPr>
        <w:t>et al</w:t>
      </w:r>
      <w:r w:rsidRPr="000A20CD">
        <w:rPr>
          <w:bCs/>
          <w:sz w:val="22"/>
          <w:szCs w:val="22"/>
        </w:rPr>
        <w:t xml:space="preserve">. (2004) for an exacerbation effect is unconvincing.  </w:t>
      </w:r>
    </w:p>
    <w:p w14:paraId="0D42323A" w14:textId="77777777" w:rsidR="00B8743B" w:rsidRPr="000A20CD" w:rsidRDefault="00B8743B" w:rsidP="00B8743B">
      <w:pPr>
        <w:rPr>
          <w:sz w:val="22"/>
          <w:szCs w:val="22"/>
        </w:rPr>
      </w:pPr>
    </w:p>
    <w:p w14:paraId="3F8D955D" w14:textId="1FD3A49E" w:rsidR="00B8743B" w:rsidRPr="000A20CD" w:rsidRDefault="00B8743B" w:rsidP="00B8743B">
      <w:pPr>
        <w:rPr>
          <w:sz w:val="22"/>
          <w:szCs w:val="22"/>
        </w:rPr>
      </w:pPr>
      <w:r w:rsidRPr="000A20CD">
        <w:rPr>
          <w:sz w:val="22"/>
          <w:szCs w:val="22"/>
        </w:rPr>
        <w:t xml:space="preserve">Our Table </w:t>
      </w:r>
      <w:r w:rsidR="00BC718E" w:rsidRPr="000A20CD">
        <w:rPr>
          <w:sz w:val="22"/>
          <w:szCs w:val="22"/>
        </w:rPr>
        <w:t>3</w:t>
      </w:r>
      <w:r w:rsidRPr="000A20CD">
        <w:rPr>
          <w:sz w:val="22"/>
          <w:szCs w:val="22"/>
        </w:rPr>
        <w:t xml:space="preserve"> shows an unadjusted exacerbation OR of 2.1 (1.1-3.8) for the overall dataset analyzed by </w:t>
      </w:r>
      <w:r w:rsidRPr="000A20CD">
        <w:rPr>
          <w:b/>
          <w:bCs/>
          <w:sz w:val="22"/>
          <w:szCs w:val="22"/>
        </w:rPr>
        <w:t xml:space="preserve">Gadegbeku </w:t>
      </w:r>
      <w:r w:rsidRPr="000A20CD">
        <w:rPr>
          <w:b/>
          <w:bCs/>
          <w:i/>
          <w:iCs/>
          <w:sz w:val="22"/>
          <w:szCs w:val="22"/>
        </w:rPr>
        <w:t>et al.</w:t>
      </w:r>
      <w:r w:rsidRPr="000A20CD">
        <w:rPr>
          <w:b/>
          <w:bCs/>
          <w:sz w:val="22"/>
          <w:szCs w:val="22"/>
        </w:rPr>
        <w:t xml:space="preserve"> </w:t>
      </w:r>
      <w:r w:rsidRPr="000A20CD">
        <w:rPr>
          <w:sz w:val="22"/>
          <w:szCs w:val="22"/>
        </w:rPr>
        <w:t xml:space="preserve">(2011), which implies </w:t>
      </w:r>
      <w:r w:rsidR="009D7508" w:rsidRPr="000A20CD">
        <w:rPr>
          <w:sz w:val="22"/>
          <w:szCs w:val="22"/>
        </w:rPr>
        <w:t>a statistically-significant exacerbation effect where the odds of being culpable for the crash is doubled</w:t>
      </w:r>
      <w:r w:rsidRPr="000A20CD">
        <w:rPr>
          <w:sz w:val="22"/>
          <w:szCs w:val="22"/>
        </w:rPr>
        <w:t xml:space="preserve">. The information in our Table </w:t>
      </w:r>
      <w:r w:rsidR="00BC718E" w:rsidRPr="000A20CD">
        <w:rPr>
          <w:sz w:val="22"/>
          <w:szCs w:val="22"/>
        </w:rPr>
        <w:t>4</w:t>
      </w:r>
      <w:r w:rsidRPr="000A20CD">
        <w:rPr>
          <w:sz w:val="22"/>
          <w:szCs w:val="22"/>
        </w:rPr>
        <w:t xml:space="preserve"> for Gadegbeku </w:t>
      </w:r>
      <w:r w:rsidRPr="000A20CD">
        <w:rPr>
          <w:i/>
          <w:iCs/>
          <w:sz w:val="22"/>
          <w:szCs w:val="22"/>
        </w:rPr>
        <w:t>et al.</w:t>
      </w:r>
      <w:r w:rsidRPr="000A20CD">
        <w:rPr>
          <w:b/>
          <w:bCs/>
          <w:sz w:val="22"/>
          <w:szCs w:val="22"/>
        </w:rPr>
        <w:t xml:space="preserve"> </w:t>
      </w:r>
      <w:r w:rsidRPr="000A20CD">
        <w:rPr>
          <w:sz w:val="22"/>
          <w:szCs w:val="22"/>
        </w:rPr>
        <w:t xml:space="preserve">was actually extracted from earlier analyses of the same overall dataset by Laumon </w:t>
      </w:r>
      <w:r w:rsidRPr="000A20CD">
        <w:rPr>
          <w:i/>
          <w:iCs/>
          <w:sz w:val="22"/>
          <w:szCs w:val="22"/>
        </w:rPr>
        <w:t>et al</w:t>
      </w:r>
      <w:r w:rsidRPr="000A20CD">
        <w:rPr>
          <w:sz w:val="22"/>
          <w:szCs w:val="22"/>
        </w:rPr>
        <w:t xml:space="preserve">. in 2005 (p. 3), who obtained an adjusted OR of 14.0 (8.0-27.4) for the combined use of alcohol and cannabis that was higher than the adjusted OR of 8.5 (7.2-10.1) for the use of alcohol alone. However, the fact that there is some overlap between the 95% CIs for the two ORs shows that the exacerbation effect did not achieve statistical significance. </w:t>
      </w:r>
      <w:r w:rsidR="009D7508" w:rsidRPr="000A20CD">
        <w:rPr>
          <w:sz w:val="22"/>
          <w:szCs w:val="22"/>
        </w:rPr>
        <w:t xml:space="preserve">Nevertheless, the results are </w:t>
      </w:r>
      <w:r w:rsidR="000E53C2" w:rsidRPr="000A20CD">
        <w:rPr>
          <w:sz w:val="22"/>
          <w:szCs w:val="22"/>
        </w:rPr>
        <w:t xml:space="preserve">also </w:t>
      </w:r>
      <w:r w:rsidR="009D7508" w:rsidRPr="000A20CD">
        <w:rPr>
          <w:sz w:val="22"/>
          <w:szCs w:val="22"/>
        </w:rPr>
        <w:t xml:space="preserve">compatible with a strong exacerbation effect. </w:t>
      </w:r>
      <w:r w:rsidRPr="000A20CD">
        <w:rPr>
          <w:sz w:val="22"/>
          <w:szCs w:val="22"/>
        </w:rPr>
        <w:t>Overall, it is probably appropriate to describe the support by this study for an exacerbation effect as ‘marginally significant’. The researchers claimed to have demonstrated a multiplicative effect such that the drug-crash OR for joint use is the product of the separate drug-crash ORs for cannabis and alcohol. That claim is considered in our Discussion section.</w:t>
      </w:r>
    </w:p>
    <w:p w14:paraId="35A7F6C3" w14:textId="77777777" w:rsidR="00B8743B" w:rsidRPr="000A20CD" w:rsidRDefault="00B8743B" w:rsidP="00B8743B">
      <w:pPr>
        <w:rPr>
          <w:sz w:val="22"/>
          <w:szCs w:val="22"/>
        </w:rPr>
      </w:pPr>
    </w:p>
    <w:p w14:paraId="07B278DA" w14:textId="279EB1B4" w:rsidR="00B8743B" w:rsidRPr="000A20CD" w:rsidRDefault="00B8743B" w:rsidP="00B8743B">
      <w:pPr>
        <w:rPr>
          <w:sz w:val="22"/>
          <w:szCs w:val="22"/>
        </w:rPr>
      </w:pPr>
      <w:r w:rsidRPr="000A20CD">
        <w:rPr>
          <w:sz w:val="22"/>
          <w:szCs w:val="22"/>
        </w:rPr>
        <w:t xml:space="preserve">The study by </w:t>
      </w:r>
      <w:r w:rsidRPr="000A20CD">
        <w:rPr>
          <w:b/>
          <w:bCs/>
          <w:sz w:val="22"/>
          <w:szCs w:val="22"/>
        </w:rPr>
        <w:t xml:space="preserve">Martin </w:t>
      </w:r>
      <w:r w:rsidRPr="000A20CD">
        <w:rPr>
          <w:b/>
          <w:bCs/>
          <w:i/>
          <w:iCs/>
          <w:sz w:val="22"/>
          <w:szCs w:val="22"/>
        </w:rPr>
        <w:t>et al</w:t>
      </w:r>
      <w:r w:rsidRPr="000A20CD">
        <w:rPr>
          <w:b/>
          <w:bCs/>
          <w:sz w:val="22"/>
          <w:szCs w:val="22"/>
        </w:rPr>
        <w:t>.</w:t>
      </w:r>
      <w:r w:rsidRPr="000A20CD">
        <w:rPr>
          <w:sz w:val="22"/>
          <w:szCs w:val="22"/>
        </w:rPr>
        <w:t xml:space="preserve"> (2017) was conducted by the same French research team as was involved in the earlier study reported by Gadegbeku </w:t>
      </w:r>
      <w:r w:rsidRPr="000A20CD">
        <w:rPr>
          <w:i/>
          <w:iCs/>
          <w:sz w:val="22"/>
          <w:szCs w:val="22"/>
        </w:rPr>
        <w:t>et al.</w:t>
      </w:r>
      <w:r w:rsidRPr="000A20CD">
        <w:rPr>
          <w:sz w:val="22"/>
          <w:szCs w:val="22"/>
        </w:rPr>
        <w:t xml:space="preserve"> (2011) and Laumon </w:t>
      </w:r>
      <w:r w:rsidRPr="000A20CD">
        <w:rPr>
          <w:i/>
          <w:iCs/>
          <w:sz w:val="22"/>
          <w:szCs w:val="22"/>
        </w:rPr>
        <w:t>et al.</w:t>
      </w:r>
      <w:r w:rsidRPr="000A20CD">
        <w:rPr>
          <w:sz w:val="22"/>
          <w:szCs w:val="22"/>
        </w:rPr>
        <w:t xml:space="preserve"> (2005). As shown our Table </w:t>
      </w:r>
      <w:r w:rsidR="00BC718E" w:rsidRPr="000A20CD">
        <w:rPr>
          <w:sz w:val="22"/>
          <w:szCs w:val="22"/>
        </w:rPr>
        <w:t>3</w:t>
      </w:r>
      <w:r w:rsidRPr="000A20CD">
        <w:rPr>
          <w:sz w:val="22"/>
          <w:szCs w:val="22"/>
        </w:rPr>
        <w:t xml:space="preserve">, when we analyzed counts data from Martin </w:t>
      </w:r>
      <w:r w:rsidRPr="000A20CD">
        <w:rPr>
          <w:i/>
          <w:iCs/>
          <w:sz w:val="22"/>
          <w:szCs w:val="22"/>
        </w:rPr>
        <w:t>et al</w:t>
      </w:r>
      <w:r w:rsidRPr="000A20CD">
        <w:rPr>
          <w:sz w:val="22"/>
          <w:szCs w:val="22"/>
        </w:rPr>
        <w:t>., we failed to demonstrate an exacerbation effect - with a non-significant unadjusted exacerbation OR of 1.4 (0.5-3.7). Nevertheless, the researchers claimed to have demonstrated a multiplicative effect. That claim is also considered in our Discussion section.</w:t>
      </w:r>
    </w:p>
    <w:p w14:paraId="64D2E6C9" w14:textId="77777777" w:rsidR="00B8743B" w:rsidRPr="000A20CD" w:rsidRDefault="00B8743B" w:rsidP="00B8743B">
      <w:pPr>
        <w:rPr>
          <w:sz w:val="22"/>
          <w:szCs w:val="22"/>
        </w:rPr>
      </w:pPr>
    </w:p>
    <w:p w14:paraId="09EC9194" w14:textId="32C3E486" w:rsidR="00B8743B" w:rsidRPr="000A20CD" w:rsidRDefault="00B8743B" w:rsidP="00B8743B">
      <w:pPr>
        <w:rPr>
          <w:sz w:val="22"/>
          <w:szCs w:val="22"/>
          <w:lang w:val="en-AU"/>
        </w:rPr>
      </w:pPr>
      <w:r w:rsidRPr="000A20CD">
        <w:rPr>
          <w:b/>
          <w:bCs/>
          <w:sz w:val="22"/>
          <w:szCs w:val="22"/>
          <w:lang w:val="en-AU"/>
        </w:rPr>
        <w:t xml:space="preserve">Brubacher </w:t>
      </w:r>
      <w:r w:rsidRPr="000A20CD">
        <w:rPr>
          <w:b/>
          <w:bCs/>
          <w:i/>
          <w:iCs/>
          <w:sz w:val="22"/>
          <w:szCs w:val="22"/>
          <w:lang w:val="en-AU"/>
        </w:rPr>
        <w:t>et al.</w:t>
      </w:r>
      <w:r w:rsidRPr="000A20CD">
        <w:rPr>
          <w:sz w:val="22"/>
          <w:szCs w:val="22"/>
          <w:lang w:val="en-AU"/>
        </w:rPr>
        <w:t xml:space="preserve"> (2019</w:t>
      </w:r>
      <w:r w:rsidR="005E3795" w:rsidRPr="000A20CD">
        <w:rPr>
          <w:sz w:val="22"/>
          <w:szCs w:val="22"/>
          <w:lang w:val="en-AU"/>
        </w:rPr>
        <w:t xml:space="preserve">: </w:t>
      </w:r>
      <w:r w:rsidRPr="000A20CD">
        <w:rPr>
          <w:sz w:val="22"/>
          <w:szCs w:val="22"/>
          <w:lang w:val="en-AU"/>
        </w:rPr>
        <w:t xml:space="preserve">1621) say that “In the model that included a cannabis and alcohol interaction, the OR for BAC &gt; 0% and THC ≥ 2 ng/ml was 1.62 (95% CI = 0.34– 15.7) times larger when both substances were detected compared to the individual effects of alcohol and cannabis alone, but this interaction was not statistically significant (P = 0.58)”. That information is provided here in Table </w:t>
      </w:r>
      <w:r w:rsidR="00BC718E" w:rsidRPr="000A20CD">
        <w:rPr>
          <w:sz w:val="22"/>
          <w:szCs w:val="22"/>
          <w:lang w:val="en-AU"/>
        </w:rPr>
        <w:t>4</w:t>
      </w:r>
      <w:r w:rsidRPr="000A20CD">
        <w:rPr>
          <w:sz w:val="22"/>
          <w:szCs w:val="22"/>
          <w:lang w:val="en-AU"/>
        </w:rPr>
        <w:t xml:space="preserve">. In email correspondence of 10 December 2022 with one of the authors (MW), Dr Brubacher explained that the OR was actually an adjusted exacerbation OR. So, it is not strictly an ‘interaction effect’ according to our terminology. Dr Brubacher also said that he would “caution about making too much of the effect as it was not statistically significant”.    </w:t>
      </w:r>
    </w:p>
    <w:p w14:paraId="53998519" w14:textId="77777777" w:rsidR="00B8743B" w:rsidRPr="000A20CD" w:rsidRDefault="00B8743B" w:rsidP="00B8743B">
      <w:pPr>
        <w:rPr>
          <w:sz w:val="22"/>
          <w:szCs w:val="22"/>
          <w:lang w:val="en-AU"/>
        </w:rPr>
      </w:pPr>
    </w:p>
    <w:p w14:paraId="113E65A0" w14:textId="21CD529D" w:rsidR="000F6D3C" w:rsidRPr="000A20CD" w:rsidRDefault="000F6D3C" w:rsidP="009F27D7">
      <w:pPr>
        <w:rPr>
          <w:sz w:val="22"/>
          <w:szCs w:val="22"/>
          <w:lang w:val="en-AU"/>
        </w:rPr>
      </w:pPr>
    </w:p>
    <w:p w14:paraId="5CE7204F" w14:textId="0C0393C7" w:rsidR="000F6D3C" w:rsidRPr="000A20CD" w:rsidRDefault="000F6D3C" w:rsidP="009F27D7">
      <w:pPr>
        <w:rPr>
          <w:sz w:val="22"/>
          <w:szCs w:val="22"/>
          <w:lang w:val="en-AU"/>
        </w:rPr>
      </w:pPr>
    </w:p>
    <w:p w14:paraId="0048E1AF" w14:textId="0706A662" w:rsidR="00815C97" w:rsidRPr="000A20CD" w:rsidRDefault="00815C97" w:rsidP="009F27D7">
      <w:pPr>
        <w:rPr>
          <w:sz w:val="22"/>
          <w:szCs w:val="22"/>
          <w:lang w:val="en-AU"/>
        </w:rPr>
      </w:pPr>
    </w:p>
    <w:p w14:paraId="6EFD3517" w14:textId="77777777" w:rsidR="00815C97" w:rsidRPr="000A20CD" w:rsidRDefault="00815C97">
      <w:pPr>
        <w:rPr>
          <w:b/>
          <w:bCs/>
          <w:sz w:val="22"/>
          <w:szCs w:val="22"/>
          <w:lang w:val="en-AU"/>
        </w:rPr>
      </w:pPr>
      <w:r w:rsidRPr="000A20CD">
        <w:rPr>
          <w:b/>
          <w:bCs/>
          <w:sz w:val="22"/>
          <w:szCs w:val="22"/>
          <w:lang w:val="en-AU"/>
        </w:rPr>
        <w:br w:type="page"/>
      </w:r>
    </w:p>
    <w:p w14:paraId="59F2CDC9" w14:textId="77777777" w:rsidR="00024F2A" w:rsidRPr="000A20CD" w:rsidRDefault="00024F2A" w:rsidP="00024F2A">
      <w:pPr>
        <w:spacing w:line="256" w:lineRule="auto"/>
        <w:rPr>
          <w:rFonts w:ascii="Cambria" w:eastAsia="Calibri" w:hAnsi="Cambria" w:cs="Mongolian Baiti"/>
          <w:b/>
          <w:bCs/>
          <w:sz w:val="22"/>
          <w:szCs w:val="28"/>
          <w:lang w:val="en-AU" w:bidi="mn-Mong-CN"/>
        </w:rPr>
      </w:pPr>
      <w:r w:rsidRPr="000A20CD">
        <w:rPr>
          <w:rFonts w:ascii="Cambria" w:eastAsia="Calibri" w:hAnsi="Cambria" w:cs="Mongolian Baiti"/>
          <w:b/>
          <w:bCs/>
          <w:sz w:val="22"/>
          <w:szCs w:val="28"/>
          <w:lang w:val="en-AU" w:bidi="mn-Mong-CN"/>
        </w:rPr>
        <w:t>APPENDIX E</w:t>
      </w:r>
    </w:p>
    <w:p w14:paraId="52CD8590"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3189D495" w14:textId="77777777" w:rsidR="00024F2A" w:rsidRPr="000A20CD" w:rsidRDefault="00024F2A" w:rsidP="00024F2A">
      <w:pPr>
        <w:spacing w:line="256" w:lineRule="auto"/>
        <w:rPr>
          <w:rFonts w:ascii="Cambria" w:eastAsia="Calibri" w:hAnsi="Cambria" w:cs="Mongolian Baiti"/>
          <w:sz w:val="22"/>
          <w:szCs w:val="28"/>
          <w:lang w:bidi="mn-Mong-CN"/>
        </w:rPr>
      </w:pPr>
    </w:p>
    <w:p w14:paraId="0FAD27DB" w14:textId="77777777" w:rsidR="00024F2A" w:rsidRPr="000A20CD" w:rsidRDefault="00024F2A" w:rsidP="00024F2A">
      <w:pPr>
        <w:spacing w:line="256" w:lineRule="auto"/>
        <w:rPr>
          <w:rFonts w:ascii="Cambria" w:eastAsia="Calibri" w:hAnsi="Cambria" w:cs="Mongolian Baiti"/>
          <w:b/>
          <w:bCs/>
          <w:sz w:val="22"/>
          <w:szCs w:val="28"/>
          <w:lang w:bidi="mn-Mong-CN"/>
        </w:rPr>
      </w:pPr>
      <w:r w:rsidRPr="000A20CD">
        <w:rPr>
          <w:rFonts w:ascii="Cambria" w:eastAsia="Calibri" w:hAnsi="Cambria" w:cs="Mongolian Baiti"/>
          <w:b/>
          <w:bCs/>
          <w:sz w:val="22"/>
          <w:szCs w:val="28"/>
          <w:lang w:bidi="mn-Mong-CN"/>
        </w:rPr>
        <w:t>Evidence for exacerbation from experimental studies</w:t>
      </w:r>
    </w:p>
    <w:p w14:paraId="00DEBA3B" w14:textId="77777777" w:rsidR="00024F2A" w:rsidRPr="000A20CD" w:rsidRDefault="00024F2A" w:rsidP="00024F2A">
      <w:pPr>
        <w:spacing w:line="256" w:lineRule="auto"/>
        <w:rPr>
          <w:rFonts w:ascii="Cambria" w:eastAsia="Calibri" w:hAnsi="Cambria" w:cs="Mongolian Baiti"/>
          <w:sz w:val="22"/>
          <w:szCs w:val="28"/>
          <w:lang w:bidi="mn-Mong-CN"/>
        </w:rPr>
      </w:pPr>
    </w:p>
    <w:p w14:paraId="5EC6D941" w14:textId="77777777" w:rsidR="00611AC6" w:rsidRPr="000A20CD" w:rsidRDefault="00611AC6" w:rsidP="00024F2A">
      <w:pPr>
        <w:spacing w:line="256" w:lineRule="auto"/>
        <w:rPr>
          <w:rFonts w:ascii="Cambria" w:eastAsia="Calibri" w:hAnsi="Cambria" w:cs="Mongolian Baiti"/>
          <w:sz w:val="22"/>
          <w:szCs w:val="28"/>
          <w:lang w:bidi="mn-Mong-CN"/>
        </w:rPr>
      </w:pPr>
    </w:p>
    <w:p w14:paraId="70D818D9" w14:textId="0A9C5F48" w:rsidR="00611AC6" w:rsidRPr="000A20CD" w:rsidRDefault="00611AC6" w:rsidP="00024F2A">
      <w:pPr>
        <w:spacing w:line="256" w:lineRule="auto"/>
        <w:rPr>
          <w:rFonts w:ascii="Cambria" w:eastAsia="Calibri" w:hAnsi="Cambria" w:cs="Mongolian Baiti"/>
          <w:i/>
          <w:iCs/>
          <w:sz w:val="22"/>
          <w:szCs w:val="28"/>
          <w:lang w:bidi="mn-Mong-CN"/>
        </w:rPr>
      </w:pPr>
      <w:r w:rsidRPr="000A20CD">
        <w:rPr>
          <w:rFonts w:ascii="Cambria" w:eastAsia="Calibri" w:hAnsi="Cambria" w:cs="Mongolian Baiti"/>
          <w:i/>
          <w:iCs/>
          <w:sz w:val="22"/>
          <w:szCs w:val="28"/>
          <w:lang w:bidi="mn-Mong-CN"/>
        </w:rPr>
        <w:t>A review by Simmons et al. (2022)</w:t>
      </w:r>
    </w:p>
    <w:p w14:paraId="43E42031" w14:textId="77777777" w:rsidR="00611AC6" w:rsidRPr="000A20CD" w:rsidRDefault="00611AC6" w:rsidP="00024F2A">
      <w:pPr>
        <w:spacing w:line="256" w:lineRule="auto"/>
        <w:rPr>
          <w:rFonts w:ascii="Cambria" w:eastAsia="Calibri" w:hAnsi="Cambria" w:cs="Mongolian Baiti"/>
          <w:sz w:val="22"/>
          <w:szCs w:val="28"/>
          <w:lang w:bidi="mn-Mong-CN"/>
        </w:rPr>
      </w:pPr>
    </w:p>
    <w:p w14:paraId="7B9B095A" w14:textId="2D3E237C"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We have not yet referred to any of the </w:t>
      </w:r>
      <w:r w:rsidRPr="000A20CD">
        <w:rPr>
          <w:rFonts w:ascii="Cambria" w:eastAsia="Calibri" w:hAnsi="Cambria" w:cs="Mongolian Baiti"/>
          <w:i/>
          <w:iCs/>
          <w:sz w:val="22"/>
          <w:szCs w:val="28"/>
          <w:lang w:bidi="mn-Mong-CN"/>
        </w:rPr>
        <w:t>experimental</w:t>
      </w:r>
      <w:r w:rsidRPr="000A20CD">
        <w:rPr>
          <w:rFonts w:ascii="Cambria" w:eastAsia="Calibri" w:hAnsi="Cambria" w:cs="Mongolian Baiti"/>
          <w:sz w:val="22"/>
          <w:szCs w:val="28"/>
          <w:lang w:bidi="mn-Mong-CN"/>
        </w:rPr>
        <w:t xml:space="preserve"> literature on the impairing effects of cannabis in combination with alcohol on driving performance and driver behaviour. As for crash risks, we describe a joint deleterious effect that is greater than the deleterious effect of alcohol alone as an ‘exacerbation’ effect. Simmons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(2022) have recently published a systematic review with meta-analyses of the effects of alcohol and cannabis, alone and in combination, on driving performance and driver behaviour. We take their work as the starting point for much of our discussion in this appendix.</w:t>
      </w:r>
    </w:p>
    <w:p w14:paraId="05C2AA13" w14:textId="77777777" w:rsidR="00024F2A" w:rsidRPr="000A20CD" w:rsidRDefault="00024F2A" w:rsidP="00024F2A">
      <w:pPr>
        <w:spacing w:line="256" w:lineRule="auto"/>
        <w:rPr>
          <w:rFonts w:ascii="Cambria" w:eastAsia="Calibri" w:hAnsi="Cambria" w:cs="Mongolian Baiti"/>
          <w:sz w:val="22"/>
          <w:szCs w:val="28"/>
          <w:lang w:bidi="mn-Mong-CN"/>
        </w:rPr>
      </w:pPr>
    </w:p>
    <w:p w14:paraId="18035AF8"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Simmons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(2022: 2) included only those experimental studies that were conducted in driving simulators, on closed road courses or on public roads. They excluded experimental laboratory studies of psycho-motor skills, for much the same reasons as given by Owens and Ramaekers</w:t>
      </w:r>
      <w:r w:rsidRPr="000A20CD">
        <w:rPr>
          <w:rFonts w:ascii="Cambria" w:eastAsia="Calibri" w:hAnsi="Cambria" w:cs="Mongolian Baiti"/>
          <w:sz w:val="22"/>
          <w:szCs w:val="28"/>
          <w:lang w:val="en-AU" w:bidi="mn-Mong-CN"/>
        </w:rPr>
        <w:t xml:space="preserve"> (2009: 52):</w:t>
      </w:r>
    </w:p>
    <w:p w14:paraId="53C59B2F" w14:textId="77777777" w:rsidR="00024F2A" w:rsidRPr="000A20CD" w:rsidRDefault="00024F2A" w:rsidP="00024F2A">
      <w:pPr>
        <w:spacing w:line="256" w:lineRule="auto"/>
        <w:rPr>
          <w:rFonts w:ascii="Cambria" w:eastAsia="Calibri" w:hAnsi="Cambria" w:cs="Mongolian Baiti"/>
          <w:sz w:val="22"/>
          <w:szCs w:val="28"/>
          <w:lang w:bidi="mn-Mong-CN"/>
        </w:rPr>
      </w:pPr>
    </w:p>
    <w:p w14:paraId="5EDF31AA" w14:textId="77777777" w:rsidR="00024F2A" w:rsidRPr="000A20CD" w:rsidRDefault="00024F2A" w:rsidP="00024F2A">
      <w:pPr>
        <w:spacing w:line="256" w:lineRule="auto"/>
        <w:ind w:left="567" w:right="850"/>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A wide range of experimental studies have assessed drug effects on laboratory test performance over the last three decades. Although various investigators have claimed that their task or task-battery taps driving-related skills, most studies show no proof for such a claim, or even a reasonable theoretical rationale. In general, investigators have employed a wide range of laboratory tests measuring aspects of perception, attention, motor control, cognitive function or central-nervous-system (CNS) arousal that are assumed to underlie safer driving. However, none of these tests has ever been shown to closely predict driving performance or traffic accidents. </w:t>
      </w:r>
    </w:p>
    <w:p w14:paraId="33812D8F" w14:textId="77777777" w:rsidR="00024F2A" w:rsidRPr="000A20CD" w:rsidRDefault="00024F2A" w:rsidP="00024F2A">
      <w:pPr>
        <w:spacing w:line="256" w:lineRule="auto"/>
        <w:rPr>
          <w:rFonts w:ascii="Cambria" w:eastAsia="Calibri" w:hAnsi="Cambria" w:cs="Mongolian Baiti"/>
          <w:sz w:val="22"/>
          <w:szCs w:val="28"/>
          <w:lang w:bidi="mn-Mong-CN"/>
        </w:rPr>
      </w:pPr>
    </w:p>
    <w:p w14:paraId="7DBDA8E1"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Simmons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(2022) reported results for eight dependent variables, all of which were selected on the basis of Fuller’s (2005) theory of driver behaviour for [arguably] being directly relevant to road safety: crashes (simulated); hazard reaction time; lateral position variability (‘weaving’); time-out-of-lane (TOL); total number of lane excursions; speed; speed variability; and speed exceedances. </w:t>
      </w:r>
    </w:p>
    <w:p w14:paraId="7004A916" w14:textId="77777777" w:rsidR="00024F2A" w:rsidRPr="000A20CD" w:rsidRDefault="00024F2A" w:rsidP="00024F2A">
      <w:pPr>
        <w:spacing w:line="256" w:lineRule="auto"/>
        <w:rPr>
          <w:rFonts w:ascii="Cambria" w:eastAsia="Calibri" w:hAnsi="Cambria" w:cs="Mongolian Baiti"/>
          <w:sz w:val="22"/>
          <w:szCs w:val="28"/>
          <w:lang w:bidi="mn-Mong-CN"/>
        </w:rPr>
      </w:pPr>
    </w:p>
    <w:p w14:paraId="2B1D1B94" w14:textId="77777777" w:rsidR="00421CAE"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Simmons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(2022) reported that, for those outcomes where cannabis </w:t>
      </w:r>
      <w:r w:rsidRPr="000A20CD">
        <w:rPr>
          <w:rFonts w:ascii="Cambria" w:eastAsia="Calibri" w:hAnsi="Cambria" w:cs="Mongolian Baiti"/>
          <w:i/>
          <w:iCs/>
          <w:sz w:val="22"/>
          <w:szCs w:val="28"/>
          <w:lang w:bidi="mn-Mong-CN"/>
        </w:rPr>
        <w:t>alone</w:t>
      </w:r>
      <w:r w:rsidRPr="000A20CD">
        <w:rPr>
          <w:rFonts w:ascii="Cambria" w:eastAsia="Calibri" w:hAnsi="Cambria" w:cs="Mongolian Baiti"/>
          <w:sz w:val="22"/>
          <w:szCs w:val="28"/>
          <w:lang w:bidi="mn-Mong-CN"/>
        </w:rPr>
        <w:t xml:space="preserve"> had an impairing effect, the strength of the effect was equivalent to that of alcohol at a BAC of about 0.05. However, they paid particular attention to the impairing effects of the </w:t>
      </w:r>
      <w:r w:rsidRPr="000A20CD">
        <w:rPr>
          <w:rFonts w:ascii="Cambria" w:eastAsia="Calibri" w:hAnsi="Cambria" w:cs="Mongolian Baiti"/>
          <w:i/>
          <w:iCs/>
          <w:sz w:val="22"/>
          <w:szCs w:val="28"/>
          <w:lang w:bidi="mn-Mong-CN"/>
        </w:rPr>
        <w:t>combined</w:t>
      </w:r>
      <w:r w:rsidRPr="000A20CD">
        <w:rPr>
          <w:rFonts w:ascii="Cambria" w:eastAsia="Calibri" w:hAnsi="Cambria" w:cs="Mongolian Baiti"/>
          <w:sz w:val="22"/>
          <w:szCs w:val="28"/>
          <w:lang w:bidi="mn-Mong-CN"/>
        </w:rPr>
        <w:t xml:space="preserve"> use of alcohol and cannabis. As reported in their Table 3 and Supplemental Figures E51 to E74, they found no evidence of </w:t>
      </w:r>
      <w:r w:rsidRPr="000A20CD">
        <w:rPr>
          <w:rFonts w:ascii="Cambria" w:eastAsia="Calibri" w:hAnsi="Cambria" w:cs="Mongolian Baiti"/>
          <w:i/>
          <w:iCs/>
          <w:sz w:val="22"/>
          <w:szCs w:val="28"/>
          <w:lang w:bidi="mn-Mong-CN"/>
        </w:rPr>
        <w:t>exacerbation</w:t>
      </w:r>
      <w:r w:rsidRPr="000A20CD">
        <w:rPr>
          <w:rFonts w:ascii="Cambria" w:eastAsia="Calibri" w:hAnsi="Cambria" w:cs="Mongolian Baiti"/>
          <w:sz w:val="22"/>
          <w:szCs w:val="28"/>
          <w:lang w:bidi="mn-Mong-CN"/>
        </w:rPr>
        <w:t xml:space="preserve"> for six of their eight measures. However, they did find some positive evidence in relation to both weaving and TOL. These two measures are related, because TOL is a consequence of excessive weaving (see Ramaekers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2000, Figure 3). </w:t>
      </w:r>
    </w:p>
    <w:p w14:paraId="20F9804D" w14:textId="77777777" w:rsidR="00421CAE" w:rsidRPr="000A20CD" w:rsidRDefault="00421CAE" w:rsidP="00024F2A">
      <w:pPr>
        <w:spacing w:line="256" w:lineRule="auto"/>
        <w:rPr>
          <w:rFonts w:ascii="Cambria" w:eastAsia="Calibri" w:hAnsi="Cambria" w:cs="Mongolian Baiti"/>
          <w:sz w:val="22"/>
          <w:szCs w:val="28"/>
          <w:lang w:bidi="mn-Mong-CN"/>
        </w:rPr>
      </w:pPr>
    </w:p>
    <w:p w14:paraId="7DD799D0" w14:textId="16B7B723"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Four studies were included in the meta-analysis for weaving (Hartman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2015; Ramaekers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2000; Ronen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2010; Sexton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2002), but only one for TOL (Ramaekers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2000). The findings are summarized here in Table E1 (where RMSLP is an alternative measure of SDLP). It should be noted that the target BACs were quite low, in the vicinity of 0.05, for all four studies.</w:t>
      </w:r>
    </w:p>
    <w:p w14:paraId="5334C542" w14:textId="77777777" w:rsidR="00024F2A" w:rsidRPr="000A20CD" w:rsidRDefault="00024F2A" w:rsidP="00024F2A">
      <w:pPr>
        <w:spacing w:line="256" w:lineRule="auto"/>
        <w:rPr>
          <w:rFonts w:ascii="Cambria" w:eastAsia="Calibri" w:hAnsi="Cambria" w:cs="Mongolian Baiti"/>
          <w:sz w:val="22"/>
          <w:szCs w:val="28"/>
          <w:lang w:bidi="mn-Mong-CN"/>
        </w:rPr>
      </w:pPr>
    </w:p>
    <w:p w14:paraId="2A806931" w14:textId="2AE95696"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Table E1 shows that Hartman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(2015) found no evidence for an exacerbation effect. The table also indicates that there is no evidence for exacerbation from Sexton </w:t>
      </w:r>
      <w:r w:rsidRPr="000A20CD">
        <w:rPr>
          <w:rFonts w:ascii="Cambria" w:eastAsia="Calibri" w:hAnsi="Cambria" w:cs="Mongolian Baiti"/>
          <w:i/>
          <w:iCs/>
          <w:sz w:val="22"/>
          <w:szCs w:val="28"/>
          <w:lang w:bidi="mn-Mong-CN"/>
        </w:rPr>
        <w:t>et al’s</w:t>
      </w:r>
      <w:r w:rsidRPr="000A20CD">
        <w:rPr>
          <w:rFonts w:ascii="Cambria" w:eastAsia="Calibri" w:hAnsi="Cambria" w:cs="Mongolian Baiti"/>
          <w:sz w:val="22"/>
          <w:szCs w:val="28"/>
          <w:lang w:bidi="mn-Mong-CN"/>
        </w:rPr>
        <w:t xml:space="preserve"> (2002) study. However, that evidence could perhaps have been described as ‘marginal’: although Sexton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in their Table 22, describe their exacerbation effect as ‘non-significant’, Simmons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(2022, Figure E59) report that it is statistically significant under one of their three meta-analytic modelling assumptions. It can be seen from Table E1 that only two of the four studies </w:t>
      </w:r>
      <w:r w:rsidR="00421CAE" w:rsidRPr="000A20CD">
        <w:rPr>
          <w:rFonts w:ascii="Cambria" w:eastAsia="Calibri" w:hAnsi="Cambria" w:cs="Mongolian Baiti"/>
          <w:sz w:val="22"/>
          <w:szCs w:val="28"/>
          <w:lang w:bidi="mn-Mong-CN"/>
        </w:rPr>
        <w:t xml:space="preserve">on weaving </w:t>
      </w:r>
      <w:r w:rsidR="000C0FAE" w:rsidRPr="000A20CD">
        <w:rPr>
          <w:rFonts w:ascii="Cambria" w:eastAsia="Calibri" w:hAnsi="Cambria" w:cs="Mongolian Baiti"/>
          <w:sz w:val="22"/>
          <w:szCs w:val="28"/>
          <w:lang w:bidi="mn-Mong-CN"/>
        </w:rPr>
        <w:t xml:space="preserve">(SDLP/RMSLP) </w:t>
      </w:r>
      <w:r w:rsidRPr="000A20CD">
        <w:rPr>
          <w:rFonts w:ascii="Cambria" w:eastAsia="Calibri" w:hAnsi="Cambria" w:cs="Mongolian Baiti"/>
          <w:sz w:val="22"/>
          <w:szCs w:val="28"/>
          <w:lang w:bidi="mn-Mong-CN"/>
        </w:rPr>
        <w:t xml:space="preserve">report evidence of an exacerbation effect, such that the overall evidence for an exacerbation effect for lane control at low BACs is patchy.     </w:t>
      </w:r>
    </w:p>
    <w:p w14:paraId="1B504C14" w14:textId="77777777" w:rsidR="00024F2A" w:rsidRPr="000A20CD" w:rsidRDefault="00024F2A" w:rsidP="00024F2A">
      <w:pPr>
        <w:spacing w:line="256" w:lineRule="auto"/>
        <w:rPr>
          <w:rFonts w:ascii="Cambria" w:eastAsia="Calibri" w:hAnsi="Cambria" w:cs="Mongolian Baiti"/>
          <w:sz w:val="22"/>
          <w:szCs w:val="28"/>
          <w:lang w:bidi="mn-Mong-CN"/>
        </w:rPr>
      </w:pPr>
    </w:p>
    <w:p w14:paraId="7283557B" w14:textId="77777777" w:rsidR="00024F2A" w:rsidRPr="000A20CD" w:rsidRDefault="00024F2A" w:rsidP="00024F2A">
      <w:pPr>
        <w:spacing w:line="256" w:lineRule="auto"/>
        <w:rPr>
          <w:rFonts w:ascii="Cambria" w:eastAsia="Calibri" w:hAnsi="Cambria" w:cs="Mongolian Baiti"/>
          <w:sz w:val="22"/>
          <w:szCs w:val="28"/>
          <w:lang w:bidi="mn-Mong-CN"/>
        </w:rPr>
      </w:pPr>
    </w:p>
    <w:p w14:paraId="3373550F"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b/>
          <w:bCs/>
          <w:sz w:val="22"/>
          <w:szCs w:val="28"/>
          <w:lang w:bidi="mn-Mong-CN"/>
        </w:rPr>
        <w:t>Table E1</w:t>
      </w:r>
      <w:r w:rsidRPr="000A20CD">
        <w:rPr>
          <w:rFonts w:ascii="Cambria" w:eastAsia="Calibri" w:hAnsi="Cambria" w:cs="Mongolian Baiti"/>
          <w:sz w:val="22"/>
          <w:szCs w:val="28"/>
          <w:lang w:bidi="mn-Mong-CN"/>
        </w:rPr>
        <w:t xml:space="preserve">. Exacerbation findings from Simmons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(2022) for lane control</w:t>
      </w:r>
    </w:p>
    <w:p w14:paraId="6A92E036" w14:textId="77777777" w:rsidR="00024F2A" w:rsidRPr="000A20CD" w:rsidRDefault="00024F2A" w:rsidP="00024F2A">
      <w:pPr>
        <w:spacing w:line="256" w:lineRule="auto"/>
        <w:rPr>
          <w:rFonts w:ascii="Cambria" w:eastAsia="Calibri" w:hAnsi="Cambria" w:cs="Mongolian Baiti"/>
          <w:sz w:val="22"/>
          <w:szCs w:val="28"/>
          <w:lang w:bidi="mn-Mong-CN"/>
        </w:rPr>
      </w:pPr>
    </w:p>
    <w:tbl>
      <w:tblPr>
        <w:tblStyle w:val="TableGrid1"/>
        <w:tblW w:w="0" w:type="auto"/>
        <w:tblInd w:w="0" w:type="dxa"/>
        <w:tblLook w:val="04A0" w:firstRow="1" w:lastRow="0" w:firstColumn="1" w:lastColumn="0" w:noHBand="0" w:noVBand="1"/>
      </w:tblPr>
      <w:tblGrid>
        <w:gridCol w:w="2277"/>
        <w:gridCol w:w="1482"/>
        <w:gridCol w:w="1504"/>
        <w:gridCol w:w="1448"/>
        <w:gridCol w:w="1579"/>
      </w:tblGrid>
      <w:tr w:rsidR="000A20CD" w:rsidRPr="000A20CD" w14:paraId="2FC663B9" w14:textId="77777777" w:rsidTr="00024F2A">
        <w:trPr>
          <w:trHeight w:val="585"/>
        </w:trPr>
        <w:tc>
          <w:tcPr>
            <w:tcW w:w="2547" w:type="dxa"/>
            <w:tcBorders>
              <w:top w:val="single" w:sz="4" w:space="0" w:color="auto"/>
              <w:left w:val="single" w:sz="4" w:space="0" w:color="auto"/>
              <w:bottom w:val="single" w:sz="4" w:space="0" w:color="auto"/>
              <w:right w:val="single" w:sz="4" w:space="0" w:color="auto"/>
            </w:tcBorders>
            <w:hideMark/>
          </w:tcPr>
          <w:p w14:paraId="1FB06790" w14:textId="77777777" w:rsidR="00024F2A" w:rsidRPr="000A20CD" w:rsidRDefault="00024F2A" w:rsidP="00024F2A">
            <w:pPr>
              <w:rPr>
                <w:rFonts w:ascii="Cambria" w:hAnsi="Cambria"/>
                <w:sz w:val="20"/>
                <w:szCs w:val="20"/>
              </w:rPr>
            </w:pPr>
            <w:r w:rsidRPr="000A20CD">
              <w:rPr>
                <w:rFonts w:ascii="Cambria" w:hAnsi="Cambria"/>
                <w:sz w:val="20"/>
                <w:szCs w:val="20"/>
              </w:rPr>
              <w:t>Study (First author, Date)</w:t>
            </w:r>
          </w:p>
        </w:tc>
        <w:tc>
          <w:tcPr>
            <w:tcW w:w="1617" w:type="dxa"/>
            <w:tcBorders>
              <w:top w:val="single" w:sz="4" w:space="0" w:color="auto"/>
              <w:left w:val="single" w:sz="4" w:space="0" w:color="auto"/>
              <w:bottom w:val="single" w:sz="4" w:space="0" w:color="auto"/>
              <w:right w:val="single" w:sz="4" w:space="0" w:color="auto"/>
            </w:tcBorders>
            <w:hideMark/>
          </w:tcPr>
          <w:p w14:paraId="4D81C106" w14:textId="77777777" w:rsidR="00024F2A" w:rsidRPr="000A20CD" w:rsidRDefault="00024F2A" w:rsidP="00024F2A">
            <w:pPr>
              <w:rPr>
                <w:rFonts w:ascii="Cambria" w:hAnsi="Cambria"/>
                <w:sz w:val="20"/>
                <w:szCs w:val="20"/>
              </w:rPr>
            </w:pPr>
            <w:r w:rsidRPr="000A20CD">
              <w:rPr>
                <w:rFonts w:ascii="Cambria" w:hAnsi="Cambria"/>
                <w:sz w:val="20"/>
                <w:szCs w:val="20"/>
              </w:rPr>
              <w:t>Measure</w:t>
            </w:r>
          </w:p>
        </w:tc>
        <w:tc>
          <w:tcPr>
            <w:tcW w:w="1617" w:type="dxa"/>
            <w:tcBorders>
              <w:top w:val="single" w:sz="4" w:space="0" w:color="auto"/>
              <w:left w:val="single" w:sz="4" w:space="0" w:color="auto"/>
              <w:bottom w:val="single" w:sz="4" w:space="0" w:color="auto"/>
              <w:right w:val="single" w:sz="4" w:space="0" w:color="auto"/>
            </w:tcBorders>
            <w:hideMark/>
          </w:tcPr>
          <w:p w14:paraId="05D6E87D" w14:textId="77777777" w:rsidR="00024F2A" w:rsidRPr="000A20CD" w:rsidRDefault="00024F2A" w:rsidP="00024F2A">
            <w:pPr>
              <w:rPr>
                <w:rFonts w:ascii="Cambria" w:hAnsi="Cambria"/>
                <w:sz w:val="20"/>
                <w:szCs w:val="20"/>
              </w:rPr>
            </w:pPr>
            <w:r w:rsidRPr="000A20CD">
              <w:rPr>
                <w:rFonts w:ascii="Cambria" w:hAnsi="Cambria"/>
                <w:sz w:val="20"/>
                <w:szCs w:val="20"/>
              </w:rPr>
              <w:t>Study Type</w:t>
            </w:r>
          </w:p>
        </w:tc>
        <w:tc>
          <w:tcPr>
            <w:tcW w:w="1617" w:type="dxa"/>
            <w:tcBorders>
              <w:top w:val="single" w:sz="4" w:space="0" w:color="auto"/>
              <w:left w:val="single" w:sz="4" w:space="0" w:color="auto"/>
              <w:bottom w:val="single" w:sz="4" w:space="0" w:color="auto"/>
              <w:right w:val="single" w:sz="4" w:space="0" w:color="auto"/>
            </w:tcBorders>
            <w:hideMark/>
          </w:tcPr>
          <w:p w14:paraId="20A1A6B4" w14:textId="77777777" w:rsidR="00024F2A" w:rsidRPr="000A20CD" w:rsidRDefault="00024F2A" w:rsidP="00024F2A">
            <w:pPr>
              <w:rPr>
                <w:rFonts w:ascii="Cambria" w:hAnsi="Cambria"/>
                <w:sz w:val="20"/>
                <w:szCs w:val="20"/>
              </w:rPr>
            </w:pPr>
            <w:r w:rsidRPr="000A20CD">
              <w:rPr>
                <w:rFonts w:ascii="Cambria" w:hAnsi="Cambria"/>
                <w:sz w:val="20"/>
                <w:szCs w:val="20"/>
              </w:rPr>
              <w:t>Target BAC</w:t>
            </w:r>
          </w:p>
        </w:tc>
        <w:tc>
          <w:tcPr>
            <w:tcW w:w="1618" w:type="dxa"/>
            <w:tcBorders>
              <w:top w:val="single" w:sz="4" w:space="0" w:color="auto"/>
              <w:left w:val="single" w:sz="4" w:space="0" w:color="auto"/>
              <w:bottom w:val="single" w:sz="4" w:space="0" w:color="auto"/>
              <w:right w:val="single" w:sz="4" w:space="0" w:color="auto"/>
            </w:tcBorders>
            <w:hideMark/>
          </w:tcPr>
          <w:p w14:paraId="74851011" w14:textId="77777777" w:rsidR="00024F2A" w:rsidRPr="000A20CD" w:rsidRDefault="00024F2A" w:rsidP="00024F2A">
            <w:pPr>
              <w:rPr>
                <w:rFonts w:ascii="Cambria" w:hAnsi="Cambria"/>
                <w:sz w:val="20"/>
                <w:szCs w:val="20"/>
              </w:rPr>
            </w:pPr>
            <w:r w:rsidRPr="000A20CD">
              <w:rPr>
                <w:rFonts w:ascii="Cambria" w:hAnsi="Cambria"/>
                <w:sz w:val="20"/>
                <w:szCs w:val="20"/>
              </w:rPr>
              <w:t>Evidence for Exacerbation?</w:t>
            </w:r>
          </w:p>
        </w:tc>
      </w:tr>
      <w:tr w:rsidR="000A20CD" w:rsidRPr="000A20CD" w14:paraId="31FDAFC3" w14:textId="77777777" w:rsidTr="00024F2A">
        <w:tc>
          <w:tcPr>
            <w:tcW w:w="2547" w:type="dxa"/>
            <w:tcBorders>
              <w:top w:val="single" w:sz="4" w:space="0" w:color="auto"/>
              <w:left w:val="single" w:sz="4" w:space="0" w:color="auto"/>
              <w:bottom w:val="single" w:sz="4" w:space="0" w:color="auto"/>
              <w:right w:val="single" w:sz="4" w:space="0" w:color="auto"/>
            </w:tcBorders>
            <w:hideMark/>
          </w:tcPr>
          <w:p w14:paraId="68EC7A4F" w14:textId="77777777" w:rsidR="00024F2A" w:rsidRPr="000A20CD" w:rsidRDefault="00024F2A" w:rsidP="00024F2A">
            <w:pPr>
              <w:rPr>
                <w:rFonts w:ascii="Cambria" w:hAnsi="Cambria"/>
                <w:sz w:val="20"/>
                <w:szCs w:val="20"/>
              </w:rPr>
            </w:pPr>
            <w:r w:rsidRPr="000A20CD">
              <w:rPr>
                <w:rFonts w:ascii="Cambria" w:hAnsi="Cambria"/>
                <w:sz w:val="20"/>
                <w:szCs w:val="20"/>
              </w:rPr>
              <w:t>Hartman, 2015</w:t>
            </w:r>
          </w:p>
        </w:tc>
        <w:tc>
          <w:tcPr>
            <w:tcW w:w="1617" w:type="dxa"/>
            <w:tcBorders>
              <w:top w:val="single" w:sz="4" w:space="0" w:color="auto"/>
              <w:left w:val="single" w:sz="4" w:space="0" w:color="auto"/>
              <w:bottom w:val="single" w:sz="4" w:space="0" w:color="auto"/>
              <w:right w:val="single" w:sz="4" w:space="0" w:color="auto"/>
            </w:tcBorders>
            <w:hideMark/>
          </w:tcPr>
          <w:p w14:paraId="531D1B30" w14:textId="77777777" w:rsidR="00024F2A" w:rsidRPr="000A20CD" w:rsidRDefault="00024F2A" w:rsidP="00024F2A">
            <w:pPr>
              <w:rPr>
                <w:rFonts w:ascii="Cambria" w:hAnsi="Cambria"/>
                <w:sz w:val="20"/>
                <w:szCs w:val="20"/>
              </w:rPr>
            </w:pPr>
            <w:r w:rsidRPr="000A20CD">
              <w:rPr>
                <w:rFonts w:ascii="Cambria" w:hAnsi="Cambria"/>
                <w:sz w:val="20"/>
                <w:szCs w:val="20"/>
              </w:rPr>
              <w:t>SDLP</w:t>
            </w:r>
          </w:p>
        </w:tc>
        <w:tc>
          <w:tcPr>
            <w:tcW w:w="1617" w:type="dxa"/>
            <w:tcBorders>
              <w:top w:val="single" w:sz="4" w:space="0" w:color="auto"/>
              <w:left w:val="single" w:sz="4" w:space="0" w:color="auto"/>
              <w:bottom w:val="single" w:sz="4" w:space="0" w:color="auto"/>
              <w:right w:val="single" w:sz="4" w:space="0" w:color="auto"/>
            </w:tcBorders>
            <w:hideMark/>
          </w:tcPr>
          <w:p w14:paraId="1EA8EF42" w14:textId="77777777" w:rsidR="00024F2A" w:rsidRPr="000A20CD" w:rsidRDefault="00024F2A" w:rsidP="00024F2A">
            <w:pPr>
              <w:rPr>
                <w:rFonts w:ascii="Cambria" w:hAnsi="Cambria"/>
                <w:sz w:val="20"/>
                <w:szCs w:val="20"/>
              </w:rPr>
            </w:pPr>
            <w:r w:rsidRPr="000A20CD">
              <w:rPr>
                <w:rFonts w:ascii="Cambria" w:hAnsi="Cambria"/>
                <w:sz w:val="20"/>
                <w:szCs w:val="20"/>
              </w:rPr>
              <w:t>Simulator</w:t>
            </w:r>
          </w:p>
        </w:tc>
        <w:tc>
          <w:tcPr>
            <w:tcW w:w="1617" w:type="dxa"/>
            <w:tcBorders>
              <w:top w:val="single" w:sz="4" w:space="0" w:color="auto"/>
              <w:left w:val="single" w:sz="4" w:space="0" w:color="auto"/>
              <w:bottom w:val="single" w:sz="4" w:space="0" w:color="auto"/>
              <w:right w:val="single" w:sz="4" w:space="0" w:color="auto"/>
            </w:tcBorders>
            <w:hideMark/>
          </w:tcPr>
          <w:p w14:paraId="51EF8341" w14:textId="77777777" w:rsidR="00024F2A" w:rsidRPr="000A20CD" w:rsidRDefault="00024F2A" w:rsidP="00024F2A">
            <w:pPr>
              <w:rPr>
                <w:rFonts w:ascii="Cambria" w:hAnsi="Cambria"/>
                <w:sz w:val="20"/>
                <w:szCs w:val="20"/>
              </w:rPr>
            </w:pPr>
            <w:r w:rsidRPr="000A20CD">
              <w:rPr>
                <w:rFonts w:ascii="Cambria" w:hAnsi="Cambria"/>
                <w:sz w:val="20"/>
                <w:szCs w:val="20"/>
              </w:rPr>
              <w:t>0.065</w:t>
            </w:r>
          </w:p>
        </w:tc>
        <w:tc>
          <w:tcPr>
            <w:tcW w:w="1618" w:type="dxa"/>
            <w:tcBorders>
              <w:top w:val="single" w:sz="4" w:space="0" w:color="auto"/>
              <w:left w:val="single" w:sz="4" w:space="0" w:color="auto"/>
              <w:bottom w:val="single" w:sz="4" w:space="0" w:color="auto"/>
              <w:right w:val="single" w:sz="4" w:space="0" w:color="auto"/>
            </w:tcBorders>
            <w:hideMark/>
          </w:tcPr>
          <w:p w14:paraId="6C8B2B01" w14:textId="77777777" w:rsidR="00024F2A" w:rsidRPr="000A20CD" w:rsidRDefault="00024F2A" w:rsidP="00024F2A">
            <w:pPr>
              <w:rPr>
                <w:rFonts w:ascii="Cambria" w:hAnsi="Cambria"/>
                <w:sz w:val="20"/>
                <w:szCs w:val="20"/>
              </w:rPr>
            </w:pPr>
            <w:r w:rsidRPr="000A20CD">
              <w:rPr>
                <w:rFonts w:ascii="Cambria" w:hAnsi="Cambria"/>
                <w:sz w:val="20"/>
                <w:szCs w:val="20"/>
              </w:rPr>
              <w:t>No</w:t>
            </w:r>
          </w:p>
        </w:tc>
      </w:tr>
      <w:tr w:rsidR="000A20CD" w:rsidRPr="000A20CD" w14:paraId="0C7E169C" w14:textId="77777777" w:rsidTr="00024F2A">
        <w:tc>
          <w:tcPr>
            <w:tcW w:w="2547" w:type="dxa"/>
            <w:tcBorders>
              <w:top w:val="single" w:sz="4" w:space="0" w:color="auto"/>
              <w:left w:val="single" w:sz="4" w:space="0" w:color="auto"/>
              <w:bottom w:val="single" w:sz="4" w:space="0" w:color="auto"/>
              <w:right w:val="single" w:sz="4" w:space="0" w:color="auto"/>
            </w:tcBorders>
            <w:hideMark/>
          </w:tcPr>
          <w:p w14:paraId="6C4CA2FB" w14:textId="77777777" w:rsidR="00024F2A" w:rsidRPr="000A20CD" w:rsidRDefault="00024F2A" w:rsidP="00024F2A">
            <w:pPr>
              <w:rPr>
                <w:rFonts w:ascii="Cambria" w:hAnsi="Cambria"/>
                <w:sz w:val="20"/>
                <w:szCs w:val="20"/>
              </w:rPr>
            </w:pPr>
            <w:r w:rsidRPr="000A20CD">
              <w:rPr>
                <w:rFonts w:ascii="Cambria" w:hAnsi="Cambria"/>
                <w:sz w:val="20"/>
                <w:szCs w:val="20"/>
              </w:rPr>
              <w:t>Ramaekers, 2000</w:t>
            </w:r>
          </w:p>
        </w:tc>
        <w:tc>
          <w:tcPr>
            <w:tcW w:w="1617" w:type="dxa"/>
            <w:tcBorders>
              <w:top w:val="single" w:sz="4" w:space="0" w:color="auto"/>
              <w:left w:val="single" w:sz="4" w:space="0" w:color="auto"/>
              <w:bottom w:val="single" w:sz="4" w:space="0" w:color="auto"/>
              <w:right w:val="single" w:sz="4" w:space="0" w:color="auto"/>
            </w:tcBorders>
            <w:hideMark/>
          </w:tcPr>
          <w:p w14:paraId="53155A8A" w14:textId="77777777" w:rsidR="00024F2A" w:rsidRPr="000A20CD" w:rsidRDefault="00024F2A" w:rsidP="00024F2A">
            <w:pPr>
              <w:rPr>
                <w:rFonts w:ascii="Cambria" w:hAnsi="Cambria"/>
                <w:sz w:val="20"/>
                <w:szCs w:val="20"/>
              </w:rPr>
            </w:pPr>
            <w:r w:rsidRPr="000A20CD">
              <w:rPr>
                <w:rFonts w:ascii="Cambria" w:hAnsi="Cambria"/>
                <w:sz w:val="20"/>
                <w:szCs w:val="20"/>
              </w:rPr>
              <w:t>SDLP</w:t>
            </w:r>
          </w:p>
        </w:tc>
        <w:tc>
          <w:tcPr>
            <w:tcW w:w="1617" w:type="dxa"/>
            <w:tcBorders>
              <w:top w:val="single" w:sz="4" w:space="0" w:color="auto"/>
              <w:left w:val="single" w:sz="4" w:space="0" w:color="auto"/>
              <w:bottom w:val="single" w:sz="4" w:space="0" w:color="auto"/>
              <w:right w:val="single" w:sz="4" w:space="0" w:color="auto"/>
            </w:tcBorders>
            <w:hideMark/>
          </w:tcPr>
          <w:p w14:paraId="753F3493" w14:textId="77777777" w:rsidR="00024F2A" w:rsidRPr="000A20CD" w:rsidRDefault="00024F2A" w:rsidP="00024F2A">
            <w:pPr>
              <w:rPr>
                <w:rFonts w:ascii="Cambria" w:hAnsi="Cambria"/>
                <w:sz w:val="20"/>
                <w:szCs w:val="20"/>
              </w:rPr>
            </w:pPr>
            <w:r w:rsidRPr="000A20CD">
              <w:rPr>
                <w:rFonts w:ascii="Cambria" w:hAnsi="Cambria"/>
                <w:sz w:val="20"/>
                <w:szCs w:val="20"/>
              </w:rPr>
              <w:t>On-road</w:t>
            </w:r>
          </w:p>
        </w:tc>
        <w:tc>
          <w:tcPr>
            <w:tcW w:w="1617" w:type="dxa"/>
            <w:tcBorders>
              <w:top w:val="single" w:sz="4" w:space="0" w:color="auto"/>
              <w:left w:val="single" w:sz="4" w:space="0" w:color="auto"/>
              <w:bottom w:val="single" w:sz="4" w:space="0" w:color="auto"/>
              <w:right w:val="single" w:sz="4" w:space="0" w:color="auto"/>
            </w:tcBorders>
            <w:hideMark/>
          </w:tcPr>
          <w:p w14:paraId="14D0E071" w14:textId="77777777" w:rsidR="00024F2A" w:rsidRPr="000A20CD" w:rsidRDefault="00024F2A" w:rsidP="00024F2A">
            <w:pPr>
              <w:rPr>
                <w:rFonts w:ascii="Cambria" w:hAnsi="Cambria"/>
                <w:sz w:val="20"/>
                <w:szCs w:val="20"/>
              </w:rPr>
            </w:pPr>
            <w:r w:rsidRPr="000A20CD">
              <w:rPr>
                <w:rFonts w:ascii="Cambria" w:hAnsi="Cambria"/>
                <w:sz w:val="20"/>
                <w:szCs w:val="20"/>
              </w:rPr>
              <w:t>0.05</w:t>
            </w:r>
          </w:p>
        </w:tc>
        <w:tc>
          <w:tcPr>
            <w:tcW w:w="1618" w:type="dxa"/>
            <w:tcBorders>
              <w:top w:val="single" w:sz="4" w:space="0" w:color="auto"/>
              <w:left w:val="single" w:sz="4" w:space="0" w:color="auto"/>
              <w:bottom w:val="single" w:sz="4" w:space="0" w:color="auto"/>
              <w:right w:val="single" w:sz="4" w:space="0" w:color="auto"/>
            </w:tcBorders>
            <w:hideMark/>
          </w:tcPr>
          <w:p w14:paraId="2C3F1E67" w14:textId="77777777" w:rsidR="00024F2A" w:rsidRPr="000A20CD" w:rsidRDefault="00024F2A" w:rsidP="00024F2A">
            <w:pPr>
              <w:rPr>
                <w:rFonts w:ascii="Cambria" w:hAnsi="Cambria"/>
                <w:sz w:val="20"/>
                <w:szCs w:val="20"/>
              </w:rPr>
            </w:pPr>
            <w:r w:rsidRPr="000A20CD">
              <w:rPr>
                <w:rFonts w:ascii="Cambria" w:hAnsi="Cambria"/>
                <w:sz w:val="20"/>
                <w:szCs w:val="20"/>
              </w:rPr>
              <w:t>Yes</w:t>
            </w:r>
          </w:p>
        </w:tc>
      </w:tr>
      <w:tr w:rsidR="000A20CD" w:rsidRPr="000A20CD" w14:paraId="6230129D" w14:textId="77777777" w:rsidTr="00024F2A">
        <w:tc>
          <w:tcPr>
            <w:tcW w:w="2547" w:type="dxa"/>
            <w:tcBorders>
              <w:top w:val="single" w:sz="4" w:space="0" w:color="auto"/>
              <w:left w:val="single" w:sz="4" w:space="0" w:color="auto"/>
              <w:bottom w:val="single" w:sz="4" w:space="0" w:color="auto"/>
              <w:right w:val="single" w:sz="4" w:space="0" w:color="auto"/>
            </w:tcBorders>
            <w:hideMark/>
          </w:tcPr>
          <w:p w14:paraId="5C361332" w14:textId="77777777" w:rsidR="00024F2A" w:rsidRPr="000A20CD" w:rsidRDefault="00024F2A" w:rsidP="00024F2A">
            <w:pPr>
              <w:rPr>
                <w:rFonts w:ascii="Cambria" w:hAnsi="Cambria"/>
                <w:sz w:val="20"/>
                <w:szCs w:val="20"/>
              </w:rPr>
            </w:pPr>
            <w:r w:rsidRPr="000A20CD">
              <w:rPr>
                <w:rFonts w:ascii="Cambria" w:hAnsi="Cambria"/>
                <w:sz w:val="20"/>
                <w:szCs w:val="20"/>
              </w:rPr>
              <w:t>Ronen, 2010</w:t>
            </w:r>
          </w:p>
        </w:tc>
        <w:tc>
          <w:tcPr>
            <w:tcW w:w="1617" w:type="dxa"/>
            <w:tcBorders>
              <w:top w:val="single" w:sz="4" w:space="0" w:color="auto"/>
              <w:left w:val="single" w:sz="4" w:space="0" w:color="auto"/>
              <w:bottom w:val="single" w:sz="4" w:space="0" w:color="auto"/>
              <w:right w:val="single" w:sz="4" w:space="0" w:color="auto"/>
            </w:tcBorders>
            <w:hideMark/>
          </w:tcPr>
          <w:p w14:paraId="218B4BAB" w14:textId="77777777" w:rsidR="00024F2A" w:rsidRPr="000A20CD" w:rsidRDefault="00024F2A" w:rsidP="00024F2A">
            <w:pPr>
              <w:rPr>
                <w:rFonts w:ascii="Cambria" w:hAnsi="Cambria"/>
                <w:sz w:val="20"/>
                <w:szCs w:val="20"/>
              </w:rPr>
            </w:pPr>
            <w:r w:rsidRPr="000A20CD">
              <w:rPr>
                <w:rFonts w:ascii="Cambria" w:hAnsi="Cambria"/>
                <w:sz w:val="20"/>
                <w:szCs w:val="20"/>
              </w:rPr>
              <w:t>RMSLP</w:t>
            </w:r>
          </w:p>
        </w:tc>
        <w:tc>
          <w:tcPr>
            <w:tcW w:w="1617" w:type="dxa"/>
            <w:tcBorders>
              <w:top w:val="single" w:sz="4" w:space="0" w:color="auto"/>
              <w:left w:val="single" w:sz="4" w:space="0" w:color="auto"/>
              <w:bottom w:val="single" w:sz="4" w:space="0" w:color="auto"/>
              <w:right w:val="single" w:sz="4" w:space="0" w:color="auto"/>
            </w:tcBorders>
            <w:hideMark/>
          </w:tcPr>
          <w:p w14:paraId="77E2A52D" w14:textId="77777777" w:rsidR="00024F2A" w:rsidRPr="000A20CD" w:rsidRDefault="00024F2A" w:rsidP="00024F2A">
            <w:pPr>
              <w:rPr>
                <w:rFonts w:ascii="Cambria" w:hAnsi="Cambria"/>
                <w:sz w:val="20"/>
                <w:szCs w:val="20"/>
              </w:rPr>
            </w:pPr>
            <w:r w:rsidRPr="000A20CD">
              <w:rPr>
                <w:rFonts w:ascii="Cambria" w:hAnsi="Cambria"/>
                <w:sz w:val="20"/>
                <w:szCs w:val="20"/>
              </w:rPr>
              <w:t>Simulator</w:t>
            </w:r>
          </w:p>
        </w:tc>
        <w:tc>
          <w:tcPr>
            <w:tcW w:w="1617" w:type="dxa"/>
            <w:tcBorders>
              <w:top w:val="single" w:sz="4" w:space="0" w:color="auto"/>
              <w:left w:val="single" w:sz="4" w:space="0" w:color="auto"/>
              <w:bottom w:val="single" w:sz="4" w:space="0" w:color="auto"/>
              <w:right w:val="single" w:sz="4" w:space="0" w:color="auto"/>
            </w:tcBorders>
            <w:hideMark/>
          </w:tcPr>
          <w:p w14:paraId="4CE7A92E" w14:textId="77777777" w:rsidR="00024F2A" w:rsidRPr="000A20CD" w:rsidRDefault="00024F2A" w:rsidP="00024F2A">
            <w:pPr>
              <w:rPr>
                <w:rFonts w:ascii="Cambria" w:hAnsi="Cambria"/>
                <w:sz w:val="20"/>
                <w:szCs w:val="20"/>
              </w:rPr>
            </w:pPr>
            <w:r w:rsidRPr="000A20CD">
              <w:rPr>
                <w:rFonts w:ascii="Cambria" w:hAnsi="Cambria"/>
                <w:sz w:val="20"/>
                <w:szCs w:val="20"/>
              </w:rPr>
              <w:t>0.05</w:t>
            </w:r>
          </w:p>
        </w:tc>
        <w:tc>
          <w:tcPr>
            <w:tcW w:w="1618" w:type="dxa"/>
            <w:tcBorders>
              <w:top w:val="single" w:sz="4" w:space="0" w:color="auto"/>
              <w:left w:val="single" w:sz="4" w:space="0" w:color="auto"/>
              <w:bottom w:val="single" w:sz="4" w:space="0" w:color="auto"/>
              <w:right w:val="single" w:sz="4" w:space="0" w:color="auto"/>
            </w:tcBorders>
            <w:hideMark/>
          </w:tcPr>
          <w:p w14:paraId="6E523109" w14:textId="77777777" w:rsidR="00024F2A" w:rsidRPr="000A20CD" w:rsidRDefault="00024F2A" w:rsidP="00024F2A">
            <w:pPr>
              <w:rPr>
                <w:rFonts w:ascii="Cambria" w:hAnsi="Cambria"/>
                <w:sz w:val="20"/>
                <w:szCs w:val="20"/>
              </w:rPr>
            </w:pPr>
            <w:r w:rsidRPr="000A20CD">
              <w:rPr>
                <w:rFonts w:ascii="Cambria" w:hAnsi="Cambria"/>
                <w:sz w:val="20"/>
                <w:szCs w:val="20"/>
              </w:rPr>
              <w:t>Yes</w:t>
            </w:r>
          </w:p>
        </w:tc>
      </w:tr>
      <w:tr w:rsidR="000A20CD" w:rsidRPr="000A20CD" w14:paraId="72F7B6F1" w14:textId="77777777" w:rsidTr="00024F2A">
        <w:tc>
          <w:tcPr>
            <w:tcW w:w="2547" w:type="dxa"/>
            <w:tcBorders>
              <w:top w:val="single" w:sz="4" w:space="0" w:color="auto"/>
              <w:left w:val="single" w:sz="4" w:space="0" w:color="auto"/>
              <w:bottom w:val="single" w:sz="4" w:space="0" w:color="auto"/>
              <w:right w:val="single" w:sz="4" w:space="0" w:color="auto"/>
            </w:tcBorders>
            <w:hideMark/>
          </w:tcPr>
          <w:p w14:paraId="6947040C" w14:textId="77777777" w:rsidR="00024F2A" w:rsidRPr="000A20CD" w:rsidRDefault="00024F2A" w:rsidP="00024F2A">
            <w:pPr>
              <w:rPr>
                <w:rFonts w:ascii="Cambria" w:hAnsi="Cambria"/>
                <w:sz w:val="20"/>
                <w:szCs w:val="20"/>
              </w:rPr>
            </w:pPr>
            <w:r w:rsidRPr="000A20CD">
              <w:rPr>
                <w:rFonts w:ascii="Cambria" w:hAnsi="Cambria"/>
                <w:sz w:val="20"/>
                <w:szCs w:val="20"/>
              </w:rPr>
              <w:t>Sexton, 2002</w:t>
            </w:r>
          </w:p>
        </w:tc>
        <w:tc>
          <w:tcPr>
            <w:tcW w:w="1617" w:type="dxa"/>
            <w:tcBorders>
              <w:top w:val="single" w:sz="4" w:space="0" w:color="auto"/>
              <w:left w:val="single" w:sz="4" w:space="0" w:color="auto"/>
              <w:bottom w:val="single" w:sz="4" w:space="0" w:color="auto"/>
              <w:right w:val="single" w:sz="4" w:space="0" w:color="auto"/>
            </w:tcBorders>
            <w:hideMark/>
          </w:tcPr>
          <w:p w14:paraId="64733997" w14:textId="77777777" w:rsidR="00024F2A" w:rsidRPr="000A20CD" w:rsidRDefault="00024F2A" w:rsidP="00024F2A">
            <w:pPr>
              <w:rPr>
                <w:rFonts w:ascii="Cambria" w:hAnsi="Cambria"/>
                <w:sz w:val="20"/>
                <w:szCs w:val="20"/>
              </w:rPr>
            </w:pPr>
            <w:r w:rsidRPr="000A20CD">
              <w:rPr>
                <w:rFonts w:ascii="Cambria" w:hAnsi="Cambria"/>
                <w:sz w:val="20"/>
                <w:szCs w:val="20"/>
              </w:rPr>
              <w:t>SDLP</w:t>
            </w:r>
          </w:p>
        </w:tc>
        <w:tc>
          <w:tcPr>
            <w:tcW w:w="1617" w:type="dxa"/>
            <w:tcBorders>
              <w:top w:val="single" w:sz="4" w:space="0" w:color="auto"/>
              <w:left w:val="single" w:sz="4" w:space="0" w:color="auto"/>
              <w:bottom w:val="single" w:sz="4" w:space="0" w:color="auto"/>
              <w:right w:val="single" w:sz="4" w:space="0" w:color="auto"/>
            </w:tcBorders>
            <w:hideMark/>
          </w:tcPr>
          <w:p w14:paraId="33755203" w14:textId="77777777" w:rsidR="00024F2A" w:rsidRPr="000A20CD" w:rsidRDefault="00024F2A" w:rsidP="00024F2A">
            <w:pPr>
              <w:rPr>
                <w:rFonts w:ascii="Cambria" w:hAnsi="Cambria"/>
                <w:sz w:val="20"/>
                <w:szCs w:val="20"/>
              </w:rPr>
            </w:pPr>
            <w:r w:rsidRPr="000A20CD">
              <w:rPr>
                <w:rFonts w:ascii="Cambria" w:hAnsi="Cambria"/>
                <w:sz w:val="20"/>
                <w:szCs w:val="20"/>
              </w:rPr>
              <w:t>Simulator</w:t>
            </w:r>
          </w:p>
        </w:tc>
        <w:tc>
          <w:tcPr>
            <w:tcW w:w="1617" w:type="dxa"/>
            <w:tcBorders>
              <w:top w:val="single" w:sz="4" w:space="0" w:color="auto"/>
              <w:left w:val="single" w:sz="4" w:space="0" w:color="auto"/>
              <w:bottom w:val="single" w:sz="4" w:space="0" w:color="auto"/>
              <w:right w:val="single" w:sz="4" w:space="0" w:color="auto"/>
            </w:tcBorders>
            <w:hideMark/>
          </w:tcPr>
          <w:p w14:paraId="36D8161B" w14:textId="77777777" w:rsidR="00024F2A" w:rsidRPr="000A20CD" w:rsidRDefault="00024F2A" w:rsidP="00024F2A">
            <w:pPr>
              <w:rPr>
                <w:rFonts w:ascii="Cambria" w:hAnsi="Cambria"/>
                <w:sz w:val="20"/>
                <w:szCs w:val="20"/>
              </w:rPr>
            </w:pPr>
            <w:r w:rsidRPr="000A20CD">
              <w:rPr>
                <w:rFonts w:ascii="Cambria" w:hAnsi="Cambria"/>
                <w:sz w:val="20"/>
                <w:szCs w:val="20"/>
              </w:rPr>
              <w:t>0.05</w:t>
            </w:r>
          </w:p>
        </w:tc>
        <w:tc>
          <w:tcPr>
            <w:tcW w:w="1618" w:type="dxa"/>
            <w:tcBorders>
              <w:top w:val="single" w:sz="4" w:space="0" w:color="auto"/>
              <w:left w:val="single" w:sz="4" w:space="0" w:color="auto"/>
              <w:bottom w:val="single" w:sz="4" w:space="0" w:color="auto"/>
              <w:right w:val="single" w:sz="4" w:space="0" w:color="auto"/>
            </w:tcBorders>
            <w:hideMark/>
          </w:tcPr>
          <w:p w14:paraId="1AD4DB8F" w14:textId="77777777" w:rsidR="00024F2A" w:rsidRPr="000A20CD" w:rsidRDefault="00024F2A" w:rsidP="00024F2A">
            <w:pPr>
              <w:rPr>
                <w:rFonts w:ascii="Cambria" w:hAnsi="Cambria"/>
                <w:sz w:val="20"/>
                <w:szCs w:val="20"/>
              </w:rPr>
            </w:pPr>
            <w:r w:rsidRPr="000A20CD">
              <w:rPr>
                <w:rFonts w:ascii="Cambria" w:hAnsi="Cambria"/>
                <w:sz w:val="20"/>
                <w:szCs w:val="20"/>
              </w:rPr>
              <w:t>No</w:t>
            </w:r>
          </w:p>
        </w:tc>
      </w:tr>
      <w:tr w:rsidR="00024F2A" w:rsidRPr="000A20CD" w14:paraId="04AAF7B3" w14:textId="77777777" w:rsidTr="00024F2A">
        <w:tc>
          <w:tcPr>
            <w:tcW w:w="2547" w:type="dxa"/>
            <w:tcBorders>
              <w:top w:val="single" w:sz="4" w:space="0" w:color="auto"/>
              <w:left w:val="single" w:sz="4" w:space="0" w:color="auto"/>
              <w:bottom w:val="single" w:sz="4" w:space="0" w:color="auto"/>
              <w:right w:val="single" w:sz="4" w:space="0" w:color="auto"/>
            </w:tcBorders>
            <w:hideMark/>
          </w:tcPr>
          <w:p w14:paraId="24322C05" w14:textId="77777777" w:rsidR="00024F2A" w:rsidRPr="000A20CD" w:rsidRDefault="00024F2A" w:rsidP="00024F2A">
            <w:pPr>
              <w:rPr>
                <w:rFonts w:ascii="Cambria" w:hAnsi="Cambria"/>
                <w:sz w:val="20"/>
                <w:szCs w:val="20"/>
              </w:rPr>
            </w:pPr>
            <w:r w:rsidRPr="000A20CD">
              <w:rPr>
                <w:rFonts w:ascii="Cambria" w:hAnsi="Cambria"/>
                <w:sz w:val="20"/>
                <w:szCs w:val="20"/>
              </w:rPr>
              <w:t>Ramaekers, 2000</w:t>
            </w:r>
          </w:p>
        </w:tc>
        <w:tc>
          <w:tcPr>
            <w:tcW w:w="1617" w:type="dxa"/>
            <w:tcBorders>
              <w:top w:val="single" w:sz="4" w:space="0" w:color="auto"/>
              <w:left w:val="single" w:sz="4" w:space="0" w:color="auto"/>
              <w:bottom w:val="single" w:sz="4" w:space="0" w:color="auto"/>
              <w:right w:val="single" w:sz="4" w:space="0" w:color="auto"/>
            </w:tcBorders>
            <w:hideMark/>
          </w:tcPr>
          <w:p w14:paraId="33CF8805" w14:textId="77777777" w:rsidR="00024F2A" w:rsidRPr="000A20CD" w:rsidRDefault="00024F2A" w:rsidP="00024F2A">
            <w:pPr>
              <w:rPr>
                <w:rFonts w:ascii="Cambria" w:hAnsi="Cambria"/>
                <w:sz w:val="20"/>
                <w:szCs w:val="20"/>
              </w:rPr>
            </w:pPr>
            <w:r w:rsidRPr="000A20CD">
              <w:rPr>
                <w:rFonts w:ascii="Cambria" w:hAnsi="Cambria"/>
                <w:sz w:val="20"/>
                <w:szCs w:val="20"/>
              </w:rPr>
              <w:t>TOL</w:t>
            </w:r>
          </w:p>
        </w:tc>
        <w:tc>
          <w:tcPr>
            <w:tcW w:w="1617" w:type="dxa"/>
            <w:tcBorders>
              <w:top w:val="single" w:sz="4" w:space="0" w:color="auto"/>
              <w:left w:val="single" w:sz="4" w:space="0" w:color="auto"/>
              <w:bottom w:val="single" w:sz="4" w:space="0" w:color="auto"/>
              <w:right w:val="single" w:sz="4" w:space="0" w:color="auto"/>
            </w:tcBorders>
            <w:hideMark/>
          </w:tcPr>
          <w:p w14:paraId="3BA1F73E" w14:textId="77777777" w:rsidR="00024F2A" w:rsidRPr="000A20CD" w:rsidRDefault="00024F2A" w:rsidP="00024F2A">
            <w:pPr>
              <w:rPr>
                <w:rFonts w:ascii="Cambria" w:hAnsi="Cambria"/>
                <w:sz w:val="20"/>
                <w:szCs w:val="20"/>
              </w:rPr>
            </w:pPr>
            <w:r w:rsidRPr="000A20CD">
              <w:rPr>
                <w:rFonts w:ascii="Cambria" w:hAnsi="Cambria"/>
                <w:sz w:val="20"/>
                <w:szCs w:val="20"/>
              </w:rPr>
              <w:t>On-road</w:t>
            </w:r>
          </w:p>
        </w:tc>
        <w:tc>
          <w:tcPr>
            <w:tcW w:w="1617" w:type="dxa"/>
            <w:tcBorders>
              <w:top w:val="single" w:sz="4" w:space="0" w:color="auto"/>
              <w:left w:val="single" w:sz="4" w:space="0" w:color="auto"/>
              <w:bottom w:val="single" w:sz="4" w:space="0" w:color="auto"/>
              <w:right w:val="single" w:sz="4" w:space="0" w:color="auto"/>
            </w:tcBorders>
            <w:hideMark/>
          </w:tcPr>
          <w:p w14:paraId="4F96CDAE" w14:textId="77777777" w:rsidR="00024F2A" w:rsidRPr="000A20CD" w:rsidRDefault="00024F2A" w:rsidP="00024F2A">
            <w:pPr>
              <w:rPr>
                <w:rFonts w:ascii="Cambria" w:hAnsi="Cambria"/>
                <w:sz w:val="20"/>
                <w:szCs w:val="20"/>
              </w:rPr>
            </w:pPr>
            <w:r w:rsidRPr="000A20CD">
              <w:rPr>
                <w:rFonts w:ascii="Cambria" w:hAnsi="Cambria"/>
                <w:sz w:val="20"/>
                <w:szCs w:val="20"/>
              </w:rPr>
              <w:t>0.05</w:t>
            </w:r>
          </w:p>
        </w:tc>
        <w:tc>
          <w:tcPr>
            <w:tcW w:w="1618" w:type="dxa"/>
            <w:tcBorders>
              <w:top w:val="single" w:sz="4" w:space="0" w:color="auto"/>
              <w:left w:val="single" w:sz="4" w:space="0" w:color="auto"/>
              <w:bottom w:val="single" w:sz="4" w:space="0" w:color="auto"/>
              <w:right w:val="single" w:sz="4" w:space="0" w:color="auto"/>
            </w:tcBorders>
            <w:hideMark/>
          </w:tcPr>
          <w:p w14:paraId="675D62FA" w14:textId="77777777" w:rsidR="00024F2A" w:rsidRPr="000A20CD" w:rsidRDefault="00024F2A" w:rsidP="00024F2A">
            <w:pPr>
              <w:rPr>
                <w:rFonts w:ascii="Cambria" w:hAnsi="Cambria"/>
                <w:sz w:val="20"/>
                <w:szCs w:val="20"/>
              </w:rPr>
            </w:pPr>
            <w:r w:rsidRPr="000A20CD">
              <w:rPr>
                <w:rFonts w:ascii="Cambria" w:hAnsi="Cambria"/>
                <w:sz w:val="20"/>
                <w:szCs w:val="20"/>
              </w:rPr>
              <w:t>Yes</w:t>
            </w:r>
          </w:p>
        </w:tc>
      </w:tr>
    </w:tbl>
    <w:p w14:paraId="2DED5091" w14:textId="77777777" w:rsidR="00024F2A" w:rsidRPr="000A20CD" w:rsidRDefault="00024F2A" w:rsidP="00024F2A">
      <w:pPr>
        <w:spacing w:line="256" w:lineRule="auto"/>
        <w:rPr>
          <w:rFonts w:ascii="Cambria" w:eastAsia="Calibri" w:hAnsi="Cambria" w:cs="Mongolian Baiti"/>
          <w:sz w:val="22"/>
          <w:szCs w:val="28"/>
          <w:lang w:bidi="mn-Mong-CN"/>
        </w:rPr>
      </w:pPr>
    </w:p>
    <w:p w14:paraId="0438898B" w14:textId="77777777" w:rsidR="00024F2A" w:rsidRPr="000A20CD" w:rsidRDefault="00024F2A" w:rsidP="00024F2A">
      <w:pPr>
        <w:spacing w:line="256" w:lineRule="auto"/>
        <w:rPr>
          <w:rFonts w:ascii="Cambria" w:eastAsia="Calibri" w:hAnsi="Cambria" w:cs="Mongolian Baiti"/>
          <w:sz w:val="22"/>
          <w:szCs w:val="28"/>
          <w:lang w:bidi="mn-Mong-CN"/>
        </w:rPr>
      </w:pPr>
    </w:p>
    <w:p w14:paraId="08015C30"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Three factors should be taken into account when considering the relevance of the exacerbation of </w:t>
      </w:r>
      <w:r w:rsidRPr="000A20CD">
        <w:rPr>
          <w:rFonts w:ascii="Cambria" w:eastAsia="Calibri" w:hAnsi="Cambria" w:cs="Mongolian Baiti"/>
          <w:i/>
          <w:iCs/>
          <w:sz w:val="22"/>
          <w:szCs w:val="28"/>
          <w:lang w:bidi="mn-Mong-CN"/>
        </w:rPr>
        <w:t>weaving</w:t>
      </w:r>
      <w:r w:rsidRPr="000A20CD">
        <w:rPr>
          <w:rFonts w:ascii="Cambria" w:eastAsia="Calibri" w:hAnsi="Cambria" w:cs="Mongolian Baiti"/>
          <w:sz w:val="22"/>
          <w:szCs w:val="28"/>
          <w:lang w:bidi="mn-Mong-CN"/>
        </w:rPr>
        <w:t xml:space="preserve"> (as evidenced in Table E1) to the exacerbation of </w:t>
      </w:r>
      <w:r w:rsidRPr="000A20CD">
        <w:rPr>
          <w:rFonts w:ascii="Cambria" w:eastAsia="Calibri" w:hAnsi="Cambria" w:cs="Mongolian Baiti"/>
          <w:i/>
          <w:iCs/>
          <w:sz w:val="22"/>
          <w:szCs w:val="28"/>
          <w:lang w:bidi="mn-Mong-CN"/>
        </w:rPr>
        <w:t>crash risk</w:t>
      </w:r>
      <w:r w:rsidRPr="000A20CD">
        <w:rPr>
          <w:rFonts w:ascii="Cambria" w:eastAsia="Calibri" w:hAnsi="Cambria" w:cs="Mongolian Baiti"/>
          <w:sz w:val="22"/>
          <w:szCs w:val="28"/>
          <w:lang w:bidi="mn-Mong-CN"/>
        </w:rPr>
        <w:t xml:space="preserve">: (1) exactly </w:t>
      </w:r>
      <w:r w:rsidRPr="000A20CD">
        <w:rPr>
          <w:rFonts w:ascii="Cambria" w:eastAsia="Calibri" w:hAnsi="Cambria" w:cs="Mongolian Baiti"/>
          <w:i/>
          <w:iCs/>
          <w:sz w:val="22"/>
          <w:szCs w:val="28"/>
          <w:lang w:bidi="mn-Mong-CN"/>
        </w:rPr>
        <w:t>what</w:t>
      </w:r>
      <w:r w:rsidRPr="000A20CD">
        <w:rPr>
          <w:rFonts w:ascii="Cambria" w:eastAsia="Calibri" w:hAnsi="Cambria" w:cs="Mongolian Baiti"/>
          <w:sz w:val="22"/>
          <w:szCs w:val="28"/>
          <w:lang w:bidi="mn-Mong-CN"/>
        </w:rPr>
        <w:t xml:space="preserve"> is being measured by an increase in weaving at low BACs; (2) any ameliorating effects of the co-use of cannabis; and (3) the limited contribution of the co-use of cannabis to crash causation at high BACs. These factors are considered below.</w:t>
      </w:r>
    </w:p>
    <w:p w14:paraId="373A43E0" w14:textId="77777777" w:rsidR="00024F2A" w:rsidRPr="000A20CD" w:rsidRDefault="00024F2A" w:rsidP="00024F2A">
      <w:pPr>
        <w:spacing w:line="256" w:lineRule="auto"/>
        <w:rPr>
          <w:rFonts w:ascii="Cambria" w:eastAsia="Calibri" w:hAnsi="Cambria" w:cs="Mongolian Baiti"/>
          <w:sz w:val="22"/>
          <w:szCs w:val="28"/>
          <w:lang w:bidi="mn-Mong-CN"/>
        </w:rPr>
      </w:pPr>
    </w:p>
    <w:p w14:paraId="514AC92E" w14:textId="77777777" w:rsidR="00024F2A" w:rsidRPr="000A20CD" w:rsidRDefault="00024F2A" w:rsidP="00024F2A">
      <w:pPr>
        <w:spacing w:line="256" w:lineRule="auto"/>
        <w:rPr>
          <w:rFonts w:ascii="Cambria" w:eastAsia="Calibri" w:hAnsi="Cambria" w:cs="Mongolian Baiti"/>
          <w:sz w:val="22"/>
          <w:szCs w:val="28"/>
          <w:lang w:bidi="mn-Mong-CN"/>
        </w:rPr>
      </w:pPr>
    </w:p>
    <w:p w14:paraId="3D14DDA0" w14:textId="77777777" w:rsidR="00024F2A" w:rsidRPr="000A20CD" w:rsidRDefault="00024F2A" w:rsidP="00024F2A">
      <w:pPr>
        <w:spacing w:line="256" w:lineRule="auto"/>
        <w:rPr>
          <w:rFonts w:ascii="Cambria" w:eastAsia="Calibri" w:hAnsi="Cambria" w:cs="Mongolian Baiti"/>
          <w:i/>
          <w:iCs/>
          <w:sz w:val="22"/>
          <w:szCs w:val="28"/>
          <w:lang w:bidi="mn-Mong-CN"/>
        </w:rPr>
      </w:pPr>
      <w:r w:rsidRPr="000A20CD">
        <w:rPr>
          <w:rFonts w:ascii="Cambria" w:eastAsia="Calibri" w:hAnsi="Cambria" w:cs="Mongolian Baiti"/>
          <w:i/>
          <w:iCs/>
          <w:sz w:val="22"/>
          <w:szCs w:val="28"/>
          <w:lang w:bidi="mn-Mong-CN"/>
        </w:rPr>
        <w:t>What is actually being measured by an increase in weaving at a low BAC?</w:t>
      </w:r>
    </w:p>
    <w:p w14:paraId="64871CE3" w14:textId="77777777" w:rsidR="00024F2A" w:rsidRPr="000A20CD" w:rsidRDefault="00024F2A" w:rsidP="00024F2A">
      <w:pPr>
        <w:spacing w:line="256" w:lineRule="auto"/>
        <w:rPr>
          <w:rFonts w:ascii="Cambria" w:eastAsia="Calibri" w:hAnsi="Cambria" w:cs="Mongolian Baiti"/>
          <w:sz w:val="22"/>
          <w:szCs w:val="28"/>
          <w:lang w:bidi="mn-Mong-CN"/>
        </w:rPr>
      </w:pPr>
    </w:p>
    <w:p w14:paraId="2E6C2188"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Ramaekers (2017) has argued that weaving (as measured by the standard deviation of lateral position – SDLP) is the ‘gold standard’ measure of driving impairment from the use of alcohol and other psycho-active drugs. </w:t>
      </w:r>
      <w:r w:rsidRPr="000A20CD">
        <w:rPr>
          <w:rFonts w:ascii="Cambria" w:eastAsia="Calibri" w:hAnsi="Cambria" w:cs="Mongolian Baiti"/>
          <w:sz w:val="22"/>
          <w:szCs w:val="28"/>
          <w:lang w:val="en-AU" w:bidi="mn-Mong-CN"/>
        </w:rPr>
        <w:t xml:space="preserve">He identifies 2.5cm. as the ‘clinically relevant’ mean increase in SDLP, because that is the increase typically found from alcohol at a BAC of 0.05. </w:t>
      </w:r>
      <w:r w:rsidRPr="000A20CD">
        <w:rPr>
          <w:rFonts w:ascii="Cambria" w:eastAsia="Calibri" w:hAnsi="Cambria" w:cs="Mongolian Baiti"/>
          <w:sz w:val="22"/>
          <w:szCs w:val="28"/>
          <w:lang w:bidi="mn-Mong-CN"/>
        </w:rPr>
        <w:t xml:space="preserve">Simmons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(2022) concluded that the use of cannabis on its own had an impairing effect equivalent to that of alcohol at a BAC of about 0.05, such that cannabis on its own also increases mean SDLP by about 2.5 cm. Given the major role played by weaving in the identification of impairment from drug use, it is important to understand exactly </w:t>
      </w:r>
      <w:r w:rsidRPr="000A20CD">
        <w:rPr>
          <w:rFonts w:ascii="Cambria" w:eastAsia="Calibri" w:hAnsi="Cambria" w:cs="Mongolian Baiti"/>
          <w:i/>
          <w:iCs/>
          <w:sz w:val="22"/>
          <w:szCs w:val="28"/>
          <w:lang w:bidi="mn-Mong-CN"/>
        </w:rPr>
        <w:t>what</w:t>
      </w:r>
      <w:r w:rsidRPr="000A20CD">
        <w:rPr>
          <w:rFonts w:ascii="Cambria" w:eastAsia="Calibri" w:hAnsi="Cambria" w:cs="Mongolian Baiti"/>
          <w:sz w:val="22"/>
          <w:szCs w:val="28"/>
          <w:lang w:bidi="mn-Mong-CN"/>
        </w:rPr>
        <w:t xml:space="preserve"> is signified by a modest increase in weaving, as found for low BACs or from the use of cannabis, so that the relevance of weaving to road safety can be assessed.</w:t>
      </w:r>
    </w:p>
    <w:p w14:paraId="054F3BEC" w14:textId="77777777" w:rsidR="00024F2A" w:rsidRPr="000A20CD" w:rsidRDefault="00024F2A" w:rsidP="00024F2A">
      <w:pPr>
        <w:spacing w:line="256" w:lineRule="auto"/>
        <w:rPr>
          <w:rFonts w:ascii="Cambria" w:eastAsia="Calibri" w:hAnsi="Cambria" w:cs="Mongolian Baiti"/>
          <w:sz w:val="22"/>
          <w:szCs w:val="28"/>
          <w:lang w:bidi="mn-Mong-CN"/>
        </w:rPr>
      </w:pPr>
    </w:p>
    <w:p w14:paraId="4BBA7439"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Verster and Roth (2011) provide an excellent description of how SDLP is measured, along with an overview how SDLP has been used to assess the effects of drugs on driving performance. Basically, SDLP is a measure of the width of the ‘weaving zone’ around a driver’s mean position in the lane. More precisely, SDLP is the standard deviation of a driver’s moment-to-moment lateral displacements from their mean position. Let us consider the situation for a typical car whose width is 1.90 m. (Holder, 2021) on a typical lane whose width is 3.50 m. (Fanning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2016). Let us assume that the driver’s mean position corresponds to the middle of the lane. Under those circumstances, the mean distance between the side of the car and the edge of the lane (the ‘lateral zone’) is 0.85 m. (or, 85 cm.) As the car ‘weaves’ from side to side it encroaches into the lateral zones by an amount that is determined by the SDLP. Let us consider only the lateral zone on the shoulder side of the road. A distance of 20 cm. is a typical SDLP for an unimpaired driver (Verster and Roth, Figure 6). By the nature of a standard deviation, the driver will encroach into the lateral zone: by as far as 20 cm. (1 SD) for 68% of the time; as far as 40 cm. (2 SDs) for 95% of the time; and as far as 60 Cm. (3 SDs) for 99% of the time. The road shoulder at the edge of the 85 cm. lateral zone will not normally be reached. If we assume that the normal use of cannabis increases the SDLP by 2.5 cm., then the ‘cannabis-impaired’ SDLP will be 22.5 cm. Following the arithmetic steps above, the driver will still not encroach so far into the 85 cm. lateral zone as to reach the shoulder of the road (with 68% of the encroachments as far as 22.5 cm; 95% as far as 45.0 cm; and 99% as far as 67.5 cm).</w:t>
      </w:r>
    </w:p>
    <w:p w14:paraId="4B097DFB" w14:textId="77777777" w:rsidR="00024F2A" w:rsidRPr="000A20CD" w:rsidRDefault="00024F2A" w:rsidP="00024F2A">
      <w:pPr>
        <w:spacing w:line="256" w:lineRule="auto"/>
        <w:rPr>
          <w:rFonts w:ascii="Cambria" w:eastAsia="Calibri" w:hAnsi="Cambria" w:cs="Mongolian Baiti"/>
          <w:sz w:val="22"/>
          <w:szCs w:val="28"/>
          <w:lang w:bidi="mn-Mong-CN"/>
        </w:rPr>
      </w:pPr>
    </w:p>
    <w:p w14:paraId="4632E6C4"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It should be noted that the discussion below will relate only to </w:t>
      </w:r>
      <w:r w:rsidRPr="000A20CD">
        <w:rPr>
          <w:rFonts w:ascii="Cambria" w:eastAsia="Calibri" w:hAnsi="Cambria" w:cs="Mongolian Baiti"/>
          <w:i/>
          <w:iCs/>
          <w:sz w:val="22"/>
          <w:szCs w:val="28"/>
          <w:lang w:bidi="mn-Mong-CN"/>
        </w:rPr>
        <w:t>modest</w:t>
      </w:r>
      <w:r w:rsidRPr="000A20CD">
        <w:rPr>
          <w:rFonts w:ascii="Cambria" w:eastAsia="Calibri" w:hAnsi="Cambria" w:cs="Mongolian Baiti"/>
          <w:sz w:val="22"/>
          <w:szCs w:val="28"/>
          <w:lang w:bidi="mn-Mong-CN"/>
        </w:rPr>
        <w:t xml:space="preserve"> increases in SDLP, in the vicinity of 2.5 cm., as caused by the use of alcohol at a BAC of 0.05, or by the recent use of cannabis.  We propose that use of the term ‘impairment’ to describe such effects is arguably not justified. In contrast, the term is certainly justified to describe the effects on SDLP of alcohol at moderate or high BACs, or of some medicinal drugs. For example, Louwerens et al. (1987, Figure 1) reported an increase in SDLP of about 9.0 cm. for female participants at a BAC of 0.14; and Verster et al. (2002, Table 1) reported an increase of 9.4 cm. from the use of alprazolam (which is a benzodiazepine). Following the arithmetic steps above, the use of alprazolam would cause the driver to occasionally weave across the 85 cm. lateral zone and onto the shoulder (with 68% of the encroachments as far as 29.4 cm; 95% as far as 58.8 cm; and 99% as far as 88.2 cm). While such encroachments would not normally be dangerous, especially where there was a sealed shoulder, the corresponding encroachment on the other side of the car, on a two-lane road, could cause a collision.</w:t>
      </w:r>
    </w:p>
    <w:p w14:paraId="29CBCC37" w14:textId="77777777" w:rsidR="00024F2A" w:rsidRPr="000A20CD" w:rsidRDefault="00024F2A" w:rsidP="00024F2A">
      <w:pPr>
        <w:spacing w:line="256" w:lineRule="auto"/>
        <w:rPr>
          <w:rFonts w:ascii="Cambria" w:eastAsia="Calibri" w:hAnsi="Cambria" w:cs="Mongolian Baiti"/>
          <w:sz w:val="22"/>
          <w:szCs w:val="28"/>
          <w:lang w:bidi="mn-Mong-CN"/>
        </w:rPr>
      </w:pPr>
    </w:p>
    <w:p w14:paraId="0A6619BF"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So, what does a ‘clinically-relevant’ 2.5 cm. increase in weaving signify? In agreement with </w:t>
      </w:r>
      <w:r w:rsidRPr="000A20CD">
        <w:rPr>
          <w:rFonts w:ascii="Cambria" w:eastAsia="Calibri" w:hAnsi="Cambria" w:cs="Mongolian Baiti"/>
          <w:sz w:val="22"/>
          <w:szCs w:val="28"/>
          <w:lang w:val="en-AU" w:bidi="mn-Mong-CN"/>
        </w:rPr>
        <w:t>Ginsburg (2019: 611), w</w:t>
      </w:r>
      <w:r w:rsidRPr="000A20CD">
        <w:rPr>
          <w:rFonts w:ascii="Cambria" w:eastAsia="Calibri" w:hAnsi="Cambria" w:cs="Mongolian Baiti"/>
          <w:sz w:val="22"/>
          <w:szCs w:val="28"/>
          <w:lang w:bidi="mn-Mong-CN"/>
        </w:rPr>
        <w:t xml:space="preserve">e suggest that such an increase is not </w:t>
      </w:r>
      <w:r w:rsidRPr="000A20CD">
        <w:rPr>
          <w:rFonts w:ascii="Cambria" w:eastAsia="Calibri" w:hAnsi="Cambria" w:cs="Mongolian Baiti"/>
          <w:i/>
          <w:iCs/>
          <w:sz w:val="22"/>
          <w:szCs w:val="28"/>
          <w:lang w:bidi="mn-Mong-CN"/>
        </w:rPr>
        <w:t>intrinsically</w:t>
      </w:r>
      <w:r w:rsidRPr="000A20CD">
        <w:rPr>
          <w:rFonts w:ascii="Cambria" w:eastAsia="Calibri" w:hAnsi="Cambria" w:cs="Mongolian Baiti"/>
          <w:sz w:val="22"/>
          <w:szCs w:val="28"/>
          <w:lang w:bidi="mn-Mong-CN"/>
        </w:rPr>
        <w:t xml:space="preserve"> dangerous. </w:t>
      </w:r>
      <w:r w:rsidRPr="000A20CD">
        <w:rPr>
          <w:rFonts w:ascii="Cambria" w:eastAsia="Calibri" w:hAnsi="Cambria" w:cs="Mongolian Baiti"/>
          <w:sz w:val="22"/>
          <w:szCs w:val="28"/>
          <w:lang w:val="en-AU" w:bidi="mn-Mong-CN"/>
        </w:rPr>
        <w:t xml:space="preserve">We acknowledge that our suggestion is controversial. For example, Simmons </w:t>
      </w:r>
      <w:r w:rsidRPr="000A20CD">
        <w:rPr>
          <w:rFonts w:ascii="Cambria" w:eastAsia="Calibri" w:hAnsi="Cambria" w:cs="Mongolian Baiti"/>
          <w:i/>
          <w:iCs/>
          <w:sz w:val="22"/>
          <w:szCs w:val="28"/>
          <w:lang w:val="en-AU" w:bidi="mn-Mong-CN"/>
        </w:rPr>
        <w:t>et al.</w:t>
      </w:r>
      <w:r w:rsidRPr="000A20CD">
        <w:rPr>
          <w:rFonts w:ascii="Cambria" w:eastAsia="Calibri" w:hAnsi="Cambria" w:cs="Mongolian Baiti"/>
          <w:sz w:val="22"/>
          <w:szCs w:val="28"/>
          <w:lang w:val="en-AU" w:bidi="mn-Mong-CN"/>
        </w:rPr>
        <w:t xml:space="preserve"> (2022) assume that all eight of their driving-related outcomes, including lane control, are directly relevant to road safety. However, our stance is also supported by Salvucci and Beltowska (2008), who found increases of 3.0 to 4.0 cm. in mean SDLP (i.e., larger than the ‘clinically relevant’ increase of 2.5cm) in their simulator experiment on the impairing effect of a cognitive distractor (memory rehearsal). They commented that “Although the effects we have noted are statistically significant, they are fairly small in magnitude”, and went on to conclude that “In many situations, the small additional deviation resulting from memory rehearsal would likely not amount to any appreciable differences with respect to driver safety”.</w:t>
      </w:r>
    </w:p>
    <w:p w14:paraId="09F67DF8"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504B54CE"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So, </w:t>
      </w:r>
      <w:r w:rsidRPr="000A20CD">
        <w:rPr>
          <w:rFonts w:ascii="Cambria" w:eastAsia="Calibri" w:hAnsi="Cambria" w:cs="Mongolian Baiti"/>
          <w:sz w:val="22"/>
          <w:szCs w:val="28"/>
          <w:lang w:bidi="mn-Mong-CN"/>
        </w:rPr>
        <w:t xml:space="preserve">what </w:t>
      </w:r>
      <w:r w:rsidRPr="000A20CD">
        <w:rPr>
          <w:rFonts w:ascii="Cambria" w:eastAsia="Calibri" w:hAnsi="Cambria" w:cs="Mongolian Baiti"/>
          <w:i/>
          <w:iCs/>
          <w:sz w:val="22"/>
          <w:szCs w:val="28"/>
          <w:lang w:bidi="mn-Mong-CN"/>
        </w:rPr>
        <w:t>does</w:t>
      </w:r>
      <w:r w:rsidRPr="000A20CD">
        <w:rPr>
          <w:rFonts w:ascii="Cambria" w:eastAsia="Calibri" w:hAnsi="Cambria" w:cs="Mongolian Baiti"/>
          <w:sz w:val="22"/>
          <w:szCs w:val="28"/>
          <w:lang w:bidi="mn-Mong-CN"/>
        </w:rPr>
        <w:t xml:space="preserve"> a small increase in weaving signify? </w:t>
      </w:r>
      <w:r w:rsidRPr="000A20CD">
        <w:rPr>
          <w:rFonts w:ascii="Cambria" w:eastAsia="Calibri" w:hAnsi="Cambria" w:cs="Mongolian Baiti"/>
          <w:sz w:val="22"/>
          <w:szCs w:val="28"/>
          <w:lang w:val="en-AU" w:bidi="mn-Mong-CN"/>
        </w:rPr>
        <w:t xml:space="preserve">Within the Human Factors literature (e.g., Angell </w:t>
      </w:r>
      <w:r w:rsidRPr="000A20CD">
        <w:rPr>
          <w:rFonts w:ascii="Cambria" w:eastAsia="Calibri" w:hAnsi="Cambria" w:cs="Mongolian Baiti"/>
          <w:i/>
          <w:iCs/>
          <w:sz w:val="22"/>
          <w:szCs w:val="28"/>
          <w:lang w:val="en-AU" w:bidi="mn-Mong-CN"/>
        </w:rPr>
        <w:t>et al</w:t>
      </w:r>
      <w:r w:rsidRPr="000A20CD">
        <w:rPr>
          <w:rFonts w:ascii="Cambria" w:eastAsia="Calibri" w:hAnsi="Cambria" w:cs="Mongolian Baiti"/>
          <w:sz w:val="22"/>
          <w:szCs w:val="28"/>
          <w:lang w:val="en-AU" w:bidi="mn-Mong-CN"/>
        </w:rPr>
        <w:t xml:space="preserve">., 2006; Engstrom </w:t>
      </w:r>
      <w:r w:rsidRPr="000A20CD">
        <w:rPr>
          <w:rFonts w:ascii="Cambria" w:eastAsia="Calibri" w:hAnsi="Cambria" w:cs="Mongolian Baiti"/>
          <w:i/>
          <w:iCs/>
          <w:sz w:val="22"/>
          <w:szCs w:val="28"/>
          <w:lang w:val="en-AU" w:bidi="mn-Mong-CN"/>
        </w:rPr>
        <w:t>et al</w:t>
      </w:r>
      <w:r w:rsidRPr="000A20CD">
        <w:rPr>
          <w:rFonts w:ascii="Cambria" w:eastAsia="Calibri" w:hAnsi="Cambria" w:cs="Mongolian Baiti"/>
          <w:sz w:val="22"/>
          <w:szCs w:val="28"/>
          <w:lang w:val="en-AU" w:bidi="mn-Mong-CN"/>
        </w:rPr>
        <w:t xml:space="preserve">., 2017; Fuller, 2005; Salvucci and Beltowska, 2008) the level of weaving, as measured by SDLP, is interpreted as an indicator of the overall mental and physical workload involved in many driving situations. As a general rule, although there are some exceptions (see, e.g., Li </w:t>
      </w:r>
      <w:r w:rsidRPr="000A20CD">
        <w:rPr>
          <w:rFonts w:ascii="Cambria" w:eastAsia="Calibri" w:hAnsi="Cambria" w:cs="Mongolian Baiti"/>
          <w:i/>
          <w:iCs/>
          <w:sz w:val="22"/>
          <w:szCs w:val="28"/>
          <w:lang w:val="en-AU" w:bidi="mn-Mong-CN"/>
        </w:rPr>
        <w:t>et al.,</w:t>
      </w:r>
      <w:r w:rsidRPr="000A20CD">
        <w:rPr>
          <w:rFonts w:ascii="Cambria" w:eastAsia="Calibri" w:hAnsi="Cambria" w:cs="Mongolian Baiti"/>
          <w:sz w:val="22"/>
          <w:szCs w:val="28"/>
          <w:lang w:val="en-AU" w:bidi="mn-Mong-CN"/>
        </w:rPr>
        <w:t xml:space="preserve"> 2018), as the workload increases, so does SDLP. That occurs because steering is a tracking task (McGehee </w:t>
      </w:r>
      <w:r w:rsidRPr="000A20CD">
        <w:rPr>
          <w:rFonts w:ascii="Cambria" w:eastAsia="Calibri" w:hAnsi="Cambria" w:cs="Mongolian Baiti"/>
          <w:i/>
          <w:iCs/>
          <w:sz w:val="22"/>
          <w:szCs w:val="28"/>
          <w:lang w:val="en-AU" w:bidi="mn-Mong-CN"/>
        </w:rPr>
        <w:t>et al.,</w:t>
      </w:r>
      <w:r w:rsidRPr="000A20CD">
        <w:rPr>
          <w:rFonts w:ascii="Cambria" w:eastAsia="Calibri" w:hAnsi="Cambria" w:cs="Mongolian Baiti"/>
          <w:sz w:val="22"/>
          <w:szCs w:val="28"/>
          <w:lang w:val="en-AU" w:bidi="mn-Mong-CN"/>
        </w:rPr>
        <w:t xml:space="preserve"> 2004), and, as such, comprises a low-level, largely autonomous, component of the overall workload. So, when the workload is heavy, mental resources are diverted from lower-level driving tasks such as steering (as reflected in SDLP) to higher-level tasks such as paying attention to an approaching potential driving hazard. </w:t>
      </w:r>
    </w:p>
    <w:p w14:paraId="75014823"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4D3956BB"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The overall workload, as reflected in mean SDLP, can be increased by many driving circumstances, such as: the complexity of the road geometry (e.g., Rosey and Auberlet, 2012); the presence of roadside distractors such as billboards (Shaw </w:t>
      </w:r>
      <w:r w:rsidRPr="000A20CD">
        <w:rPr>
          <w:rFonts w:ascii="Cambria" w:eastAsia="Calibri" w:hAnsi="Cambria" w:cs="Mongolian Baiti"/>
          <w:i/>
          <w:iCs/>
          <w:sz w:val="22"/>
          <w:szCs w:val="28"/>
          <w:lang w:val="en-AU" w:bidi="mn-Mong-CN"/>
        </w:rPr>
        <w:t>et al.</w:t>
      </w:r>
      <w:r w:rsidRPr="000A20CD">
        <w:rPr>
          <w:rFonts w:ascii="Cambria" w:eastAsia="Calibri" w:hAnsi="Cambria" w:cs="Mongolian Baiti"/>
          <w:sz w:val="22"/>
          <w:szCs w:val="28"/>
          <w:lang w:val="en-AU" w:bidi="mn-Mong-CN"/>
        </w:rPr>
        <w:t xml:space="preserve">, 2019); and the driver’s involvement in a secondary task such as looking intently through the rear-view mirror (Wang </w:t>
      </w:r>
      <w:r w:rsidRPr="000A20CD">
        <w:rPr>
          <w:rFonts w:ascii="Cambria" w:eastAsia="Calibri" w:hAnsi="Cambria" w:cs="Mongolian Baiti"/>
          <w:i/>
          <w:iCs/>
          <w:sz w:val="22"/>
          <w:szCs w:val="28"/>
          <w:lang w:val="en-AU" w:bidi="mn-Mong-CN"/>
        </w:rPr>
        <w:t>et al.,</w:t>
      </w:r>
      <w:r w:rsidRPr="000A20CD">
        <w:rPr>
          <w:rFonts w:ascii="Cambria" w:eastAsia="Calibri" w:hAnsi="Cambria" w:cs="Mongolian Baiti"/>
          <w:sz w:val="22"/>
          <w:szCs w:val="28"/>
          <w:lang w:val="en-AU" w:bidi="mn-Mong-CN"/>
        </w:rPr>
        <w:t xml:space="preserve"> 2019) or using a mobile phone for texting (e.g., Ortiz </w:t>
      </w:r>
      <w:r w:rsidRPr="000A20CD">
        <w:rPr>
          <w:rFonts w:ascii="Cambria" w:eastAsia="Calibri" w:hAnsi="Cambria" w:cs="Mongolian Baiti"/>
          <w:i/>
          <w:iCs/>
          <w:sz w:val="22"/>
          <w:szCs w:val="28"/>
          <w:lang w:val="en-AU" w:bidi="mn-Mong-CN"/>
        </w:rPr>
        <w:t>et al.,</w:t>
      </w:r>
      <w:r w:rsidRPr="000A20CD">
        <w:rPr>
          <w:rFonts w:ascii="Cambria" w:eastAsia="Calibri" w:hAnsi="Cambria" w:cs="Mongolian Baiti"/>
          <w:sz w:val="22"/>
          <w:szCs w:val="28"/>
          <w:lang w:val="en-AU" w:bidi="mn-Mong-CN"/>
        </w:rPr>
        <w:t xml:space="preserve"> 2018). SDLP is also deleteriously affected by limits on workload capacity as imposed by old age (e.g., Ortiz-Peregrina </w:t>
      </w:r>
      <w:r w:rsidRPr="000A20CD">
        <w:rPr>
          <w:rFonts w:ascii="Cambria" w:eastAsia="Calibri" w:hAnsi="Cambria" w:cs="Mongolian Baiti"/>
          <w:i/>
          <w:iCs/>
          <w:sz w:val="22"/>
          <w:szCs w:val="28"/>
          <w:lang w:val="en-AU" w:bidi="mn-Mong-CN"/>
        </w:rPr>
        <w:t>et al</w:t>
      </w:r>
      <w:r w:rsidRPr="000A20CD">
        <w:rPr>
          <w:rFonts w:ascii="Cambria" w:eastAsia="Calibri" w:hAnsi="Cambria" w:cs="Mongolian Baiti"/>
          <w:sz w:val="22"/>
          <w:szCs w:val="28"/>
          <w:lang w:val="en-AU" w:bidi="mn-Mong-CN"/>
        </w:rPr>
        <w:t xml:space="preserve">., 2020), sleep loss (e.g., Mahajan and Velaga, 2022), the use of psychoactive medications (e.g., Jongen </w:t>
      </w:r>
      <w:r w:rsidRPr="000A20CD">
        <w:rPr>
          <w:rFonts w:ascii="Cambria" w:eastAsia="Calibri" w:hAnsi="Cambria" w:cs="Mongolian Baiti"/>
          <w:i/>
          <w:iCs/>
          <w:sz w:val="22"/>
          <w:szCs w:val="28"/>
          <w:lang w:val="en-AU" w:bidi="mn-Mong-CN"/>
        </w:rPr>
        <w:t>et al</w:t>
      </w:r>
      <w:r w:rsidRPr="000A20CD">
        <w:rPr>
          <w:rFonts w:ascii="Cambria" w:eastAsia="Calibri" w:hAnsi="Cambria" w:cs="Mongolian Baiti"/>
          <w:sz w:val="22"/>
          <w:szCs w:val="28"/>
          <w:lang w:val="en-AU" w:bidi="mn-Mong-CN"/>
        </w:rPr>
        <w:t xml:space="preserve">., 2018), or the use of alcohol (e.g., </w:t>
      </w:r>
      <w:r w:rsidRPr="000A20CD">
        <w:rPr>
          <w:rFonts w:ascii="Cambria" w:eastAsia="Calibri" w:hAnsi="Cambria" w:cs="Mongolian Baiti"/>
          <w:sz w:val="22"/>
          <w:szCs w:val="28"/>
          <w:lang w:bidi="mn-Mong-CN"/>
        </w:rPr>
        <w:t xml:space="preserve">Helland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2016</w:t>
      </w:r>
      <w:r w:rsidRPr="000A20CD">
        <w:rPr>
          <w:rFonts w:ascii="Cambria" w:eastAsia="Calibri" w:hAnsi="Cambria" w:cs="Mongolian Baiti"/>
          <w:sz w:val="22"/>
          <w:szCs w:val="28"/>
          <w:lang w:val="en-AU" w:bidi="mn-Mong-CN"/>
        </w:rPr>
        <w:t xml:space="preserve">). </w:t>
      </w:r>
    </w:p>
    <w:p w14:paraId="2BC1330E"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2DD061E0"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The reason for this digression into the functional anatomy of weaving is to question weaving’s status as an ‘impairment’, particularly at the relatively low levels of increased weaving caused by the use of cannabis. These modest increases in weaving should more correctly be thought of as an indication that mental resources are being redistributed from lower- to higher-level cognitive functions. That redistribution is not necessarily diagnostic of an increased risk of crashing. To the contrary, the redistribution serves the purpose of road safety by allocating safety-relevant mental resources to where they are most needed.  </w:t>
      </w:r>
    </w:p>
    <w:p w14:paraId="2E479449" w14:textId="77777777" w:rsidR="00024F2A" w:rsidRPr="000A20CD" w:rsidRDefault="00024F2A" w:rsidP="00024F2A">
      <w:pPr>
        <w:spacing w:line="256" w:lineRule="auto"/>
        <w:rPr>
          <w:rFonts w:ascii="Cambria" w:eastAsia="Calibri" w:hAnsi="Cambria" w:cs="Mongolian Baiti"/>
          <w:sz w:val="22"/>
          <w:szCs w:val="28"/>
          <w:lang w:bidi="mn-Mong-CN"/>
        </w:rPr>
      </w:pPr>
    </w:p>
    <w:p w14:paraId="0B107A0E" w14:textId="77777777" w:rsidR="00024F2A" w:rsidRPr="000A20CD" w:rsidRDefault="00024F2A" w:rsidP="00024F2A">
      <w:pPr>
        <w:spacing w:line="256" w:lineRule="auto"/>
        <w:rPr>
          <w:rFonts w:ascii="Cambria" w:eastAsia="Calibri" w:hAnsi="Cambria" w:cs="Mongolian Baiti"/>
          <w:sz w:val="22"/>
          <w:szCs w:val="28"/>
          <w:lang w:bidi="mn-Mong-CN"/>
        </w:rPr>
      </w:pPr>
    </w:p>
    <w:p w14:paraId="12273425" w14:textId="77777777" w:rsidR="00024F2A" w:rsidRPr="000A20CD" w:rsidRDefault="00024F2A" w:rsidP="00024F2A">
      <w:pPr>
        <w:spacing w:line="256" w:lineRule="auto"/>
        <w:rPr>
          <w:rFonts w:ascii="Cambria" w:eastAsia="Calibri" w:hAnsi="Cambria" w:cs="Mongolian Baiti"/>
          <w:i/>
          <w:iCs/>
          <w:sz w:val="22"/>
          <w:szCs w:val="28"/>
          <w:lang w:bidi="mn-Mong-CN"/>
        </w:rPr>
      </w:pPr>
      <w:r w:rsidRPr="000A20CD">
        <w:rPr>
          <w:rFonts w:ascii="Cambria" w:eastAsia="Calibri" w:hAnsi="Cambria" w:cs="Mongolian Baiti"/>
          <w:i/>
          <w:iCs/>
          <w:sz w:val="22"/>
          <w:szCs w:val="28"/>
          <w:lang w:bidi="mn-Mong-CN"/>
        </w:rPr>
        <w:t>Possible ameliorating effects of the co-use of cannabis</w:t>
      </w:r>
    </w:p>
    <w:p w14:paraId="050826BE" w14:textId="77777777" w:rsidR="00024F2A" w:rsidRPr="000A20CD" w:rsidRDefault="00024F2A" w:rsidP="00024F2A">
      <w:pPr>
        <w:spacing w:line="256" w:lineRule="auto"/>
        <w:rPr>
          <w:rFonts w:ascii="Cambria" w:eastAsia="Calibri" w:hAnsi="Cambria" w:cs="Mongolian Baiti"/>
          <w:sz w:val="22"/>
          <w:szCs w:val="28"/>
          <w:lang w:bidi="mn-Mong-CN"/>
        </w:rPr>
      </w:pPr>
    </w:p>
    <w:p w14:paraId="24C2FC73"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Let us now consider what the studies summarized in Table E1 have to say about the effect of the co-use of cannabis on alcohol-induced speeding. Ramaekers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(2000) had nothing to say, because their subjects were not permitted to reduce speed, even if keen to do so. Hartman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also had nothing to say in their 2015 paper, because their speed-related results were reported in a separate paper in 2016. In that paper (Hartman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2016: 1427), they noted “The only significant (THC x alcohol) interaction effect detected was for ‘percent speed high’ … This indicates possible mitigation of alcohol effects by THC on time spent above the speed limit”. They concluded (p. 1427): “While alcohol reduces accurate self-assessment of intoxication and increases risky driving behaviors, drivers under the influence of cannabis are more likely aware of potential impairment and decrease speed to compensate, allowing a greater time to react to changing circumstances”. Ronen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(2010: 1864) came to a similar conclusion: “As might be expected from their separate effects, under the combination of THC and alcohol speed was not significantly different than in the placebo sessions; probably because the two drugs counteracted each other”. And, in the words of Sexton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(2002: 25):</w:t>
      </w:r>
    </w:p>
    <w:p w14:paraId="675B8ECF" w14:textId="77777777" w:rsidR="00024F2A" w:rsidRPr="000A20CD" w:rsidRDefault="00024F2A" w:rsidP="00024F2A">
      <w:pPr>
        <w:spacing w:line="256" w:lineRule="auto"/>
        <w:rPr>
          <w:rFonts w:ascii="Cambria" w:eastAsia="Calibri" w:hAnsi="Cambria" w:cs="Mongolian Baiti"/>
          <w:sz w:val="22"/>
          <w:szCs w:val="28"/>
          <w:lang w:bidi="mn-Mong-CN"/>
        </w:rPr>
      </w:pPr>
    </w:p>
    <w:p w14:paraId="3E827C88" w14:textId="77777777" w:rsidR="00024F2A" w:rsidRPr="000A20CD" w:rsidRDefault="00024F2A" w:rsidP="00024F2A">
      <w:pPr>
        <w:spacing w:line="256" w:lineRule="auto"/>
        <w:ind w:left="567" w:right="850"/>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Results using the [UK] Transport Research Laboratory’s driving simulator confirm the results from previous studies. There was a reduction of average speed and an increase in minimum time headway on simulated motorway driving when participants had the active dose of cannabis, </w:t>
      </w:r>
      <w:r w:rsidRPr="000A20CD">
        <w:rPr>
          <w:rFonts w:ascii="Cambria" w:eastAsia="Calibri" w:hAnsi="Cambria" w:cs="Mongolian Baiti"/>
          <w:i/>
          <w:iCs/>
          <w:sz w:val="22"/>
          <w:szCs w:val="28"/>
          <w:lang w:val="en-AU" w:bidi="mn-Mong-CN"/>
        </w:rPr>
        <w:t>regardless of the alcohol dose</w:t>
      </w:r>
      <w:r w:rsidRPr="000A20CD">
        <w:rPr>
          <w:rFonts w:ascii="Cambria" w:eastAsia="Calibri" w:hAnsi="Cambria" w:cs="Mongolian Baiti"/>
          <w:sz w:val="22"/>
          <w:szCs w:val="28"/>
          <w:lang w:val="en-AU" w:bidi="mn-Mong-CN"/>
        </w:rPr>
        <w:t>. This strongly suggests that the participants as drivers are aware of their impairment, and attempt to compensate for their impairment by driving more cautiously.</w:t>
      </w:r>
    </w:p>
    <w:p w14:paraId="2EF04560"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52A230CA"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The evidence from Simmons </w:t>
      </w:r>
      <w:r w:rsidRPr="000A20CD">
        <w:rPr>
          <w:rFonts w:ascii="Cambria" w:eastAsia="Calibri" w:hAnsi="Cambria" w:cs="Mongolian Baiti"/>
          <w:i/>
          <w:iCs/>
          <w:sz w:val="22"/>
          <w:szCs w:val="28"/>
          <w:lang w:val="en-AU" w:bidi="mn-Mong-CN"/>
        </w:rPr>
        <w:t>et al’s</w:t>
      </w:r>
      <w:r w:rsidRPr="000A20CD">
        <w:rPr>
          <w:rFonts w:ascii="Cambria" w:eastAsia="Calibri" w:hAnsi="Cambria" w:cs="Mongolian Baiti"/>
          <w:sz w:val="22"/>
          <w:szCs w:val="28"/>
          <w:lang w:val="en-AU" w:bidi="mn-Mong-CN"/>
        </w:rPr>
        <w:t xml:space="preserve"> (2022) review for ameliorating effects of the co-use of cannabis on the proclivity of alcohol-affected drivers to speed is no more than suggestive. While the authors of the reviewed studies are inclined to support such an effect (as above), Simmons </w:t>
      </w:r>
      <w:r w:rsidRPr="000A20CD">
        <w:rPr>
          <w:rFonts w:ascii="Cambria" w:eastAsia="Calibri" w:hAnsi="Cambria" w:cs="Mongolian Baiti"/>
          <w:i/>
          <w:iCs/>
          <w:sz w:val="22"/>
          <w:szCs w:val="28"/>
          <w:lang w:val="en-AU" w:bidi="mn-Mong-CN"/>
        </w:rPr>
        <w:t>et al.</w:t>
      </w:r>
      <w:r w:rsidRPr="000A20CD">
        <w:rPr>
          <w:rFonts w:ascii="Cambria" w:eastAsia="Calibri" w:hAnsi="Cambria" w:cs="Mongolian Baiti"/>
          <w:sz w:val="22"/>
          <w:szCs w:val="28"/>
          <w:lang w:val="en-AU" w:bidi="mn-Mong-CN"/>
        </w:rPr>
        <w:t xml:space="preserve"> were unable to find any statistically-significant supporting evidence from their meta-analyses. In relation to the </w:t>
      </w:r>
      <w:r w:rsidRPr="000A20CD">
        <w:rPr>
          <w:rFonts w:ascii="Cambria" w:eastAsia="Calibri" w:hAnsi="Cambria" w:cs="Mongolian Baiti"/>
          <w:i/>
          <w:iCs/>
          <w:sz w:val="22"/>
          <w:szCs w:val="28"/>
          <w:lang w:val="en-AU" w:bidi="mn-Mong-CN"/>
        </w:rPr>
        <w:t>separate</w:t>
      </w:r>
      <w:r w:rsidRPr="000A20CD">
        <w:rPr>
          <w:rFonts w:ascii="Cambria" w:eastAsia="Calibri" w:hAnsi="Cambria" w:cs="Mongolian Baiti"/>
          <w:sz w:val="22"/>
          <w:szCs w:val="28"/>
          <w:lang w:val="en-AU" w:bidi="mn-Mong-CN"/>
        </w:rPr>
        <w:t xml:space="preserve"> effects of cannabis and alcohol, they concluded (p. 10): “With respect to speed, cannabis and alcohol had opposite effects. Cannabis led to decreases in speed, whereas alcohol led to increases in speed, with generally greater increases in speed at higher BAC levels”. However, with respect to the </w:t>
      </w:r>
      <w:r w:rsidRPr="000A20CD">
        <w:rPr>
          <w:rFonts w:ascii="Cambria" w:eastAsia="Calibri" w:hAnsi="Cambria" w:cs="Mongolian Baiti"/>
          <w:i/>
          <w:iCs/>
          <w:sz w:val="22"/>
          <w:szCs w:val="28"/>
          <w:lang w:val="en-AU" w:bidi="mn-Mong-CN"/>
        </w:rPr>
        <w:t>combined</w:t>
      </w:r>
      <w:r w:rsidRPr="000A20CD">
        <w:rPr>
          <w:rFonts w:ascii="Cambria" w:eastAsia="Calibri" w:hAnsi="Cambria" w:cs="Mongolian Baiti"/>
          <w:sz w:val="22"/>
          <w:szCs w:val="28"/>
          <w:lang w:val="en-AU" w:bidi="mn-Mong-CN"/>
        </w:rPr>
        <w:t xml:space="preserve"> effects they concluded (p. 10): “The hypothesis that cannabis and alcohol counteract each other on speed is not substantiated here”. However, they feel the need to qualify that conclusion by observing that: “A lack of evidence for an effect is not evidence for a null effect”.</w:t>
      </w:r>
    </w:p>
    <w:p w14:paraId="3336A913"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530102C3"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Given the prominent role of speeding in crash causation (e.g., Job and Brodie, 2022), and particularly in relation to alcohol-involved crashes (Bogstrand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2015; Phillips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2015), any ameliorating effect of the co-use of cannabis on the proclivity of alcohol-affected drivers to speed could reduce the risk of crashing for co-use to below that for alcohol alone. In other words, the beneficial effects of the co-use of cannabis on alcohol-related speeding could easily outweigh any possible deleterious effects of cannabis on the exacerbation of weaving.      </w:t>
      </w:r>
    </w:p>
    <w:p w14:paraId="68D3C9E8" w14:textId="77777777" w:rsidR="00024F2A" w:rsidRPr="000A20CD" w:rsidRDefault="00024F2A" w:rsidP="00024F2A">
      <w:pPr>
        <w:spacing w:line="256" w:lineRule="auto"/>
        <w:rPr>
          <w:rFonts w:ascii="Cambria" w:eastAsia="Calibri" w:hAnsi="Cambria" w:cs="Mongolian Baiti"/>
          <w:sz w:val="22"/>
          <w:szCs w:val="28"/>
          <w:lang w:bidi="mn-Mong-CN"/>
        </w:rPr>
      </w:pPr>
    </w:p>
    <w:p w14:paraId="1FF5A5AC" w14:textId="77777777" w:rsidR="00024F2A" w:rsidRPr="000A20CD" w:rsidRDefault="00024F2A" w:rsidP="00024F2A">
      <w:pPr>
        <w:spacing w:line="256" w:lineRule="auto"/>
        <w:rPr>
          <w:rFonts w:ascii="Cambria" w:eastAsia="Calibri" w:hAnsi="Cambria" w:cs="Mongolian Baiti"/>
          <w:sz w:val="22"/>
          <w:szCs w:val="28"/>
          <w:lang w:bidi="mn-Mong-CN"/>
        </w:rPr>
      </w:pPr>
    </w:p>
    <w:p w14:paraId="2DE1698A" w14:textId="77777777" w:rsidR="00024F2A" w:rsidRPr="000A20CD" w:rsidRDefault="00024F2A" w:rsidP="00024F2A">
      <w:pPr>
        <w:spacing w:line="256" w:lineRule="auto"/>
        <w:rPr>
          <w:rFonts w:ascii="Cambria" w:eastAsia="Calibri" w:hAnsi="Cambria" w:cs="Mongolian Baiti"/>
          <w:i/>
          <w:iCs/>
          <w:sz w:val="22"/>
          <w:szCs w:val="28"/>
          <w:lang w:bidi="mn-Mong-CN"/>
        </w:rPr>
      </w:pPr>
      <w:r w:rsidRPr="000A20CD">
        <w:rPr>
          <w:rFonts w:ascii="Cambria" w:eastAsia="Calibri" w:hAnsi="Cambria" w:cs="Mongolian Baiti"/>
          <w:i/>
          <w:iCs/>
          <w:sz w:val="22"/>
          <w:szCs w:val="28"/>
          <w:lang w:bidi="mn-Mong-CN"/>
        </w:rPr>
        <w:t>The limited contribution of the co-use of cannabis to impairment at high BACs</w:t>
      </w:r>
    </w:p>
    <w:p w14:paraId="3B9A937F" w14:textId="77777777" w:rsidR="00024F2A" w:rsidRPr="000A20CD" w:rsidRDefault="00024F2A" w:rsidP="00024F2A">
      <w:pPr>
        <w:spacing w:line="256" w:lineRule="auto"/>
        <w:rPr>
          <w:rFonts w:ascii="Cambria" w:eastAsia="Calibri" w:hAnsi="Cambria" w:cs="Mongolian Baiti"/>
          <w:sz w:val="22"/>
          <w:szCs w:val="28"/>
          <w:lang w:bidi="mn-Mong-CN"/>
        </w:rPr>
      </w:pPr>
    </w:p>
    <w:p w14:paraId="34194A1A"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It can be seen from Table E1 that the evidence for the exacerbation of weaving comes from two studies (Ramaekers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2000; Ronen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2010) with target BACs of about 0.05. The choice by the researchers to limit their exploration of exacerbation effects to low BACs is presumably deliberate. Although they do not discuss this matter, it seems likely that they understand that the incremental exacerbating effects of cannabis on weaving are unlikely to be discernible at high BACs where alcohol on its own has very strong impairing effects (Irwin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2017).  </w:t>
      </w:r>
    </w:p>
    <w:p w14:paraId="493C8E8D" w14:textId="77777777" w:rsidR="00024F2A" w:rsidRPr="000A20CD" w:rsidRDefault="00024F2A" w:rsidP="00024F2A">
      <w:pPr>
        <w:spacing w:line="256" w:lineRule="auto"/>
        <w:rPr>
          <w:rFonts w:ascii="Cambria" w:eastAsia="Calibri" w:hAnsi="Cambria" w:cs="Mongolian Baiti"/>
          <w:sz w:val="22"/>
          <w:szCs w:val="28"/>
          <w:lang w:bidi="mn-Mong-CN"/>
        </w:rPr>
      </w:pPr>
    </w:p>
    <w:p w14:paraId="33359F86"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2B35AB87" w14:textId="77777777" w:rsidR="00024F2A" w:rsidRPr="000A20CD" w:rsidRDefault="00024F2A" w:rsidP="00024F2A">
      <w:pPr>
        <w:spacing w:line="256" w:lineRule="auto"/>
        <w:rPr>
          <w:rFonts w:ascii="Cambria" w:eastAsia="Calibri" w:hAnsi="Cambria" w:cs="Mongolian Baiti"/>
          <w:b/>
          <w:bCs/>
          <w:i/>
          <w:iCs/>
          <w:sz w:val="22"/>
          <w:szCs w:val="28"/>
          <w:lang w:bidi="mn-Mong-CN"/>
        </w:rPr>
      </w:pPr>
      <w:r w:rsidRPr="000A20CD">
        <w:rPr>
          <w:rFonts w:ascii="Cambria" w:eastAsia="Calibri" w:hAnsi="Cambria" w:cs="Mongolian Baiti"/>
          <w:i/>
          <w:iCs/>
          <w:sz w:val="22"/>
          <w:szCs w:val="28"/>
          <w:lang w:bidi="mn-Mong-CN"/>
        </w:rPr>
        <w:t>Overall conclusion from the experimental evidence</w:t>
      </w:r>
    </w:p>
    <w:p w14:paraId="45021756" w14:textId="77777777" w:rsidR="00024F2A" w:rsidRPr="000A20CD" w:rsidRDefault="00024F2A" w:rsidP="00024F2A">
      <w:pPr>
        <w:spacing w:line="256" w:lineRule="auto"/>
        <w:rPr>
          <w:rFonts w:ascii="Cambria" w:eastAsia="Calibri" w:hAnsi="Cambria" w:cs="Mongolian Baiti"/>
          <w:sz w:val="22"/>
          <w:szCs w:val="28"/>
          <w:lang w:bidi="mn-Mong-CN"/>
        </w:rPr>
      </w:pPr>
    </w:p>
    <w:p w14:paraId="7C46080B"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A distinction needs to be drawn between evidence that is </w:t>
      </w:r>
      <w:r w:rsidRPr="000A20CD">
        <w:rPr>
          <w:rFonts w:ascii="Cambria" w:eastAsia="Calibri" w:hAnsi="Cambria" w:cs="Mongolian Baiti"/>
          <w:i/>
          <w:iCs/>
          <w:sz w:val="22"/>
          <w:szCs w:val="28"/>
          <w:lang w:bidi="mn-Mong-CN"/>
        </w:rPr>
        <w:t>directly</w:t>
      </w:r>
      <w:r w:rsidRPr="000A20CD">
        <w:rPr>
          <w:rFonts w:ascii="Cambria" w:eastAsia="Calibri" w:hAnsi="Cambria" w:cs="Mongolian Baiti"/>
          <w:sz w:val="22"/>
          <w:szCs w:val="28"/>
          <w:lang w:bidi="mn-Mong-CN"/>
        </w:rPr>
        <w:t xml:space="preserve"> relevant to the exacerbating effect of cannabis on the risk of crashing versus evidence that is only </w:t>
      </w:r>
      <w:r w:rsidRPr="000A20CD">
        <w:rPr>
          <w:rFonts w:ascii="Cambria" w:eastAsia="Calibri" w:hAnsi="Cambria" w:cs="Mongolian Baiti"/>
          <w:i/>
          <w:iCs/>
          <w:sz w:val="22"/>
          <w:szCs w:val="28"/>
          <w:lang w:bidi="mn-Mong-CN"/>
        </w:rPr>
        <w:t>indirectly</w:t>
      </w:r>
      <w:r w:rsidRPr="000A20CD">
        <w:rPr>
          <w:rFonts w:ascii="Cambria" w:eastAsia="Calibri" w:hAnsi="Cambria" w:cs="Mongolian Baiti"/>
          <w:sz w:val="22"/>
          <w:szCs w:val="28"/>
          <w:lang w:bidi="mn-Mong-CN"/>
        </w:rPr>
        <w:t xml:space="preserve"> relevant: only the </w:t>
      </w:r>
      <w:r w:rsidRPr="000A20CD">
        <w:rPr>
          <w:rFonts w:ascii="Cambria" w:eastAsia="Calibri" w:hAnsi="Cambria" w:cs="Mongolian Baiti"/>
          <w:i/>
          <w:iCs/>
          <w:sz w:val="22"/>
          <w:szCs w:val="28"/>
          <w:lang w:bidi="mn-Mong-CN"/>
        </w:rPr>
        <w:t>epidemiological</w:t>
      </w:r>
      <w:r w:rsidRPr="000A20CD">
        <w:rPr>
          <w:rFonts w:ascii="Cambria" w:eastAsia="Calibri" w:hAnsi="Cambria" w:cs="Mongolian Baiti"/>
          <w:sz w:val="22"/>
          <w:szCs w:val="28"/>
          <w:lang w:bidi="mn-Mong-CN"/>
        </w:rPr>
        <w:t xml:space="preserve"> evidence, as summarized in the body of this review, is directly relevant. We consider that the findings of Simmons </w:t>
      </w:r>
      <w:r w:rsidRPr="000A20CD">
        <w:rPr>
          <w:rFonts w:ascii="Cambria" w:eastAsia="Calibri" w:hAnsi="Cambria" w:cs="Mongolian Baiti"/>
          <w:i/>
          <w:iCs/>
          <w:sz w:val="22"/>
          <w:szCs w:val="28"/>
          <w:lang w:bidi="mn-Mong-CN"/>
        </w:rPr>
        <w:t>et al</w:t>
      </w:r>
      <w:r w:rsidRPr="000A20CD">
        <w:rPr>
          <w:rFonts w:ascii="Cambria" w:eastAsia="Calibri" w:hAnsi="Cambria" w:cs="Mongolian Baiti"/>
          <w:sz w:val="22"/>
          <w:szCs w:val="28"/>
          <w:lang w:bidi="mn-Mong-CN"/>
        </w:rPr>
        <w:t xml:space="preserve">. (2022) in relation to the indirectly-relevant </w:t>
      </w:r>
      <w:r w:rsidRPr="000A20CD">
        <w:rPr>
          <w:rFonts w:ascii="Cambria" w:eastAsia="Calibri" w:hAnsi="Cambria" w:cs="Mongolian Baiti"/>
          <w:i/>
          <w:iCs/>
          <w:sz w:val="22"/>
          <w:szCs w:val="28"/>
          <w:lang w:bidi="mn-Mong-CN"/>
        </w:rPr>
        <w:t>experimental</w:t>
      </w:r>
      <w:r w:rsidRPr="000A20CD">
        <w:rPr>
          <w:rFonts w:ascii="Cambria" w:eastAsia="Calibri" w:hAnsi="Cambria" w:cs="Mongolian Baiti"/>
          <w:sz w:val="22"/>
          <w:szCs w:val="28"/>
          <w:lang w:bidi="mn-Mong-CN"/>
        </w:rPr>
        <w:t xml:space="preserve"> evidence do not seriously challenge our conclusion from the epidemiological evidence that the co-use of cannabis is unlikely to exacerbate the effect of alcohol on the risk of crashing.</w:t>
      </w:r>
    </w:p>
    <w:p w14:paraId="25AF8AFA" w14:textId="77777777" w:rsidR="00024F2A" w:rsidRPr="000A20CD" w:rsidRDefault="00024F2A" w:rsidP="00024F2A">
      <w:pPr>
        <w:spacing w:line="256" w:lineRule="auto"/>
        <w:rPr>
          <w:rFonts w:ascii="Cambria" w:eastAsia="Calibri" w:hAnsi="Cambria" w:cs="Mongolian Baiti"/>
          <w:sz w:val="22"/>
          <w:szCs w:val="28"/>
          <w:lang w:bidi="mn-Mong-CN"/>
        </w:rPr>
      </w:pPr>
    </w:p>
    <w:p w14:paraId="6C45151B" w14:textId="77777777" w:rsidR="00421CAE" w:rsidRPr="000A20CD" w:rsidRDefault="00421CAE" w:rsidP="00024F2A">
      <w:pPr>
        <w:spacing w:line="256" w:lineRule="auto"/>
        <w:rPr>
          <w:rFonts w:ascii="Cambria" w:eastAsia="Calibri" w:hAnsi="Cambria" w:cs="Mongolian Baiti"/>
          <w:sz w:val="22"/>
          <w:szCs w:val="28"/>
          <w:lang w:val="en-AU" w:bidi="mn-Mong-CN"/>
        </w:rPr>
      </w:pPr>
    </w:p>
    <w:p w14:paraId="242170B8" w14:textId="77777777" w:rsidR="00421CAE" w:rsidRPr="000A20CD" w:rsidRDefault="00421CAE" w:rsidP="00024F2A">
      <w:pPr>
        <w:spacing w:line="256" w:lineRule="auto"/>
        <w:rPr>
          <w:rFonts w:ascii="Cambria" w:eastAsia="Calibri" w:hAnsi="Cambria" w:cs="Mongolian Baiti"/>
          <w:sz w:val="22"/>
          <w:szCs w:val="28"/>
          <w:lang w:val="en-AU" w:bidi="mn-Mong-CN"/>
        </w:rPr>
      </w:pPr>
    </w:p>
    <w:p w14:paraId="15F7A0F3" w14:textId="77777777" w:rsidR="00421CAE" w:rsidRPr="000A20CD" w:rsidRDefault="00421CAE" w:rsidP="00024F2A">
      <w:pPr>
        <w:spacing w:line="256" w:lineRule="auto"/>
        <w:rPr>
          <w:rFonts w:ascii="Cambria" w:eastAsia="Calibri" w:hAnsi="Cambria" w:cs="Mongolian Baiti"/>
          <w:sz w:val="22"/>
          <w:szCs w:val="28"/>
          <w:lang w:val="en-AU" w:bidi="mn-Mong-CN"/>
        </w:rPr>
      </w:pPr>
    </w:p>
    <w:p w14:paraId="371E03D0" w14:textId="77777777" w:rsidR="00421CAE" w:rsidRPr="000A20CD" w:rsidRDefault="00421CAE" w:rsidP="00024F2A">
      <w:pPr>
        <w:spacing w:line="256" w:lineRule="auto"/>
        <w:rPr>
          <w:rFonts w:ascii="Cambria" w:eastAsia="Calibri" w:hAnsi="Cambria" w:cs="Mongolian Baiti"/>
          <w:sz w:val="22"/>
          <w:szCs w:val="28"/>
          <w:lang w:val="en-AU" w:bidi="mn-Mong-CN"/>
        </w:rPr>
      </w:pPr>
    </w:p>
    <w:p w14:paraId="19E0109F" w14:textId="57E63F7A" w:rsidR="00024F2A" w:rsidRPr="000A20CD" w:rsidRDefault="00024F2A" w:rsidP="00024F2A">
      <w:pPr>
        <w:spacing w:line="256" w:lineRule="auto"/>
        <w:rPr>
          <w:rFonts w:ascii="Cambria" w:eastAsia="Calibri" w:hAnsi="Cambria" w:cs="Mongolian Baiti"/>
          <w:i/>
          <w:iCs/>
          <w:sz w:val="22"/>
          <w:szCs w:val="28"/>
          <w:lang w:val="en-AU" w:bidi="mn-Mong-CN"/>
        </w:rPr>
      </w:pPr>
      <w:r w:rsidRPr="000A20CD">
        <w:rPr>
          <w:rFonts w:ascii="Cambria" w:eastAsia="Calibri" w:hAnsi="Cambria" w:cs="Mongolian Baiti"/>
          <w:i/>
          <w:iCs/>
          <w:sz w:val="22"/>
          <w:szCs w:val="28"/>
          <w:lang w:val="en-AU" w:bidi="mn-Mong-CN"/>
        </w:rPr>
        <w:t>References for Appendix E</w:t>
      </w:r>
    </w:p>
    <w:p w14:paraId="43EA61E1"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11B9BE79"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Angell L, Auflick J, Austria PA, et al. (2006). </w:t>
      </w:r>
      <w:r w:rsidRPr="000A20CD">
        <w:rPr>
          <w:rFonts w:ascii="Cambria" w:eastAsia="Calibri" w:hAnsi="Cambria" w:cs="Mongolian Baiti"/>
          <w:i/>
          <w:iCs/>
          <w:sz w:val="22"/>
          <w:szCs w:val="28"/>
          <w:lang w:val="en-AU" w:bidi="mn-Mong-CN"/>
        </w:rPr>
        <w:t>Driver workload metrics Task 2 final report</w:t>
      </w:r>
      <w:r w:rsidRPr="000A20CD">
        <w:rPr>
          <w:rFonts w:ascii="Cambria" w:eastAsia="Calibri" w:hAnsi="Cambria" w:cs="Mongolian Baiti"/>
          <w:sz w:val="22"/>
          <w:szCs w:val="28"/>
          <w:lang w:val="en-AU" w:bidi="mn-Mong-CN"/>
        </w:rPr>
        <w:t xml:space="preserve"> (Report number DOT HS 810 635). Washington, DC: National Highway Traffic Safety Administration (NHTSA). </w:t>
      </w:r>
    </w:p>
    <w:p w14:paraId="1DCCD13F"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55841495"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Bogstrand ST, Larsson M, Holtan A, et al. (2015). Associations between driving under the influence of alcohol and drugs, speeding and seatbelt use among fatally injured car drivers in Norway. </w:t>
      </w:r>
      <w:r w:rsidRPr="000A20CD">
        <w:rPr>
          <w:rFonts w:ascii="Cambria" w:eastAsia="Calibri" w:hAnsi="Cambria" w:cs="Mongolian Baiti"/>
          <w:i/>
          <w:iCs/>
          <w:sz w:val="22"/>
          <w:szCs w:val="28"/>
          <w:lang w:bidi="mn-Mong-CN"/>
        </w:rPr>
        <w:t xml:space="preserve">Accident Analysis and Prevention </w:t>
      </w:r>
      <w:r w:rsidRPr="000A20CD">
        <w:rPr>
          <w:rFonts w:ascii="Cambria" w:eastAsia="Calibri" w:hAnsi="Cambria" w:cs="Mongolian Baiti"/>
          <w:sz w:val="22"/>
          <w:szCs w:val="28"/>
          <w:lang w:bidi="mn-Mong-CN"/>
        </w:rPr>
        <w:t>78: 14-19.</w:t>
      </w:r>
    </w:p>
    <w:p w14:paraId="471688E5"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468EA131"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Engstrom J, Markkula G, Victor T, et al. (2017). Effects of cognitive load on driving performance: The Cognitive Control Hypothesis. </w:t>
      </w:r>
      <w:r w:rsidRPr="000A20CD">
        <w:rPr>
          <w:rFonts w:ascii="Cambria" w:eastAsia="Calibri" w:hAnsi="Cambria" w:cs="Mongolian Baiti"/>
          <w:i/>
          <w:iCs/>
          <w:sz w:val="22"/>
          <w:szCs w:val="28"/>
          <w:lang w:val="en-AU" w:bidi="mn-Mong-CN"/>
        </w:rPr>
        <w:t xml:space="preserve">Human Factors </w:t>
      </w:r>
      <w:r w:rsidRPr="000A20CD">
        <w:rPr>
          <w:rFonts w:ascii="Cambria" w:eastAsia="Calibri" w:hAnsi="Cambria" w:cs="Mongolian Baiti"/>
          <w:sz w:val="22"/>
          <w:szCs w:val="28"/>
          <w:lang w:val="en-AU" w:bidi="mn-Mong-CN"/>
        </w:rPr>
        <w:t>59(5): 734-764.</w:t>
      </w:r>
    </w:p>
    <w:p w14:paraId="68CAB322"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4347137E"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Fanning R, Veith G, Whitehead M, et al. (2016) </w:t>
      </w:r>
      <w:r w:rsidRPr="000A20CD">
        <w:rPr>
          <w:rFonts w:ascii="Cambria" w:eastAsia="Calibri" w:hAnsi="Cambria" w:cs="Mongolian Baiti"/>
          <w:i/>
          <w:iCs/>
          <w:sz w:val="22"/>
          <w:szCs w:val="28"/>
          <w:lang w:val="en-AU" w:bidi="mn-Mong-CN"/>
        </w:rPr>
        <w:t>Guide to road design Part 3: Geometric design</w:t>
      </w:r>
      <w:r w:rsidRPr="000A20CD">
        <w:rPr>
          <w:rFonts w:ascii="Cambria" w:eastAsia="Calibri" w:hAnsi="Cambria" w:cs="Mongolian Baiti"/>
          <w:sz w:val="22"/>
          <w:szCs w:val="28"/>
          <w:lang w:val="en-AU" w:bidi="mn-Mong-CN"/>
        </w:rPr>
        <w:t xml:space="preserve"> (Austroads Publication Number AGRD03-16). Sydney, NSW, Australia: Austroads.</w:t>
      </w:r>
    </w:p>
    <w:p w14:paraId="18C39115"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21A190F9"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Fuller RT (2005) Towards a general theory of driver behaviour. </w:t>
      </w:r>
      <w:r w:rsidRPr="000A20CD">
        <w:rPr>
          <w:rFonts w:ascii="Cambria" w:eastAsia="Calibri" w:hAnsi="Cambria" w:cs="Mongolian Baiti"/>
          <w:i/>
          <w:iCs/>
          <w:sz w:val="22"/>
          <w:szCs w:val="28"/>
          <w:lang w:val="en-AU" w:bidi="mn-Mong-CN"/>
        </w:rPr>
        <w:t>Accident Analysis and Prevention</w:t>
      </w:r>
      <w:r w:rsidRPr="000A20CD">
        <w:rPr>
          <w:rFonts w:ascii="Cambria" w:eastAsia="Calibri" w:hAnsi="Cambria" w:cs="Mongolian Baiti"/>
          <w:sz w:val="22"/>
          <w:szCs w:val="28"/>
          <w:lang w:val="en-AU" w:bidi="mn-Mong-CN"/>
        </w:rPr>
        <w:t xml:space="preserve"> 37: 461-472.</w:t>
      </w:r>
    </w:p>
    <w:p w14:paraId="4E4358BA"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08AFC139"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Ginsburg BC (2019) Strengths and limitations of two cannabis-impaired driving detection methods: A review of the literature. </w:t>
      </w:r>
      <w:r w:rsidRPr="000A20CD">
        <w:rPr>
          <w:rFonts w:ascii="Cambria" w:eastAsia="Calibri" w:hAnsi="Cambria" w:cs="Mongolian Baiti"/>
          <w:i/>
          <w:iCs/>
          <w:sz w:val="22"/>
          <w:szCs w:val="28"/>
          <w:lang w:val="en-AU" w:bidi="mn-Mong-CN"/>
        </w:rPr>
        <w:t>The American Journal of Drug and Alcohol Abuse</w:t>
      </w:r>
      <w:r w:rsidRPr="000A20CD">
        <w:rPr>
          <w:rFonts w:ascii="Cambria" w:eastAsia="Calibri" w:hAnsi="Cambria" w:cs="Mongolian Baiti"/>
          <w:sz w:val="22"/>
          <w:szCs w:val="28"/>
          <w:lang w:val="en-AU" w:bidi="mn-Mong-CN"/>
        </w:rPr>
        <w:t xml:space="preserve"> 45(6): 610-622.</w:t>
      </w:r>
    </w:p>
    <w:p w14:paraId="59945F87"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2C21A43F"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Hartman RL, Brown TL, Milavetz G, et al. (2015) Cannabis effects on driving lateral control with and without alcohol. </w:t>
      </w:r>
      <w:r w:rsidRPr="000A20CD">
        <w:rPr>
          <w:rFonts w:ascii="Cambria" w:eastAsia="Calibri" w:hAnsi="Cambria" w:cs="Mongolian Baiti"/>
          <w:i/>
          <w:iCs/>
          <w:sz w:val="22"/>
          <w:szCs w:val="28"/>
          <w:lang w:bidi="mn-Mong-CN"/>
        </w:rPr>
        <w:t xml:space="preserve">Drug and Alcohol Dependence </w:t>
      </w:r>
      <w:r w:rsidRPr="000A20CD">
        <w:rPr>
          <w:rFonts w:ascii="Cambria" w:eastAsia="Calibri" w:hAnsi="Cambria" w:cs="Mongolian Baiti"/>
          <w:sz w:val="22"/>
          <w:szCs w:val="28"/>
          <w:lang w:bidi="mn-Mong-CN"/>
        </w:rPr>
        <w:t>154: 25-37.</w:t>
      </w:r>
    </w:p>
    <w:p w14:paraId="21A6D570" w14:textId="77777777" w:rsidR="00024F2A" w:rsidRPr="000A20CD" w:rsidRDefault="00024F2A" w:rsidP="00024F2A">
      <w:pPr>
        <w:spacing w:line="256" w:lineRule="auto"/>
        <w:rPr>
          <w:rFonts w:ascii="Cambria" w:eastAsia="Calibri" w:hAnsi="Cambria" w:cs="Mongolian Baiti"/>
          <w:sz w:val="22"/>
          <w:szCs w:val="28"/>
          <w:lang w:bidi="mn-Mong-CN"/>
        </w:rPr>
      </w:pPr>
    </w:p>
    <w:p w14:paraId="1856E748"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Hartman RL, Brown TL, Milavetz G, et al. (2016) Cannabis effects on driving longitudinal control with and without alcohol</w:t>
      </w:r>
      <w:r w:rsidRPr="000A20CD">
        <w:rPr>
          <w:rFonts w:ascii="Cambria" w:eastAsia="Calibri" w:hAnsi="Cambria" w:cs="Mongolian Baiti"/>
          <w:i/>
          <w:iCs/>
          <w:sz w:val="22"/>
          <w:szCs w:val="28"/>
          <w:lang w:bidi="mn-Mong-CN"/>
        </w:rPr>
        <w:t xml:space="preserve">. Journal of Applied Toxicology </w:t>
      </w:r>
      <w:r w:rsidRPr="000A20CD">
        <w:rPr>
          <w:rFonts w:ascii="Cambria" w:eastAsia="Calibri" w:hAnsi="Cambria" w:cs="Mongolian Baiti"/>
          <w:sz w:val="22"/>
          <w:szCs w:val="28"/>
          <w:lang w:bidi="mn-Mong-CN"/>
        </w:rPr>
        <w:t>36: 1418-1429.</w:t>
      </w:r>
    </w:p>
    <w:p w14:paraId="58F37478"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0EC80C18"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Helland A, Jenssen GD, Lervag L-E, et al. (2016) Evaluation of measures of impairment in real and simulated driving: Results from a randomized, placebo-controlled study. </w:t>
      </w:r>
      <w:r w:rsidRPr="000A20CD">
        <w:rPr>
          <w:rFonts w:ascii="Cambria" w:eastAsia="Calibri" w:hAnsi="Cambria" w:cs="Mongolian Baiti"/>
          <w:i/>
          <w:iCs/>
          <w:sz w:val="22"/>
          <w:szCs w:val="28"/>
          <w:lang w:bidi="mn-Mong-CN"/>
        </w:rPr>
        <w:t xml:space="preserve">Traffic Injury Prevention </w:t>
      </w:r>
      <w:r w:rsidRPr="000A20CD">
        <w:rPr>
          <w:rFonts w:ascii="Cambria" w:eastAsia="Calibri" w:hAnsi="Cambria" w:cs="Mongolian Baiti"/>
          <w:sz w:val="22"/>
          <w:szCs w:val="28"/>
          <w:lang w:bidi="mn-Mong-CN"/>
        </w:rPr>
        <w:t>17(3): 245-250.</w:t>
      </w:r>
    </w:p>
    <w:p w14:paraId="2B84A8CC" w14:textId="77777777" w:rsidR="00024F2A" w:rsidRPr="000A20CD" w:rsidRDefault="00024F2A" w:rsidP="00024F2A">
      <w:pPr>
        <w:spacing w:line="256" w:lineRule="auto"/>
        <w:rPr>
          <w:rFonts w:ascii="Cambria" w:eastAsia="Calibri" w:hAnsi="Cambria" w:cs="Mongolian Baiti"/>
          <w:sz w:val="22"/>
          <w:szCs w:val="28"/>
          <w:lang w:bidi="mn-Mong-CN"/>
        </w:rPr>
      </w:pPr>
    </w:p>
    <w:p w14:paraId="1B4C56CE"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Holder D (2021) Systematic analysis of changing vehicle exterior dimensions and relevant vehicle proportions. </w:t>
      </w:r>
      <w:r w:rsidRPr="000A20CD">
        <w:rPr>
          <w:rFonts w:ascii="Cambria" w:eastAsia="Calibri" w:hAnsi="Cambria" w:cs="Mongolian Baiti"/>
          <w:i/>
          <w:iCs/>
          <w:sz w:val="22"/>
          <w:szCs w:val="28"/>
          <w:lang w:bidi="mn-Mong-CN"/>
        </w:rPr>
        <w:t>International Conference on Engineering Design, ICED21</w:t>
      </w:r>
      <w:r w:rsidRPr="000A20CD">
        <w:rPr>
          <w:rFonts w:ascii="Cambria" w:eastAsia="Calibri" w:hAnsi="Cambria" w:cs="Mongolian Baiti"/>
          <w:sz w:val="22"/>
          <w:szCs w:val="28"/>
          <w:lang w:bidi="mn-Mong-CN"/>
        </w:rPr>
        <w:t xml:space="preserve"> [Paper presentation]. Gothenberg, Sweden, 16-20 August 2021.</w:t>
      </w:r>
    </w:p>
    <w:p w14:paraId="5AAAD541"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66C41632"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da-DK" w:bidi="mn-Mong-CN"/>
        </w:rPr>
        <w:t xml:space="preserve">Irwin C, Iudakhina E, Desbrow B, et al. </w:t>
      </w:r>
      <w:r w:rsidRPr="000A20CD">
        <w:rPr>
          <w:rFonts w:ascii="Cambria" w:eastAsia="Calibri" w:hAnsi="Cambria" w:cs="Mongolian Baiti"/>
          <w:sz w:val="22"/>
          <w:szCs w:val="28"/>
          <w:lang w:val="en-AU" w:bidi="mn-Mong-CN"/>
        </w:rPr>
        <w:t xml:space="preserve">(2017) Effects of acute alcohol consumption on measures of simulated driving: A systematic review and meta-analysis. </w:t>
      </w:r>
      <w:r w:rsidRPr="000A20CD">
        <w:rPr>
          <w:rFonts w:ascii="Cambria" w:eastAsia="Calibri" w:hAnsi="Cambria" w:cs="Mongolian Baiti"/>
          <w:i/>
          <w:iCs/>
          <w:sz w:val="22"/>
          <w:szCs w:val="28"/>
          <w:lang w:val="en-AU" w:bidi="mn-Mong-CN"/>
        </w:rPr>
        <w:t xml:space="preserve">Accident Analysis and Prevention </w:t>
      </w:r>
      <w:r w:rsidRPr="000A20CD">
        <w:rPr>
          <w:rFonts w:ascii="Cambria" w:eastAsia="Calibri" w:hAnsi="Cambria" w:cs="Mongolian Baiti"/>
          <w:sz w:val="22"/>
          <w:szCs w:val="28"/>
          <w:lang w:val="en-AU" w:bidi="mn-Mong-CN"/>
        </w:rPr>
        <w:t>102: 248-266.</w:t>
      </w:r>
    </w:p>
    <w:p w14:paraId="0B947879"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59DE7A8B"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Job RFS and Brodie C (2022) Understanding the role of speeding and speed in serious crash trauma: A case study of New Zealand. </w:t>
      </w:r>
      <w:r w:rsidRPr="000A20CD">
        <w:rPr>
          <w:rFonts w:ascii="Cambria" w:eastAsia="Calibri" w:hAnsi="Cambria" w:cs="Mongolian Baiti"/>
          <w:i/>
          <w:iCs/>
          <w:sz w:val="22"/>
          <w:szCs w:val="28"/>
          <w:lang w:bidi="mn-Mong-CN"/>
        </w:rPr>
        <w:t xml:space="preserve">Journal of Road Safety </w:t>
      </w:r>
      <w:r w:rsidRPr="000A20CD">
        <w:rPr>
          <w:rFonts w:ascii="Cambria" w:eastAsia="Calibri" w:hAnsi="Cambria" w:cs="Mongolian Baiti"/>
          <w:sz w:val="22"/>
          <w:szCs w:val="28"/>
          <w:lang w:bidi="mn-Mong-CN"/>
        </w:rPr>
        <w:t>33 (1): 5-25.</w:t>
      </w:r>
    </w:p>
    <w:p w14:paraId="4710165D"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4F36CEE4"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Jongen S, Vuurman EEPM, Ramaekers JG, et al. (2018) Comparing the effects of oxazepam and diazepam in actual highway driving and neurocognitive test performance: a validation study. </w:t>
      </w:r>
      <w:r w:rsidRPr="000A20CD">
        <w:rPr>
          <w:rFonts w:ascii="Cambria" w:eastAsia="Calibri" w:hAnsi="Cambria" w:cs="Mongolian Baiti"/>
          <w:i/>
          <w:iCs/>
          <w:sz w:val="22"/>
          <w:szCs w:val="28"/>
          <w:lang w:val="en-AU" w:bidi="mn-Mong-CN"/>
        </w:rPr>
        <w:t xml:space="preserve">Psychopharmacology </w:t>
      </w:r>
      <w:r w:rsidRPr="000A20CD">
        <w:rPr>
          <w:rFonts w:ascii="Cambria" w:eastAsia="Calibri" w:hAnsi="Cambria" w:cs="Mongolian Baiti"/>
          <w:sz w:val="22"/>
          <w:szCs w:val="28"/>
          <w:lang w:val="en-AU" w:bidi="mn-Mong-CN"/>
        </w:rPr>
        <w:t xml:space="preserve">235: 1283-1294. </w:t>
      </w:r>
    </w:p>
    <w:p w14:paraId="04ABEA42"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524688E4"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Li P, Markkula G, Li Y, et al. (2018) Is improved lane keeping during cognitive load caused by increased physical arousal or gaze concentration towards the road centre? </w:t>
      </w:r>
      <w:r w:rsidRPr="000A20CD">
        <w:rPr>
          <w:rFonts w:ascii="Cambria" w:eastAsia="Calibri" w:hAnsi="Cambria" w:cs="Mongolian Baiti"/>
          <w:i/>
          <w:iCs/>
          <w:sz w:val="22"/>
          <w:szCs w:val="28"/>
          <w:lang w:val="en-AU" w:bidi="mn-Mong-CN"/>
        </w:rPr>
        <w:t xml:space="preserve">Accident Analysis and Prevention </w:t>
      </w:r>
      <w:r w:rsidRPr="000A20CD">
        <w:rPr>
          <w:rFonts w:ascii="Cambria" w:eastAsia="Calibri" w:hAnsi="Cambria" w:cs="Mongolian Baiti"/>
          <w:sz w:val="22"/>
          <w:szCs w:val="28"/>
          <w:lang w:val="en-AU" w:bidi="mn-Mong-CN"/>
        </w:rPr>
        <w:t>117: 65-74.</w:t>
      </w:r>
    </w:p>
    <w:p w14:paraId="76FE8564" w14:textId="77777777" w:rsidR="00024F2A" w:rsidRPr="000A20CD" w:rsidRDefault="00024F2A" w:rsidP="00024F2A">
      <w:pPr>
        <w:spacing w:line="256" w:lineRule="auto"/>
        <w:rPr>
          <w:rFonts w:ascii="Cambria" w:eastAsia="Calibri" w:hAnsi="Cambria" w:cs="Mongolian Baiti"/>
          <w:sz w:val="22"/>
          <w:szCs w:val="28"/>
          <w:lang w:bidi="mn-Mong-CN"/>
        </w:rPr>
      </w:pPr>
    </w:p>
    <w:p w14:paraId="1D50431E"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Louwerens JW, Gloerich ABM, DeVries G, et al. (1987) The relationship between drivers’ blood alcohol concentration (BAC) and actual driving performance during high-speed travel. In PC Noordzij and R Roszbach (Eds), </w:t>
      </w:r>
      <w:r w:rsidRPr="000A20CD">
        <w:rPr>
          <w:rFonts w:ascii="Cambria" w:eastAsia="Calibri" w:hAnsi="Cambria" w:cs="Mongolian Baiti"/>
          <w:i/>
          <w:iCs/>
          <w:sz w:val="22"/>
          <w:szCs w:val="28"/>
          <w:lang w:bidi="mn-Mong-CN"/>
        </w:rPr>
        <w:t xml:space="preserve">Alcohol Drugs Traffic Safety - T86 </w:t>
      </w:r>
      <w:r w:rsidRPr="000A20CD">
        <w:rPr>
          <w:rFonts w:ascii="Cambria" w:eastAsia="Calibri" w:hAnsi="Cambria" w:cs="Mongolian Baiti"/>
          <w:sz w:val="22"/>
          <w:szCs w:val="28"/>
          <w:lang w:bidi="mn-Mong-CN"/>
        </w:rPr>
        <w:t>(pp. 183–186). Amsterdam: Elsevier.</w:t>
      </w:r>
    </w:p>
    <w:p w14:paraId="2B2B9E0E"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435B55DA"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Mahajan K and Velaga NR (2022) Effects of partial sleep deprivation: A comparative assessment of young non-professional and professional taxi drivers. </w:t>
      </w:r>
      <w:r w:rsidRPr="000A20CD">
        <w:rPr>
          <w:rFonts w:ascii="Cambria" w:eastAsia="Calibri" w:hAnsi="Cambria" w:cs="Mongolian Baiti"/>
          <w:i/>
          <w:iCs/>
          <w:sz w:val="22"/>
          <w:szCs w:val="28"/>
          <w:lang w:val="en-AU" w:bidi="mn-Mong-CN"/>
        </w:rPr>
        <w:t xml:space="preserve">Transportation Research Part F: Psychology and Behavior </w:t>
      </w:r>
      <w:r w:rsidRPr="000A20CD">
        <w:rPr>
          <w:rFonts w:ascii="Cambria" w:eastAsia="Calibri" w:hAnsi="Cambria" w:cs="Mongolian Baiti"/>
          <w:sz w:val="22"/>
          <w:szCs w:val="28"/>
          <w:lang w:val="en-AU" w:bidi="mn-Mong-CN"/>
        </w:rPr>
        <w:t>85: 209-220.</w:t>
      </w:r>
    </w:p>
    <w:p w14:paraId="21F97313"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79C0626F"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McGehee DV, Lee JD, Rizzo M, et al. (2004) Quantitative analysis of steering adaptation on a high performance fixed-base driving simulator. </w:t>
      </w:r>
      <w:r w:rsidRPr="000A20CD">
        <w:rPr>
          <w:rFonts w:ascii="Cambria" w:eastAsia="Calibri" w:hAnsi="Cambria" w:cs="Mongolian Baiti"/>
          <w:i/>
          <w:iCs/>
          <w:sz w:val="22"/>
          <w:szCs w:val="28"/>
          <w:lang w:val="en-AU" w:bidi="mn-Mong-CN"/>
        </w:rPr>
        <w:t>Transportation Research Part F: Traffic Psychology and Behavior</w:t>
      </w:r>
      <w:r w:rsidRPr="000A20CD">
        <w:rPr>
          <w:rFonts w:ascii="Cambria" w:eastAsia="Calibri" w:hAnsi="Cambria" w:cs="Mongolian Baiti"/>
          <w:sz w:val="22"/>
          <w:szCs w:val="28"/>
          <w:lang w:val="en-AU" w:bidi="mn-Mong-CN"/>
        </w:rPr>
        <w:t xml:space="preserve"> 7: 181–196.</w:t>
      </w:r>
    </w:p>
    <w:p w14:paraId="648D47EA"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1B0CC523"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Ortiz C, Ortiz-Peregrina S, Castro JJ, et al. (2018) Driver distraction by smartphone use (WhatsApp) in different age groups. </w:t>
      </w:r>
      <w:r w:rsidRPr="000A20CD">
        <w:rPr>
          <w:rFonts w:ascii="Cambria" w:eastAsia="Calibri" w:hAnsi="Cambria" w:cs="Mongolian Baiti"/>
          <w:i/>
          <w:iCs/>
          <w:sz w:val="22"/>
          <w:szCs w:val="28"/>
          <w:lang w:bidi="mn-Mong-CN"/>
        </w:rPr>
        <w:t xml:space="preserve">Accident Analysis and Prevention </w:t>
      </w:r>
      <w:r w:rsidRPr="000A20CD">
        <w:rPr>
          <w:rFonts w:ascii="Cambria" w:eastAsia="Calibri" w:hAnsi="Cambria" w:cs="Mongolian Baiti"/>
          <w:sz w:val="22"/>
          <w:szCs w:val="28"/>
          <w:lang w:bidi="mn-Mong-CN"/>
        </w:rPr>
        <w:t>117: 239-249.</w:t>
      </w:r>
    </w:p>
    <w:p w14:paraId="53F37D1F" w14:textId="77777777" w:rsidR="00024F2A" w:rsidRPr="000A20CD" w:rsidRDefault="00024F2A" w:rsidP="00024F2A">
      <w:pPr>
        <w:spacing w:line="256" w:lineRule="auto"/>
        <w:rPr>
          <w:rFonts w:ascii="Cambria" w:eastAsia="Calibri" w:hAnsi="Cambria" w:cs="Mongolian Baiti"/>
          <w:sz w:val="22"/>
          <w:szCs w:val="28"/>
          <w:lang w:bidi="mn-Mong-CN"/>
        </w:rPr>
      </w:pPr>
    </w:p>
    <w:p w14:paraId="3F13EAF3"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Ortiz-Peregrina S, Ortiz C, Casares-Lopez M, et al. (2020). Impact of age-related vision changes on driving. </w:t>
      </w:r>
      <w:r w:rsidRPr="000A20CD">
        <w:rPr>
          <w:rFonts w:ascii="Cambria" w:eastAsia="Calibri" w:hAnsi="Cambria" w:cs="Mongolian Baiti"/>
          <w:i/>
          <w:iCs/>
          <w:sz w:val="22"/>
          <w:szCs w:val="28"/>
          <w:lang w:bidi="mn-Mong-CN"/>
        </w:rPr>
        <w:t xml:space="preserve">International Journal of Environmental Research and Public Health </w:t>
      </w:r>
      <w:r w:rsidRPr="000A20CD">
        <w:rPr>
          <w:rFonts w:ascii="Cambria" w:eastAsia="Calibri" w:hAnsi="Cambria" w:cs="Mongolian Baiti"/>
          <w:sz w:val="22"/>
          <w:szCs w:val="28"/>
          <w:lang w:bidi="mn-Mong-CN"/>
        </w:rPr>
        <w:t>17: Article 7416.</w:t>
      </w:r>
    </w:p>
    <w:p w14:paraId="7A293A33"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1AAAB323"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Owens K and Ramaekers JG (2009) Drugs, Driving, and models to measure driving impairment. In: J. C. Verster, S. R. Pandi-Perumal, J. G. Ramaekers &amp; J. J. de Gier. </w:t>
      </w:r>
      <w:r w:rsidRPr="000A20CD">
        <w:rPr>
          <w:rFonts w:ascii="Cambria" w:eastAsia="Calibri" w:hAnsi="Cambria" w:cs="Mongolian Baiti"/>
          <w:i/>
          <w:iCs/>
          <w:sz w:val="22"/>
          <w:szCs w:val="28"/>
          <w:lang w:val="en-AU" w:bidi="mn-Mong-CN"/>
        </w:rPr>
        <w:t>Drugs, Driving and Traffic Safety</w:t>
      </w:r>
      <w:r w:rsidRPr="000A20CD">
        <w:rPr>
          <w:rFonts w:ascii="Cambria" w:eastAsia="Calibri" w:hAnsi="Cambria" w:cs="Mongolian Baiti"/>
          <w:sz w:val="22"/>
          <w:szCs w:val="28"/>
          <w:lang w:val="en-AU" w:bidi="mn-Mong-CN"/>
        </w:rPr>
        <w:t>. Switzerland: Birkhauser Verlag.</w:t>
      </w:r>
    </w:p>
    <w:p w14:paraId="21A6FBE4" w14:textId="77777777" w:rsidR="00024F2A" w:rsidRPr="000A20CD" w:rsidRDefault="00024F2A" w:rsidP="00024F2A">
      <w:pPr>
        <w:spacing w:line="256" w:lineRule="auto"/>
        <w:rPr>
          <w:rFonts w:ascii="Cambria" w:eastAsia="Calibri" w:hAnsi="Cambria" w:cs="Mongolian Baiti"/>
          <w:sz w:val="22"/>
          <w:szCs w:val="28"/>
          <w:lang w:bidi="mn-Mong-CN"/>
        </w:rPr>
      </w:pPr>
    </w:p>
    <w:p w14:paraId="1E1A19D2"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Phillips DP, Sousa ALR and Moshfegh RT (2015) Official blame for drivers with very low blood alcohol content: there is no safe combination of drinking and driving. </w:t>
      </w:r>
      <w:r w:rsidRPr="000A20CD">
        <w:rPr>
          <w:rFonts w:ascii="Cambria" w:eastAsia="Calibri" w:hAnsi="Cambria" w:cs="Mongolian Baiti"/>
          <w:i/>
          <w:iCs/>
          <w:sz w:val="22"/>
          <w:szCs w:val="28"/>
          <w:lang w:val="en-AU" w:bidi="mn-Mong-CN"/>
        </w:rPr>
        <w:t>Injury Prevention</w:t>
      </w:r>
      <w:r w:rsidRPr="000A20CD">
        <w:rPr>
          <w:rFonts w:ascii="Cambria" w:eastAsia="Calibri" w:hAnsi="Cambria" w:cs="Mongolian Baiti"/>
          <w:sz w:val="22"/>
          <w:szCs w:val="28"/>
          <w:lang w:val="en-AU" w:bidi="mn-Mong-CN"/>
        </w:rPr>
        <w:t xml:space="preserve"> 21: e28–e35.</w:t>
      </w:r>
    </w:p>
    <w:p w14:paraId="6A5D4568" w14:textId="77777777" w:rsidR="00024F2A" w:rsidRPr="000A20CD" w:rsidRDefault="00024F2A" w:rsidP="00024F2A">
      <w:pPr>
        <w:spacing w:line="256" w:lineRule="auto"/>
        <w:rPr>
          <w:rFonts w:ascii="Cambria" w:eastAsia="Calibri" w:hAnsi="Cambria" w:cs="Mongolian Baiti"/>
          <w:sz w:val="22"/>
          <w:szCs w:val="28"/>
          <w:lang w:bidi="mn-Mong-CN"/>
        </w:rPr>
      </w:pPr>
    </w:p>
    <w:p w14:paraId="173CA8DC"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Ramaekers JG (2017) Drugs and driving research in medicinal drug development. </w:t>
      </w:r>
      <w:r w:rsidRPr="000A20CD">
        <w:rPr>
          <w:rFonts w:ascii="Cambria" w:eastAsia="Calibri" w:hAnsi="Cambria" w:cs="Mongolian Baiti"/>
          <w:i/>
          <w:iCs/>
          <w:sz w:val="22"/>
          <w:szCs w:val="28"/>
          <w:lang w:bidi="mn-Mong-CN"/>
        </w:rPr>
        <w:t xml:space="preserve">Trends in Pharmacological Sciences </w:t>
      </w:r>
      <w:r w:rsidRPr="000A20CD">
        <w:rPr>
          <w:rFonts w:ascii="Cambria" w:eastAsia="Calibri" w:hAnsi="Cambria" w:cs="Mongolian Baiti"/>
          <w:sz w:val="22"/>
          <w:szCs w:val="28"/>
          <w:lang w:bidi="mn-Mong-CN"/>
        </w:rPr>
        <w:t>38 (4): 319-321.</w:t>
      </w:r>
    </w:p>
    <w:p w14:paraId="0D26BFFD" w14:textId="77777777" w:rsidR="00024F2A" w:rsidRPr="000A20CD" w:rsidRDefault="00024F2A" w:rsidP="00024F2A">
      <w:pPr>
        <w:spacing w:line="256" w:lineRule="auto"/>
        <w:rPr>
          <w:rFonts w:ascii="Cambria" w:eastAsia="Calibri" w:hAnsi="Cambria" w:cs="Mongolian Baiti"/>
          <w:sz w:val="22"/>
          <w:szCs w:val="28"/>
          <w:lang w:bidi="mn-Mong-CN"/>
        </w:rPr>
      </w:pPr>
    </w:p>
    <w:p w14:paraId="22A00C00"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Ramaekers JG, Robbe HW and O’Hanlon JF (2000) Marijuana, alcohol and actual driving performance. </w:t>
      </w:r>
      <w:r w:rsidRPr="000A20CD">
        <w:rPr>
          <w:rFonts w:ascii="Cambria" w:eastAsia="Calibri" w:hAnsi="Cambria" w:cs="Mongolian Baiti"/>
          <w:i/>
          <w:iCs/>
          <w:sz w:val="22"/>
          <w:szCs w:val="28"/>
          <w:lang w:val="en-AU" w:bidi="mn-Mong-CN"/>
        </w:rPr>
        <w:t xml:space="preserve">Human Psychopharmacology: Clinical and Experimental </w:t>
      </w:r>
      <w:r w:rsidRPr="000A20CD">
        <w:rPr>
          <w:rFonts w:ascii="Cambria" w:eastAsia="Calibri" w:hAnsi="Cambria" w:cs="Mongolian Baiti"/>
          <w:sz w:val="22"/>
          <w:szCs w:val="28"/>
          <w:lang w:val="en-AU" w:bidi="mn-Mong-CN"/>
        </w:rPr>
        <w:t>15(7): 551-558.</w:t>
      </w:r>
    </w:p>
    <w:p w14:paraId="70F93397" w14:textId="77777777" w:rsidR="00024F2A" w:rsidRPr="000A20CD" w:rsidRDefault="00024F2A" w:rsidP="00024F2A">
      <w:pPr>
        <w:spacing w:line="256" w:lineRule="auto"/>
        <w:rPr>
          <w:rFonts w:ascii="Cambria" w:eastAsia="Calibri" w:hAnsi="Cambria" w:cs="Mongolian Baiti"/>
          <w:sz w:val="22"/>
          <w:szCs w:val="28"/>
          <w:lang w:bidi="mn-Mong-CN"/>
        </w:rPr>
      </w:pPr>
    </w:p>
    <w:p w14:paraId="233D0EA9"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bidi="mn-Mong-CN"/>
        </w:rPr>
        <w:t xml:space="preserve">Ronen </w:t>
      </w:r>
      <w:r w:rsidRPr="000A20CD">
        <w:rPr>
          <w:rFonts w:ascii="Cambria" w:eastAsia="Calibri" w:hAnsi="Cambria" w:cs="Mongolian Baiti"/>
          <w:sz w:val="22"/>
          <w:szCs w:val="28"/>
          <w:lang w:val="en-AU" w:bidi="mn-Mong-CN"/>
        </w:rPr>
        <w:t xml:space="preserve">A, </w:t>
      </w:r>
      <w:r w:rsidRPr="000A20CD">
        <w:rPr>
          <w:rFonts w:ascii="Cambria" w:eastAsia="Calibri" w:hAnsi="Cambria" w:cs="Mongolian Baiti"/>
          <w:sz w:val="22"/>
          <w:szCs w:val="28"/>
          <w:lang w:bidi="mn-Mong-CN"/>
        </w:rPr>
        <w:t xml:space="preserve">Chassidim HS, Gershon </w:t>
      </w:r>
      <w:r w:rsidRPr="000A20CD">
        <w:rPr>
          <w:rFonts w:ascii="Cambria" w:eastAsia="Calibri" w:hAnsi="Cambria" w:cs="Mongolian Baiti"/>
          <w:sz w:val="22"/>
          <w:szCs w:val="28"/>
          <w:lang w:val="en-AU" w:bidi="mn-Mong-CN"/>
        </w:rPr>
        <w:t xml:space="preserve">P, </w:t>
      </w:r>
      <w:r w:rsidRPr="000A20CD">
        <w:rPr>
          <w:rFonts w:ascii="Cambria" w:eastAsia="Calibri" w:hAnsi="Cambria" w:cs="Mongolian Baiti"/>
          <w:sz w:val="22"/>
          <w:szCs w:val="28"/>
          <w:lang w:bidi="mn-Mong-CN"/>
        </w:rPr>
        <w:t>et al</w:t>
      </w:r>
      <w:r w:rsidRPr="000A20CD">
        <w:rPr>
          <w:rFonts w:ascii="Cambria" w:eastAsia="Calibri" w:hAnsi="Cambria" w:cs="Mongolian Baiti"/>
          <w:sz w:val="22"/>
          <w:szCs w:val="28"/>
          <w:lang w:val="en-AU" w:bidi="mn-Mong-CN"/>
        </w:rPr>
        <w:t xml:space="preserve">. (2010) </w:t>
      </w:r>
      <w:r w:rsidRPr="000A20CD">
        <w:rPr>
          <w:rFonts w:ascii="Cambria" w:eastAsia="Calibri" w:hAnsi="Cambria" w:cs="Mongolian Baiti"/>
          <w:sz w:val="22"/>
          <w:szCs w:val="28"/>
          <w:lang w:bidi="mn-Mong-CN"/>
        </w:rPr>
        <w:t xml:space="preserve">The effect of alcohol, THC and their combination on perceived effects, willingness to drive and performance of driving and non-driving tasks. </w:t>
      </w:r>
      <w:r w:rsidRPr="000A20CD">
        <w:rPr>
          <w:rFonts w:ascii="Cambria" w:eastAsia="Calibri" w:hAnsi="Cambria" w:cs="Mongolian Baiti"/>
          <w:i/>
          <w:iCs/>
          <w:sz w:val="22"/>
          <w:szCs w:val="28"/>
          <w:lang w:val="en-AU" w:bidi="mn-Mong-CN"/>
        </w:rPr>
        <w:t>Accident Analysis and Prevention</w:t>
      </w:r>
      <w:r w:rsidRPr="000A20CD">
        <w:rPr>
          <w:rFonts w:ascii="Cambria" w:eastAsia="Calibri" w:hAnsi="Cambria" w:cs="Mongolian Baiti"/>
          <w:i/>
          <w:iCs/>
          <w:sz w:val="22"/>
          <w:szCs w:val="28"/>
          <w:lang w:bidi="mn-Mong-CN"/>
        </w:rPr>
        <w:t xml:space="preserve"> </w:t>
      </w:r>
      <w:r w:rsidRPr="000A20CD">
        <w:rPr>
          <w:rFonts w:ascii="Cambria" w:eastAsia="Calibri" w:hAnsi="Cambria" w:cs="Mongolian Baiti"/>
          <w:sz w:val="22"/>
          <w:szCs w:val="28"/>
          <w:lang w:bidi="mn-Mong-CN"/>
        </w:rPr>
        <w:t>42(6): 1855-1865</w:t>
      </w:r>
      <w:r w:rsidRPr="000A20CD">
        <w:rPr>
          <w:rFonts w:ascii="Cambria" w:eastAsia="Calibri" w:hAnsi="Cambria" w:cs="Mongolian Baiti"/>
          <w:sz w:val="22"/>
          <w:szCs w:val="28"/>
          <w:lang w:val="en-AU" w:bidi="mn-Mong-CN"/>
        </w:rPr>
        <w:t>.</w:t>
      </w:r>
    </w:p>
    <w:p w14:paraId="786824F6" w14:textId="77777777" w:rsidR="00024F2A" w:rsidRPr="000A20CD" w:rsidRDefault="00024F2A" w:rsidP="00024F2A">
      <w:pPr>
        <w:spacing w:line="256" w:lineRule="auto"/>
        <w:rPr>
          <w:rFonts w:ascii="Cambria" w:eastAsia="Calibri" w:hAnsi="Cambria" w:cs="Mongolian Baiti"/>
          <w:sz w:val="22"/>
          <w:szCs w:val="28"/>
          <w:lang w:bidi="mn-Mong-CN"/>
        </w:rPr>
      </w:pPr>
    </w:p>
    <w:p w14:paraId="4E5EDAB7"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Rosey F and Auberlet J-M (2012) Trajectory variability: Road geometry difficulty indicator. </w:t>
      </w:r>
      <w:r w:rsidRPr="000A20CD">
        <w:rPr>
          <w:rFonts w:ascii="Cambria" w:eastAsia="Calibri" w:hAnsi="Cambria" w:cs="Mongolian Baiti"/>
          <w:i/>
          <w:iCs/>
          <w:sz w:val="22"/>
          <w:szCs w:val="28"/>
          <w:lang w:bidi="mn-Mong-CN"/>
        </w:rPr>
        <w:t xml:space="preserve">Safety Science </w:t>
      </w:r>
      <w:r w:rsidRPr="000A20CD">
        <w:rPr>
          <w:rFonts w:ascii="Cambria" w:eastAsia="Calibri" w:hAnsi="Cambria" w:cs="Mongolian Baiti"/>
          <w:sz w:val="22"/>
          <w:szCs w:val="28"/>
          <w:lang w:bidi="mn-Mong-CN"/>
        </w:rPr>
        <w:t>50: 1818-1828.</w:t>
      </w:r>
    </w:p>
    <w:p w14:paraId="27F9874F" w14:textId="77777777" w:rsidR="00024F2A" w:rsidRPr="000A20CD" w:rsidRDefault="00024F2A" w:rsidP="00024F2A">
      <w:pPr>
        <w:spacing w:line="256" w:lineRule="auto"/>
        <w:rPr>
          <w:rFonts w:ascii="Cambria" w:eastAsia="Calibri" w:hAnsi="Cambria" w:cs="Mongolian Baiti"/>
          <w:sz w:val="22"/>
          <w:szCs w:val="28"/>
          <w:lang w:bidi="mn-Mong-CN"/>
        </w:rPr>
      </w:pPr>
    </w:p>
    <w:p w14:paraId="2AC89999" w14:textId="77777777" w:rsidR="00024F2A" w:rsidRPr="000A20CD" w:rsidRDefault="00024F2A" w:rsidP="00024F2A">
      <w:pPr>
        <w:spacing w:line="256" w:lineRule="auto"/>
        <w:rPr>
          <w:rFonts w:ascii="Cambria" w:eastAsia="Calibri" w:hAnsi="Cambria" w:cs="Mongolian Baiti"/>
          <w:sz w:val="22"/>
          <w:szCs w:val="28"/>
          <w:lang w:val="en-AU" w:bidi="mn-Mong-CN"/>
        </w:rPr>
      </w:pPr>
      <w:r w:rsidRPr="000A20CD">
        <w:rPr>
          <w:rFonts w:ascii="Cambria" w:eastAsia="Calibri" w:hAnsi="Cambria" w:cs="Mongolian Baiti"/>
          <w:sz w:val="22"/>
          <w:szCs w:val="28"/>
          <w:lang w:val="en-AU" w:bidi="mn-Mong-CN"/>
        </w:rPr>
        <w:t xml:space="preserve">Salvucci DD and Beltowska J (2008) Effects of memory rehearsal on driver performance: Experiment and theoretical account. </w:t>
      </w:r>
      <w:r w:rsidRPr="000A20CD">
        <w:rPr>
          <w:rFonts w:ascii="Cambria" w:eastAsia="Calibri" w:hAnsi="Cambria" w:cs="Mongolian Baiti"/>
          <w:i/>
          <w:iCs/>
          <w:sz w:val="22"/>
          <w:szCs w:val="28"/>
          <w:lang w:val="en-AU" w:bidi="mn-Mong-CN"/>
        </w:rPr>
        <w:t xml:space="preserve">Human Factors </w:t>
      </w:r>
      <w:r w:rsidRPr="000A20CD">
        <w:rPr>
          <w:rFonts w:ascii="Cambria" w:eastAsia="Calibri" w:hAnsi="Cambria" w:cs="Mongolian Baiti"/>
          <w:sz w:val="22"/>
          <w:szCs w:val="28"/>
          <w:lang w:val="en-AU" w:bidi="mn-Mong-CN"/>
        </w:rPr>
        <w:t>50(5): 834-844.</w:t>
      </w:r>
    </w:p>
    <w:p w14:paraId="6CB94963" w14:textId="77777777" w:rsidR="00024F2A" w:rsidRPr="000A20CD" w:rsidRDefault="00024F2A" w:rsidP="00024F2A">
      <w:pPr>
        <w:spacing w:line="256" w:lineRule="auto"/>
        <w:rPr>
          <w:rFonts w:ascii="Cambria" w:eastAsia="Calibri" w:hAnsi="Cambria" w:cs="Mongolian Baiti"/>
          <w:sz w:val="22"/>
          <w:szCs w:val="28"/>
          <w:lang w:bidi="mn-Mong-CN"/>
        </w:rPr>
      </w:pPr>
    </w:p>
    <w:p w14:paraId="1B414DC2"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Sexton BF, Tunbridge RJ, Board A, et al. (2002) </w:t>
      </w:r>
      <w:r w:rsidRPr="000A20CD">
        <w:rPr>
          <w:rFonts w:ascii="Cambria" w:eastAsia="Calibri" w:hAnsi="Cambria" w:cs="Mongolian Baiti"/>
          <w:i/>
          <w:iCs/>
          <w:sz w:val="22"/>
          <w:szCs w:val="28"/>
          <w:lang w:bidi="mn-Mong-CN"/>
        </w:rPr>
        <w:t>The influence of cannabis and alcohol on driving</w:t>
      </w:r>
      <w:r w:rsidRPr="000A20CD">
        <w:rPr>
          <w:rFonts w:ascii="Cambria" w:eastAsia="Calibri" w:hAnsi="Cambria" w:cs="Mongolian Baiti"/>
          <w:sz w:val="22"/>
          <w:szCs w:val="28"/>
          <w:lang w:bidi="mn-Mong-CN"/>
        </w:rPr>
        <w:t xml:space="preserve"> (Report number TRL543). Wokingham, UK: Transport Research Laboratory (TRL).</w:t>
      </w:r>
    </w:p>
    <w:p w14:paraId="3350C972" w14:textId="77777777" w:rsidR="00024F2A" w:rsidRPr="000A20CD" w:rsidRDefault="00024F2A" w:rsidP="00024F2A">
      <w:pPr>
        <w:spacing w:line="256" w:lineRule="auto"/>
        <w:rPr>
          <w:rFonts w:ascii="Cambria" w:eastAsia="Calibri" w:hAnsi="Cambria" w:cs="Mongolian Baiti"/>
          <w:sz w:val="22"/>
          <w:szCs w:val="28"/>
          <w:lang w:bidi="mn-Mong-CN"/>
        </w:rPr>
      </w:pPr>
    </w:p>
    <w:p w14:paraId="3D4CD635"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Shaw FA, Park SJ, Bae J, et al. (2019) Effects of roadside distractors on performance of drivers with and without attention deficit tendencies. </w:t>
      </w:r>
      <w:r w:rsidRPr="000A20CD">
        <w:rPr>
          <w:rFonts w:ascii="Cambria" w:eastAsia="Calibri" w:hAnsi="Cambria" w:cs="Mongolian Baiti"/>
          <w:i/>
          <w:iCs/>
          <w:sz w:val="22"/>
          <w:szCs w:val="28"/>
          <w:lang w:bidi="mn-Mong-CN"/>
        </w:rPr>
        <w:t xml:space="preserve">Transportation Research Part F: Traffic Psychology and Behavior </w:t>
      </w:r>
      <w:r w:rsidRPr="000A20CD">
        <w:rPr>
          <w:rFonts w:ascii="Cambria" w:eastAsia="Calibri" w:hAnsi="Cambria" w:cs="Mongolian Baiti"/>
          <w:sz w:val="22"/>
          <w:szCs w:val="28"/>
          <w:lang w:bidi="mn-Mong-CN"/>
        </w:rPr>
        <w:t xml:space="preserve">61: 141-151.  </w:t>
      </w:r>
    </w:p>
    <w:p w14:paraId="47C28725" w14:textId="77777777" w:rsidR="00024F2A" w:rsidRPr="000A20CD" w:rsidRDefault="00024F2A" w:rsidP="00024F2A">
      <w:pPr>
        <w:spacing w:line="256" w:lineRule="auto"/>
        <w:rPr>
          <w:rFonts w:ascii="Cambria" w:eastAsia="Calibri" w:hAnsi="Cambria" w:cs="Mongolian Baiti"/>
          <w:sz w:val="22"/>
          <w:szCs w:val="28"/>
          <w:lang w:bidi="mn-Mong-CN"/>
        </w:rPr>
      </w:pPr>
    </w:p>
    <w:p w14:paraId="0CC772C2"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Simmons S, Caird JK, Sterzer F, et al. (2022) The effects of cannabis and alcohol on driving performance and driver behaviour: A systematic review and meta-analysis. </w:t>
      </w:r>
      <w:r w:rsidRPr="000A20CD">
        <w:rPr>
          <w:rFonts w:ascii="Cambria" w:eastAsia="Calibri" w:hAnsi="Cambria" w:cs="Mongolian Baiti"/>
          <w:i/>
          <w:iCs/>
          <w:sz w:val="22"/>
          <w:szCs w:val="28"/>
          <w:lang w:bidi="mn-Mong-CN"/>
        </w:rPr>
        <w:t xml:space="preserve">Addiction </w:t>
      </w:r>
      <w:r w:rsidRPr="000A20CD">
        <w:rPr>
          <w:rFonts w:ascii="Cambria" w:eastAsia="Calibri" w:hAnsi="Cambria" w:cs="Mongolian Baiti"/>
          <w:sz w:val="22"/>
          <w:szCs w:val="28"/>
          <w:lang w:bidi="mn-Mong-CN"/>
        </w:rPr>
        <w:t xml:space="preserve">117(7): 1843-1856. </w:t>
      </w:r>
    </w:p>
    <w:p w14:paraId="5A8A278F" w14:textId="77777777" w:rsidR="00024F2A" w:rsidRPr="000A20CD" w:rsidRDefault="00024F2A" w:rsidP="00024F2A">
      <w:pPr>
        <w:spacing w:line="256" w:lineRule="auto"/>
        <w:rPr>
          <w:rFonts w:ascii="Cambria" w:eastAsia="Calibri" w:hAnsi="Cambria" w:cs="Mongolian Baiti"/>
          <w:sz w:val="22"/>
          <w:szCs w:val="28"/>
          <w:lang w:bidi="mn-Mong-CN"/>
        </w:rPr>
      </w:pPr>
    </w:p>
    <w:p w14:paraId="011C83CD"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Verster JC and Roth T (2011) Standard operating procedures for conducting the on-the-road driving test, and measurement of the standard deviation of lateral position (SDLP). </w:t>
      </w:r>
      <w:r w:rsidRPr="000A20CD">
        <w:rPr>
          <w:rFonts w:ascii="Cambria" w:eastAsia="Calibri" w:hAnsi="Cambria" w:cs="Mongolian Baiti"/>
          <w:i/>
          <w:iCs/>
          <w:sz w:val="22"/>
          <w:szCs w:val="28"/>
          <w:lang w:bidi="mn-Mong-CN"/>
        </w:rPr>
        <w:t xml:space="preserve">International Journal of General Medicine </w:t>
      </w:r>
      <w:r w:rsidRPr="000A20CD">
        <w:rPr>
          <w:rFonts w:ascii="Cambria" w:eastAsia="Calibri" w:hAnsi="Cambria" w:cs="Mongolian Baiti"/>
          <w:sz w:val="22"/>
          <w:szCs w:val="28"/>
          <w:lang w:bidi="mn-Mong-CN"/>
        </w:rPr>
        <w:t>4: 359-371.</w:t>
      </w:r>
    </w:p>
    <w:p w14:paraId="3DF903B3" w14:textId="77777777" w:rsidR="00024F2A" w:rsidRPr="000A20CD" w:rsidRDefault="00024F2A" w:rsidP="00024F2A">
      <w:pPr>
        <w:spacing w:line="256" w:lineRule="auto"/>
        <w:rPr>
          <w:rFonts w:ascii="Cambria" w:eastAsia="Calibri" w:hAnsi="Cambria" w:cs="Mongolian Baiti"/>
          <w:sz w:val="22"/>
          <w:szCs w:val="28"/>
          <w:lang w:bidi="mn-Mong-CN"/>
        </w:rPr>
      </w:pPr>
    </w:p>
    <w:p w14:paraId="150FB4A9"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Verster, J. C., Volkerts, E. R., &amp; Verbaten, M. N. (2002). Effects of alprazolam on driving ability, memory functioning and psychomotor performance: A randomized placebo-controlled study. Neuropsychopharmacology, 27 (2), 260-269.</w:t>
      </w:r>
    </w:p>
    <w:p w14:paraId="1692730A" w14:textId="77777777" w:rsidR="00024F2A" w:rsidRPr="000A20CD" w:rsidRDefault="00024F2A" w:rsidP="00024F2A">
      <w:pPr>
        <w:spacing w:line="256" w:lineRule="auto"/>
        <w:rPr>
          <w:rFonts w:ascii="Cambria" w:eastAsia="Calibri" w:hAnsi="Cambria" w:cs="Mongolian Baiti"/>
          <w:sz w:val="22"/>
          <w:szCs w:val="28"/>
          <w:lang w:val="en-AU" w:bidi="mn-Mong-CN"/>
        </w:rPr>
      </w:pPr>
    </w:p>
    <w:p w14:paraId="0B541097" w14:textId="77777777" w:rsidR="00024F2A" w:rsidRPr="000A20CD" w:rsidRDefault="00024F2A" w:rsidP="00024F2A">
      <w:pPr>
        <w:spacing w:line="256" w:lineRule="auto"/>
        <w:rPr>
          <w:rFonts w:ascii="Cambria" w:eastAsia="Calibri" w:hAnsi="Cambria" w:cs="Mongolian Baiti"/>
          <w:sz w:val="22"/>
          <w:szCs w:val="28"/>
          <w:lang w:bidi="mn-Mong-CN"/>
        </w:rPr>
      </w:pPr>
      <w:r w:rsidRPr="000A20CD">
        <w:rPr>
          <w:rFonts w:ascii="Cambria" w:eastAsia="Calibri" w:hAnsi="Cambria" w:cs="Mongolian Baiti"/>
          <w:sz w:val="22"/>
          <w:szCs w:val="28"/>
          <w:lang w:bidi="mn-Mong-CN"/>
        </w:rPr>
        <w:t xml:space="preserve">Wang C, Li Z, Fu R, et al. (2019) What is the difference in driver’s lateral control ability during naturalistic distracted driving and normal driving? A case study on a real highway. </w:t>
      </w:r>
      <w:r w:rsidRPr="000A20CD">
        <w:rPr>
          <w:rFonts w:ascii="Cambria" w:eastAsia="Calibri" w:hAnsi="Cambria" w:cs="Mongolian Baiti"/>
          <w:i/>
          <w:iCs/>
          <w:sz w:val="22"/>
          <w:szCs w:val="28"/>
          <w:lang w:bidi="mn-Mong-CN"/>
        </w:rPr>
        <w:t>Accident Analysis and Prevention</w:t>
      </w:r>
      <w:r w:rsidRPr="000A20CD">
        <w:rPr>
          <w:rFonts w:ascii="Cambria" w:eastAsia="Calibri" w:hAnsi="Cambria" w:cs="Mongolian Baiti"/>
          <w:sz w:val="22"/>
          <w:szCs w:val="28"/>
          <w:lang w:bidi="mn-Mong-CN"/>
        </w:rPr>
        <w:t xml:space="preserve"> 125: 98-105.</w:t>
      </w:r>
    </w:p>
    <w:p w14:paraId="330D2F0C" w14:textId="77777777" w:rsidR="00024F2A" w:rsidRPr="000A20CD" w:rsidRDefault="00024F2A" w:rsidP="00024F2A">
      <w:pPr>
        <w:spacing w:line="256" w:lineRule="auto"/>
        <w:rPr>
          <w:rFonts w:ascii="Cambria" w:eastAsia="Calibri" w:hAnsi="Cambria" w:cs="Mongolian Baiti"/>
          <w:sz w:val="22"/>
          <w:szCs w:val="28"/>
          <w:lang w:val="en-AU" w:bidi="mn-Mong-CN"/>
        </w:rPr>
      </w:pPr>
    </w:p>
    <w:sectPr w:rsidR="00024F2A" w:rsidRPr="000A20CD" w:rsidSect="00895220">
      <w:footerReference w:type="even" r:id="rId11"/>
      <w:footerReference w:type="default" r:id="rId12"/>
      <w:footerReference w:type="firs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419C" w14:textId="77777777" w:rsidR="00503AE6" w:rsidRDefault="00503AE6" w:rsidP="0063015F">
      <w:r>
        <w:separator/>
      </w:r>
    </w:p>
  </w:endnote>
  <w:endnote w:type="continuationSeparator" w:id="0">
    <w:p w14:paraId="5CCA4F26" w14:textId="77777777" w:rsidR="00503AE6" w:rsidRDefault="00503AE6" w:rsidP="0063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PvmxmhTimesLTStd-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E538" w14:textId="63DD6806" w:rsidR="007D6918" w:rsidRDefault="007D6918" w:rsidP="00440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C07">
      <w:rPr>
        <w:rStyle w:val="PageNumber"/>
        <w:noProof/>
      </w:rPr>
      <w:t>2</w:t>
    </w:r>
    <w:r>
      <w:rPr>
        <w:rStyle w:val="PageNumber"/>
      </w:rPr>
      <w:fldChar w:fldCharType="end"/>
    </w:r>
  </w:p>
  <w:p w14:paraId="4DC4B0CF" w14:textId="77777777" w:rsidR="007D6918" w:rsidRDefault="007D6918" w:rsidP="00630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226979"/>
      <w:docPartObj>
        <w:docPartGallery w:val="Page Numbers (Bottom of Page)"/>
        <w:docPartUnique/>
      </w:docPartObj>
    </w:sdtPr>
    <w:sdtEndPr>
      <w:rPr>
        <w:noProof/>
      </w:rPr>
    </w:sdtEndPr>
    <w:sdtContent>
      <w:p w14:paraId="1870315A" w14:textId="6E55A07A" w:rsidR="007D6918" w:rsidRDefault="007D6918">
        <w:pPr>
          <w:pStyle w:val="Footer"/>
          <w:jc w:val="right"/>
        </w:pPr>
        <w:r>
          <w:fldChar w:fldCharType="begin"/>
        </w:r>
        <w:r>
          <w:instrText xml:space="preserve"> PAGE   \* MERGEFORMAT </w:instrText>
        </w:r>
        <w:r>
          <w:fldChar w:fldCharType="separate"/>
        </w:r>
        <w:r w:rsidR="00EA60EF">
          <w:rPr>
            <w:noProof/>
          </w:rPr>
          <w:t>12</w:t>
        </w:r>
        <w:r>
          <w:rPr>
            <w:noProof/>
          </w:rPr>
          <w:fldChar w:fldCharType="end"/>
        </w:r>
      </w:p>
    </w:sdtContent>
  </w:sdt>
  <w:p w14:paraId="6928ED5C" w14:textId="3223723F" w:rsidR="007D6918" w:rsidRDefault="007D6918" w:rsidP="006301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59677"/>
      <w:docPartObj>
        <w:docPartGallery w:val="Page Numbers (Bottom of Page)"/>
        <w:docPartUnique/>
      </w:docPartObj>
    </w:sdtPr>
    <w:sdtEndPr>
      <w:rPr>
        <w:noProof/>
      </w:rPr>
    </w:sdtEndPr>
    <w:sdtContent>
      <w:p w14:paraId="72582FD7" w14:textId="7C116359" w:rsidR="00656C07" w:rsidRDefault="00656C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340563" w14:textId="5F7DA60D" w:rsidR="007D6918" w:rsidRDefault="007D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13D2" w14:textId="77777777" w:rsidR="00503AE6" w:rsidRDefault="00503AE6" w:rsidP="0063015F">
      <w:r>
        <w:separator/>
      </w:r>
    </w:p>
  </w:footnote>
  <w:footnote w:type="continuationSeparator" w:id="0">
    <w:p w14:paraId="2F840CD6" w14:textId="77777777" w:rsidR="00503AE6" w:rsidRDefault="00503AE6" w:rsidP="00630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74F"/>
    <w:multiLevelType w:val="hybridMultilevel"/>
    <w:tmpl w:val="A114F6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5B2BF8"/>
    <w:multiLevelType w:val="hybridMultilevel"/>
    <w:tmpl w:val="EC50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20E2C"/>
    <w:multiLevelType w:val="hybridMultilevel"/>
    <w:tmpl w:val="AAA0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6E49"/>
    <w:multiLevelType w:val="hybridMultilevel"/>
    <w:tmpl w:val="4BEE80D2"/>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B74600"/>
    <w:multiLevelType w:val="hybridMultilevel"/>
    <w:tmpl w:val="15AE3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0F2C4B"/>
    <w:multiLevelType w:val="hybridMultilevel"/>
    <w:tmpl w:val="F6B063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2642A34"/>
    <w:multiLevelType w:val="hybridMultilevel"/>
    <w:tmpl w:val="751E96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DE5C8F"/>
    <w:multiLevelType w:val="hybridMultilevel"/>
    <w:tmpl w:val="C414B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A40812"/>
    <w:multiLevelType w:val="hybridMultilevel"/>
    <w:tmpl w:val="A05446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130B26"/>
    <w:multiLevelType w:val="hybridMultilevel"/>
    <w:tmpl w:val="9FB0C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187B96"/>
    <w:multiLevelType w:val="hybridMultilevel"/>
    <w:tmpl w:val="15E4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3A69"/>
    <w:multiLevelType w:val="hybridMultilevel"/>
    <w:tmpl w:val="1444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54D89"/>
    <w:multiLevelType w:val="hybridMultilevel"/>
    <w:tmpl w:val="A082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3041B"/>
    <w:multiLevelType w:val="hybridMultilevel"/>
    <w:tmpl w:val="3D54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67DDC"/>
    <w:multiLevelType w:val="hybridMultilevel"/>
    <w:tmpl w:val="57FCE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7C5694"/>
    <w:multiLevelType w:val="hybridMultilevel"/>
    <w:tmpl w:val="71D8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A2C42"/>
    <w:multiLevelType w:val="hybridMultilevel"/>
    <w:tmpl w:val="CAACBE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7C37BB"/>
    <w:multiLevelType w:val="hybridMultilevel"/>
    <w:tmpl w:val="A2205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03E1089"/>
    <w:multiLevelType w:val="hybridMultilevel"/>
    <w:tmpl w:val="0024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13B54"/>
    <w:multiLevelType w:val="hybridMultilevel"/>
    <w:tmpl w:val="97D8E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76577"/>
    <w:multiLevelType w:val="hybridMultilevel"/>
    <w:tmpl w:val="A79E09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8DD5D5A"/>
    <w:multiLevelType w:val="hybridMultilevel"/>
    <w:tmpl w:val="29368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A1E6987"/>
    <w:multiLevelType w:val="hybridMultilevel"/>
    <w:tmpl w:val="58FC53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5DD321E9"/>
    <w:multiLevelType w:val="hybridMultilevel"/>
    <w:tmpl w:val="56A08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F452C3"/>
    <w:multiLevelType w:val="hybridMultilevel"/>
    <w:tmpl w:val="A176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E0341"/>
    <w:multiLevelType w:val="hybridMultilevel"/>
    <w:tmpl w:val="F8E295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839235C"/>
    <w:multiLevelType w:val="hybridMultilevel"/>
    <w:tmpl w:val="89DEA7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D127B9C"/>
    <w:multiLevelType w:val="hybridMultilevel"/>
    <w:tmpl w:val="B236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182886">
    <w:abstractNumId w:val="18"/>
  </w:num>
  <w:num w:numId="2" w16cid:durableId="963384036">
    <w:abstractNumId w:val="13"/>
  </w:num>
  <w:num w:numId="3" w16cid:durableId="1705475921">
    <w:abstractNumId w:val="27"/>
  </w:num>
  <w:num w:numId="4" w16cid:durableId="2001226943">
    <w:abstractNumId w:val="10"/>
  </w:num>
  <w:num w:numId="5" w16cid:durableId="1452439906">
    <w:abstractNumId w:val="1"/>
  </w:num>
  <w:num w:numId="6" w16cid:durableId="186522790">
    <w:abstractNumId w:val="24"/>
  </w:num>
  <w:num w:numId="7" w16cid:durableId="400370672">
    <w:abstractNumId w:val="15"/>
  </w:num>
  <w:num w:numId="8" w16cid:durableId="1327124999">
    <w:abstractNumId w:val="14"/>
  </w:num>
  <w:num w:numId="9" w16cid:durableId="853424226">
    <w:abstractNumId w:val="11"/>
  </w:num>
  <w:num w:numId="10" w16cid:durableId="47120598">
    <w:abstractNumId w:val="26"/>
  </w:num>
  <w:num w:numId="11" w16cid:durableId="1201044501">
    <w:abstractNumId w:val="12"/>
  </w:num>
  <w:num w:numId="12" w16cid:durableId="871383779">
    <w:abstractNumId w:val="0"/>
  </w:num>
  <w:num w:numId="13" w16cid:durableId="1966302951">
    <w:abstractNumId w:val="16"/>
  </w:num>
  <w:num w:numId="14" w16cid:durableId="122844833">
    <w:abstractNumId w:val="3"/>
  </w:num>
  <w:num w:numId="15" w16cid:durableId="1708917021">
    <w:abstractNumId w:val="2"/>
  </w:num>
  <w:num w:numId="16" w16cid:durableId="47922262">
    <w:abstractNumId w:val="19"/>
  </w:num>
  <w:num w:numId="17" w16cid:durableId="1183276117">
    <w:abstractNumId w:val="8"/>
  </w:num>
  <w:num w:numId="18" w16cid:durableId="534658058">
    <w:abstractNumId w:val="21"/>
  </w:num>
  <w:num w:numId="19" w16cid:durableId="920214896">
    <w:abstractNumId w:val="25"/>
  </w:num>
  <w:num w:numId="20" w16cid:durableId="1740319949">
    <w:abstractNumId w:val="23"/>
  </w:num>
  <w:num w:numId="21" w16cid:durableId="742992619">
    <w:abstractNumId w:val="6"/>
  </w:num>
  <w:num w:numId="22" w16cid:durableId="433552601">
    <w:abstractNumId w:val="22"/>
  </w:num>
  <w:num w:numId="23" w16cid:durableId="331376354">
    <w:abstractNumId w:val="5"/>
  </w:num>
  <w:num w:numId="24" w16cid:durableId="404689230">
    <w:abstractNumId w:val="17"/>
  </w:num>
  <w:num w:numId="25" w16cid:durableId="192305014">
    <w:abstractNumId w:val="20"/>
  </w:num>
  <w:num w:numId="26" w16cid:durableId="589777827">
    <w:abstractNumId w:val="9"/>
  </w:num>
  <w:num w:numId="27" w16cid:durableId="977420817">
    <w:abstractNumId w:val="7"/>
  </w:num>
  <w:num w:numId="28" w16cid:durableId="903485700">
    <w:abstractNumId w:val="4"/>
  </w:num>
  <w:num w:numId="29" w16cid:durableId="877665570">
    <w:abstractNumId w:val="20"/>
  </w:num>
  <w:num w:numId="30" w16cid:durableId="17371197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822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D"/>
    <w:rsid w:val="00000521"/>
    <w:rsid w:val="000005AE"/>
    <w:rsid w:val="00000706"/>
    <w:rsid w:val="0000162A"/>
    <w:rsid w:val="000019B8"/>
    <w:rsid w:val="00001A29"/>
    <w:rsid w:val="00001B29"/>
    <w:rsid w:val="0000281E"/>
    <w:rsid w:val="00002B64"/>
    <w:rsid w:val="00002C7B"/>
    <w:rsid w:val="00002CF8"/>
    <w:rsid w:val="00002E59"/>
    <w:rsid w:val="00002FBB"/>
    <w:rsid w:val="00003216"/>
    <w:rsid w:val="000032AC"/>
    <w:rsid w:val="0000330E"/>
    <w:rsid w:val="000035D3"/>
    <w:rsid w:val="00003C06"/>
    <w:rsid w:val="000041EF"/>
    <w:rsid w:val="00004C4D"/>
    <w:rsid w:val="00005290"/>
    <w:rsid w:val="00005384"/>
    <w:rsid w:val="000054D7"/>
    <w:rsid w:val="00005C6A"/>
    <w:rsid w:val="000063D0"/>
    <w:rsid w:val="00006600"/>
    <w:rsid w:val="00006865"/>
    <w:rsid w:val="000075A9"/>
    <w:rsid w:val="0000770C"/>
    <w:rsid w:val="0000773A"/>
    <w:rsid w:val="000078F6"/>
    <w:rsid w:val="0000799A"/>
    <w:rsid w:val="00010074"/>
    <w:rsid w:val="0001058D"/>
    <w:rsid w:val="000110A7"/>
    <w:rsid w:val="00011360"/>
    <w:rsid w:val="000116C5"/>
    <w:rsid w:val="00011F97"/>
    <w:rsid w:val="0001201E"/>
    <w:rsid w:val="000120D3"/>
    <w:rsid w:val="00012743"/>
    <w:rsid w:val="00012AE4"/>
    <w:rsid w:val="00012B48"/>
    <w:rsid w:val="00012BB6"/>
    <w:rsid w:val="0001318B"/>
    <w:rsid w:val="000137C7"/>
    <w:rsid w:val="00013803"/>
    <w:rsid w:val="00013BA3"/>
    <w:rsid w:val="000145D6"/>
    <w:rsid w:val="000146BC"/>
    <w:rsid w:val="00014770"/>
    <w:rsid w:val="000151E0"/>
    <w:rsid w:val="0001528D"/>
    <w:rsid w:val="00015354"/>
    <w:rsid w:val="00015534"/>
    <w:rsid w:val="00015620"/>
    <w:rsid w:val="00015C37"/>
    <w:rsid w:val="00015F36"/>
    <w:rsid w:val="00015FC4"/>
    <w:rsid w:val="000163C5"/>
    <w:rsid w:val="000168B8"/>
    <w:rsid w:val="00016A2D"/>
    <w:rsid w:val="000177DA"/>
    <w:rsid w:val="00017C36"/>
    <w:rsid w:val="000200AD"/>
    <w:rsid w:val="000205CE"/>
    <w:rsid w:val="00020B8A"/>
    <w:rsid w:val="00020C46"/>
    <w:rsid w:val="00020D89"/>
    <w:rsid w:val="0002175B"/>
    <w:rsid w:val="00021891"/>
    <w:rsid w:val="00021F09"/>
    <w:rsid w:val="0002245F"/>
    <w:rsid w:val="0002283F"/>
    <w:rsid w:val="000229F8"/>
    <w:rsid w:val="0002309C"/>
    <w:rsid w:val="00023141"/>
    <w:rsid w:val="00023B77"/>
    <w:rsid w:val="00024070"/>
    <w:rsid w:val="0002417E"/>
    <w:rsid w:val="000243B8"/>
    <w:rsid w:val="00024A59"/>
    <w:rsid w:val="00024F2A"/>
    <w:rsid w:val="000265A8"/>
    <w:rsid w:val="0002689E"/>
    <w:rsid w:val="0002769E"/>
    <w:rsid w:val="00027C4E"/>
    <w:rsid w:val="00030131"/>
    <w:rsid w:val="00030327"/>
    <w:rsid w:val="00030957"/>
    <w:rsid w:val="00030AEC"/>
    <w:rsid w:val="0003119C"/>
    <w:rsid w:val="0003126A"/>
    <w:rsid w:val="00031334"/>
    <w:rsid w:val="00031753"/>
    <w:rsid w:val="000318EF"/>
    <w:rsid w:val="00031DF9"/>
    <w:rsid w:val="00032400"/>
    <w:rsid w:val="00032640"/>
    <w:rsid w:val="00032E87"/>
    <w:rsid w:val="00033104"/>
    <w:rsid w:val="0003347A"/>
    <w:rsid w:val="0003348D"/>
    <w:rsid w:val="000336E4"/>
    <w:rsid w:val="0003370F"/>
    <w:rsid w:val="000340A3"/>
    <w:rsid w:val="0003448B"/>
    <w:rsid w:val="00034BC3"/>
    <w:rsid w:val="00034D52"/>
    <w:rsid w:val="00034E76"/>
    <w:rsid w:val="0003509E"/>
    <w:rsid w:val="00035768"/>
    <w:rsid w:val="00035BA1"/>
    <w:rsid w:val="00035EC2"/>
    <w:rsid w:val="00036BB5"/>
    <w:rsid w:val="00036FD2"/>
    <w:rsid w:val="00037538"/>
    <w:rsid w:val="000376E2"/>
    <w:rsid w:val="00037BBA"/>
    <w:rsid w:val="00037C61"/>
    <w:rsid w:val="00037C81"/>
    <w:rsid w:val="000402DA"/>
    <w:rsid w:val="000406BE"/>
    <w:rsid w:val="000408CA"/>
    <w:rsid w:val="00040A6B"/>
    <w:rsid w:val="00040B61"/>
    <w:rsid w:val="00041357"/>
    <w:rsid w:val="0004179D"/>
    <w:rsid w:val="00041918"/>
    <w:rsid w:val="00041D67"/>
    <w:rsid w:val="00041EA0"/>
    <w:rsid w:val="00041F2A"/>
    <w:rsid w:val="000422A9"/>
    <w:rsid w:val="0004235D"/>
    <w:rsid w:val="00042B6D"/>
    <w:rsid w:val="00042D42"/>
    <w:rsid w:val="00043369"/>
    <w:rsid w:val="00044220"/>
    <w:rsid w:val="00044C6B"/>
    <w:rsid w:val="000452D4"/>
    <w:rsid w:val="000457F7"/>
    <w:rsid w:val="00045D79"/>
    <w:rsid w:val="000468A8"/>
    <w:rsid w:val="00046B65"/>
    <w:rsid w:val="000475BD"/>
    <w:rsid w:val="00047A1F"/>
    <w:rsid w:val="00047C16"/>
    <w:rsid w:val="00047D44"/>
    <w:rsid w:val="000502D5"/>
    <w:rsid w:val="00050633"/>
    <w:rsid w:val="000508CB"/>
    <w:rsid w:val="000509D6"/>
    <w:rsid w:val="000521D2"/>
    <w:rsid w:val="00052455"/>
    <w:rsid w:val="0005282A"/>
    <w:rsid w:val="00052EAC"/>
    <w:rsid w:val="000537AC"/>
    <w:rsid w:val="00053C5F"/>
    <w:rsid w:val="000541E9"/>
    <w:rsid w:val="0005498E"/>
    <w:rsid w:val="00054CA9"/>
    <w:rsid w:val="00054CEC"/>
    <w:rsid w:val="00054D3B"/>
    <w:rsid w:val="000558B5"/>
    <w:rsid w:val="00055CF5"/>
    <w:rsid w:val="00055D44"/>
    <w:rsid w:val="00056541"/>
    <w:rsid w:val="0005662E"/>
    <w:rsid w:val="00056657"/>
    <w:rsid w:val="0005690E"/>
    <w:rsid w:val="00056A61"/>
    <w:rsid w:val="00056E36"/>
    <w:rsid w:val="00056F01"/>
    <w:rsid w:val="00057E1A"/>
    <w:rsid w:val="00057FDF"/>
    <w:rsid w:val="000602DD"/>
    <w:rsid w:val="00060535"/>
    <w:rsid w:val="0006094A"/>
    <w:rsid w:val="00060A0E"/>
    <w:rsid w:val="00061022"/>
    <w:rsid w:val="0006241E"/>
    <w:rsid w:val="000647AE"/>
    <w:rsid w:val="00064A89"/>
    <w:rsid w:val="00064B3B"/>
    <w:rsid w:val="00064BBD"/>
    <w:rsid w:val="000656B0"/>
    <w:rsid w:val="000658DB"/>
    <w:rsid w:val="00065F4B"/>
    <w:rsid w:val="000663E2"/>
    <w:rsid w:val="00066601"/>
    <w:rsid w:val="00066FD5"/>
    <w:rsid w:val="00066FEF"/>
    <w:rsid w:val="000677C3"/>
    <w:rsid w:val="00067D8E"/>
    <w:rsid w:val="000703EC"/>
    <w:rsid w:val="00070722"/>
    <w:rsid w:val="00070957"/>
    <w:rsid w:val="00070B9F"/>
    <w:rsid w:val="00070F5A"/>
    <w:rsid w:val="00071176"/>
    <w:rsid w:val="0007232F"/>
    <w:rsid w:val="00072354"/>
    <w:rsid w:val="000723FA"/>
    <w:rsid w:val="0007265F"/>
    <w:rsid w:val="000728D9"/>
    <w:rsid w:val="00072DB0"/>
    <w:rsid w:val="00072E7F"/>
    <w:rsid w:val="000731BC"/>
    <w:rsid w:val="00073228"/>
    <w:rsid w:val="00073302"/>
    <w:rsid w:val="0007437A"/>
    <w:rsid w:val="000745EC"/>
    <w:rsid w:val="00074623"/>
    <w:rsid w:val="00074D6A"/>
    <w:rsid w:val="00074FAA"/>
    <w:rsid w:val="0007552A"/>
    <w:rsid w:val="000758F0"/>
    <w:rsid w:val="00075D34"/>
    <w:rsid w:val="00075E2D"/>
    <w:rsid w:val="000767E0"/>
    <w:rsid w:val="00076EF8"/>
    <w:rsid w:val="00077409"/>
    <w:rsid w:val="00077E71"/>
    <w:rsid w:val="0008010A"/>
    <w:rsid w:val="00080590"/>
    <w:rsid w:val="00080658"/>
    <w:rsid w:val="00080732"/>
    <w:rsid w:val="00080E39"/>
    <w:rsid w:val="00080FAB"/>
    <w:rsid w:val="00081000"/>
    <w:rsid w:val="0008105A"/>
    <w:rsid w:val="000822DF"/>
    <w:rsid w:val="000824A9"/>
    <w:rsid w:val="0008270F"/>
    <w:rsid w:val="00082AD5"/>
    <w:rsid w:val="00082F82"/>
    <w:rsid w:val="000830E0"/>
    <w:rsid w:val="00083267"/>
    <w:rsid w:val="00083EE1"/>
    <w:rsid w:val="00083F64"/>
    <w:rsid w:val="0008476E"/>
    <w:rsid w:val="00084F49"/>
    <w:rsid w:val="00085077"/>
    <w:rsid w:val="0008510A"/>
    <w:rsid w:val="00085238"/>
    <w:rsid w:val="0008570C"/>
    <w:rsid w:val="000858AA"/>
    <w:rsid w:val="00085909"/>
    <w:rsid w:val="00086547"/>
    <w:rsid w:val="00086F28"/>
    <w:rsid w:val="000870B7"/>
    <w:rsid w:val="0008744E"/>
    <w:rsid w:val="000875A5"/>
    <w:rsid w:val="00087619"/>
    <w:rsid w:val="00087F47"/>
    <w:rsid w:val="000909FF"/>
    <w:rsid w:val="00091043"/>
    <w:rsid w:val="000914FE"/>
    <w:rsid w:val="00091D2C"/>
    <w:rsid w:val="00092244"/>
    <w:rsid w:val="000924E2"/>
    <w:rsid w:val="0009291A"/>
    <w:rsid w:val="0009291C"/>
    <w:rsid w:val="00092CBF"/>
    <w:rsid w:val="00092FDF"/>
    <w:rsid w:val="0009326E"/>
    <w:rsid w:val="0009332A"/>
    <w:rsid w:val="0009341C"/>
    <w:rsid w:val="0009382F"/>
    <w:rsid w:val="00093E06"/>
    <w:rsid w:val="00093E30"/>
    <w:rsid w:val="000944A9"/>
    <w:rsid w:val="00095287"/>
    <w:rsid w:val="00095520"/>
    <w:rsid w:val="0009731F"/>
    <w:rsid w:val="0009743D"/>
    <w:rsid w:val="000978A3"/>
    <w:rsid w:val="00097D9F"/>
    <w:rsid w:val="000A004A"/>
    <w:rsid w:val="000A06F1"/>
    <w:rsid w:val="000A1310"/>
    <w:rsid w:val="000A13AE"/>
    <w:rsid w:val="000A1923"/>
    <w:rsid w:val="000A1983"/>
    <w:rsid w:val="000A20CD"/>
    <w:rsid w:val="000A21CD"/>
    <w:rsid w:val="000A2606"/>
    <w:rsid w:val="000A2716"/>
    <w:rsid w:val="000A2BE8"/>
    <w:rsid w:val="000A3721"/>
    <w:rsid w:val="000A3BD8"/>
    <w:rsid w:val="000A4116"/>
    <w:rsid w:val="000A4251"/>
    <w:rsid w:val="000A4478"/>
    <w:rsid w:val="000A4A16"/>
    <w:rsid w:val="000A4D40"/>
    <w:rsid w:val="000A542A"/>
    <w:rsid w:val="000A5AED"/>
    <w:rsid w:val="000A62D1"/>
    <w:rsid w:val="000A647D"/>
    <w:rsid w:val="000A68F2"/>
    <w:rsid w:val="000A6B9A"/>
    <w:rsid w:val="000A73BE"/>
    <w:rsid w:val="000A768A"/>
    <w:rsid w:val="000A7977"/>
    <w:rsid w:val="000A7A10"/>
    <w:rsid w:val="000A7B96"/>
    <w:rsid w:val="000A7DB4"/>
    <w:rsid w:val="000A7EC0"/>
    <w:rsid w:val="000A7F1E"/>
    <w:rsid w:val="000B043A"/>
    <w:rsid w:val="000B078F"/>
    <w:rsid w:val="000B0AEB"/>
    <w:rsid w:val="000B1153"/>
    <w:rsid w:val="000B1550"/>
    <w:rsid w:val="000B1A69"/>
    <w:rsid w:val="000B1B45"/>
    <w:rsid w:val="000B248F"/>
    <w:rsid w:val="000B2884"/>
    <w:rsid w:val="000B29F5"/>
    <w:rsid w:val="000B2A0F"/>
    <w:rsid w:val="000B2B6C"/>
    <w:rsid w:val="000B2F74"/>
    <w:rsid w:val="000B30D7"/>
    <w:rsid w:val="000B3252"/>
    <w:rsid w:val="000B33EB"/>
    <w:rsid w:val="000B34D7"/>
    <w:rsid w:val="000B379F"/>
    <w:rsid w:val="000B40D7"/>
    <w:rsid w:val="000B488B"/>
    <w:rsid w:val="000B494F"/>
    <w:rsid w:val="000B4A4C"/>
    <w:rsid w:val="000B4DD7"/>
    <w:rsid w:val="000B5A9F"/>
    <w:rsid w:val="000B6127"/>
    <w:rsid w:val="000B614A"/>
    <w:rsid w:val="000B7214"/>
    <w:rsid w:val="000B7936"/>
    <w:rsid w:val="000B7D46"/>
    <w:rsid w:val="000B7DD3"/>
    <w:rsid w:val="000C04E6"/>
    <w:rsid w:val="000C0F58"/>
    <w:rsid w:val="000C0FAE"/>
    <w:rsid w:val="000C13D5"/>
    <w:rsid w:val="000C1C94"/>
    <w:rsid w:val="000C1E4F"/>
    <w:rsid w:val="000C2734"/>
    <w:rsid w:val="000C2829"/>
    <w:rsid w:val="000C3419"/>
    <w:rsid w:val="000C3487"/>
    <w:rsid w:val="000C36A0"/>
    <w:rsid w:val="000C3D02"/>
    <w:rsid w:val="000C4A4E"/>
    <w:rsid w:val="000C53EA"/>
    <w:rsid w:val="000C546F"/>
    <w:rsid w:val="000C56E4"/>
    <w:rsid w:val="000C57CC"/>
    <w:rsid w:val="000C63BD"/>
    <w:rsid w:val="000C63CE"/>
    <w:rsid w:val="000C6430"/>
    <w:rsid w:val="000C676A"/>
    <w:rsid w:val="000C67EB"/>
    <w:rsid w:val="000C7295"/>
    <w:rsid w:val="000D0B80"/>
    <w:rsid w:val="000D1300"/>
    <w:rsid w:val="000D176C"/>
    <w:rsid w:val="000D203D"/>
    <w:rsid w:val="000D2180"/>
    <w:rsid w:val="000D2275"/>
    <w:rsid w:val="000D22E3"/>
    <w:rsid w:val="000D4AFA"/>
    <w:rsid w:val="000D5B2A"/>
    <w:rsid w:val="000D5FA9"/>
    <w:rsid w:val="000D64EE"/>
    <w:rsid w:val="000D66A1"/>
    <w:rsid w:val="000D6F47"/>
    <w:rsid w:val="000D7761"/>
    <w:rsid w:val="000D7C6F"/>
    <w:rsid w:val="000D7D6A"/>
    <w:rsid w:val="000E0356"/>
    <w:rsid w:val="000E057F"/>
    <w:rsid w:val="000E0C9C"/>
    <w:rsid w:val="000E0DF4"/>
    <w:rsid w:val="000E124C"/>
    <w:rsid w:val="000E16F4"/>
    <w:rsid w:val="000E2D2D"/>
    <w:rsid w:val="000E307F"/>
    <w:rsid w:val="000E3277"/>
    <w:rsid w:val="000E3C4D"/>
    <w:rsid w:val="000E40ED"/>
    <w:rsid w:val="000E4876"/>
    <w:rsid w:val="000E4C1C"/>
    <w:rsid w:val="000E53C2"/>
    <w:rsid w:val="000E672E"/>
    <w:rsid w:val="000E6E7E"/>
    <w:rsid w:val="000E6FDE"/>
    <w:rsid w:val="000E7660"/>
    <w:rsid w:val="000E77F9"/>
    <w:rsid w:val="000E7A82"/>
    <w:rsid w:val="000E7E6E"/>
    <w:rsid w:val="000F07C3"/>
    <w:rsid w:val="000F0D8A"/>
    <w:rsid w:val="000F0DF0"/>
    <w:rsid w:val="000F178F"/>
    <w:rsid w:val="000F1A24"/>
    <w:rsid w:val="000F1C9D"/>
    <w:rsid w:val="000F1E39"/>
    <w:rsid w:val="000F218C"/>
    <w:rsid w:val="000F26A9"/>
    <w:rsid w:val="000F26E9"/>
    <w:rsid w:val="000F2A94"/>
    <w:rsid w:val="000F41FD"/>
    <w:rsid w:val="000F488D"/>
    <w:rsid w:val="000F5352"/>
    <w:rsid w:val="000F5924"/>
    <w:rsid w:val="000F599D"/>
    <w:rsid w:val="000F5DE5"/>
    <w:rsid w:val="000F6764"/>
    <w:rsid w:val="000F6C50"/>
    <w:rsid w:val="000F6D04"/>
    <w:rsid w:val="000F6D3C"/>
    <w:rsid w:val="000F6F2B"/>
    <w:rsid w:val="000F704F"/>
    <w:rsid w:val="000F70AD"/>
    <w:rsid w:val="000F782D"/>
    <w:rsid w:val="000F7B6A"/>
    <w:rsid w:val="0010016F"/>
    <w:rsid w:val="0010143A"/>
    <w:rsid w:val="001015F6"/>
    <w:rsid w:val="00101D75"/>
    <w:rsid w:val="00101DBD"/>
    <w:rsid w:val="00101E7C"/>
    <w:rsid w:val="001042FE"/>
    <w:rsid w:val="001050E8"/>
    <w:rsid w:val="00105383"/>
    <w:rsid w:val="0010591E"/>
    <w:rsid w:val="001061E5"/>
    <w:rsid w:val="0010641B"/>
    <w:rsid w:val="001065A8"/>
    <w:rsid w:val="00106D39"/>
    <w:rsid w:val="001072D7"/>
    <w:rsid w:val="0010732B"/>
    <w:rsid w:val="00110314"/>
    <w:rsid w:val="00110AED"/>
    <w:rsid w:val="00111447"/>
    <w:rsid w:val="00111538"/>
    <w:rsid w:val="0011170B"/>
    <w:rsid w:val="00111C18"/>
    <w:rsid w:val="001127EF"/>
    <w:rsid w:val="00112A28"/>
    <w:rsid w:val="00112AB6"/>
    <w:rsid w:val="00112DDA"/>
    <w:rsid w:val="00113234"/>
    <w:rsid w:val="001134B0"/>
    <w:rsid w:val="00113549"/>
    <w:rsid w:val="00113A91"/>
    <w:rsid w:val="001140DF"/>
    <w:rsid w:val="0011466E"/>
    <w:rsid w:val="001152B8"/>
    <w:rsid w:val="001152E5"/>
    <w:rsid w:val="001156F5"/>
    <w:rsid w:val="001158FB"/>
    <w:rsid w:val="00115A67"/>
    <w:rsid w:val="00115F5C"/>
    <w:rsid w:val="0011658F"/>
    <w:rsid w:val="0011680C"/>
    <w:rsid w:val="00116952"/>
    <w:rsid w:val="00117470"/>
    <w:rsid w:val="00117834"/>
    <w:rsid w:val="00117EDF"/>
    <w:rsid w:val="00120831"/>
    <w:rsid w:val="0012186B"/>
    <w:rsid w:val="00121A33"/>
    <w:rsid w:val="00121E1D"/>
    <w:rsid w:val="001220F9"/>
    <w:rsid w:val="001221BA"/>
    <w:rsid w:val="001229A3"/>
    <w:rsid w:val="00122A59"/>
    <w:rsid w:val="00122BAF"/>
    <w:rsid w:val="00122BBA"/>
    <w:rsid w:val="00124A46"/>
    <w:rsid w:val="00124CBF"/>
    <w:rsid w:val="00124CEE"/>
    <w:rsid w:val="00124DF4"/>
    <w:rsid w:val="001256E4"/>
    <w:rsid w:val="0012576B"/>
    <w:rsid w:val="00125BF7"/>
    <w:rsid w:val="00126282"/>
    <w:rsid w:val="001265D7"/>
    <w:rsid w:val="0012679F"/>
    <w:rsid w:val="001267B3"/>
    <w:rsid w:val="00126E3F"/>
    <w:rsid w:val="001273D6"/>
    <w:rsid w:val="00127629"/>
    <w:rsid w:val="001276B3"/>
    <w:rsid w:val="00127824"/>
    <w:rsid w:val="00127CC3"/>
    <w:rsid w:val="00127E95"/>
    <w:rsid w:val="001305D4"/>
    <w:rsid w:val="00130797"/>
    <w:rsid w:val="00130E38"/>
    <w:rsid w:val="00130F12"/>
    <w:rsid w:val="00130F28"/>
    <w:rsid w:val="0013127F"/>
    <w:rsid w:val="001312E1"/>
    <w:rsid w:val="00132E81"/>
    <w:rsid w:val="00133210"/>
    <w:rsid w:val="00133A16"/>
    <w:rsid w:val="00134755"/>
    <w:rsid w:val="0013493E"/>
    <w:rsid w:val="001349D8"/>
    <w:rsid w:val="00134CED"/>
    <w:rsid w:val="00135D1F"/>
    <w:rsid w:val="001360D6"/>
    <w:rsid w:val="001361E2"/>
    <w:rsid w:val="001363EF"/>
    <w:rsid w:val="001367D8"/>
    <w:rsid w:val="0013689D"/>
    <w:rsid w:val="00137495"/>
    <w:rsid w:val="00137ABD"/>
    <w:rsid w:val="00137C04"/>
    <w:rsid w:val="0014002F"/>
    <w:rsid w:val="00140265"/>
    <w:rsid w:val="00140AAA"/>
    <w:rsid w:val="00140BEB"/>
    <w:rsid w:val="00140F82"/>
    <w:rsid w:val="001413C3"/>
    <w:rsid w:val="00141D9A"/>
    <w:rsid w:val="00142026"/>
    <w:rsid w:val="001429CD"/>
    <w:rsid w:val="00143103"/>
    <w:rsid w:val="00143131"/>
    <w:rsid w:val="0014321E"/>
    <w:rsid w:val="001438C4"/>
    <w:rsid w:val="00143FBB"/>
    <w:rsid w:val="0014414F"/>
    <w:rsid w:val="001442FF"/>
    <w:rsid w:val="00144612"/>
    <w:rsid w:val="00144E5F"/>
    <w:rsid w:val="00145053"/>
    <w:rsid w:val="0014505E"/>
    <w:rsid w:val="001450B8"/>
    <w:rsid w:val="0014565C"/>
    <w:rsid w:val="00145C34"/>
    <w:rsid w:val="001460D5"/>
    <w:rsid w:val="00146491"/>
    <w:rsid w:val="00146C10"/>
    <w:rsid w:val="00146FA5"/>
    <w:rsid w:val="0014711B"/>
    <w:rsid w:val="00147B19"/>
    <w:rsid w:val="0015010F"/>
    <w:rsid w:val="0015048B"/>
    <w:rsid w:val="001508A5"/>
    <w:rsid w:val="00150938"/>
    <w:rsid w:val="00150A22"/>
    <w:rsid w:val="00150DB8"/>
    <w:rsid w:val="001514E2"/>
    <w:rsid w:val="001518DF"/>
    <w:rsid w:val="00151B57"/>
    <w:rsid w:val="00151BDE"/>
    <w:rsid w:val="00151D44"/>
    <w:rsid w:val="001521A9"/>
    <w:rsid w:val="0015269F"/>
    <w:rsid w:val="00152894"/>
    <w:rsid w:val="0015434D"/>
    <w:rsid w:val="0015479C"/>
    <w:rsid w:val="00154B1E"/>
    <w:rsid w:val="00154E05"/>
    <w:rsid w:val="00154F54"/>
    <w:rsid w:val="001561E0"/>
    <w:rsid w:val="00156260"/>
    <w:rsid w:val="00156380"/>
    <w:rsid w:val="00156EFE"/>
    <w:rsid w:val="00156FA7"/>
    <w:rsid w:val="001573FA"/>
    <w:rsid w:val="00157684"/>
    <w:rsid w:val="001606A0"/>
    <w:rsid w:val="0016071B"/>
    <w:rsid w:val="0016188C"/>
    <w:rsid w:val="00161CB7"/>
    <w:rsid w:val="00161F1D"/>
    <w:rsid w:val="00162D65"/>
    <w:rsid w:val="001635FC"/>
    <w:rsid w:val="00163A96"/>
    <w:rsid w:val="00163EDF"/>
    <w:rsid w:val="00163F2F"/>
    <w:rsid w:val="0016424D"/>
    <w:rsid w:val="00164AC2"/>
    <w:rsid w:val="00164C49"/>
    <w:rsid w:val="00165306"/>
    <w:rsid w:val="001653B5"/>
    <w:rsid w:val="0016580C"/>
    <w:rsid w:val="00165E87"/>
    <w:rsid w:val="00165EAC"/>
    <w:rsid w:val="00165FD9"/>
    <w:rsid w:val="00166087"/>
    <w:rsid w:val="001660D0"/>
    <w:rsid w:val="00166649"/>
    <w:rsid w:val="001666D1"/>
    <w:rsid w:val="0016673C"/>
    <w:rsid w:val="001669FA"/>
    <w:rsid w:val="001672ED"/>
    <w:rsid w:val="00167480"/>
    <w:rsid w:val="00167513"/>
    <w:rsid w:val="00167D4D"/>
    <w:rsid w:val="00167D93"/>
    <w:rsid w:val="00167FDE"/>
    <w:rsid w:val="0017039F"/>
    <w:rsid w:val="001705F3"/>
    <w:rsid w:val="00170B08"/>
    <w:rsid w:val="00171DDF"/>
    <w:rsid w:val="0017235E"/>
    <w:rsid w:val="00172849"/>
    <w:rsid w:val="0017322D"/>
    <w:rsid w:val="001733F1"/>
    <w:rsid w:val="00173626"/>
    <w:rsid w:val="0017380A"/>
    <w:rsid w:val="0017396E"/>
    <w:rsid w:val="00174A39"/>
    <w:rsid w:val="00174A48"/>
    <w:rsid w:val="00174C88"/>
    <w:rsid w:val="0017500F"/>
    <w:rsid w:val="0017685D"/>
    <w:rsid w:val="00176CD1"/>
    <w:rsid w:val="00177154"/>
    <w:rsid w:val="001771A5"/>
    <w:rsid w:val="00177C4E"/>
    <w:rsid w:val="00177F8C"/>
    <w:rsid w:val="001802DC"/>
    <w:rsid w:val="00180AFA"/>
    <w:rsid w:val="00180B85"/>
    <w:rsid w:val="00180E06"/>
    <w:rsid w:val="00181543"/>
    <w:rsid w:val="00181CA5"/>
    <w:rsid w:val="001821A0"/>
    <w:rsid w:val="001822AD"/>
    <w:rsid w:val="00182958"/>
    <w:rsid w:val="00182B20"/>
    <w:rsid w:val="00182C8E"/>
    <w:rsid w:val="00182CEB"/>
    <w:rsid w:val="001834F0"/>
    <w:rsid w:val="00183660"/>
    <w:rsid w:val="00183FB4"/>
    <w:rsid w:val="00183FF6"/>
    <w:rsid w:val="00184331"/>
    <w:rsid w:val="0018468D"/>
    <w:rsid w:val="00184F72"/>
    <w:rsid w:val="00185207"/>
    <w:rsid w:val="00186150"/>
    <w:rsid w:val="00186442"/>
    <w:rsid w:val="00186618"/>
    <w:rsid w:val="0018684B"/>
    <w:rsid w:val="00186B48"/>
    <w:rsid w:val="00186BA8"/>
    <w:rsid w:val="00186D00"/>
    <w:rsid w:val="00187184"/>
    <w:rsid w:val="00187A01"/>
    <w:rsid w:val="001901B1"/>
    <w:rsid w:val="001901E4"/>
    <w:rsid w:val="001903AC"/>
    <w:rsid w:val="00190451"/>
    <w:rsid w:val="001914AD"/>
    <w:rsid w:val="00191BD1"/>
    <w:rsid w:val="00191FFC"/>
    <w:rsid w:val="0019270E"/>
    <w:rsid w:val="001929DD"/>
    <w:rsid w:val="001933BB"/>
    <w:rsid w:val="001939E3"/>
    <w:rsid w:val="00193DEB"/>
    <w:rsid w:val="00194819"/>
    <w:rsid w:val="00194B28"/>
    <w:rsid w:val="0019568B"/>
    <w:rsid w:val="00195925"/>
    <w:rsid w:val="00195B0B"/>
    <w:rsid w:val="00195C8A"/>
    <w:rsid w:val="00195D05"/>
    <w:rsid w:val="00195E90"/>
    <w:rsid w:val="001960E5"/>
    <w:rsid w:val="00196BA1"/>
    <w:rsid w:val="00196D0B"/>
    <w:rsid w:val="00197204"/>
    <w:rsid w:val="00197207"/>
    <w:rsid w:val="0019797B"/>
    <w:rsid w:val="00197DDE"/>
    <w:rsid w:val="001A044B"/>
    <w:rsid w:val="001A0675"/>
    <w:rsid w:val="001A112B"/>
    <w:rsid w:val="001A1A17"/>
    <w:rsid w:val="001A1CD1"/>
    <w:rsid w:val="001A2720"/>
    <w:rsid w:val="001A2DD6"/>
    <w:rsid w:val="001A3CFE"/>
    <w:rsid w:val="001A42D9"/>
    <w:rsid w:val="001A45E6"/>
    <w:rsid w:val="001A4B2F"/>
    <w:rsid w:val="001A4C01"/>
    <w:rsid w:val="001A50E0"/>
    <w:rsid w:val="001A5614"/>
    <w:rsid w:val="001A566B"/>
    <w:rsid w:val="001A5870"/>
    <w:rsid w:val="001A59D1"/>
    <w:rsid w:val="001A5E8A"/>
    <w:rsid w:val="001A5F4E"/>
    <w:rsid w:val="001A5F64"/>
    <w:rsid w:val="001A5FC4"/>
    <w:rsid w:val="001A6395"/>
    <w:rsid w:val="001A63B4"/>
    <w:rsid w:val="001A67D4"/>
    <w:rsid w:val="001A6902"/>
    <w:rsid w:val="001A6B29"/>
    <w:rsid w:val="001A719D"/>
    <w:rsid w:val="001A71D9"/>
    <w:rsid w:val="001A7B06"/>
    <w:rsid w:val="001A7BE3"/>
    <w:rsid w:val="001A7D15"/>
    <w:rsid w:val="001A7D5B"/>
    <w:rsid w:val="001B07D8"/>
    <w:rsid w:val="001B0B83"/>
    <w:rsid w:val="001B190F"/>
    <w:rsid w:val="001B1953"/>
    <w:rsid w:val="001B3897"/>
    <w:rsid w:val="001B3ABF"/>
    <w:rsid w:val="001B3B17"/>
    <w:rsid w:val="001B3E03"/>
    <w:rsid w:val="001B4FD3"/>
    <w:rsid w:val="001B4FD4"/>
    <w:rsid w:val="001B53F7"/>
    <w:rsid w:val="001B54D2"/>
    <w:rsid w:val="001B551F"/>
    <w:rsid w:val="001B58FE"/>
    <w:rsid w:val="001B5B72"/>
    <w:rsid w:val="001B5CDB"/>
    <w:rsid w:val="001B5D64"/>
    <w:rsid w:val="001B5E67"/>
    <w:rsid w:val="001B5FFF"/>
    <w:rsid w:val="001B6048"/>
    <w:rsid w:val="001B6158"/>
    <w:rsid w:val="001B61A3"/>
    <w:rsid w:val="001B620C"/>
    <w:rsid w:val="001B62A4"/>
    <w:rsid w:val="001B64B2"/>
    <w:rsid w:val="001B6597"/>
    <w:rsid w:val="001B6BEF"/>
    <w:rsid w:val="001B6FCD"/>
    <w:rsid w:val="001B7BB9"/>
    <w:rsid w:val="001C0509"/>
    <w:rsid w:val="001C0D74"/>
    <w:rsid w:val="001C1940"/>
    <w:rsid w:val="001C1B0C"/>
    <w:rsid w:val="001C25F7"/>
    <w:rsid w:val="001C2A66"/>
    <w:rsid w:val="001C2C3D"/>
    <w:rsid w:val="001C3036"/>
    <w:rsid w:val="001C3790"/>
    <w:rsid w:val="001C37A1"/>
    <w:rsid w:val="001C449B"/>
    <w:rsid w:val="001C530E"/>
    <w:rsid w:val="001C5BC9"/>
    <w:rsid w:val="001C5C95"/>
    <w:rsid w:val="001C6073"/>
    <w:rsid w:val="001C6EBA"/>
    <w:rsid w:val="001C6F85"/>
    <w:rsid w:val="001C7232"/>
    <w:rsid w:val="001C739D"/>
    <w:rsid w:val="001C76A8"/>
    <w:rsid w:val="001C7B92"/>
    <w:rsid w:val="001C7BFD"/>
    <w:rsid w:val="001D019C"/>
    <w:rsid w:val="001D026C"/>
    <w:rsid w:val="001D0503"/>
    <w:rsid w:val="001D118D"/>
    <w:rsid w:val="001D1583"/>
    <w:rsid w:val="001D23C2"/>
    <w:rsid w:val="001D263B"/>
    <w:rsid w:val="001D2788"/>
    <w:rsid w:val="001D2C65"/>
    <w:rsid w:val="001D2E06"/>
    <w:rsid w:val="001D2FB3"/>
    <w:rsid w:val="001D34C6"/>
    <w:rsid w:val="001D3FE1"/>
    <w:rsid w:val="001D4567"/>
    <w:rsid w:val="001D58B4"/>
    <w:rsid w:val="001D5976"/>
    <w:rsid w:val="001D659F"/>
    <w:rsid w:val="001D6E9D"/>
    <w:rsid w:val="001D7139"/>
    <w:rsid w:val="001D71AB"/>
    <w:rsid w:val="001D722E"/>
    <w:rsid w:val="001D7585"/>
    <w:rsid w:val="001D75A0"/>
    <w:rsid w:val="001D770E"/>
    <w:rsid w:val="001D7878"/>
    <w:rsid w:val="001D78B5"/>
    <w:rsid w:val="001D7B2E"/>
    <w:rsid w:val="001D7CFF"/>
    <w:rsid w:val="001E007A"/>
    <w:rsid w:val="001E00AA"/>
    <w:rsid w:val="001E04AD"/>
    <w:rsid w:val="001E05F8"/>
    <w:rsid w:val="001E0E49"/>
    <w:rsid w:val="001E1926"/>
    <w:rsid w:val="001E1EA2"/>
    <w:rsid w:val="001E2037"/>
    <w:rsid w:val="001E2D28"/>
    <w:rsid w:val="001E30B6"/>
    <w:rsid w:val="001E3406"/>
    <w:rsid w:val="001E4DC0"/>
    <w:rsid w:val="001E4F73"/>
    <w:rsid w:val="001E4FAF"/>
    <w:rsid w:val="001E547A"/>
    <w:rsid w:val="001E560C"/>
    <w:rsid w:val="001E5AA9"/>
    <w:rsid w:val="001E6465"/>
    <w:rsid w:val="001E65D3"/>
    <w:rsid w:val="001E6D0C"/>
    <w:rsid w:val="001E6E0D"/>
    <w:rsid w:val="001E7451"/>
    <w:rsid w:val="001F0A74"/>
    <w:rsid w:val="001F0BB5"/>
    <w:rsid w:val="001F0F16"/>
    <w:rsid w:val="001F0F46"/>
    <w:rsid w:val="001F1292"/>
    <w:rsid w:val="001F153A"/>
    <w:rsid w:val="001F1592"/>
    <w:rsid w:val="001F23B9"/>
    <w:rsid w:val="001F27EB"/>
    <w:rsid w:val="001F29D9"/>
    <w:rsid w:val="001F2C9D"/>
    <w:rsid w:val="001F2DD6"/>
    <w:rsid w:val="001F305A"/>
    <w:rsid w:val="001F338A"/>
    <w:rsid w:val="001F35E0"/>
    <w:rsid w:val="001F3650"/>
    <w:rsid w:val="001F45D9"/>
    <w:rsid w:val="001F4995"/>
    <w:rsid w:val="001F56CB"/>
    <w:rsid w:val="001F61B4"/>
    <w:rsid w:val="001F6914"/>
    <w:rsid w:val="001F6A36"/>
    <w:rsid w:val="001F6C4C"/>
    <w:rsid w:val="001F7773"/>
    <w:rsid w:val="00200274"/>
    <w:rsid w:val="00200595"/>
    <w:rsid w:val="00200732"/>
    <w:rsid w:val="00200896"/>
    <w:rsid w:val="0020092F"/>
    <w:rsid w:val="002009E7"/>
    <w:rsid w:val="00200BF1"/>
    <w:rsid w:val="00200F71"/>
    <w:rsid w:val="0020117A"/>
    <w:rsid w:val="002014F3"/>
    <w:rsid w:val="00201511"/>
    <w:rsid w:val="00201906"/>
    <w:rsid w:val="00201AD0"/>
    <w:rsid w:val="00202370"/>
    <w:rsid w:val="002027F2"/>
    <w:rsid w:val="002028E6"/>
    <w:rsid w:val="0020290C"/>
    <w:rsid w:val="002033B6"/>
    <w:rsid w:val="00203D4B"/>
    <w:rsid w:val="00204133"/>
    <w:rsid w:val="00204B69"/>
    <w:rsid w:val="00204B8B"/>
    <w:rsid w:val="00204D28"/>
    <w:rsid w:val="00205278"/>
    <w:rsid w:val="0020531B"/>
    <w:rsid w:val="002054DC"/>
    <w:rsid w:val="00205F6B"/>
    <w:rsid w:val="002063C4"/>
    <w:rsid w:val="002066E5"/>
    <w:rsid w:val="00206A66"/>
    <w:rsid w:val="002070D8"/>
    <w:rsid w:val="002072FA"/>
    <w:rsid w:val="0020770E"/>
    <w:rsid w:val="00207740"/>
    <w:rsid w:val="00207D6E"/>
    <w:rsid w:val="00207EE4"/>
    <w:rsid w:val="00207F3E"/>
    <w:rsid w:val="0021032C"/>
    <w:rsid w:val="00210704"/>
    <w:rsid w:val="0021087B"/>
    <w:rsid w:val="002108B4"/>
    <w:rsid w:val="002109E0"/>
    <w:rsid w:val="002111BD"/>
    <w:rsid w:val="002112FD"/>
    <w:rsid w:val="002117F5"/>
    <w:rsid w:val="00211971"/>
    <w:rsid w:val="00211BE0"/>
    <w:rsid w:val="00211E74"/>
    <w:rsid w:val="002123CB"/>
    <w:rsid w:val="002126EC"/>
    <w:rsid w:val="00212705"/>
    <w:rsid w:val="00212FC9"/>
    <w:rsid w:val="00213128"/>
    <w:rsid w:val="00213354"/>
    <w:rsid w:val="0021340E"/>
    <w:rsid w:val="00213990"/>
    <w:rsid w:val="00214FF9"/>
    <w:rsid w:val="00215042"/>
    <w:rsid w:val="0021537D"/>
    <w:rsid w:val="00215A98"/>
    <w:rsid w:val="00215EC1"/>
    <w:rsid w:val="0021660B"/>
    <w:rsid w:val="002169BF"/>
    <w:rsid w:val="00216C5C"/>
    <w:rsid w:val="00216DD6"/>
    <w:rsid w:val="00216E40"/>
    <w:rsid w:val="00216EF2"/>
    <w:rsid w:val="002172BF"/>
    <w:rsid w:val="00217EE0"/>
    <w:rsid w:val="00220611"/>
    <w:rsid w:val="0022068B"/>
    <w:rsid w:val="0022131F"/>
    <w:rsid w:val="00221534"/>
    <w:rsid w:val="002217A2"/>
    <w:rsid w:val="00221BF4"/>
    <w:rsid w:val="00222033"/>
    <w:rsid w:val="002223F9"/>
    <w:rsid w:val="00222AB0"/>
    <w:rsid w:val="00222D81"/>
    <w:rsid w:val="00222DC4"/>
    <w:rsid w:val="00222F41"/>
    <w:rsid w:val="002231A7"/>
    <w:rsid w:val="002237CD"/>
    <w:rsid w:val="00223C54"/>
    <w:rsid w:val="00224B25"/>
    <w:rsid w:val="00224C6E"/>
    <w:rsid w:val="00224DB0"/>
    <w:rsid w:val="00225317"/>
    <w:rsid w:val="00225373"/>
    <w:rsid w:val="00225797"/>
    <w:rsid w:val="00225BFB"/>
    <w:rsid w:val="00225F23"/>
    <w:rsid w:val="00226DCB"/>
    <w:rsid w:val="00227C2D"/>
    <w:rsid w:val="00227D80"/>
    <w:rsid w:val="00230177"/>
    <w:rsid w:val="00230BB2"/>
    <w:rsid w:val="00230EEF"/>
    <w:rsid w:val="00231573"/>
    <w:rsid w:val="002317BA"/>
    <w:rsid w:val="00231C4D"/>
    <w:rsid w:val="00231D53"/>
    <w:rsid w:val="002325CE"/>
    <w:rsid w:val="0023264A"/>
    <w:rsid w:val="00232C8F"/>
    <w:rsid w:val="00232D27"/>
    <w:rsid w:val="00232D80"/>
    <w:rsid w:val="00232EA5"/>
    <w:rsid w:val="002331DD"/>
    <w:rsid w:val="00233331"/>
    <w:rsid w:val="00233AA2"/>
    <w:rsid w:val="0023432F"/>
    <w:rsid w:val="00234730"/>
    <w:rsid w:val="00234DBE"/>
    <w:rsid w:val="00234E63"/>
    <w:rsid w:val="00235054"/>
    <w:rsid w:val="00235C24"/>
    <w:rsid w:val="00235C75"/>
    <w:rsid w:val="002365BD"/>
    <w:rsid w:val="00236B4F"/>
    <w:rsid w:val="00237089"/>
    <w:rsid w:val="002371E8"/>
    <w:rsid w:val="002376B7"/>
    <w:rsid w:val="002400A9"/>
    <w:rsid w:val="00240205"/>
    <w:rsid w:val="002406E9"/>
    <w:rsid w:val="00240997"/>
    <w:rsid w:val="00240B5E"/>
    <w:rsid w:val="002410DE"/>
    <w:rsid w:val="00241105"/>
    <w:rsid w:val="0024118B"/>
    <w:rsid w:val="002413BA"/>
    <w:rsid w:val="00241534"/>
    <w:rsid w:val="00241AB3"/>
    <w:rsid w:val="00241D9C"/>
    <w:rsid w:val="002420BE"/>
    <w:rsid w:val="002428C6"/>
    <w:rsid w:val="00242AEA"/>
    <w:rsid w:val="0024309B"/>
    <w:rsid w:val="00243123"/>
    <w:rsid w:val="002431C6"/>
    <w:rsid w:val="002434C7"/>
    <w:rsid w:val="00244C87"/>
    <w:rsid w:val="00244D2C"/>
    <w:rsid w:val="00244D55"/>
    <w:rsid w:val="00245110"/>
    <w:rsid w:val="00245236"/>
    <w:rsid w:val="002459AC"/>
    <w:rsid w:val="00245ED9"/>
    <w:rsid w:val="0024620E"/>
    <w:rsid w:val="00246F0C"/>
    <w:rsid w:val="002474A5"/>
    <w:rsid w:val="002501AE"/>
    <w:rsid w:val="00250862"/>
    <w:rsid w:val="00251055"/>
    <w:rsid w:val="00251111"/>
    <w:rsid w:val="002514C0"/>
    <w:rsid w:val="00251531"/>
    <w:rsid w:val="00251DC8"/>
    <w:rsid w:val="002523F0"/>
    <w:rsid w:val="0025257D"/>
    <w:rsid w:val="0025292E"/>
    <w:rsid w:val="00252A8F"/>
    <w:rsid w:val="00253092"/>
    <w:rsid w:val="0025319F"/>
    <w:rsid w:val="00253396"/>
    <w:rsid w:val="00253495"/>
    <w:rsid w:val="00253580"/>
    <w:rsid w:val="002539CD"/>
    <w:rsid w:val="00253A31"/>
    <w:rsid w:val="00253B6C"/>
    <w:rsid w:val="0025456C"/>
    <w:rsid w:val="002549C0"/>
    <w:rsid w:val="00254A1F"/>
    <w:rsid w:val="00254BFF"/>
    <w:rsid w:val="00254DD3"/>
    <w:rsid w:val="00255FC0"/>
    <w:rsid w:val="002563BF"/>
    <w:rsid w:val="002565D2"/>
    <w:rsid w:val="002572F1"/>
    <w:rsid w:val="002573F4"/>
    <w:rsid w:val="00257CD4"/>
    <w:rsid w:val="00257FE0"/>
    <w:rsid w:val="00261096"/>
    <w:rsid w:val="002612E0"/>
    <w:rsid w:val="0026161D"/>
    <w:rsid w:val="00261886"/>
    <w:rsid w:val="00261BA5"/>
    <w:rsid w:val="00262AF6"/>
    <w:rsid w:val="00262F6B"/>
    <w:rsid w:val="0026327B"/>
    <w:rsid w:val="002633E1"/>
    <w:rsid w:val="00263757"/>
    <w:rsid w:val="00263C4C"/>
    <w:rsid w:val="00263CE3"/>
    <w:rsid w:val="00263F85"/>
    <w:rsid w:val="002643E3"/>
    <w:rsid w:val="00264875"/>
    <w:rsid w:val="00264EBE"/>
    <w:rsid w:val="00265268"/>
    <w:rsid w:val="00265431"/>
    <w:rsid w:val="002655CD"/>
    <w:rsid w:val="002656B4"/>
    <w:rsid w:val="00266792"/>
    <w:rsid w:val="0026696B"/>
    <w:rsid w:val="00266B89"/>
    <w:rsid w:val="002677CC"/>
    <w:rsid w:val="002678DA"/>
    <w:rsid w:val="00267E6D"/>
    <w:rsid w:val="00267E73"/>
    <w:rsid w:val="002700E6"/>
    <w:rsid w:val="00270CD1"/>
    <w:rsid w:val="00270CEB"/>
    <w:rsid w:val="00271511"/>
    <w:rsid w:val="00272643"/>
    <w:rsid w:val="002729CC"/>
    <w:rsid w:val="00272ACA"/>
    <w:rsid w:val="00272D56"/>
    <w:rsid w:val="00272DD2"/>
    <w:rsid w:val="002730B7"/>
    <w:rsid w:val="00273351"/>
    <w:rsid w:val="002733E5"/>
    <w:rsid w:val="002746B7"/>
    <w:rsid w:val="0027472C"/>
    <w:rsid w:val="00274896"/>
    <w:rsid w:val="00275001"/>
    <w:rsid w:val="00275787"/>
    <w:rsid w:val="0027584B"/>
    <w:rsid w:val="00275CB1"/>
    <w:rsid w:val="00275FAA"/>
    <w:rsid w:val="00276431"/>
    <w:rsid w:val="002764BF"/>
    <w:rsid w:val="002765F3"/>
    <w:rsid w:val="00276680"/>
    <w:rsid w:val="002767D3"/>
    <w:rsid w:val="00276CFA"/>
    <w:rsid w:val="002775EE"/>
    <w:rsid w:val="00277CE3"/>
    <w:rsid w:val="00277DB2"/>
    <w:rsid w:val="00280A26"/>
    <w:rsid w:val="00280A85"/>
    <w:rsid w:val="00280C6D"/>
    <w:rsid w:val="0028248E"/>
    <w:rsid w:val="00282C1E"/>
    <w:rsid w:val="00283616"/>
    <w:rsid w:val="002839A3"/>
    <w:rsid w:val="00283C76"/>
    <w:rsid w:val="002851D7"/>
    <w:rsid w:val="00285786"/>
    <w:rsid w:val="00285AAD"/>
    <w:rsid w:val="00285BD0"/>
    <w:rsid w:val="0028620B"/>
    <w:rsid w:val="002863EB"/>
    <w:rsid w:val="00286C27"/>
    <w:rsid w:val="00287216"/>
    <w:rsid w:val="00287CF8"/>
    <w:rsid w:val="00287D4A"/>
    <w:rsid w:val="00290644"/>
    <w:rsid w:val="00290926"/>
    <w:rsid w:val="0029106C"/>
    <w:rsid w:val="00291075"/>
    <w:rsid w:val="0029137D"/>
    <w:rsid w:val="002918C8"/>
    <w:rsid w:val="0029192C"/>
    <w:rsid w:val="00291B79"/>
    <w:rsid w:val="00291C3A"/>
    <w:rsid w:val="00291FAD"/>
    <w:rsid w:val="00292CEB"/>
    <w:rsid w:val="0029306B"/>
    <w:rsid w:val="0029416D"/>
    <w:rsid w:val="002952BA"/>
    <w:rsid w:val="00295AAD"/>
    <w:rsid w:val="0029629E"/>
    <w:rsid w:val="00297963"/>
    <w:rsid w:val="00297ED0"/>
    <w:rsid w:val="00297F19"/>
    <w:rsid w:val="002A04E7"/>
    <w:rsid w:val="002A05E4"/>
    <w:rsid w:val="002A061F"/>
    <w:rsid w:val="002A0D26"/>
    <w:rsid w:val="002A135D"/>
    <w:rsid w:val="002A1CB0"/>
    <w:rsid w:val="002A211A"/>
    <w:rsid w:val="002A236A"/>
    <w:rsid w:val="002A244B"/>
    <w:rsid w:val="002A26B6"/>
    <w:rsid w:val="002A2FBC"/>
    <w:rsid w:val="002A2FE3"/>
    <w:rsid w:val="002A3015"/>
    <w:rsid w:val="002A33A9"/>
    <w:rsid w:val="002A363E"/>
    <w:rsid w:val="002A4324"/>
    <w:rsid w:val="002A4329"/>
    <w:rsid w:val="002A4E43"/>
    <w:rsid w:val="002A5172"/>
    <w:rsid w:val="002A59F3"/>
    <w:rsid w:val="002A5A93"/>
    <w:rsid w:val="002A66D8"/>
    <w:rsid w:val="002A74D5"/>
    <w:rsid w:val="002A7EEC"/>
    <w:rsid w:val="002B076C"/>
    <w:rsid w:val="002B0AC4"/>
    <w:rsid w:val="002B0DA3"/>
    <w:rsid w:val="002B1334"/>
    <w:rsid w:val="002B1669"/>
    <w:rsid w:val="002B19E1"/>
    <w:rsid w:val="002B1CED"/>
    <w:rsid w:val="002B1E13"/>
    <w:rsid w:val="002B1FD0"/>
    <w:rsid w:val="002B2031"/>
    <w:rsid w:val="002B31D4"/>
    <w:rsid w:val="002B3945"/>
    <w:rsid w:val="002B4DBC"/>
    <w:rsid w:val="002B52C2"/>
    <w:rsid w:val="002B5379"/>
    <w:rsid w:val="002B5527"/>
    <w:rsid w:val="002B5AE1"/>
    <w:rsid w:val="002B5E49"/>
    <w:rsid w:val="002B5ED1"/>
    <w:rsid w:val="002B5F5D"/>
    <w:rsid w:val="002B61FC"/>
    <w:rsid w:val="002B6493"/>
    <w:rsid w:val="002B6B62"/>
    <w:rsid w:val="002B6DD8"/>
    <w:rsid w:val="002B70B7"/>
    <w:rsid w:val="002B72DC"/>
    <w:rsid w:val="002B757B"/>
    <w:rsid w:val="002B7E5F"/>
    <w:rsid w:val="002B7F84"/>
    <w:rsid w:val="002C0849"/>
    <w:rsid w:val="002C0A43"/>
    <w:rsid w:val="002C187B"/>
    <w:rsid w:val="002C1927"/>
    <w:rsid w:val="002C1BCC"/>
    <w:rsid w:val="002C2194"/>
    <w:rsid w:val="002C21BC"/>
    <w:rsid w:val="002C2742"/>
    <w:rsid w:val="002C274B"/>
    <w:rsid w:val="002C2B49"/>
    <w:rsid w:val="002C3761"/>
    <w:rsid w:val="002C3807"/>
    <w:rsid w:val="002C3D23"/>
    <w:rsid w:val="002C3E21"/>
    <w:rsid w:val="002C4308"/>
    <w:rsid w:val="002C45B1"/>
    <w:rsid w:val="002C4674"/>
    <w:rsid w:val="002C46F4"/>
    <w:rsid w:val="002C477B"/>
    <w:rsid w:val="002C4CE8"/>
    <w:rsid w:val="002C4DBD"/>
    <w:rsid w:val="002C52B0"/>
    <w:rsid w:val="002C5836"/>
    <w:rsid w:val="002C6801"/>
    <w:rsid w:val="002C6BBE"/>
    <w:rsid w:val="002C6D63"/>
    <w:rsid w:val="002C6F73"/>
    <w:rsid w:val="002C7511"/>
    <w:rsid w:val="002C7B1B"/>
    <w:rsid w:val="002C7FBB"/>
    <w:rsid w:val="002D0B08"/>
    <w:rsid w:val="002D0CD3"/>
    <w:rsid w:val="002D135B"/>
    <w:rsid w:val="002D161D"/>
    <w:rsid w:val="002D1D81"/>
    <w:rsid w:val="002D209B"/>
    <w:rsid w:val="002D2380"/>
    <w:rsid w:val="002D2639"/>
    <w:rsid w:val="002D26BA"/>
    <w:rsid w:val="002D2F24"/>
    <w:rsid w:val="002D398D"/>
    <w:rsid w:val="002D3CA4"/>
    <w:rsid w:val="002D3D9E"/>
    <w:rsid w:val="002D3E12"/>
    <w:rsid w:val="002D4335"/>
    <w:rsid w:val="002D43CD"/>
    <w:rsid w:val="002D4486"/>
    <w:rsid w:val="002D44D7"/>
    <w:rsid w:val="002D4781"/>
    <w:rsid w:val="002D4A20"/>
    <w:rsid w:val="002D4BAE"/>
    <w:rsid w:val="002D4CE6"/>
    <w:rsid w:val="002D4D5C"/>
    <w:rsid w:val="002D6230"/>
    <w:rsid w:val="002D629B"/>
    <w:rsid w:val="002D63A6"/>
    <w:rsid w:val="002D6751"/>
    <w:rsid w:val="002D6EFB"/>
    <w:rsid w:val="002D75F2"/>
    <w:rsid w:val="002D77CC"/>
    <w:rsid w:val="002D79DB"/>
    <w:rsid w:val="002D7B55"/>
    <w:rsid w:val="002E0552"/>
    <w:rsid w:val="002E0D43"/>
    <w:rsid w:val="002E16B6"/>
    <w:rsid w:val="002E1957"/>
    <w:rsid w:val="002E19DA"/>
    <w:rsid w:val="002E2B55"/>
    <w:rsid w:val="002E2C45"/>
    <w:rsid w:val="002E2E80"/>
    <w:rsid w:val="002E3C6D"/>
    <w:rsid w:val="002E3CC4"/>
    <w:rsid w:val="002E434B"/>
    <w:rsid w:val="002E4E3B"/>
    <w:rsid w:val="002E524B"/>
    <w:rsid w:val="002E56F6"/>
    <w:rsid w:val="002E5950"/>
    <w:rsid w:val="002E5EA0"/>
    <w:rsid w:val="002E5F4E"/>
    <w:rsid w:val="002E66C5"/>
    <w:rsid w:val="002E6870"/>
    <w:rsid w:val="002E6A3A"/>
    <w:rsid w:val="002E73DE"/>
    <w:rsid w:val="002E7441"/>
    <w:rsid w:val="002E748F"/>
    <w:rsid w:val="002E7ACF"/>
    <w:rsid w:val="002E7B6B"/>
    <w:rsid w:val="002E7BD9"/>
    <w:rsid w:val="002F0112"/>
    <w:rsid w:val="002F0556"/>
    <w:rsid w:val="002F12BE"/>
    <w:rsid w:val="002F1796"/>
    <w:rsid w:val="002F1890"/>
    <w:rsid w:val="002F1C6A"/>
    <w:rsid w:val="002F1EF7"/>
    <w:rsid w:val="002F1F12"/>
    <w:rsid w:val="002F2716"/>
    <w:rsid w:val="002F29A8"/>
    <w:rsid w:val="002F306C"/>
    <w:rsid w:val="002F3185"/>
    <w:rsid w:val="002F3294"/>
    <w:rsid w:val="002F3313"/>
    <w:rsid w:val="002F395C"/>
    <w:rsid w:val="002F44FF"/>
    <w:rsid w:val="002F4FBD"/>
    <w:rsid w:val="002F5D9C"/>
    <w:rsid w:val="002F5EED"/>
    <w:rsid w:val="002F5FCF"/>
    <w:rsid w:val="002F6C25"/>
    <w:rsid w:val="002F6E0C"/>
    <w:rsid w:val="002F73C8"/>
    <w:rsid w:val="002F7E50"/>
    <w:rsid w:val="003000D9"/>
    <w:rsid w:val="003002AB"/>
    <w:rsid w:val="003004A0"/>
    <w:rsid w:val="00300758"/>
    <w:rsid w:val="00300F65"/>
    <w:rsid w:val="0030117B"/>
    <w:rsid w:val="0030149A"/>
    <w:rsid w:val="00301772"/>
    <w:rsid w:val="003020AE"/>
    <w:rsid w:val="0030219E"/>
    <w:rsid w:val="0030219F"/>
    <w:rsid w:val="00302838"/>
    <w:rsid w:val="00303093"/>
    <w:rsid w:val="0030339D"/>
    <w:rsid w:val="00303670"/>
    <w:rsid w:val="00303E15"/>
    <w:rsid w:val="003042AF"/>
    <w:rsid w:val="003047C2"/>
    <w:rsid w:val="00304A7E"/>
    <w:rsid w:val="00304AE2"/>
    <w:rsid w:val="00304C0B"/>
    <w:rsid w:val="0030588C"/>
    <w:rsid w:val="00305CF1"/>
    <w:rsid w:val="00305DFE"/>
    <w:rsid w:val="00305FE4"/>
    <w:rsid w:val="003060F8"/>
    <w:rsid w:val="0030633A"/>
    <w:rsid w:val="003066AD"/>
    <w:rsid w:val="003067E6"/>
    <w:rsid w:val="00306B2F"/>
    <w:rsid w:val="0030718E"/>
    <w:rsid w:val="003074BC"/>
    <w:rsid w:val="00307EE9"/>
    <w:rsid w:val="0031002E"/>
    <w:rsid w:val="00310419"/>
    <w:rsid w:val="003104C4"/>
    <w:rsid w:val="0031070D"/>
    <w:rsid w:val="00310CDC"/>
    <w:rsid w:val="0031103C"/>
    <w:rsid w:val="003116E9"/>
    <w:rsid w:val="0031175B"/>
    <w:rsid w:val="0031276F"/>
    <w:rsid w:val="00313147"/>
    <w:rsid w:val="00313D70"/>
    <w:rsid w:val="00313F90"/>
    <w:rsid w:val="00314DFD"/>
    <w:rsid w:val="00315075"/>
    <w:rsid w:val="003152B2"/>
    <w:rsid w:val="003152D5"/>
    <w:rsid w:val="00315682"/>
    <w:rsid w:val="00315888"/>
    <w:rsid w:val="0031595F"/>
    <w:rsid w:val="00315CD9"/>
    <w:rsid w:val="00316474"/>
    <w:rsid w:val="0031667D"/>
    <w:rsid w:val="003170C1"/>
    <w:rsid w:val="00317861"/>
    <w:rsid w:val="003179AF"/>
    <w:rsid w:val="00317BE2"/>
    <w:rsid w:val="0032041C"/>
    <w:rsid w:val="003217DB"/>
    <w:rsid w:val="003219F1"/>
    <w:rsid w:val="00321EB0"/>
    <w:rsid w:val="00322104"/>
    <w:rsid w:val="003223A8"/>
    <w:rsid w:val="0032257F"/>
    <w:rsid w:val="003227BF"/>
    <w:rsid w:val="00322AAE"/>
    <w:rsid w:val="00322EB2"/>
    <w:rsid w:val="00323042"/>
    <w:rsid w:val="003234B7"/>
    <w:rsid w:val="00323C43"/>
    <w:rsid w:val="00323E71"/>
    <w:rsid w:val="00324177"/>
    <w:rsid w:val="00324609"/>
    <w:rsid w:val="00324A80"/>
    <w:rsid w:val="00324AE9"/>
    <w:rsid w:val="00324F22"/>
    <w:rsid w:val="003252FD"/>
    <w:rsid w:val="00325B09"/>
    <w:rsid w:val="00326632"/>
    <w:rsid w:val="00326844"/>
    <w:rsid w:val="00326E32"/>
    <w:rsid w:val="00326FBF"/>
    <w:rsid w:val="00327D02"/>
    <w:rsid w:val="00327D35"/>
    <w:rsid w:val="003304B2"/>
    <w:rsid w:val="003316EB"/>
    <w:rsid w:val="003317A8"/>
    <w:rsid w:val="00331F94"/>
    <w:rsid w:val="003328A0"/>
    <w:rsid w:val="003329C0"/>
    <w:rsid w:val="00332EA9"/>
    <w:rsid w:val="00333464"/>
    <w:rsid w:val="00333FE2"/>
    <w:rsid w:val="003343B4"/>
    <w:rsid w:val="00335467"/>
    <w:rsid w:val="003355AA"/>
    <w:rsid w:val="00335C70"/>
    <w:rsid w:val="00335D2F"/>
    <w:rsid w:val="00335F31"/>
    <w:rsid w:val="00336453"/>
    <w:rsid w:val="0033686F"/>
    <w:rsid w:val="00336C1A"/>
    <w:rsid w:val="00336C78"/>
    <w:rsid w:val="00336DE8"/>
    <w:rsid w:val="00337E9D"/>
    <w:rsid w:val="00340192"/>
    <w:rsid w:val="0034021C"/>
    <w:rsid w:val="003408A7"/>
    <w:rsid w:val="00340BB3"/>
    <w:rsid w:val="00341544"/>
    <w:rsid w:val="0034185E"/>
    <w:rsid w:val="00341B93"/>
    <w:rsid w:val="00341F36"/>
    <w:rsid w:val="00341F83"/>
    <w:rsid w:val="00342064"/>
    <w:rsid w:val="003422B2"/>
    <w:rsid w:val="00342C0D"/>
    <w:rsid w:val="00343329"/>
    <w:rsid w:val="0034377F"/>
    <w:rsid w:val="00343C04"/>
    <w:rsid w:val="00343D97"/>
    <w:rsid w:val="003442DE"/>
    <w:rsid w:val="0034689D"/>
    <w:rsid w:val="00346969"/>
    <w:rsid w:val="00346D24"/>
    <w:rsid w:val="00347168"/>
    <w:rsid w:val="00347792"/>
    <w:rsid w:val="0035036C"/>
    <w:rsid w:val="00350648"/>
    <w:rsid w:val="003509A6"/>
    <w:rsid w:val="00350EC8"/>
    <w:rsid w:val="00351852"/>
    <w:rsid w:val="00352026"/>
    <w:rsid w:val="00352322"/>
    <w:rsid w:val="0035247D"/>
    <w:rsid w:val="00353424"/>
    <w:rsid w:val="0035359E"/>
    <w:rsid w:val="00353CED"/>
    <w:rsid w:val="00353F51"/>
    <w:rsid w:val="003541F8"/>
    <w:rsid w:val="00354CDD"/>
    <w:rsid w:val="0035507A"/>
    <w:rsid w:val="00355597"/>
    <w:rsid w:val="00355B81"/>
    <w:rsid w:val="00356961"/>
    <w:rsid w:val="00356BD9"/>
    <w:rsid w:val="00357498"/>
    <w:rsid w:val="003576DD"/>
    <w:rsid w:val="003601DA"/>
    <w:rsid w:val="00360462"/>
    <w:rsid w:val="003607B4"/>
    <w:rsid w:val="0036080E"/>
    <w:rsid w:val="00360A7A"/>
    <w:rsid w:val="00360AB1"/>
    <w:rsid w:val="00360D6D"/>
    <w:rsid w:val="0036135A"/>
    <w:rsid w:val="00361D9F"/>
    <w:rsid w:val="0036217B"/>
    <w:rsid w:val="00362C90"/>
    <w:rsid w:val="00363493"/>
    <w:rsid w:val="00363D20"/>
    <w:rsid w:val="00364479"/>
    <w:rsid w:val="00364CD8"/>
    <w:rsid w:val="00364E51"/>
    <w:rsid w:val="00364F57"/>
    <w:rsid w:val="0036524C"/>
    <w:rsid w:val="0036536A"/>
    <w:rsid w:val="003654AF"/>
    <w:rsid w:val="00365740"/>
    <w:rsid w:val="00365C70"/>
    <w:rsid w:val="00365FEA"/>
    <w:rsid w:val="003663E4"/>
    <w:rsid w:val="00366AFE"/>
    <w:rsid w:val="00366BDF"/>
    <w:rsid w:val="00366D85"/>
    <w:rsid w:val="00367143"/>
    <w:rsid w:val="0036735C"/>
    <w:rsid w:val="00370186"/>
    <w:rsid w:val="003705F3"/>
    <w:rsid w:val="00370ED1"/>
    <w:rsid w:val="00371C78"/>
    <w:rsid w:val="00372644"/>
    <w:rsid w:val="00372989"/>
    <w:rsid w:val="00372A0D"/>
    <w:rsid w:val="00372EBB"/>
    <w:rsid w:val="00373031"/>
    <w:rsid w:val="00373543"/>
    <w:rsid w:val="0037356E"/>
    <w:rsid w:val="003740F3"/>
    <w:rsid w:val="00374404"/>
    <w:rsid w:val="0037515E"/>
    <w:rsid w:val="00375591"/>
    <w:rsid w:val="0037597E"/>
    <w:rsid w:val="003760F6"/>
    <w:rsid w:val="00376B51"/>
    <w:rsid w:val="003772E1"/>
    <w:rsid w:val="00377F48"/>
    <w:rsid w:val="0038097E"/>
    <w:rsid w:val="003813B3"/>
    <w:rsid w:val="00381455"/>
    <w:rsid w:val="00381898"/>
    <w:rsid w:val="00381B1D"/>
    <w:rsid w:val="003825F6"/>
    <w:rsid w:val="00382722"/>
    <w:rsid w:val="0038311F"/>
    <w:rsid w:val="00383956"/>
    <w:rsid w:val="0038395D"/>
    <w:rsid w:val="00383A00"/>
    <w:rsid w:val="00383B47"/>
    <w:rsid w:val="003841F5"/>
    <w:rsid w:val="00384443"/>
    <w:rsid w:val="00384A46"/>
    <w:rsid w:val="00384B62"/>
    <w:rsid w:val="00384BCB"/>
    <w:rsid w:val="003856E9"/>
    <w:rsid w:val="003865B9"/>
    <w:rsid w:val="0038683B"/>
    <w:rsid w:val="003873F6"/>
    <w:rsid w:val="003873FF"/>
    <w:rsid w:val="0038780D"/>
    <w:rsid w:val="00387AF3"/>
    <w:rsid w:val="003902DB"/>
    <w:rsid w:val="00390E03"/>
    <w:rsid w:val="00391289"/>
    <w:rsid w:val="0039173B"/>
    <w:rsid w:val="00392926"/>
    <w:rsid w:val="00392F29"/>
    <w:rsid w:val="00392FE3"/>
    <w:rsid w:val="0039354F"/>
    <w:rsid w:val="00393683"/>
    <w:rsid w:val="00393CDC"/>
    <w:rsid w:val="00393D6F"/>
    <w:rsid w:val="00393F5C"/>
    <w:rsid w:val="00394DC2"/>
    <w:rsid w:val="003959AE"/>
    <w:rsid w:val="00395CA9"/>
    <w:rsid w:val="003961E5"/>
    <w:rsid w:val="003965DA"/>
    <w:rsid w:val="003967BE"/>
    <w:rsid w:val="00397055"/>
    <w:rsid w:val="0039718F"/>
    <w:rsid w:val="00397351"/>
    <w:rsid w:val="0039749A"/>
    <w:rsid w:val="00397748"/>
    <w:rsid w:val="00397C25"/>
    <w:rsid w:val="00397E9F"/>
    <w:rsid w:val="00397F0A"/>
    <w:rsid w:val="003A08BD"/>
    <w:rsid w:val="003A0B72"/>
    <w:rsid w:val="003A0BB6"/>
    <w:rsid w:val="003A0C45"/>
    <w:rsid w:val="003A1A0F"/>
    <w:rsid w:val="003A1B53"/>
    <w:rsid w:val="003A231D"/>
    <w:rsid w:val="003A2786"/>
    <w:rsid w:val="003A2787"/>
    <w:rsid w:val="003A28BD"/>
    <w:rsid w:val="003A2B56"/>
    <w:rsid w:val="003A2B62"/>
    <w:rsid w:val="003A2E55"/>
    <w:rsid w:val="003A37EC"/>
    <w:rsid w:val="003A3935"/>
    <w:rsid w:val="003A3E9E"/>
    <w:rsid w:val="003A4746"/>
    <w:rsid w:val="003A5104"/>
    <w:rsid w:val="003A51B9"/>
    <w:rsid w:val="003A5272"/>
    <w:rsid w:val="003A53DC"/>
    <w:rsid w:val="003A565D"/>
    <w:rsid w:val="003A5938"/>
    <w:rsid w:val="003A5C32"/>
    <w:rsid w:val="003A5DBB"/>
    <w:rsid w:val="003A5FFE"/>
    <w:rsid w:val="003A60A5"/>
    <w:rsid w:val="003A6194"/>
    <w:rsid w:val="003A6503"/>
    <w:rsid w:val="003A664B"/>
    <w:rsid w:val="003A6A7A"/>
    <w:rsid w:val="003A6CF9"/>
    <w:rsid w:val="003A70C7"/>
    <w:rsid w:val="003A73F4"/>
    <w:rsid w:val="003A7406"/>
    <w:rsid w:val="003A7418"/>
    <w:rsid w:val="003A770C"/>
    <w:rsid w:val="003A78A6"/>
    <w:rsid w:val="003A7D9E"/>
    <w:rsid w:val="003B010A"/>
    <w:rsid w:val="003B0FCC"/>
    <w:rsid w:val="003B130B"/>
    <w:rsid w:val="003B1AC8"/>
    <w:rsid w:val="003B254D"/>
    <w:rsid w:val="003B27CF"/>
    <w:rsid w:val="003B2B4D"/>
    <w:rsid w:val="003B34A9"/>
    <w:rsid w:val="003B3580"/>
    <w:rsid w:val="003B3742"/>
    <w:rsid w:val="003B3C7E"/>
    <w:rsid w:val="003B4866"/>
    <w:rsid w:val="003B50A0"/>
    <w:rsid w:val="003B51C8"/>
    <w:rsid w:val="003B5A85"/>
    <w:rsid w:val="003B5B88"/>
    <w:rsid w:val="003B5D5F"/>
    <w:rsid w:val="003B666C"/>
    <w:rsid w:val="003B6ABA"/>
    <w:rsid w:val="003B7D69"/>
    <w:rsid w:val="003B7DBC"/>
    <w:rsid w:val="003B7F98"/>
    <w:rsid w:val="003C0292"/>
    <w:rsid w:val="003C0C10"/>
    <w:rsid w:val="003C0DCC"/>
    <w:rsid w:val="003C1381"/>
    <w:rsid w:val="003C1811"/>
    <w:rsid w:val="003C2180"/>
    <w:rsid w:val="003C242B"/>
    <w:rsid w:val="003C25DE"/>
    <w:rsid w:val="003C2722"/>
    <w:rsid w:val="003C2803"/>
    <w:rsid w:val="003C2B79"/>
    <w:rsid w:val="003C34C0"/>
    <w:rsid w:val="003C34E4"/>
    <w:rsid w:val="003C3749"/>
    <w:rsid w:val="003C37E9"/>
    <w:rsid w:val="003C3911"/>
    <w:rsid w:val="003C423C"/>
    <w:rsid w:val="003C483B"/>
    <w:rsid w:val="003C4D18"/>
    <w:rsid w:val="003C52C3"/>
    <w:rsid w:val="003C5770"/>
    <w:rsid w:val="003C5923"/>
    <w:rsid w:val="003C5D37"/>
    <w:rsid w:val="003C5DDE"/>
    <w:rsid w:val="003C6383"/>
    <w:rsid w:val="003C6676"/>
    <w:rsid w:val="003C702A"/>
    <w:rsid w:val="003C7539"/>
    <w:rsid w:val="003C76F1"/>
    <w:rsid w:val="003C77F5"/>
    <w:rsid w:val="003C7904"/>
    <w:rsid w:val="003C7B95"/>
    <w:rsid w:val="003D02BE"/>
    <w:rsid w:val="003D02FA"/>
    <w:rsid w:val="003D069D"/>
    <w:rsid w:val="003D0712"/>
    <w:rsid w:val="003D101C"/>
    <w:rsid w:val="003D1BBD"/>
    <w:rsid w:val="003D1CC2"/>
    <w:rsid w:val="003D21EF"/>
    <w:rsid w:val="003D2566"/>
    <w:rsid w:val="003D30AA"/>
    <w:rsid w:val="003D3127"/>
    <w:rsid w:val="003D3AE4"/>
    <w:rsid w:val="003D4796"/>
    <w:rsid w:val="003D494D"/>
    <w:rsid w:val="003D4E82"/>
    <w:rsid w:val="003D53EF"/>
    <w:rsid w:val="003D548D"/>
    <w:rsid w:val="003D559E"/>
    <w:rsid w:val="003D584E"/>
    <w:rsid w:val="003D5A65"/>
    <w:rsid w:val="003D5CBD"/>
    <w:rsid w:val="003D6EFB"/>
    <w:rsid w:val="003D71D5"/>
    <w:rsid w:val="003E06C4"/>
    <w:rsid w:val="003E086A"/>
    <w:rsid w:val="003E0993"/>
    <w:rsid w:val="003E09E3"/>
    <w:rsid w:val="003E0B94"/>
    <w:rsid w:val="003E1045"/>
    <w:rsid w:val="003E1A15"/>
    <w:rsid w:val="003E1AA8"/>
    <w:rsid w:val="003E1DAC"/>
    <w:rsid w:val="003E20C2"/>
    <w:rsid w:val="003E2245"/>
    <w:rsid w:val="003E2469"/>
    <w:rsid w:val="003E2A92"/>
    <w:rsid w:val="003E32A0"/>
    <w:rsid w:val="003E49B5"/>
    <w:rsid w:val="003E4AE3"/>
    <w:rsid w:val="003E507F"/>
    <w:rsid w:val="003E551A"/>
    <w:rsid w:val="003E560A"/>
    <w:rsid w:val="003E597A"/>
    <w:rsid w:val="003E59EA"/>
    <w:rsid w:val="003E5F1B"/>
    <w:rsid w:val="003E60FF"/>
    <w:rsid w:val="003E6305"/>
    <w:rsid w:val="003E6B2C"/>
    <w:rsid w:val="003E7A88"/>
    <w:rsid w:val="003E7BDD"/>
    <w:rsid w:val="003E7BE6"/>
    <w:rsid w:val="003F03E2"/>
    <w:rsid w:val="003F0523"/>
    <w:rsid w:val="003F0FB5"/>
    <w:rsid w:val="003F1221"/>
    <w:rsid w:val="003F1B18"/>
    <w:rsid w:val="003F1F96"/>
    <w:rsid w:val="003F25AF"/>
    <w:rsid w:val="003F26A7"/>
    <w:rsid w:val="003F2880"/>
    <w:rsid w:val="003F29CD"/>
    <w:rsid w:val="003F2B17"/>
    <w:rsid w:val="003F2C28"/>
    <w:rsid w:val="003F2EF1"/>
    <w:rsid w:val="003F37CB"/>
    <w:rsid w:val="003F3813"/>
    <w:rsid w:val="003F3BD0"/>
    <w:rsid w:val="003F3E3A"/>
    <w:rsid w:val="003F3E66"/>
    <w:rsid w:val="003F4692"/>
    <w:rsid w:val="003F4955"/>
    <w:rsid w:val="003F4BB0"/>
    <w:rsid w:val="003F4DDC"/>
    <w:rsid w:val="003F4DDE"/>
    <w:rsid w:val="003F4FD1"/>
    <w:rsid w:val="003F7029"/>
    <w:rsid w:val="003F7210"/>
    <w:rsid w:val="003F7FE4"/>
    <w:rsid w:val="0040092E"/>
    <w:rsid w:val="00400E71"/>
    <w:rsid w:val="00400EE7"/>
    <w:rsid w:val="004010D8"/>
    <w:rsid w:val="004015A8"/>
    <w:rsid w:val="00401827"/>
    <w:rsid w:val="0040269D"/>
    <w:rsid w:val="00402FCF"/>
    <w:rsid w:val="0040304C"/>
    <w:rsid w:val="004038FE"/>
    <w:rsid w:val="00403B42"/>
    <w:rsid w:val="00404060"/>
    <w:rsid w:val="0040413A"/>
    <w:rsid w:val="00404576"/>
    <w:rsid w:val="00404AD9"/>
    <w:rsid w:val="00404FFE"/>
    <w:rsid w:val="00405003"/>
    <w:rsid w:val="00405249"/>
    <w:rsid w:val="004052B7"/>
    <w:rsid w:val="0040542E"/>
    <w:rsid w:val="00405BE5"/>
    <w:rsid w:val="00406002"/>
    <w:rsid w:val="004066D3"/>
    <w:rsid w:val="004067D0"/>
    <w:rsid w:val="00406C36"/>
    <w:rsid w:val="004072D0"/>
    <w:rsid w:val="004077D1"/>
    <w:rsid w:val="00407C89"/>
    <w:rsid w:val="00407FE8"/>
    <w:rsid w:val="00410443"/>
    <w:rsid w:val="0041047C"/>
    <w:rsid w:val="004108F9"/>
    <w:rsid w:val="00410EEE"/>
    <w:rsid w:val="00410F96"/>
    <w:rsid w:val="00410FDD"/>
    <w:rsid w:val="00411895"/>
    <w:rsid w:val="00412A00"/>
    <w:rsid w:val="00412AD8"/>
    <w:rsid w:val="00412B45"/>
    <w:rsid w:val="004147AE"/>
    <w:rsid w:val="00414AE6"/>
    <w:rsid w:val="0041502F"/>
    <w:rsid w:val="00415950"/>
    <w:rsid w:val="00415DDF"/>
    <w:rsid w:val="00416350"/>
    <w:rsid w:val="00416508"/>
    <w:rsid w:val="004177D8"/>
    <w:rsid w:val="00417F4C"/>
    <w:rsid w:val="004200EF"/>
    <w:rsid w:val="00420457"/>
    <w:rsid w:val="0042050D"/>
    <w:rsid w:val="0042065B"/>
    <w:rsid w:val="0042068E"/>
    <w:rsid w:val="00420A56"/>
    <w:rsid w:val="00420BD7"/>
    <w:rsid w:val="004211DB"/>
    <w:rsid w:val="0042121C"/>
    <w:rsid w:val="00421AD1"/>
    <w:rsid w:val="00421CAE"/>
    <w:rsid w:val="00421D2D"/>
    <w:rsid w:val="00421E45"/>
    <w:rsid w:val="0042281F"/>
    <w:rsid w:val="00422CF7"/>
    <w:rsid w:val="0042334D"/>
    <w:rsid w:val="004239D3"/>
    <w:rsid w:val="004259DB"/>
    <w:rsid w:val="00425DA3"/>
    <w:rsid w:val="00425DFA"/>
    <w:rsid w:val="0042602A"/>
    <w:rsid w:val="00426A7E"/>
    <w:rsid w:val="00426DFE"/>
    <w:rsid w:val="0042751D"/>
    <w:rsid w:val="0042799A"/>
    <w:rsid w:val="00430F05"/>
    <w:rsid w:val="004318DD"/>
    <w:rsid w:val="00432336"/>
    <w:rsid w:val="00432337"/>
    <w:rsid w:val="004323B2"/>
    <w:rsid w:val="0043241A"/>
    <w:rsid w:val="00432695"/>
    <w:rsid w:val="00432975"/>
    <w:rsid w:val="004329DF"/>
    <w:rsid w:val="00432D7E"/>
    <w:rsid w:val="00432DE0"/>
    <w:rsid w:val="004332BB"/>
    <w:rsid w:val="00433C01"/>
    <w:rsid w:val="00433C8B"/>
    <w:rsid w:val="004345AF"/>
    <w:rsid w:val="004358E0"/>
    <w:rsid w:val="0043651C"/>
    <w:rsid w:val="004366F7"/>
    <w:rsid w:val="00436CBE"/>
    <w:rsid w:val="004372A3"/>
    <w:rsid w:val="004376D6"/>
    <w:rsid w:val="00437DE2"/>
    <w:rsid w:val="00437E51"/>
    <w:rsid w:val="0044007A"/>
    <w:rsid w:val="00440247"/>
    <w:rsid w:val="00440B73"/>
    <w:rsid w:val="00440DF0"/>
    <w:rsid w:val="004410B7"/>
    <w:rsid w:val="0044255F"/>
    <w:rsid w:val="00442989"/>
    <w:rsid w:val="00442E0F"/>
    <w:rsid w:val="00443292"/>
    <w:rsid w:val="00443B14"/>
    <w:rsid w:val="00443C01"/>
    <w:rsid w:val="004447E5"/>
    <w:rsid w:val="0044484E"/>
    <w:rsid w:val="0044495D"/>
    <w:rsid w:val="00444AEA"/>
    <w:rsid w:val="00444C07"/>
    <w:rsid w:val="0044600C"/>
    <w:rsid w:val="0044669C"/>
    <w:rsid w:val="004469C7"/>
    <w:rsid w:val="00446AB3"/>
    <w:rsid w:val="0044718E"/>
    <w:rsid w:val="0044743E"/>
    <w:rsid w:val="00447A48"/>
    <w:rsid w:val="0045024D"/>
    <w:rsid w:val="00450D3E"/>
    <w:rsid w:val="0045114C"/>
    <w:rsid w:val="004517DE"/>
    <w:rsid w:val="00451D84"/>
    <w:rsid w:val="0045212D"/>
    <w:rsid w:val="00452AC5"/>
    <w:rsid w:val="00452D0D"/>
    <w:rsid w:val="004533A5"/>
    <w:rsid w:val="004534DE"/>
    <w:rsid w:val="00453C25"/>
    <w:rsid w:val="00453E11"/>
    <w:rsid w:val="00454061"/>
    <w:rsid w:val="00454782"/>
    <w:rsid w:val="00454A56"/>
    <w:rsid w:val="00454A72"/>
    <w:rsid w:val="00454B95"/>
    <w:rsid w:val="00454CA4"/>
    <w:rsid w:val="00455029"/>
    <w:rsid w:val="00455287"/>
    <w:rsid w:val="004552A2"/>
    <w:rsid w:val="00455538"/>
    <w:rsid w:val="004555E8"/>
    <w:rsid w:val="00455626"/>
    <w:rsid w:val="00455D98"/>
    <w:rsid w:val="004568CD"/>
    <w:rsid w:val="00456C5F"/>
    <w:rsid w:val="00456DEE"/>
    <w:rsid w:val="0045741A"/>
    <w:rsid w:val="00457578"/>
    <w:rsid w:val="0045778E"/>
    <w:rsid w:val="004603CE"/>
    <w:rsid w:val="00460B91"/>
    <w:rsid w:val="00461642"/>
    <w:rsid w:val="004618EB"/>
    <w:rsid w:val="0046207F"/>
    <w:rsid w:val="004620EB"/>
    <w:rsid w:val="0046248F"/>
    <w:rsid w:val="004624A4"/>
    <w:rsid w:val="0046307F"/>
    <w:rsid w:val="004638E8"/>
    <w:rsid w:val="00463901"/>
    <w:rsid w:val="00463DD3"/>
    <w:rsid w:val="004640E8"/>
    <w:rsid w:val="0046507C"/>
    <w:rsid w:val="00465190"/>
    <w:rsid w:val="004653A0"/>
    <w:rsid w:val="004659F7"/>
    <w:rsid w:val="004662FA"/>
    <w:rsid w:val="00466330"/>
    <w:rsid w:val="0046709E"/>
    <w:rsid w:val="0046719D"/>
    <w:rsid w:val="004676D2"/>
    <w:rsid w:val="004700A7"/>
    <w:rsid w:val="0047077A"/>
    <w:rsid w:val="004709DD"/>
    <w:rsid w:val="00472236"/>
    <w:rsid w:val="004728A8"/>
    <w:rsid w:val="00472C4D"/>
    <w:rsid w:val="00472E3C"/>
    <w:rsid w:val="00473DA8"/>
    <w:rsid w:val="00473E5C"/>
    <w:rsid w:val="00474491"/>
    <w:rsid w:val="0047456D"/>
    <w:rsid w:val="0047559E"/>
    <w:rsid w:val="00475B91"/>
    <w:rsid w:val="00475E0E"/>
    <w:rsid w:val="00476214"/>
    <w:rsid w:val="00476E3C"/>
    <w:rsid w:val="004808D8"/>
    <w:rsid w:val="00480C11"/>
    <w:rsid w:val="00481C5D"/>
    <w:rsid w:val="00482AF6"/>
    <w:rsid w:val="00482B52"/>
    <w:rsid w:val="00482B69"/>
    <w:rsid w:val="00483F0B"/>
    <w:rsid w:val="00484085"/>
    <w:rsid w:val="0048513C"/>
    <w:rsid w:val="00485CE8"/>
    <w:rsid w:val="004867B1"/>
    <w:rsid w:val="004871C2"/>
    <w:rsid w:val="0048746E"/>
    <w:rsid w:val="0048777F"/>
    <w:rsid w:val="0049014F"/>
    <w:rsid w:val="00492906"/>
    <w:rsid w:val="00492F2B"/>
    <w:rsid w:val="00493A16"/>
    <w:rsid w:val="0049455C"/>
    <w:rsid w:val="004948CB"/>
    <w:rsid w:val="004949FB"/>
    <w:rsid w:val="00495E6F"/>
    <w:rsid w:val="00495F17"/>
    <w:rsid w:val="00496301"/>
    <w:rsid w:val="00496379"/>
    <w:rsid w:val="00496A54"/>
    <w:rsid w:val="00496CAD"/>
    <w:rsid w:val="00496E48"/>
    <w:rsid w:val="00496F34"/>
    <w:rsid w:val="004973BA"/>
    <w:rsid w:val="00497FBD"/>
    <w:rsid w:val="004A04E0"/>
    <w:rsid w:val="004A067C"/>
    <w:rsid w:val="004A06D8"/>
    <w:rsid w:val="004A079A"/>
    <w:rsid w:val="004A0A29"/>
    <w:rsid w:val="004A0C40"/>
    <w:rsid w:val="004A0E16"/>
    <w:rsid w:val="004A0F6E"/>
    <w:rsid w:val="004A15E5"/>
    <w:rsid w:val="004A172B"/>
    <w:rsid w:val="004A1D2C"/>
    <w:rsid w:val="004A2957"/>
    <w:rsid w:val="004A3B24"/>
    <w:rsid w:val="004A3B45"/>
    <w:rsid w:val="004A40FB"/>
    <w:rsid w:val="004A41B4"/>
    <w:rsid w:val="004A470A"/>
    <w:rsid w:val="004A517F"/>
    <w:rsid w:val="004A5B42"/>
    <w:rsid w:val="004A6F6D"/>
    <w:rsid w:val="004A6FEB"/>
    <w:rsid w:val="004A7491"/>
    <w:rsid w:val="004A7658"/>
    <w:rsid w:val="004A7E15"/>
    <w:rsid w:val="004A7E53"/>
    <w:rsid w:val="004B014B"/>
    <w:rsid w:val="004B0BBC"/>
    <w:rsid w:val="004B0F31"/>
    <w:rsid w:val="004B11EC"/>
    <w:rsid w:val="004B176E"/>
    <w:rsid w:val="004B192B"/>
    <w:rsid w:val="004B1CFE"/>
    <w:rsid w:val="004B1DCA"/>
    <w:rsid w:val="004B20D7"/>
    <w:rsid w:val="004B2488"/>
    <w:rsid w:val="004B2FA8"/>
    <w:rsid w:val="004B320B"/>
    <w:rsid w:val="004B320D"/>
    <w:rsid w:val="004B37DC"/>
    <w:rsid w:val="004B40EB"/>
    <w:rsid w:val="004B4C23"/>
    <w:rsid w:val="004B4D1D"/>
    <w:rsid w:val="004B4FA3"/>
    <w:rsid w:val="004B559C"/>
    <w:rsid w:val="004B55F9"/>
    <w:rsid w:val="004B5718"/>
    <w:rsid w:val="004B5873"/>
    <w:rsid w:val="004B6EB2"/>
    <w:rsid w:val="004B77D9"/>
    <w:rsid w:val="004B788E"/>
    <w:rsid w:val="004C0001"/>
    <w:rsid w:val="004C00A1"/>
    <w:rsid w:val="004C0592"/>
    <w:rsid w:val="004C0641"/>
    <w:rsid w:val="004C06E4"/>
    <w:rsid w:val="004C0889"/>
    <w:rsid w:val="004C11A2"/>
    <w:rsid w:val="004C1454"/>
    <w:rsid w:val="004C1620"/>
    <w:rsid w:val="004C1CA0"/>
    <w:rsid w:val="004C1D77"/>
    <w:rsid w:val="004C20E7"/>
    <w:rsid w:val="004C27DE"/>
    <w:rsid w:val="004C299B"/>
    <w:rsid w:val="004C2DC3"/>
    <w:rsid w:val="004C2E12"/>
    <w:rsid w:val="004C3293"/>
    <w:rsid w:val="004C336B"/>
    <w:rsid w:val="004C37A8"/>
    <w:rsid w:val="004C3D28"/>
    <w:rsid w:val="004C4170"/>
    <w:rsid w:val="004C41E1"/>
    <w:rsid w:val="004C4775"/>
    <w:rsid w:val="004C542B"/>
    <w:rsid w:val="004C577C"/>
    <w:rsid w:val="004C6594"/>
    <w:rsid w:val="004C67F1"/>
    <w:rsid w:val="004C7224"/>
    <w:rsid w:val="004C7301"/>
    <w:rsid w:val="004C78E7"/>
    <w:rsid w:val="004D03D7"/>
    <w:rsid w:val="004D03E4"/>
    <w:rsid w:val="004D04C5"/>
    <w:rsid w:val="004D1934"/>
    <w:rsid w:val="004D1B0A"/>
    <w:rsid w:val="004D2770"/>
    <w:rsid w:val="004D283F"/>
    <w:rsid w:val="004D3061"/>
    <w:rsid w:val="004D37B5"/>
    <w:rsid w:val="004D394F"/>
    <w:rsid w:val="004D3CF2"/>
    <w:rsid w:val="004D3FB9"/>
    <w:rsid w:val="004D3FDF"/>
    <w:rsid w:val="004D4084"/>
    <w:rsid w:val="004D5816"/>
    <w:rsid w:val="004D5F63"/>
    <w:rsid w:val="004D621D"/>
    <w:rsid w:val="004D6C20"/>
    <w:rsid w:val="004D7317"/>
    <w:rsid w:val="004D7AAA"/>
    <w:rsid w:val="004D7AB8"/>
    <w:rsid w:val="004E0002"/>
    <w:rsid w:val="004E0026"/>
    <w:rsid w:val="004E015B"/>
    <w:rsid w:val="004E1290"/>
    <w:rsid w:val="004E12EC"/>
    <w:rsid w:val="004E15A6"/>
    <w:rsid w:val="004E18B8"/>
    <w:rsid w:val="004E1C10"/>
    <w:rsid w:val="004E3213"/>
    <w:rsid w:val="004E3713"/>
    <w:rsid w:val="004E3969"/>
    <w:rsid w:val="004E3D79"/>
    <w:rsid w:val="004E41BE"/>
    <w:rsid w:val="004E42A2"/>
    <w:rsid w:val="004E45C4"/>
    <w:rsid w:val="004E47A6"/>
    <w:rsid w:val="004E48DD"/>
    <w:rsid w:val="004E4972"/>
    <w:rsid w:val="004E4A1E"/>
    <w:rsid w:val="004E5314"/>
    <w:rsid w:val="004E5853"/>
    <w:rsid w:val="004E5A47"/>
    <w:rsid w:val="004E629E"/>
    <w:rsid w:val="004E6748"/>
    <w:rsid w:val="004E6AAF"/>
    <w:rsid w:val="004E6E90"/>
    <w:rsid w:val="004E73A4"/>
    <w:rsid w:val="004F0D17"/>
    <w:rsid w:val="004F10ED"/>
    <w:rsid w:val="004F188C"/>
    <w:rsid w:val="004F245D"/>
    <w:rsid w:val="004F3148"/>
    <w:rsid w:val="004F323F"/>
    <w:rsid w:val="004F44D1"/>
    <w:rsid w:val="004F4B5C"/>
    <w:rsid w:val="004F54FE"/>
    <w:rsid w:val="004F588A"/>
    <w:rsid w:val="004F5DB3"/>
    <w:rsid w:val="004F61C4"/>
    <w:rsid w:val="004F64E3"/>
    <w:rsid w:val="004F6D91"/>
    <w:rsid w:val="004F7128"/>
    <w:rsid w:val="004F7A34"/>
    <w:rsid w:val="00500590"/>
    <w:rsid w:val="00500A5C"/>
    <w:rsid w:val="00500B8F"/>
    <w:rsid w:val="00501005"/>
    <w:rsid w:val="00501CD8"/>
    <w:rsid w:val="00502022"/>
    <w:rsid w:val="00502333"/>
    <w:rsid w:val="005024AD"/>
    <w:rsid w:val="005025C8"/>
    <w:rsid w:val="00502EFD"/>
    <w:rsid w:val="00502FE6"/>
    <w:rsid w:val="00503285"/>
    <w:rsid w:val="00503367"/>
    <w:rsid w:val="005035EF"/>
    <w:rsid w:val="00503AE6"/>
    <w:rsid w:val="00503FB6"/>
    <w:rsid w:val="005040CA"/>
    <w:rsid w:val="005040E7"/>
    <w:rsid w:val="00504B9E"/>
    <w:rsid w:val="0050568F"/>
    <w:rsid w:val="00507434"/>
    <w:rsid w:val="00507571"/>
    <w:rsid w:val="005079FD"/>
    <w:rsid w:val="00507AA8"/>
    <w:rsid w:val="00507F47"/>
    <w:rsid w:val="00510131"/>
    <w:rsid w:val="0051035F"/>
    <w:rsid w:val="0051042A"/>
    <w:rsid w:val="00510D76"/>
    <w:rsid w:val="00510D9F"/>
    <w:rsid w:val="0051102D"/>
    <w:rsid w:val="00511237"/>
    <w:rsid w:val="005113A6"/>
    <w:rsid w:val="0051158B"/>
    <w:rsid w:val="005117FC"/>
    <w:rsid w:val="005118B4"/>
    <w:rsid w:val="00511BB6"/>
    <w:rsid w:val="0051216B"/>
    <w:rsid w:val="00512453"/>
    <w:rsid w:val="005131E9"/>
    <w:rsid w:val="00513AB3"/>
    <w:rsid w:val="00514216"/>
    <w:rsid w:val="00514AA1"/>
    <w:rsid w:val="00515474"/>
    <w:rsid w:val="005158F9"/>
    <w:rsid w:val="00515A66"/>
    <w:rsid w:val="00515F64"/>
    <w:rsid w:val="005161DB"/>
    <w:rsid w:val="00516225"/>
    <w:rsid w:val="005162B7"/>
    <w:rsid w:val="005166B5"/>
    <w:rsid w:val="00516A35"/>
    <w:rsid w:val="00516AA4"/>
    <w:rsid w:val="00516CAE"/>
    <w:rsid w:val="0051726B"/>
    <w:rsid w:val="00517513"/>
    <w:rsid w:val="0052033A"/>
    <w:rsid w:val="00520695"/>
    <w:rsid w:val="00520746"/>
    <w:rsid w:val="00520C43"/>
    <w:rsid w:val="00520E2B"/>
    <w:rsid w:val="00520E3A"/>
    <w:rsid w:val="00521E4B"/>
    <w:rsid w:val="005224B8"/>
    <w:rsid w:val="00522B23"/>
    <w:rsid w:val="005231FC"/>
    <w:rsid w:val="00523405"/>
    <w:rsid w:val="0052425B"/>
    <w:rsid w:val="0052439B"/>
    <w:rsid w:val="00524ADE"/>
    <w:rsid w:val="005251B5"/>
    <w:rsid w:val="00525FE5"/>
    <w:rsid w:val="00526615"/>
    <w:rsid w:val="005268E5"/>
    <w:rsid w:val="00526D36"/>
    <w:rsid w:val="005276EA"/>
    <w:rsid w:val="0052789E"/>
    <w:rsid w:val="005278A5"/>
    <w:rsid w:val="00527ACB"/>
    <w:rsid w:val="00530691"/>
    <w:rsid w:val="00530A0F"/>
    <w:rsid w:val="00530C8B"/>
    <w:rsid w:val="00531723"/>
    <w:rsid w:val="00531896"/>
    <w:rsid w:val="00531DF9"/>
    <w:rsid w:val="00531FD0"/>
    <w:rsid w:val="0053202E"/>
    <w:rsid w:val="005320FF"/>
    <w:rsid w:val="0053363D"/>
    <w:rsid w:val="005339EC"/>
    <w:rsid w:val="00533A79"/>
    <w:rsid w:val="00533BC0"/>
    <w:rsid w:val="00533CF6"/>
    <w:rsid w:val="00534075"/>
    <w:rsid w:val="00534835"/>
    <w:rsid w:val="00535090"/>
    <w:rsid w:val="005350FF"/>
    <w:rsid w:val="00535659"/>
    <w:rsid w:val="00535B2A"/>
    <w:rsid w:val="00535FCB"/>
    <w:rsid w:val="00536297"/>
    <w:rsid w:val="00536377"/>
    <w:rsid w:val="00536AA8"/>
    <w:rsid w:val="00536B9D"/>
    <w:rsid w:val="00536C4D"/>
    <w:rsid w:val="0053715A"/>
    <w:rsid w:val="005375A4"/>
    <w:rsid w:val="005376DE"/>
    <w:rsid w:val="00537C2C"/>
    <w:rsid w:val="00540364"/>
    <w:rsid w:val="0054278E"/>
    <w:rsid w:val="00542FF1"/>
    <w:rsid w:val="005445E4"/>
    <w:rsid w:val="005446E4"/>
    <w:rsid w:val="005449DC"/>
    <w:rsid w:val="00545336"/>
    <w:rsid w:val="00546005"/>
    <w:rsid w:val="00546008"/>
    <w:rsid w:val="005464E3"/>
    <w:rsid w:val="005468DF"/>
    <w:rsid w:val="00546FFA"/>
    <w:rsid w:val="00547041"/>
    <w:rsid w:val="005470E5"/>
    <w:rsid w:val="00547495"/>
    <w:rsid w:val="005477A9"/>
    <w:rsid w:val="0054781B"/>
    <w:rsid w:val="00547BCC"/>
    <w:rsid w:val="00547D7C"/>
    <w:rsid w:val="005504A0"/>
    <w:rsid w:val="005507B5"/>
    <w:rsid w:val="00551030"/>
    <w:rsid w:val="005521B1"/>
    <w:rsid w:val="0055348B"/>
    <w:rsid w:val="00553B9C"/>
    <w:rsid w:val="00553D6C"/>
    <w:rsid w:val="005542DA"/>
    <w:rsid w:val="005545F2"/>
    <w:rsid w:val="005547B7"/>
    <w:rsid w:val="005562C2"/>
    <w:rsid w:val="005567FB"/>
    <w:rsid w:val="0055688F"/>
    <w:rsid w:val="00557001"/>
    <w:rsid w:val="005574C3"/>
    <w:rsid w:val="005578EA"/>
    <w:rsid w:val="0056156C"/>
    <w:rsid w:val="00562231"/>
    <w:rsid w:val="005624E5"/>
    <w:rsid w:val="00562883"/>
    <w:rsid w:val="00562AB6"/>
    <w:rsid w:val="00562B15"/>
    <w:rsid w:val="0056310B"/>
    <w:rsid w:val="005632AA"/>
    <w:rsid w:val="00563337"/>
    <w:rsid w:val="00563B3E"/>
    <w:rsid w:val="005645E4"/>
    <w:rsid w:val="005648F8"/>
    <w:rsid w:val="00564AC7"/>
    <w:rsid w:val="00564B5A"/>
    <w:rsid w:val="00564C62"/>
    <w:rsid w:val="005650FE"/>
    <w:rsid w:val="0056579F"/>
    <w:rsid w:val="00566062"/>
    <w:rsid w:val="0056618D"/>
    <w:rsid w:val="005665A2"/>
    <w:rsid w:val="005666DF"/>
    <w:rsid w:val="00566797"/>
    <w:rsid w:val="00566C96"/>
    <w:rsid w:val="00566E3C"/>
    <w:rsid w:val="00567589"/>
    <w:rsid w:val="00567612"/>
    <w:rsid w:val="0057004E"/>
    <w:rsid w:val="005703C5"/>
    <w:rsid w:val="0057060B"/>
    <w:rsid w:val="00570751"/>
    <w:rsid w:val="0057176D"/>
    <w:rsid w:val="00571A93"/>
    <w:rsid w:val="00572305"/>
    <w:rsid w:val="0057247E"/>
    <w:rsid w:val="005728F3"/>
    <w:rsid w:val="00572C82"/>
    <w:rsid w:val="00572CB1"/>
    <w:rsid w:val="00573294"/>
    <w:rsid w:val="00573E0E"/>
    <w:rsid w:val="0057424A"/>
    <w:rsid w:val="0057547C"/>
    <w:rsid w:val="005759F2"/>
    <w:rsid w:val="00575B0F"/>
    <w:rsid w:val="00576642"/>
    <w:rsid w:val="00576F0F"/>
    <w:rsid w:val="00576F16"/>
    <w:rsid w:val="005772CA"/>
    <w:rsid w:val="005773C5"/>
    <w:rsid w:val="005779ED"/>
    <w:rsid w:val="00577A14"/>
    <w:rsid w:val="005809CA"/>
    <w:rsid w:val="00580AA9"/>
    <w:rsid w:val="00580BF1"/>
    <w:rsid w:val="005814D4"/>
    <w:rsid w:val="005816E7"/>
    <w:rsid w:val="00582AC7"/>
    <w:rsid w:val="00582B8D"/>
    <w:rsid w:val="00582D9B"/>
    <w:rsid w:val="00582F05"/>
    <w:rsid w:val="00583BB0"/>
    <w:rsid w:val="00585C24"/>
    <w:rsid w:val="00585D22"/>
    <w:rsid w:val="00585FC7"/>
    <w:rsid w:val="00586009"/>
    <w:rsid w:val="00586028"/>
    <w:rsid w:val="005862EE"/>
    <w:rsid w:val="0058751C"/>
    <w:rsid w:val="00587696"/>
    <w:rsid w:val="00587B2F"/>
    <w:rsid w:val="00590021"/>
    <w:rsid w:val="00590034"/>
    <w:rsid w:val="0059021E"/>
    <w:rsid w:val="00590C23"/>
    <w:rsid w:val="00590E0F"/>
    <w:rsid w:val="00590EB1"/>
    <w:rsid w:val="00591438"/>
    <w:rsid w:val="00591AF6"/>
    <w:rsid w:val="00591B31"/>
    <w:rsid w:val="00591CD9"/>
    <w:rsid w:val="00591EE8"/>
    <w:rsid w:val="00591F5D"/>
    <w:rsid w:val="005927BD"/>
    <w:rsid w:val="00592951"/>
    <w:rsid w:val="00592B26"/>
    <w:rsid w:val="00593029"/>
    <w:rsid w:val="005934A5"/>
    <w:rsid w:val="0059369C"/>
    <w:rsid w:val="005937A2"/>
    <w:rsid w:val="0059384D"/>
    <w:rsid w:val="00594338"/>
    <w:rsid w:val="0059446D"/>
    <w:rsid w:val="00594A36"/>
    <w:rsid w:val="00594CB0"/>
    <w:rsid w:val="00595363"/>
    <w:rsid w:val="005959D6"/>
    <w:rsid w:val="00595BB1"/>
    <w:rsid w:val="00596030"/>
    <w:rsid w:val="00596594"/>
    <w:rsid w:val="00596835"/>
    <w:rsid w:val="005971A6"/>
    <w:rsid w:val="00597319"/>
    <w:rsid w:val="0059737E"/>
    <w:rsid w:val="005975B3"/>
    <w:rsid w:val="00597AE0"/>
    <w:rsid w:val="00597F96"/>
    <w:rsid w:val="005A0551"/>
    <w:rsid w:val="005A055F"/>
    <w:rsid w:val="005A0581"/>
    <w:rsid w:val="005A0D8C"/>
    <w:rsid w:val="005A0DC5"/>
    <w:rsid w:val="005A0F1C"/>
    <w:rsid w:val="005A1B7E"/>
    <w:rsid w:val="005A1BBC"/>
    <w:rsid w:val="005A27C7"/>
    <w:rsid w:val="005A2E41"/>
    <w:rsid w:val="005A2F2D"/>
    <w:rsid w:val="005A369E"/>
    <w:rsid w:val="005A36FC"/>
    <w:rsid w:val="005A3778"/>
    <w:rsid w:val="005A42E5"/>
    <w:rsid w:val="005A4357"/>
    <w:rsid w:val="005A437D"/>
    <w:rsid w:val="005A48E2"/>
    <w:rsid w:val="005A4FAF"/>
    <w:rsid w:val="005A5364"/>
    <w:rsid w:val="005A59E3"/>
    <w:rsid w:val="005A60ED"/>
    <w:rsid w:val="005A61C8"/>
    <w:rsid w:val="005A638B"/>
    <w:rsid w:val="005A67A3"/>
    <w:rsid w:val="005A7185"/>
    <w:rsid w:val="005A75E0"/>
    <w:rsid w:val="005A7B8B"/>
    <w:rsid w:val="005A7BB5"/>
    <w:rsid w:val="005B014F"/>
    <w:rsid w:val="005B0835"/>
    <w:rsid w:val="005B0C5E"/>
    <w:rsid w:val="005B0F4F"/>
    <w:rsid w:val="005B13C4"/>
    <w:rsid w:val="005B1625"/>
    <w:rsid w:val="005B19F4"/>
    <w:rsid w:val="005B24BB"/>
    <w:rsid w:val="005B26DA"/>
    <w:rsid w:val="005B26FC"/>
    <w:rsid w:val="005B2A91"/>
    <w:rsid w:val="005B2DD8"/>
    <w:rsid w:val="005B3048"/>
    <w:rsid w:val="005B339D"/>
    <w:rsid w:val="005B3AAD"/>
    <w:rsid w:val="005B41B0"/>
    <w:rsid w:val="005B456B"/>
    <w:rsid w:val="005B5054"/>
    <w:rsid w:val="005B53CD"/>
    <w:rsid w:val="005B577C"/>
    <w:rsid w:val="005B5D00"/>
    <w:rsid w:val="005B6302"/>
    <w:rsid w:val="005B6D9B"/>
    <w:rsid w:val="005B75B1"/>
    <w:rsid w:val="005B75F1"/>
    <w:rsid w:val="005B7800"/>
    <w:rsid w:val="005B7DE7"/>
    <w:rsid w:val="005B7E86"/>
    <w:rsid w:val="005C1159"/>
    <w:rsid w:val="005C176F"/>
    <w:rsid w:val="005C1C34"/>
    <w:rsid w:val="005C2268"/>
    <w:rsid w:val="005C22D9"/>
    <w:rsid w:val="005C2464"/>
    <w:rsid w:val="005C25C0"/>
    <w:rsid w:val="005C2C34"/>
    <w:rsid w:val="005C3422"/>
    <w:rsid w:val="005C3774"/>
    <w:rsid w:val="005C3A07"/>
    <w:rsid w:val="005C4409"/>
    <w:rsid w:val="005C4D24"/>
    <w:rsid w:val="005C5354"/>
    <w:rsid w:val="005C55E7"/>
    <w:rsid w:val="005C565E"/>
    <w:rsid w:val="005C5F81"/>
    <w:rsid w:val="005C67EC"/>
    <w:rsid w:val="005C69DB"/>
    <w:rsid w:val="005C6AF1"/>
    <w:rsid w:val="005C6DF2"/>
    <w:rsid w:val="005C70F1"/>
    <w:rsid w:val="005C79BC"/>
    <w:rsid w:val="005D048F"/>
    <w:rsid w:val="005D0A54"/>
    <w:rsid w:val="005D0DE8"/>
    <w:rsid w:val="005D15E3"/>
    <w:rsid w:val="005D1727"/>
    <w:rsid w:val="005D263E"/>
    <w:rsid w:val="005D2977"/>
    <w:rsid w:val="005D2DD5"/>
    <w:rsid w:val="005D2EB2"/>
    <w:rsid w:val="005D31E7"/>
    <w:rsid w:val="005D3254"/>
    <w:rsid w:val="005D326E"/>
    <w:rsid w:val="005D4722"/>
    <w:rsid w:val="005D5BCD"/>
    <w:rsid w:val="005D63FE"/>
    <w:rsid w:val="005D6DB4"/>
    <w:rsid w:val="005D6F33"/>
    <w:rsid w:val="005D70A9"/>
    <w:rsid w:val="005E0DB2"/>
    <w:rsid w:val="005E11E5"/>
    <w:rsid w:val="005E134D"/>
    <w:rsid w:val="005E15CC"/>
    <w:rsid w:val="005E18A7"/>
    <w:rsid w:val="005E21E5"/>
    <w:rsid w:val="005E22D4"/>
    <w:rsid w:val="005E2A84"/>
    <w:rsid w:val="005E2F88"/>
    <w:rsid w:val="005E3795"/>
    <w:rsid w:val="005E4805"/>
    <w:rsid w:val="005E48C2"/>
    <w:rsid w:val="005E49A3"/>
    <w:rsid w:val="005E5343"/>
    <w:rsid w:val="005E57BB"/>
    <w:rsid w:val="005E6091"/>
    <w:rsid w:val="005E6193"/>
    <w:rsid w:val="005E6791"/>
    <w:rsid w:val="005E6A96"/>
    <w:rsid w:val="005E70DC"/>
    <w:rsid w:val="005E7734"/>
    <w:rsid w:val="005E77ED"/>
    <w:rsid w:val="005E7B48"/>
    <w:rsid w:val="005E7D5D"/>
    <w:rsid w:val="005E7F0F"/>
    <w:rsid w:val="005F02A2"/>
    <w:rsid w:val="005F0C70"/>
    <w:rsid w:val="005F10B0"/>
    <w:rsid w:val="005F10D9"/>
    <w:rsid w:val="005F28CD"/>
    <w:rsid w:val="005F2B1C"/>
    <w:rsid w:val="005F2C02"/>
    <w:rsid w:val="005F2CFE"/>
    <w:rsid w:val="005F3414"/>
    <w:rsid w:val="005F3424"/>
    <w:rsid w:val="005F3A0A"/>
    <w:rsid w:val="005F43FA"/>
    <w:rsid w:val="005F4C12"/>
    <w:rsid w:val="005F4CAF"/>
    <w:rsid w:val="005F5F46"/>
    <w:rsid w:val="005F6127"/>
    <w:rsid w:val="005F66E1"/>
    <w:rsid w:val="005F6B03"/>
    <w:rsid w:val="005F72CA"/>
    <w:rsid w:val="00600D4A"/>
    <w:rsid w:val="00600F05"/>
    <w:rsid w:val="00600F73"/>
    <w:rsid w:val="006011D8"/>
    <w:rsid w:val="00601B6C"/>
    <w:rsid w:val="0060260F"/>
    <w:rsid w:val="0060264B"/>
    <w:rsid w:val="006026A7"/>
    <w:rsid w:val="00602B99"/>
    <w:rsid w:val="00602D12"/>
    <w:rsid w:val="00602EA7"/>
    <w:rsid w:val="00603401"/>
    <w:rsid w:val="00603B6E"/>
    <w:rsid w:val="00604F44"/>
    <w:rsid w:val="0060548B"/>
    <w:rsid w:val="006062E4"/>
    <w:rsid w:val="00606598"/>
    <w:rsid w:val="00606750"/>
    <w:rsid w:val="00606C7F"/>
    <w:rsid w:val="00606D5C"/>
    <w:rsid w:val="006070AE"/>
    <w:rsid w:val="00610508"/>
    <w:rsid w:val="00610819"/>
    <w:rsid w:val="00610C47"/>
    <w:rsid w:val="00610D0E"/>
    <w:rsid w:val="00611797"/>
    <w:rsid w:val="00611AC6"/>
    <w:rsid w:val="00611BF9"/>
    <w:rsid w:val="00611EA1"/>
    <w:rsid w:val="0061233F"/>
    <w:rsid w:val="006126C9"/>
    <w:rsid w:val="00612945"/>
    <w:rsid w:val="0061344C"/>
    <w:rsid w:val="0061348E"/>
    <w:rsid w:val="00613D8A"/>
    <w:rsid w:val="00613F00"/>
    <w:rsid w:val="00613F19"/>
    <w:rsid w:val="006147F1"/>
    <w:rsid w:val="006149B0"/>
    <w:rsid w:val="00614EA2"/>
    <w:rsid w:val="006154B0"/>
    <w:rsid w:val="006154C5"/>
    <w:rsid w:val="00615954"/>
    <w:rsid w:val="00615A15"/>
    <w:rsid w:val="00615AAC"/>
    <w:rsid w:val="00615C28"/>
    <w:rsid w:val="0061658F"/>
    <w:rsid w:val="006168F9"/>
    <w:rsid w:val="00616A13"/>
    <w:rsid w:val="00617736"/>
    <w:rsid w:val="00620179"/>
    <w:rsid w:val="0062044A"/>
    <w:rsid w:val="00620679"/>
    <w:rsid w:val="006207E7"/>
    <w:rsid w:val="00620E77"/>
    <w:rsid w:val="00621011"/>
    <w:rsid w:val="00621394"/>
    <w:rsid w:val="0062157D"/>
    <w:rsid w:val="00621704"/>
    <w:rsid w:val="00621B08"/>
    <w:rsid w:val="00621C77"/>
    <w:rsid w:val="00622AAC"/>
    <w:rsid w:val="00622B28"/>
    <w:rsid w:val="006231BC"/>
    <w:rsid w:val="00623492"/>
    <w:rsid w:val="0062383D"/>
    <w:rsid w:val="00623BDC"/>
    <w:rsid w:val="00623E08"/>
    <w:rsid w:val="00624051"/>
    <w:rsid w:val="006241D4"/>
    <w:rsid w:val="006247FA"/>
    <w:rsid w:val="0062486E"/>
    <w:rsid w:val="00625081"/>
    <w:rsid w:val="00625AD7"/>
    <w:rsid w:val="006261CC"/>
    <w:rsid w:val="00626289"/>
    <w:rsid w:val="00626C0A"/>
    <w:rsid w:val="00627508"/>
    <w:rsid w:val="0062751D"/>
    <w:rsid w:val="00627EC6"/>
    <w:rsid w:val="0063015F"/>
    <w:rsid w:val="00630237"/>
    <w:rsid w:val="0063028F"/>
    <w:rsid w:val="0063031D"/>
    <w:rsid w:val="00630E0D"/>
    <w:rsid w:val="00631190"/>
    <w:rsid w:val="00631FA6"/>
    <w:rsid w:val="0063266E"/>
    <w:rsid w:val="00633A67"/>
    <w:rsid w:val="00633A85"/>
    <w:rsid w:val="00633B67"/>
    <w:rsid w:val="00633EB8"/>
    <w:rsid w:val="006341CE"/>
    <w:rsid w:val="00634BE3"/>
    <w:rsid w:val="00634C3A"/>
    <w:rsid w:val="00635315"/>
    <w:rsid w:val="00635601"/>
    <w:rsid w:val="006356AC"/>
    <w:rsid w:val="00635760"/>
    <w:rsid w:val="00635DE6"/>
    <w:rsid w:val="00636351"/>
    <w:rsid w:val="006363AD"/>
    <w:rsid w:val="006364A4"/>
    <w:rsid w:val="00636519"/>
    <w:rsid w:val="006365B0"/>
    <w:rsid w:val="006369BC"/>
    <w:rsid w:val="00636A43"/>
    <w:rsid w:val="006375AC"/>
    <w:rsid w:val="0063788E"/>
    <w:rsid w:val="00637C82"/>
    <w:rsid w:val="0064036C"/>
    <w:rsid w:val="00641220"/>
    <w:rsid w:val="0064142E"/>
    <w:rsid w:val="00641F87"/>
    <w:rsid w:val="00642473"/>
    <w:rsid w:val="006430A1"/>
    <w:rsid w:val="006437ED"/>
    <w:rsid w:val="00643D2A"/>
    <w:rsid w:val="006441BC"/>
    <w:rsid w:val="006445A4"/>
    <w:rsid w:val="00644DAE"/>
    <w:rsid w:val="006455BD"/>
    <w:rsid w:val="00645834"/>
    <w:rsid w:val="00645889"/>
    <w:rsid w:val="00645A44"/>
    <w:rsid w:val="00645FE5"/>
    <w:rsid w:val="006467B6"/>
    <w:rsid w:val="0064686D"/>
    <w:rsid w:val="00646EC3"/>
    <w:rsid w:val="006472A7"/>
    <w:rsid w:val="00647500"/>
    <w:rsid w:val="006479AE"/>
    <w:rsid w:val="00647CAC"/>
    <w:rsid w:val="00650435"/>
    <w:rsid w:val="00650655"/>
    <w:rsid w:val="00650850"/>
    <w:rsid w:val="00651A21"/>
    <w:rsid w:val="00651D3D"/>
    <w:rsid w:val="00651FA9"/>
    <w:rsid w:val="006522D9"/>
    <w:rsid w:val="006524F9"/>
    <w:rsid w:val="00652693"/>
    <w:rsid w:val="00652AC6"/>
    <w:rsid w:val="00653C19"/>
    <w:rsid w:val="00653FB6"/>
    <w:rsid w:val="006544AD"/>
    <w:rsid w:val="006548C4"/>
    <w:rsid w:val="00654BA0"/>
    <w:rsid w:val="00655009"/>
    <w:rsid w:val="006553B5"/>
    <w:rsid w:val="006556EF"/>
    <w:rsid w:val="00655CEB"/>
    <w:rsid w:val="00655D9F"/>
    <w:rsid w:val="00655F8F"/>
    <w:rsid w:val="00655FE1"/>
    <w:rsid w:val="00656797"/>
    <w:rsid w:val="00656838"/>
    <w:rsid w:val="00656A52"/>
    <w:rsid w:val="00656BF9"/>
    <w:rsid w:val="00656C07"/>
    <w:rsid w:val="00657033"/>
    <w:rsid w:val="006577A4"/>
    <w:rsid w:val="006579E5"/>
    <w:rsid w:val="00660037"/>
    <w:rsid w:val="006605FE"/>
    <w:rsid w:val="00660745"/>
    <w:rsid w:val="006608F6"/>
    <w:rsid w:val="00660AEA"/>
    <w:rsid w:val="0066173F"/>
    <w:rsid w:val="00661FC4"/>
    <w:rsid w:val="006621D9"/>
    <w:rsid w:val="00662A16"/>
    <w:rsid w:val="00662AFA"/>
    <w:rsid w:val="006633FF"/>
    <w:rsid w:val="00663404"/>
    <w:rsid w:val="00663E4D"/>
    <w:rsid w:val="00664232"/>
    <w:rsid w:val="0066482F"/>
    <w:rsid w:val="00664F59"/>
    <w:rsid w:val="006654F3"/>
    <w:rsid w:val="00665863"/>
    <w:rsid w:val="00665AA5"/>
    <w:rsid w:val="00665AF8"/>
    <w:rsid w:val="00665BA1"/>
    <w:rsid w:val="00665E22"/>
    <w:rsid w:val="0066643E"/>
    <w:rsid w:val="006664E8"/>
    <w:rsid w:val="006666F8"/>
    <w:rsid w:val="00666FDD"/>
    <w:rsid w:val="00667F6A"/>
    <w:rsid w:val="0067103E"/>
    <w:rsid w:val="00671C9C"/>
    <w:rsid w:val="00671CB5"/>
    <w:rsid w:val="00672380"/>
    <w:rsid w:val="00672844"/>
    <w:rsid w:val="00672CB8"/>
    <w:rsid w:val="00672DC5"/>
    <w:rsid w:val="00672EE8"/>
    <w:rsid w:val="00673AAC"/>
    <w:rsid w:val="00674457"/>
    <w:rsid w:val="00674A4A"/>
    <w:rsid w:val="00674B7B"/>
    <w:rsid w:val="00674D3D"/>
    <w:rsid w:val="006750FD"/>
    <w:rsid w:val="006751E1"/>
    <w:rsid w:val="00675669"/>
    <w:rsid w:val="006758C8"/>
    <w:rsid w:val="00675939"/>
    <w:rsid w:val="00675E00"/>
    <w:rsid w:val="00676963"/>
    <w:rsid w:val="006769CC"/>
    <w:rsid w:val="00676CDA"/>
    <w:rsid w:val="00676EE2"/>
    <w:rsid w:val="006771E7"/>
    <w:rsid w:val="006778A1"/>
    <w:rsid w:val="00677941"/>
    <w:rsid w:val="00680666"/>
    <w:rsid w:val="00680730"/>
    <w:rsid w:val="00680781"/>
    <w:rsid w:val="0068095C"/>
    <w:rsid w:val="00680D8E"/>
    <w:rsid w:val="00681246"/>
    <w:rsid w:val="00681972"/>
    <w:rsid w:val="00681C7C"/>
    <w:rsid w:val="00682261"/>
    <w:rsid w:val="006827B2"/>
    <w:rsid w:val="00682EAC"/>
    <w:rsid w:val="00682F6D"/>
    <w:rsid w:val="00683B5F"/>
    <w:rsid w:val="00684527"/>
    <w:rsid w:val="00685990"/>
    <w:rsid w:val="00686110"/>
    <w:rsid w:val="006869F1"/>
    <w:rsid w:val="00686C3D"/>
    <w:rsid w:val="00686ED6"/>
    <w:rsid w:val="006877EE"/>
    <w:rsid w:val="00687D19"/>
    <w:rsid w:val="00687FA0"/>
    <w:rsid w:val="006903DC"/>
    <w:rsid w:val="00690648"/>
    <w:rsid w:val="0069067B"/>
    <w:rsid w:val="0069094D"/>
    <w:rsid w:val="006916EA"/>
    <w:rsid w:val="006919EA"/>
    <w:rsid w:val="00691A2D"/>
    <w:rsid w:val="00691B46"/>
    <w:rsid w:val="00691C60"/>
    <w:rsid w:val="00691C99"/>
    <w:rsid w:val="00691CD2"/>
    <w:rsid w:val="0069200F"/>
    <w:rsid w:val="0069288B"/>
    <w:rsid w:val="006928BD"/>
    <w:rsid w:val="00693911"/>
    <w:rsid w:val="00693936"/>
    <w:rsid w:val="00693F31"/>
    <w:rsid w:val="0069417F"/>
    <w:rsid w:val="0069488D"/>
    <w:rsid w:val="006954C9"/>
    <w:rsid w:val="00695574"/>
    <w:rsid w:val="00695CB0"/>
    <w:rsid w:val="00695F34"/>
    <w:rsid w:val="00696A50"/>
    <w:rsid w:val="00696CD4"/>
    <w:rsid w:val="00696EC2"/>
    <w:rsid w:val="00696F56"/>
    <w:rsid w:val="00697073"/>
    <w:rsid w:val="00697757"/>
    <w:rsid w:val="00697C2D"/>
    <w:rsid w:val="00697E52"/>
    <w:rsid w:val="006A0080"/>
    <w:rsid w:val="006A00DE"/>
    <w:rsid w:val="006A157B"/>
    <w:rsid w:val="006A2909"/>
    <w:rsid w:val="006A3081"/>
    <w:rsid w:val="006A3493"/>
    <w:rsid w:val="006A4639"/>
    <w:rsid w:val="006A46D1"/>
    <w:rsid w:val="006A4B88"/>
    <w:rsid w:val="006A5399"/>
    <w:rsid w:val="006A5E6D"/>
    <w:rsid w:val="006A5F0B"/>
    <w:rsid w:val="006A5F0F"/>
    <w:rsid w:val="006A66A6"/>
    <w:rsid w:val="006A672A"/>
    <w:rsid w:val="006A6740"/>
    <w:rsid w:val="006A75E7"/>
    <w:rsid w:val="006A7ECC"/>
    <w:rsid w:val="006B068A"/>
    <w:rsid w:val="006B196C"/>
    <w:rsid w:val="006B1E88"/>
    <w:rsid w:val="006B1ED0"/>
    <w:rsid w:val="006B20FD"/>
    <w:rsid w:val="006B232D"/>
    <w:rsid w:val="006B2644"/>
    <w:rsid w:val="006B283D"/>
    <w:rsid w:val="006B2988"/>
    <w:rsid w:val="006B2DB5"/>
    <w:rsid w:val="006B2E2D"/>
    <w:rsid w:val="006B3067"/>
    <w:rsid w:val="006B33AA"/>
    <w:rsid w:val="006B3F0B"/>
    <w:rsid w:val="006B3F32"/>
    <w:rsid w:val="006B409B"/>
    <w:rsid w:val="006B433C"/>
    <w:rsid w:val="006B4A4D"/>
    <w:rsid w:val="006B5309"/>
    <w:rsid w:val="006B55A5"/>
    <w:rsid w:val="006B5B03"/>
    <w:rsid w:val="006B674B"/>
    <w:rsid w:val="006B71BC"/>
    <w:rsid w:val="006B78C9"/>
    <w:rsid w:val="006B7A55"/>
    <w:rsid w:val="006B7FE8"/>
    <w:rsid w:val="006C0569"/>
    <w:rsid w:val="006C0652"/>
    <w:rsid w:val="006C12CA"/>
    <w:rsid w:val="006C1570"/>
    <w:rsid w:val="006C1571"/>
    <w:rsid w:val="006C195A"/>
    <w:rsid w:val="006C1D1C"/>
    <w:rsid w:val="006C1D53"/>
    <w:rsid w:val="006C1E9A"/>
    <w:rsid w:val="006C1F3E"/>
    <w:rsid w:val="006C2463"/>
    <w:rsid w:val="006C277F"/>
    <w:rsid w:val="006C2F1B"/>
    <w:rsid w:val="006C3BC7"/>
    <w:rsid w:val="006C4050"/>
    <w:rsid w:val="006C4860"/>
    <w:rsid w:val="006C4DF9"/>
    <w:rsid w:val="006C5032"/>
    <w:rsid w:val="006C509D"/>
    <w:rsid w:val="006C51A6"/>
    <w:rsid w:val="006C52AE"/>
    <w:rsid w:val="006C55B8"/>
    <w:rsid w:val="006C56B2"/>
    <w:rsid w:val="006C5B55"/>
    <w:rsid w:val="006C62A4"/>
    <w:rsid w:val="006C6555"/>
    <w:rsid w:val="006C6BF6"/>
    <w:rsid w:val="006C70A3"/>
    <w:rsid w:val="006C7129"/>
    <w:rsid w:val="006C7658"/>
    <w:rsid w:val="006C77B5"/>
    <w:rsid w:val="006C7814"/>
    <w:rsid w:val="006C7829"/>
    <w:rsid w:val="006D0731"/>
    <w:rsid w:val="006D07AB"/>
    <w:rsid w:val="006D0EA6"/>
    <w:rsid w:val="006D16C4"/>
    <w:rsid w:val="006D1C4D"/>
    <w:rsid w:val="006D22E4"/>
    <w:rsid w:val="006D282E"/>
    <w:rsid w:val="006D2B9B"/>
    <w:rsid w:val="006D2CD7"/>
    <w:rsid w:val="006D3A8F"/>
    <w:rsid w:val="006D3EB1"/>
    <w:rsid w:val="006D43B6"/>
    <w:rsid w:val="006D464F"/>
    <w:rsid w:val="006D4692"/>
    <w:rsid w:val="006D4A17"/>
    <w:rsid w:val="006D4AAA"/>
    <w:rsid w:val="006D4CF5"/>
    <w:rsid w:val="006D4ED9"/>
    <w:rsid w:val="006D5205"/>
    <w:rsid w:val="006D52E0"/>
    <w:rsid w:val="006D543A"/>
    <w:rsid w:val="006D6161"/>
    <w:rsid w:val="006D6297"/>
    <w:rsid w:val="006D73CF"/>
    <w:rsid w:val="006E03E0"/>
    <w:rsid w:val="006E0520"/>
    <w:rsid w:val="006E057B"/>
    <w:rsid w:val="006E09DE"/>
    <w:rsid w:val="006E0B08"/>
    <w:rsid w:val="006E0B65"/>
    <w:rsid w:val="006E0BBC"/>
    <w:rsid w:val="006E204C"/>
    <w:rsid w:val="006E2187"/>
    <w:rsid w:val="006E254D"/>
    <w:rsid w:val="006E2688"/>
    <w:rsid w:val="006E2853"/>
    <w:rsid w:val="006E3940"/>
    <w:rsid w:val="006E413D"/>
    <w:rsid w:val="006E541E"/>
    <w:rsid w:val="006E5E57"/>
    <w:rsid w:val="006E5ED1"/>
    <w:rsid w:val="006E6769"/>
    <w:rsid w:val="006E7470"/>
    <w:rsid w:val="006E7649"/>
    <w:rsid w:val="006E7796"/>
    <w:rsid w:val="006E7A11"/>
    <w:rsid w:val="006E7FE5"/>
    <w:rsid w:val="006F0054"/>
    <w:rsid w:val="006F00D6"/>
    <w:rsid w:val="006F0D55"/>
    <w:rsid w:val="006F162E"/>
    <w:rsid w:val="006F1A4A"/>
    <w:rsid w:val="006F1CCA"/>
    <w:rsid w:val="006F1FCB"/>
    <w:rsid w:val="006F203D"/>
    <w:rsid w:val="006F2873"/>
    <w:rsid w:val="006F291A"/>
    <w:rsid w:val="006F339D"/>
    <w:rsid w:val="006F3C6B"/>
    <w:rsid w:val="006F3F64"/>
    <w:rsid w:val="006F425D"/>
    <w:rsid w:val="006F430F"/>
    <w:rsid w:val="006F436D"/>
    <w:rsid w:val="006F4AAA"/>
    <w:rsid w:val="006F4BF4"/>
    <w:rsid w:val="006F4C9A"/>
    <w:rsid w:val="006F5B3C"/>
    <w:rsid w:val="006F5C64"/>
    <w:rsid w:val="006F5D1F"/>
    <w:rsid w:val="006F5DD8"/>
    <w:rsid w:val="006F5F25"/>
    <w:rsid w:val="006F6314"/>
    <w:rsid w:val="006F6330"/>
    <w:rsid w:val="006F661B"/>
    <w:rsid w:val="006F66CB"/>
    <w:rsid w:val="006F68B2"/>
    <w:rsid w:val="006F6ACC"/>
    <w:rsid w:val="006F7237"/>
    <w:rsid w:val="006F79DE"/>
    <w:rsid w:val="007001A4"/>
    <w:rsid w:val="007004B3"/>
    <w:rsid w:val="0070095A"/>
    <w:rsid w:val="00701415"/>
    <w:rsid w:val="007015F3"/>
    <w:rsid w:val="0070160B"/>
    <w:rsid w:val="00702196"/>
    <w:rsid w:val="0070272E"/>
    <w:rsid w:val="0070338E"/>
    <w:rsid w:val="0070362A"/>
    <w:rsid w:val="00703F27"/>
    <w:rsid w:val="00704327"/>
    <w:rsid w:val="007048E0"/>
    <w:rsid w:val="00704C99"/>
    <w:rsid w:val="00704FBC"/>
    <w:rsid w:val="0070523F"/>
    <w:rsid w:val="00705CD4"/>
    <w:rsid w:val="00705E97"/>
    <w:rsid w:val="007066C0"/>
    <w:rsid w:val="00706B82"/>
    <w:rsid w:val="00706C93"/>
    <w:rsid w:val="007079B5"/>
    <w:rsid w:val="007101E2"/>
    <w:rsid w:val="00712D95"/>
    <w:rsid w:val="00712DA4"/>
    <w:rsid w:val="00712DE8"/>
    <w:rsid w:val="00714195"/>
    <w:rsid w:val="00714446"/>
    <w:rsid w:val="007144E7"/>
    <w:rsid w:val="00714545"/>
    <w:rsid w:val="00714656"/>
    <w:rsid w:val="007151C4"/>
    <w:rsid w:val="0071549B"/>
    <w:rsid w:val="00715926"/>
    <w:rsid w:val="00715C42"/>
    <w:rsid w:val="007168C5"/>
    <w:rsid w:val="00716930"/>
    <w:rsid w:val="00716AD1"/>
    <w:rsid w:val="00716BFD"/>
    <w:rsid w:val="007204CD"/>
    <w:rsid w:val="00721365"/>
    <w:rsid w:val="00721780"/>
    <w:rsid w:val="00721C4D"/>
    <w:rsid w:val="00721EFB"/>
    <w:rsid w:val="00722096"/>
    <w:rsid w:val="00722113"/>
    <w:rsid w:val="00722FF9"/>
    <w:rsid w:val="0072349A"/>
    <w:rsid w:val="007238C5"/>
    <w:rsid w:val="00723DE8"/>
    <w:rsid w:val="00724011"/>
    <w:rsid w:val="00724CD0"/>
    <w:rsid w:val="007262FD"/>
    <w:rsid w:val="00726524"/>
    <w:rsid w:val="00726C5F"/>
    <w:rsid w:val="0072727F"/>
    <w:rsid w:val="007272BA"/>
    <w:rsid w:val="00727A32"/>
    <w:rsid w:val="00727A7B"/>
    <w:rsid w:val="00727C8C"/>
    <w:rsid w:val="007301ED"/>
    <w:rsid w:val="00730275"/>
    <w:rsid w:val="0073045E"/>
    <w:rsid w:val="007319EF"/>
    <w:rsid w:val="00731AB8"/>
    <w:rsid w:val="00731ADB"/>
    <w:rsid w:val="00731C0F"/>
    <w:rsid w:val="00731EE0"/>
    <w:rsid w:val="0073208C"/>
    <w:rsid w:val="00732BD9"/>
    <w:rsid w:val="00732DCB"/>
    <w:rsid w:val="00732FD0"/>
    <w:rsid w:val="00734153"/>
    <w:rsid w:val="00734227"/>
    <w:rsid w:val="00734315"/>
    <w:rsid w:val="00734C12"/>
    <w:rsid w:val="00734D48"/>
    <w:rsid w:val="0073561D"/>
    <w:rsid w:val="00735F9B"/>
    <w:rsid w:val="0073618C"/>
    <w:rsid w:val="00736541"/>
    <w:rsid w:val="00736A00"/>
    <w:rsid w:val="00736D07"/>
    <w:rsid w:val="00736D92"/>
    <w:rsid w:val="00736D9C"/>
    <w:rsid w:val="00737603"/>
    <w:rsid w:val="0073795E"/>
    <w:rsid w:val="00737A52"/>
    <w:rsid w:val="00737B04"/>
    <w:rsid w:val="00740331"/>
    <w:rsid w:val="007403BA"/>
    <w:rsid w:val="007407FE"/>
    <w:rsid w:val="00740BA0"/>
    <w:rsid w:val="00741411"/>
    <w:rsid w:val="007417B8"/>
    <w:rsid w:val="00741B30"/>
    <w:rsid w:val="00741DE4"/>
    <w:rsid w:val="00742446"/>
    <w:rsid w:val="00742448"/>
    <w:rsid w:val="007426AD"/>
    <w:rsid w:val="00742744"/>
    <w:rsid w:val="00742A63"/>
    <w:rsid w:val="00742E56"/>
    <w:rsid w:val="00743974"/>
    <w:rsid w:val="00743B7E"/>
    <w:rsid w:val="00743C44"/>
    <w:rsid w:val="007452A9"/>
    <w:rsid w:val="00745372"/>
    <w:rsid w:val="007454C7"/>
    <w:rsid w:val="00745D74"/>
    <w:rsid w:val="00746318"/>
    <w:rsid w:val="007464EC"/>
    <w:rsid w:val="00746E30"/>
    <w:rsid w:val="00746F20"/>
    <w:rsid w:val="0074712A"/>
    <w:rsid w:val="00747859"/>
    <w:rsid w:val="0074798A"/>
    <w:rsid w:val="00747993"/>
    <w:rsid w:val="00747BFA"/>
    <w:rsid w:val="00750001"/>
    <w:rsid w:val="0075018D"/>
    <w:rsid w:val="0075057E"/>
    <w:rsid w:val="0075182C"/>
    <w:rsid w:val="00752CDF"/>
    <w:rsid w:val="0075393A"/>
    <w:rsid w:val="00753AE9"/>
    <w:rsid w:val="00754160"/>
    <w:rsid w:val="00754BDB"/>
    <w:rsid w:val="00754D61"/>
    <w:rsid w:val="00755DAE"/>
    <w:rsid w:val="007560D2"/>
    <w:rsid w:val="007560EA"/>
    <w:rsid w:val="00756399"/>
    <w:rsid w:val="00756B83"/>
    <w:rsid w:val="0075723E"/>
    <w:rsid w:val="007574DF"/>
    <w:rsid w:val="00757715"/>
    <w:rsid w:val="007579A5"/>
    <w:rsid w:val="00757B75"/>
    <w:rsid w:val="00760129"/>
    <w:rsid w:val="00760FF9"/>
    <w:rsid w:val="007613FA"/>
    <w:rsid w:val="0076143C"/>
    <w:rsid w:val="007614BC"/>
    <w:rsid w:val="007618FF"/>
    <w:rsid w:val="00762BF9"/>
    <w:rsid w:val="00763175"/>
    <w:rsid w:val="0076345B"/>
    <w:rsid w:val="0076375C"/>
    <w:rsid w:val="00763844"/>
    <w:rsid w:val="007639E8"/>
    <w:rsid w:val="00763D07"/>
    <w:rsid w:val="007649F1"/>
    <w:rsid w:val="00765480"/>
    <w:rsid w:val="0076560E"/>
    <w:rsid w:val="00765B6D"/>
    <w:rsid w:val="00765F4D"/>
    <w:rsid w:val="00766009"/>
    <w:rsid w:val="0076629E"/>
    <w:rsid w:val="00766A68"/>
    <w:rsid w:val="00767073"/>
    <w:rsid w:val="007679FB"/>
    <w:rsid w:val="00767DB3"/>
    <w:rsid w:val="0077065F"/>
    <w:rsid w:val="00771A79"/>
    <w:rsid w:val="00771D3A"/>
    <w:rsid w:val="00772117"/>
    <w:rsid w:val="00772D42"/>
    <w:rsid w:val="0077310B"/>
    <w:rsid w:val="00773622"/>
    <w:rsid w:val="007736FB"/>
    <w:rsid w:val="0077380E"/>
    <w:rsid w:val="00773928"/>
    <w:rsid w:val="0077395F"/>
    <w:rsid w:val="00773B38"/>
    <w:rsid w:val="007742A5"/>
    <w:rsid w:val="00774F61"/>
    <w:rsid w:val="00775C64"/>
    <w:rsid w:val="00775E13"/>
    <w:rsid w:val="0077655E"/>
    <w:rsid w:val="00776B44"/>
    <w:rsid w:val="00776F06"/>
    <w:rsid w:val="00777568"/>
    <w:rsid w:val="007775CA"/>
    <w:rsid w:val="007777E0"/>
    <w:rsid w:val="00777EE7"/>
    <w:rsid w:val="007817C9"/>
    <w:rsid w:val="00781A66"/>
    <w:rsid w:val="00781B73"/>
    <w:rsid w:val="00782872"/>
    <w:rsid w:val="00782EDA"/>
    <w:rsid w:val="00782F0E"/>
    <w:rsid w:val="007830FB"/>
    <w:rsid w:val="00783624"/>
    <w:rsid w:val="00783798"/>
    <w:rsid w:val="00783DCA"/>
    <w:rsid w:val="00784004"/>
    <w:rsid w:val="007843B6"/>
    <w:rsid w:val="00784433"/>
    <w:rsid w:val="00784603"/>
    <w:rsid w:val="00784662"/>
    <w:rsid w:val="00784A15"/>
    <w:rsid w:val="00784D57"/>
    <w:rsid w:val="00784DB6"/>
    <w:rsid w:val="00785341"/>
    <w:rsid w:val="00785D7F"/>
    <w:rsid w:val="00786DDA"/>
    <w:rsid w:val="00786E12"/>
    <w:rsid w:val="0078711C"/>
    <w:rsid w:val="0078744B"/>
    <w:rsid w:val="00787822"/>
    <w:rsid w:val="00787CCC"/>
    <w:rsid w:val="00787D5B"/>
    <w:rsid w:val="00787F50"/>
    <w:rsid w:val="00790064"/>
    <w:rsid w:val="00791250"/>
    <w:rsid w:val="0079149D"/>
    <w:rsid w:val="00791B3D"/>
    <w:rsid w:val="00793043"/>
    <w:rsid w:val="00793D39"/>
    <w:rsid w:val="00793E60"/>
    <w:rsid w:val="00793F00"/>
    <w:rsid w:val="0079413F"/>
    <w:rsid w:val="007942B9"/>
    <w:rsid w:val="007947EB"/>
    <w:rsid w:val="00794E47"/>
    <w:rsid w:val="00794F01"/>
    <w:rsid w:val="00795364"/>
    <w:rsid w:val="007965AB"/>
    <w:rsid w:val="00796CBB"/>
    <w:rsid w:val="00796D1A"/>
    <w:rsid w:val="00796EB4"/>
    <w:rsid w:val="00797097"/>
    <w:rsid w:val="00797172"/>
    <w:rsid w:val="00797933"/>
    <w:rsid w:val="007A0384"/>
    <w:rsid w:val="007A03B0"/>
    <w:rsid w:val="007A0412"/>
    <w:rsid w:val="007A0BF8"/>
    <w:rsid w:val="007A1865"/>
    <w:rsid w:val="007A188E"/>
    <w:rsid w:val="007A2058"/>
    <w:rsid w:val="007A2529"/>
    <w:rsid w:val="007A2675"/>
    <w:rsid w:val="007A3D9B"/>
    <w:rsid w:val="007A45EB"/>
    <w:rsid w:val="007A483B"/>
    <w:rsid w:val="007A4AF0"/>
    <w:rsid w:val="007A4B04"/>
    <w:rsid w:val="007A4D03"/>
    <w:rsid w:val="007A4D32"/>
    <w:rsid w:val="007A4D64"/>
    <w:rsid w:val="007A5870"/>
    <w:rsid w:val="007A591E"/>
    <w:rsid w:val="007A6000"/>
    <w:rsid w:val="007A6216"/>
    <w:rsid w:val="007A63BB"/>
    <w:rsid w:val="007A67D7"/>
    <w:rsid w:val="007A6C37"/>
    <w:rsid w:val="007A70C1"/>
    <w:rsid w:val="007A75E2"/>
    <w:rsid w:val="007A7641"/>
    <w:rsid w:val="007A7AD4"/>
    <w:rsid w:val="007A7BF8"/>
    <w:rsid w:val="007A7D1E"/>
    <w:rsid w:val="007A7DC3"/>
    <w:rsid w:val="007B0176"/>
    <w:rsid w:val="007B0BA3"/>
    <w:rsid w:val="007B0EF4"/>
    <w:rsid w:val="007B19FD"/>
    <w:rsid w:val="007B1AD7"/>
    <w:rsid w:val="007B1CC5"/>
    <w:rsid w:val="007B1DE4"/>
    <w:rsid w:val="007B2261"/>
    <w:rsid w:val="007B2926"/>
    <w:rsid w:val="007B2CE1"/>
    <w:rsid w:val="007B2F5C"/>
    <w:rsid w:val="007B32D8"/>
    <w:rsid w:val="007B3303"/>
    <w:rsid w:val="007B356E"/>
    <w:rsid w:val="007B36D6"/>
    <w:rsid w:val="007B37A9"/>
    <w:rsid w:val="007B3836"/>
    <w:rsid w:val="007B38C1"/>
    <w:rsid w:val="007B4D7D"/>
    <w:rsid w:val="007B5271"/>
    <w:rsid w:val="007B53EE"/>
    <w:rsid w:val="007B59D2"/>
    <w:rsid w:val="007B618C"/>
    <w:rsid w:val="007B65B7"/>
    <w:rsid w:val="007B6638"/>
    <w:rsid w:val="007B6F35"/>
    <w:rsid w:val="007B7169"/>
    <w:rsid w:val="007B772A"/>
    <w:rsid w:val="007B7F28"/>
    <w:rsid w:val="007B7F8D"/>
    <w:rsid w:val="007C09C4"/>
    <w:rsid w:val="007C0E78"/>
    <w:rsid w:val="007C139E"/>
    <w:rsid w:val="007C1BF3"/>
    <w:rsid w:val="007C2708"/>
    <w:rsid w:val="007C2B56"/>
    <w:rsid w:val="007C3481"/>
    <w:rsid w:val="007C3CB5"/>
    <w:rsid w:val="007C4271"/>
    <w:rsid w:val="007C465B"/>
    <w:rsid w:val="007C47B9"/>
    <w:rsid w:val="007C48CB"/>
    <w:rsid w:val="007C49A1"/>
    <w:rsid w:val="007C4A89"/>
    <w:rsid w:val="007C501D"/>
    <w:rsid w:val="007C5426"/>
    <w:rsid w:val="007C560E"/>
    <w:rsid w:val="007C5726"/>
    <w:rsid w:val="007C5BDB"/>
    <w:rsid w:val="007C60AC"/>
    <w:rsid w:val="007C63EE"/>
    <w:rsid w:val="007C678A"/>
    <w:rsid w:val="007C68A8"/>
    <w:rsid w:val="007C71A8"/>
    <w:rsid w:val="007C7907"/>
    <w:rsid w:val="007C7BF0"/>
    <w:rsid w:val="007C7D01"/>
    <w:rsid w:val="007C7DAE"/>
    <w:rsid w:val="007C7F1D"/>
    <w:rsid w:val="007D0848"/>
    <w:rsid w:val="007D096A"/>
    <w:rsid w:val="007D1143"/>
    <w:rsid w:val="007D1399"/>
    <w:rsid w:val="007D2721"/>
    <w:rsid w:val="007D32E0"/>
    <w:rsid w:val="007D33B3"/>
    <w:rsid w:val="007D3AB7"/>
    <w:rsid w:val="007D3EEC"/>
    <w:rsid w:val="007D43E1"/>
    <w:rsid w:val="007D4646"/>
    <w:rsid w:val="007D4832"/>
    <w:rsid w:val="007D597E"/>
    <w:rsid w:val="007D5CC1"/>
    <w:rsid w:val="007D5FEA"/>
    <w:rsid w:val="007D61DC"/>
    <w:rsid w:val="007D6827"/>
    <w:rsid w:val="007D6918"/>
    <w:rsid w:val="007D6C66"/>
    <w:rsid w:val="007D6D57"/>
    <w:rsid w:val="007D7BF4"/>
    <w:rsid w:val="007D7C07"/>
    <w:rsid w:val="007E0B87"/>
    <w:rsid w:val="007E0B8A"/>
    <w:rsid w:val="007E10D1"/>
    <w:rsid w:val="007E1569"/>
    <w:rsid w:val="007E1F2C"/>
    <w:rsid w:val="007E1F74"/>
    <w:rsid w:val="007E2015"/>
    <w:rsid w:val="007E21BC"/>
    <w:rsid w:val="007E228F"/>
    <w:rsid w:val="007E2ADB"/>
    <w:rsid w:val="007E4161"/>
    <w:rsid w:val="007E43E9"/>
    <w:rsid w:val="007E4581"/>
    <w:rsid w:val="007E469B"/>
    <w:rsid w:val="007E5558"/>
    <w:rsid w:val="007E56A8"/>
    <w:rsid w:val="007E5747"/>
    <w:rsid w:val="007E5FFE"/>
    <w:rsid w:val="007E623B"/>
    <w:rsid w:val="007E6637"/>
    <w:rsid w:val="007E68BC"/>
    <w:rsid w:val="007E6C15"/>
    <w:rsid w:val="007E7067"/>
    <w:rsid w:val="007E7685"/>
    <w:rsid w:val="007E7860"/>
    <w:rsid w:val="007E7E1F"/>
    <w:rsid w:val="007E7FB8"/>
    <w:rsid w:val="007F040C"/>
    <w:rsid w:val="007F0623"/>
    <w:rsid w:val="007F0CAA"/>
    <w:rsid w:val="007F1153"/>
    <w:rsid w:val="007F1855"/>
    <w:rsid w:val="007F2ABC"/>
    <w:rsid w:val="007F2BB4"/>
    <w:rsid w:val="007F3BFC"/>
    <w:rsid w:val="007F3F7B"/>
    <w:rsid w:val="007F4057"/>
    <w:rsid w:val="007F4376"/>
    <w:rsid w:val="007F55E5"/>
    <w:rsid w:val="007F562C"/>
    <w:rsid w:val="007F56FA"/>
    <w:rsid w:val="007F5A55"/>
    <w:rsid w:val="007F6273"/>
    <w:rsid w:val="007F670D"/>
    <w:rsid w:val="007F6DE6"/>
    <w:rsid w:val="007F6EB8"/>
    <w:rsid w:val="007F779E"/>
    <w:rsid w:val="007F7915"/>
    <w:rsid w:val="007F7DF6"/>
    <w:rsid w:val="008001AF"/>
    <w:rsid w:val="008008F4"/>
    <w:rsid w:val="0080097A"/>
    <w:rsid w:val="00800BF0"/>
    <w:rsid w:val="00800FBC"/>
    <w:rsid w:val="0080117F"/>
    <w:rsid w:val="00801198"/>
    <w:rsid w:val="008014DA"/>
    <w:rsid w:val="00801704"/>
    <w:rsid w:val="008022AB"/>
    <w:rsid w:val="008023CA"/>
    <w:rsid w:val="00802C60"/>
    <w:rsid w:val="00802CA7"/>
    <w:rsid w:val="00802CFF"/>
    <w:rsid w:val="00802FB6"/>
    <w:rsid w:val="00803133"/>
    <w:rsid w:val="008045EC"/>
    <w:rsid w:val="008046BC"/>
    <w:rsid w:val="008046CF"/>
    <w:rsid w:val="008047DF"/>
    <w:rsid w:val="00804AC3"/>
    <w:rsid w:val="0080586E"/>
    <w:rsid w:val="00805957"/>
    <w:rsid w:val="00805AFE"/>
    <w:rsid w:val="00805D8C"/>
    <w:rsid w:val="00805F88"/>
    <w:rsid w:val="00806228"/>
    <w:rsid w:val="008063F2"/>
    <w:rsid w:val="00806FBE"/>
    <w:rsid w:val="00806FC9"/>
    <w:rsid w:val="00807061"/>
    <w:rsid w:val="008075BB"/>
    <w:rsid w:val="00807885"/>
    <w:rsid w:val="008079AE"/>
    <w:rsid w:val="0081000C"/>
    <w:rsid w:val="00810429"/>
    <w:rsid w:val="00810DBB"/>
    <w:rsid w:val="00810DE9"/>
    <w:rsid w:val="0081120B"/>
    <w:rsid w:val="0081145D"/>
    <w:rsid w:val="00811C34"/>
    <w:rsid w:val="00811D2D"/>
    <w:rsid w:val="00811F0B"/>
    <w:rsid w:val="008120AD"/>
    <w:rsid w:val="00812176"/>
    <w:rsid w:val="008122E6"/>
    <w:rsid w:val="00812441"/>
    <w:rsid w:val="00812482"/>
    <w:rsid w:val="00812A5D"/>
    <w:rsid w:val="00813545"/>
    <w:rsid w:val="00813B26"/>
    <w:rsid w:val="00813C77"/>
    <w:rsid w:val="00813C9C"/>
    <w:rsid w:val="00813CFC"/>
    <w:rsid w:val="008144C2"/>
    <w:rsid w:val="00814586"/>
    <w:rsid w:val="008147E5"/>
    <w:rsid w:val="00814B03"/>
    <w:rsid w:val="00815351"/>
    <w:rsid w:val="008155D2"/>
    <w:rsid w:val="00815C97"/>
    <w:rsid w:val="00815CF7"/>
    <w:rsid w:val="00816079"/>
    <w:rsid w:val="00816875"/>
    <w:rsid w:val="00816D7D"/>
    <w:rsid w:val="00816E1A"/>
    <w:rsid w:val="0081777A"/>
    <w:rsid w:val="00817C38"/>
    <w:rsid w:val="00817D07"/>
    <w:rsid w:val="00817D62"/>
    <w:rsid w:val="00817F86"/>
    <w:rsid w:val="00820A4C"/>
    <w:rsid w:val="00820BAA"/>
    <w:rsid w:val="00820C04"/>
    <w:rsid w:val="008210DE"/>
    <w:rsid w:val="008216F9"/>
    <w:rsid w:val="0082182A"/>
    <w:rsid w:val="00821A20"/>
    <w:rsid w:val="00821F66"/>
    <w:rsid w:val="00822EEB"/>
    <w:rsid w:val="00822FCB"/>
    <w:rsid w:val="008232E8"/>
    <w:rsid w:val="00823408"/>
    <w:rsid w:val="00823ADE"/>
    <w:rsid w:val="00823F2E"/>
    <w:rsid w:val="008244A1"/>
    <w:rsid w:val="00824B6E"/>
    <w:rsid w:val="00825224"/>
    <w:rsid w:val="008262FD"/>
    <w:rsid w:val="00826623"/>
    <w:rsid w:val="00826FC4"/>
    <w:rsid w:val="0082769E"/>
    <w:rsid w:val="00827DD3"/>
    <w:rsid w:val="00827EAF"/>
    <w:rsid w:val="0083033C"/>
    <w:rsid w:val="00830763"/>
    <w:rsid w:val="008310CC"/>
    <w:rsid w:val="008316AC"/>
    <w:rsid w:val="0083177A"/>
    <w:rsid w:val="00831E23"/>
    <w:rsid w:val="00832376"/>
    <w:rsid w:val="00832542"/>
    <w:rsid w:val="0083346D"/>
    <w:rsid w:val="008337BA"/>
    <w:rsid w:val="00833919"/>
    <w:rsid w:val="00833E60"/>
    <w:rsid w:val="00833F82"/>
    <w:rsid w:val="00834473"/>
    <w:rsid w:val="00834C13"/>
    <w:rsid w:val="00834CE1"/>
    <w:rsid w:val="0083551D"/>
    <w:rsid w:val="008358FF"/>
    <w:rsid w:val="0083595B"/>
    <w:rsid w:val="008359DF"/>
    <w:rsid w:val="00835D82"/>
    <w:rsid w:val="00835F34"/>
    <w:rsid w:val="00836235"/>
    <w:rsid w:val="00836800"/>
    <w:rsid w:val="00840167"/>
    <w:rsid w:val="008405FF"/>
    <w:rsid w:val="00840AD3"/>
    <w:rsid w:val="00840EB0"/>
    <w:rsid w:val="00841B4C"/>
    <w:rsid w:val="00841BA8"/>
    <w:rsid w:val="008422B5"/>
    <w:rsid w:val="008424DF"/>
    <w:rsid w:val="0084287B"/>
    <w:rsid w:val="00842B1E"/>
    <w:rsid w:val="00842F48"/>
    <w:rsid w:val="0084329F"/>
    <w:rsid w:val="00843A60"/>
    <w:rsid w:val="00843C8D"/>
    <w:rsid w:val="00843E77"/>
    <w:rsid w:val="00844294"/>
    <w:rsid w:val="0084442B"/>
    <w:rsid w:val="00844AAF"/>
    <w:rsid w:val="0084544B"/>
    <w:rsid w:val="0084636D"/>
    <w:rsid w:val="00846574"/>
    <w:rsid w:val="00846BCA"/>
    <w:rsid w:val="00846DB2"/>
    <w:rsid w:val="00847489"/>
    <w:rsid w:val="00847641"/>
    <w:rsid w:val="00847CAF"/>
    <w:rsid w:val="00851101"/>
    <w:rsid w:val="008524A7"/>
    <w:rsid w:val="008525C1"/>
    <w:rsid w:val="0085292C"/>
    <w:rsid w:val="00853739"/>
    <w:rsid w:val="00854886"/>
    <w:rsid w:val="00854969"/>
    <w:rsid w:val="00854CA4"/>
    <w:rsid w:val="00854CCF"/>
    <w:rsid w:val="00854D80"/>
    <w:rsid w:val="008550EF"/>
    <w:rsid w:val="00855756"/>
    <w:rsid w:val="0085633E"/>
    <w:rsid w:val="0085671B"/>
    <w:rsid w:val="00856881"/>
    <w:rsid w:val="0085688B"/>
    <w:rsid w:val="008569CF"/>
    <w:rsid w:val="00856FD4"/>
    <w:rsid w:val="008571AB"/>
    <w:rsid w:val="008573B9"/>
    <w:rsid w:val="008573F3"/>
    <w:rsid w:val="0085749A"/>
    <w:rsid w:val="0085757D"/>
    <w:rsid w:val="008575D8"/>
    <w:rsid w:val="0085765D"/>
    <w:rsid w:val="00857879"/>
    <w:rsid w:val="00857ED5"/>
    <w:rsid w:val="0086034C"/>
    <w:rsid w:val="008603D0"/>
    <w:rsid w:val="00860911"/>
    <w:rsid w:val="00860B31"/>
    <w:rsid w:val="00860E9D"/>
    <w:rsid w:val="00861456"/>
    <w:rsid w:val="008618C2"/>
    <w:rsid w:val="00861A51"/>
    <w:rsid w:val="008621D2"/>
    <w:rsid w:val="00862B8F"/>
    <w:rsid w:val="00862CC6"/>
    <w:rsid w:val="00862E17"/>
    <w:rsid w:val="00863BBA"/>
    <w:rsid w:val="00863E11"/>
    <w:rsid w:val="00864061"/>
    <w:rsid w:val="008644F8"/>
    <w:rsid w:val="008649D4"/>
    <w:rsid w:val="00864BFE"/>
    <w:rsid w:val="00864C75"/>
    <w:rsid w:val="008655BA"/>
    <w:rsid w:val="008656A8"/>
    <w:rsid w:val="008656B6"/>
    <w:rsid w:val="00865949"/>
    <w:rsid w:val="00865DAF"/>
    <w:rsid w:val="008669A6"/>
    <w:rsid w:val="00866CAB"/>
    <w:rsid w:val="00866E75"/>
    <w:rsid w:val="00870A75"/>
    <w:rsid w:val="008719C9"/>
    <w:rsid w:val="00872040"/>
    <w:rsid w:val="0087255F"/>
    <w:rsid w:val="008725F5"/>
    <w:rsid w:val="00872A69"/>
    <w:rsid w:val="0087317E"/>
    <w:rsid w:val="00873935"/>
    <w:rsid w:val="00873D72"/>
    <w:rsid w:val="008740F9"/>
    <w:rsid w:val="0087426B"/>
    <w:rsid w:val="008742B6"/>
    <w:rsid w:val="008742BD"/>
    <w:rsid w:val="00874535"/>
    <w:rsid w:val="008745EF"/>
    <w:rsid w:val="00874A27"/>
    <w:rsid w:val="008750E1"/>
    <w:rsid w:val="00875E91"/>
    <w:rsid w:val="008767A3"/>
    <w:rsid w:val="00877B51"/>
    <w:rsid w:val="00877B69"/>
    <w:rsid w:val="00877B93"/>
    <w:rsid w:val="00877BFD"/>
    <w:rsid w:val="00880A77"/>
    <w:rsid w:val="00881283"/>
    <w:rsid w:val="00881675"/>
    <w:rsid w:val="00881BE7"/>
    <w:rsid w:val="00881E32"/>
    <w:rsid w:val="008826F5"/>
    <w:rsid w:val="008830CF"/>
    <w:rsid w:val="00883F5D"/>
    <w:rsid w:val="00884160"/>
    <w:rsid w:val="00884B05"/>
    <w:rsid w:val="008850F6"/>
    <w:rsid w:val="00885C66"/>
    <w:rsid w:val="00885D0E"/>
    <w:rsid w:val="00886186"/>
    <w:rsid w:val="0088716D"/>
    <w:rsid w:val="0088790D"/>
    <w:rsid w:val="00887A47"/>
    <w:rsid w:val="00887C22"/>
    <w:rsid w:val="00887D8C"/>
    <w:rsid w:val="008901D4"/>
    <w:rsid w:val="008901F6"/>
    <w:rsid w:val="0089075A"/>
    <w:rsid w:val="008907E1"/>
    <w:rsid w:val="0089084D"/>
    <w:rsid w:val="00890CB6"/>
    <w:rsid w:val="00890D08"/>
    <w:rsid w:val="00890F0C"/>
    <w:rsid w:val="008916D8"/>
    <w:rsid w:val="00891FF0"/>
    <w:rsid w:val="008920E7"/>
    <w:rsid w:val="008922FF"/>
    <w:rsid w:val="008925D1"/>
    <w:rsid w:val="0089265A"/>
    <w:rsid w:val="00892718"/>
    <w:rsid w:val="00892781"/>
    <w:rsid w:val="008929D1"/>
    <w:rsid w:val="00893ED6"/>
    <w:rsid w:val="00893F43"/>
    <w:rsid w:val="008944C3"/>
    <w:rsid w:val="00894B1A"/>
    <w:rsid w:val="00894B9D"/>
    <w:rsid w:val="00894F7B"/>
    <w:rsid w:val="00895220"/>
    <w:rsid w:val="008952F9"/>
    <w:rsid w:val="008959B0"/>
    <w:rsid w:val="00895CBC"/>
    <w:rsid w:val="00895FA2"/>
    <w:rsid w:val="00896CEE"/>
    <w:rsid w:val="00896E00"/>
    <w:rsid w:val="00897285"/>
    <w:rsid w:val="00897FB8"/>
    <w:rsid w:val="00897FD9"/>
    <w:rsid w:val="008A0792"/>
    <w:rsid w:val="008A0C6C"/>
    <w:rsid w:val="008A16DD"/>
    <w:rsid w:val="008A1C11"/>
    <w:rsid w:val="008A2661"/>
    <w:rsid w:val="008A2C7C"/>
    <w:rsid w:val="008A31C3"/>
    <w:rsid w:val="008A32D8"/>
    <w:rsid w:val="008A3345"/>
    <w:rsid w:val="008A3878"/>
    <w:rsid w:val="008A39E6"/>
    <w:rsid w:val="008A4420"/>
    <w:rsid w:val="008A4480"/>
    <w:rsid w:val="008A5970"/>
    <w:rsid w:val="008A5AC8"/>
    <w:rsid w:val="008A626C"/>
    <w:rsid w:val="008A68BF"/>
    <w:rsid w:val="008A6A02"/>
    <w:rsid w:val="008A6AFB"/>
    <w:rsid w:val="008A7C26"/>
    <w:rsid w:val="008A7CC8"/>
    <w:rsid w:val="008B0304"/>
    <w:rsid w:val="008B03F0"/>
    <w:rsid w:val="008B0720"/>
    <w:rsid w:val="008B0AC9"/>
    <w:rsid w:val="008B0B2C"/>
    <w:rsid w:val="008B1500"/>
    <w:rsid w:val="008B1801"/>
    <w:rsid w:val="008B1BE7"/>
    <w:rsid w:val="008B2108"/>
    <w:rsid w:val="008B2454"/>
    <w:rsid w:val="008B2D0D"/>
    <w:rsid w:val="008B38D3"/>
    <w:rsid w:val="008B3A3E"/>
    <w:rsid w:val="008B42FF"/>
    <w:rsid w:val="008B430A"/>
    <w:rsid w:val="008B481C"/>
    <w:rsid w:val="008B49A7"/>
    <w:rsid w:val="008B4B96"/>
    <w:rsid w:val="008B51A5"/>
    <w:rsid w:val="008B548C"/>
    <w:rsid w:val="008B5679"/>
    <w:rsid w:val="008B57A9"/>
    <w:rsid w:val="008B625D"/>
    <w:rsid w:val="008B6378"/>
    <w:rsid w:val="008B710E"/>
    <w:rsid w:val="008B71A8"/>
    <w:rsid w:val="008B737B"/>
    <w:rsid w:val="008B737C"/>
    <w:rsid w:val="008B7594"/>
    <w:rsid w:val="008B7D9C"/>
    <w:rsid w:val="008B7E8C"/>
    <w:rsid w:val="008C12C7"/>
    <w:rsid w:val="008C1DA3"/>
    <w:rsid w:val="008C220A"/>
    <w:rsid w:val="008C27D0"/>
    <w:rsid w:val="008C2BF8"/>
    <w:rsid w:val="008C2E59"/>
    <w:rsid w:val="008C2ED4"/>
    <w:rsid w:val="008C2EDF"/>
    <w:rsid w:val="008C32FE"/>
    <w:rsid w:val="008C365E"/>
    <w:rsid w:val="008C41E8"/>
    <w:rsid w:val="008C45C1"/>
    <w:rsid w:val="008C4651"/>
    <w:rsid w:val="008C48DC"/>
    <w:rsid w:val="008C4B18"/>
    <w:rsid w:val="008C5224"/>
    <w:rsid w:val="008C583A"/>
    <w:rsid w:val="008C6802"/>
    <w:rsid w:val="008C6B15"/>
    <w:rsid w:val="008C6FB4"/>
    <w:rsid w:val="008C71A4"/>
    <w:rsid w:val="008C7399"/>
    <w:rsid w:val="008C776A"/>
    <w:rsid w:val="008C7D89"/>
    <w:rsid w:val="008C7E5D"/>
    <w:rsid w:val="008D0179"/>
    <w:rsid w:val="008D04A4"/>
    <w:rsid w:val="008D0AE8"/>
    <w:rsid w:val="008D0B44"/>
    <w:rsid w:val="008D0DE7"/>
    <w:rsid w:val="008D13F7"/>
    <w:rsid w:val="008D1983"/>
    <w:rsid w:val="008D1DBB"/>
    <w:rsid w:val="008D1F95"/>
    <w:rsid w:val="008D2300"/>
    <w:rsid w:val="008D2C12"/>
    <w:rsid w:val="008D2E12"/>
    <w:rsid w:val="008D3088"/>
    <w:rsid w:val="008D318D"/>
    <w:rsid w:val="008D3393"/>
    <w:rsid w:val="008D3419"/>
    <w:rsid w:val="008D35AB"/>
    <w:rsid w:val="008D35B7"/>
    <w:rsid w:val="008D3F6E"/>
    <w:rsid w:val="008D4A16"/>
    <w:rsid w:val="008D4EE5"/>
    <w:rsid w:val="008D565C"/>
    <w:rsid w:val="008D5750"/>
    <w:rsid w:val="008D690F"/>
    <w:rsid w:val="008D77B1"/>
    <w:rsid w:val="008D7B3E"/>
    <w:rsid w:val="008E078E"/>
    <w:rsid w:val="008E0A85"/>
    <w:rsid w:val="008E131D"/>
    <w:rsid w:val="008E1433"/>
    <w:rsid w:val="008E145F"/>
    <w:rsid w:val="008E1700"/>
    <w:rsid w:val="008E1AD4"/>
    <w:rsid w:val="008E2031"/>
    <w:rsid w:val="008E250A"/>
    <w:rsid w:val="008E289D"/>
    <w:rsid w:val="008E327A"/>
    <w:rsid w:val="008E3C22"/>
    <w:rsid w:val="008E3F70"/>
    <w:rsid w:val="008E4684"/>
    <w:rsid w:val="008E4821"/>
    <w:rsid w:val="008E53C2"/>
    <w:rsid w:val="008E57E7"/>
    <w:rsid w:val="008E5C5A"/>
    <w:rsid w:val="008E629A"/>
    <w:rsid w:val="008E6387"/>
    <w:rsid w:val="008E6A40"/>
    <w:rsid w:val="008E6AB3"/>
    <w:rsid w:val="008E6BB2"/>
    <w:rsid w:val="008E6CFE"/>
    <w:rsid w:val="008E71AF"/>
    <w:rsid w:val="008E77F9"/>
    <w:rsid w:val="008E793D"/>
    <w:rsid w:val="008F026C"/>
    <w:rsid w:val="008F137C"/>
    <w:rsid w:val="008F13C1"/>
    <w:rsid w:val="008F1863"/>
    <w:rsid w:val="008F1C79"/>
    <w:rsid w:val="008F2DD4"/>
    <w:rsid w:val="008F2E78"/>
    <w:rsid w:val="008F387C"/>
    <w:rsid w:val="008F4492"/>
    <w:rsid w:val="008F478E"/>
    <w:rsid w:val="008F4FE1"/>
    <w:rsid w:val="008F5B95"/>
    <w:rsid w:val="008F5D94"/>
    <w:rsid w:val="008F5DB1"/>
    <w:rsid w:val="008F619F"/>
    <w:rsid w:val="008F6599"/>
    <w:rsid w:val="008F666D"/>
    <w:rsid w:val="008F69FD"/>
    <w:rsid w:val="008F6C80"/>
    <w:rsid w:val="008F6D86"/>
    <w:rsid w:val="008F6FA6"/>
    <w:rsid w:val="008F7071"/>
    <w:rsid w:val="008F7119"/>
    <w:rsid w:val="008F7898"/>
    <w:rsid w:val="008F7C58"/>
    <w:rsid w:val="0090014E"/>
    <w:rsid w:val="0090030D"/>
    <w:rsid w:val="00900676"/>
    <w:rsid w:val="00900835"/>
    <w:rsid w:val="009009D9"/>
    <w:rsid w:val="00901267"/>
    <w:rsid w:val="009012FC"/>
    <w:rsid w:val="0090151B"/>
    <w:rsid w:val="00901756"/>
    <w:rsid w:val="00903924"/>
    <w:rsid w:val="0090469D"/>
    <w:rsid w:val="009054A8"/>
    <w:rsid w:val="0090583C"/>
    <w:rsid w:val="00905F4E"/>
    <w:rsid w:val="00905FCA"/>
    <w:rsid w:val="00906004"/>
    <w:rsid w:val="009060D9"/>
    <w:rsid w:val="00906F70"/>
    <w:rsid w:val="0091057D"/>
    <w:rsid w:val="0091065F"/>
    <w:rsid w:val="00911634"/>
    <w:rsid w:val="00911B04"/>
    <w:rsid w:val="009122AA"/>
    <w:rsid w:val="0091232E"/>
    <w:rsid w:val="00912DD7"/>
    <w:rsid w:val="009131CB"/>
    <w:rsid w:val="00913399"/>
    <w:rsid w:val="009134D4"/>
    <w:rsid w:val="00914347"/>
    <w:rsid w:val="009146F7"/>
    <w:rsid w:val="00914732"/>
    <w:rsid w:val="00914B8C"/>
    <w:rsid w:val="00914C7F"/>
    <w:rsid w:val="0091500B"/>
    <w:rsid w:val="00915255"/>
    <w:rsid w:val="00915B6D"/>
    <w:rsid w:val="0091630C"/>
    <w:rsid w:val="00916617"/>
    <w:rsid w:val="00917BB5"/>
    <w:rsid w:val="00917C07"/>
    <w:rsid w:val="00917D43"/>
    <w:rsid w:val="00920462"/>
    <w:rsid w:val="0092059C"/>
    <w:rsid w:val="00920601"/>
    <w:rsid w:val="00920A12"/>
    <w:rsid w:val="00921AFE"/>
    <w:rsid w:val="00921B30"/>
    <w:rsid w:val="00921F19"/>
    <w:rsid w:val="00922203"/>
    <w:rsid w:val="00922BE2"/>
    <w:rsid w:val="00922BEC"/>
    <w:rsid w:val="00922F45"/>
    <w:rsid w:val="00923114"/>
    <w:rsid w:val="00923175"/>
    <w:rsid w:val="00923350"/>
    <w:rsid w:val="009233DC"/>
    <w:rsid w:val="009239DB"/>
    <w:rsid w:val="0092400B"/>
    <w:rsid w:val="009248CB"/>
    <w:rsid w:val="009248F6"/>
    <w:rsid w:val="009250F4"/>
    <w:rsid w:val="00925308"/>
    <w:rsid w:val="00925918"/>
    <w:rsid w:val="00925ADD"/>
    <w:rsid w:val="00926071"/>
    <w:rsid w:val="00926354"/>
    <w:rsid w:val="00926388"/>
    <w:rsid w:val="009264C3"/>
    <w:rsid w:val="0092659D"/>
    <w:rsid w:val="00926A78"/>
    <w:rsid w:val="00926ED6"/>
    <w:rsid w:val="00927667"/>
    <w:rsid w:val="009309A4"/>
    <w:rsid w:val="00931111"/>
    <w:rsid w:val="00931480"/>
    <w:rsid w:val="00931804"/>
    <w:rsid w:val="00931D6C"/>
    <w:rsid w:val="009322AC"/>
    <w:rsid w:val="009327C7"/>
    <w:rsid w:val="00932D39"/>
    <w:rsid w:val="00932ED8"/>
    <w:rsid w:val="00933278"/>
    <w:rsid w:val="00933A17"/>
    <w:rsid w:val="00933BE8"/>
    <w:rsid w:val="00933DC9"/>
    <w:rsid w:val="009341AC"/>
    <w:rsid w:val="00934278"/>
    <w:rsid w:val="009342B5"/>
    <w:rsid w:val="009349DA"/>
    <w:rsid w:val="00934D94"/>
    <w:rsid w:val="0093539C"/>
    <w:rsid w:val="009355D1"/>
    <w:rsid w:val="009357D4"/>
    <w:rsid w:val="009358B2"/>
    <w:rsid w:val="00935958"/>
    <w:rsid w:val="009363E7"/>
    <w:rsid w:val="009377EE"/>
    <w:rsid w:val="0093787E"/>
    <w:rsid w:val="009378C4"/>
    <w:rsid w:val="009379EC"/>
    <w:rsid w:val="00937E94"/>
    <w:rsid w:val="00941320"/>
    <w:rsid w:val="0094153A"/>
    <w:rsid w:val="009415BF"/>
    <w:rsid w:val="00941DD9"/>
    <w:rsid w:val="009421E5"/>
    <w:rsid w:val="0094259C"/>
    <w:rsid w:val="00942C40"/>
    <w:rsid w:val="00942F6A"/>
    <w:rsid w:val="00943247"/>
    <w:rsid w:val="00944412"/>
    <w:rsid w:val="009445F2"/>
    <w:rsid w:val="009447B2"/>
    <w:rsid w:val="009448E3"/>
    <w:rsid w:val="00945614"/>
    <w:rsid w:val="0094690F"/>
    <w:rsid w:val="00946AE7"/>
    <w:rsid w:val="00946ED5"/>
    <w:rsid w:val="0094725E"/>
    <w:rsid w:val="009473A2"/>
    <w:rsid w:val="009473D0"/>
    <w:rsid w:val="00947569"/>
    <w:rsid w:val="009475CB"/>
    <w:rsid w:val="0094760D"/>
    <w:rsid w:val="00947B5C"/>
    <w:rsid w:val="00950E82"/>
    <w:rsid w:val="00950EB7"/>
    <w:rsid w:val="0095110A"/>
    <w:rsid w:val="0095138E"/>
    <w:rsid w:val="00951773"/>
    <w:rsid w:val="00951AC7"/>
    <w:rsid w:val="00951C49"/>
    <w:rsid w:val="00951F03"/>
    <w:rsid w:val="0095226B"/>
    <w:rsid w:val="0095260D"/>
    <w:rsid w:val="00952A38"/>
    <w:rsid w:val="00952E76"/>
    <w:rsid w:val="00952F5C"/>
    <w:rsid w:val="009533A4"/>
    <w:rsid w:val="00953AB0"/>
    <w:rsid w:val="009547B7"/>
    <w:rsid w:val="00955120"/>
    <w:rsid w:val="00955336"/>
    <w:rsid w:val="0095599D"/>
    <w:rsid w:val="0095727E"/>
    <w:rsid w:val="0095731D"/>
    <w:rsid w:val="0095768F"/>
    <w:rsid w:val="009576A2"/>
    <w:rsid w:val="00957EAB"/>
    <w:rsid w:val="0096038F"/>
    <w:rsid w:val="00960A77"/>
    <w:rsid w:val="0096114C"/>
    <w:rsid w:val="00961A8E"/>
    <w:rsid w:val="00961B1E"/>
    <w:rsid w:val="00962359"/>
    <w:rsid w:val="00962758"/>
    <w:rsid w:val="00962B9B"/>
    <w:rsid w:val="009631D2"/>
    <w:rsid w:val="0096364B"/>
    <w:rsid w:val="009636F2"/>
    <w:rsid w:val="009637EE"/>
    <w:rsid w:val="00963F61"/>
    <w:rsid w:val="00963FC8"/>
    <w:rsid w:val="00964740"/>
    <w:rsid w:val="00964915"/>
    <w:rsid w:val="00965A66"/>
    <w:rsid w:val="009664CA"/>
    <w:rsid w:val="0096650F"/>
    <w:rsid w:val="00966546"/>
    <w:rsid w:val="009666AB"/>
    <w:rsid w:val="00966927"/>
    <w:rsid w:val="009669AA"/>
    <w:rsid w:val="00967672"/>
    <w:rsid w:val="00967848"/>
    <w:rsid w:val="009679EE"/>
    <w:rsid w:val="00967A66"/>
    <w:rsid w:val="00967E28"/>
    <w:rsid w:val="0097031A"/>
    <w:rsid w:val="0097034A"/>
    <w:rsid w:val="00971009"/>
    <w:rsid w:val="00971075"/>
    <w:rsid w:val="00971087"/>
    <w:rsid w:val="00971388"/>
    <w:rsid w:val="009714CC"/>
    <w:rsid w:val="00971792"/>
    <w:rsid w:val="00971A92"/>
    <w:rsid w:val="00971D6D"/>
    <w:rsid w:val="00971E0A"/>
    <w:rsid w:val="009721E6"/>
    <w:rsid w:val="00972305"/>
    <w:rsid w:val="009728AC"/>
    <w:rsid w:val="00972D0A"/>
    <w:rsid w:val="009736CD"/>
    <w:rsid w:val="00973990"/>
    <w:rsid w:val="00973C01"/>
    <w:rsid w:val="009740DF"/>
    <w:rsid w:val="009756A7"/>
    <w:rsid w:val="00975EB7"/>
    <w:rsid w:val="009760B8"/>
    <w:rsid w:val="00977160"/>
    <w:rsid w:val="0097724E"/>
    <w:rsid w:val="00977B45"/>
    <w:rsid w:val="00980404"/>
    <w:rsid w:val="009807B1"/>
    <w:rsid w:val="00980C54"/>
    <w:rsid w:val="00980E12"/>
    <w:rsid w:val="00981108"/>
    <w:rsid w:val="009816CF"/>
    <w:rsid w:val="00981AEE"/>
    <w:rsid w:val="00982180"/>
    <w:rsid w:val="00982F09"/>
    <w:rsid w:val="00983601"/>
    <w:rsid w:val="00983905"/>
    <w:rsid w:val="00983EA6"/>
    <w:rsid w:val="00983FCA"/>
    <w:rsid w:val="009840C2"/>
    <w:rsid w:val="00984864"/>
    <w:rsid w:val="0098495E"/>
    <w:rsid w:val="00984FA4"/>
    <w:rsid w:val="009854BE"/>
    <w:rsid w:val="00985633"/>
    <w:rsid w:val="00985B92"/>
    <w:rsid w:val="00985F7D"/>
    <w:rsid w:val="00986323"/>
    <w:rsid w:val="00986360"/>
    <w:rsid w:val="009865AF"/>
    <w:rsid w:val="00986AB6"/>
    <w:rsid w:val="00986F3E"/>
    <w:rsid w:val="00987054"/>
    <w:rsid w:val="0098743C"/>
    <w:rsid w:val="00987F37"/>
    <w:rsid w:val="00990342"/>
    <w:rsid w:val="009904A9"/>
    <w:rsid w:val="009904ED"/>
    <w:rsid w:val="00991406"/>
    <w:rsid w:val="0099171A"/>
    <w:rsid w:val="009918FE"/>
    <w:rsid w:val="00991AE3"/>
    <w:rsid w:val="00991BBF"/>
    <w:rsid w:val="00991F25"/>
    <w:rsid w:val="00992BD6"/>
    <w:rsid w:val="00993142"/>
    <w:rsid w:val="009939F8"/>
    <w:rsid w:val="00993DFD"/>
    <w:rsid w:val="0099424A"/>
    <w:rsid w:val="00995609"/>
    <w:rsid w:val="00995BBF"/>
    <w:rsid w:val="00995E57"/>
    <w:rsid w:val="0099686D"/>
    <w:rsid w:val="009968B6"/>
    <w:rsid w:val="00997BCD"/>
    <w:rsid w:val="009A04BC"/>
    <w:rsid w:val="009A0CEA"/>
    <w:rsid w:val="009A0E96"/>
    <w:rsid w:val="009A105E"/>
    <w:rsid w:val="009A107C"/>
    <w:rsid w:val="009A1D44"/>
    <w:rsid w:val="009A2534"/>
    <w:rsid w:val="009A258B"/>
    <w:rsid w:val="009A2A86"/>
    <w:rsid w:val="009A2E9C"/>
    <w:rsid w:val="009A30BE"/>
    <w:rsid w:val="009A353E"/>
    <w:rsid w:val="009A363C"/>
    <w:rsid w:val="009A37D9"/>
    <w:rsid w:val="009A4C47"/>
    <w:rsid w:val="009A4D4F"/>
    <w:rsid w:val="009A4D55"/>
    <w:rsid w:val="009A4D5A"/>
    <w:rsid w:val="009A600D"/>
    <w:rsid w:val="009A6214"/>
    <w:rsid w:val="009A6CF1"/>
    <w:rsid w:val="009A6FD8"/>
    <w:rsid w:val="009A70F1"/>
    <w:rsid w:val="009A7246"/>
    <w:rsid w:val="009A7A72"/>
    <w:rsid w:val="009B0245"/>
    <w:rsid w:val="009B0643"/>
    <w:rsid w:val="009B0851"/>
    <w:rsid w:val="009B0900"/>
    <w:rsid w:val="009B0B62"/>
    <w:rsid w:val="009B17FF"/>
    <w:rsid w:val="009B189D"/>
    <w:rsid w:val="009B1D40"/>
    <w:rsid w:val="009B200A"/>
    <w:rsid w:val="009B25BA"/>
    <w:rsid w:val="009B28A8"/>
    <w:rsid w:val="009B2BD8"/>
    <w:rsid w:val="009B3657"/>
    <w:rsid w:val="009B3679"/>
    <w:rsid w:val="009B3B0F"/>
    <w:rsid w:val="009B412C"/>
    <w:rsid w:val="009B4541"/>
    <w:rsid w:val="009B5DC8"/>
    <w:rsid w:val="009B7132"/>
    <w:rsid w:val="009B71C4"/>
    <w:rsid w:val="009B73ED"/>
    <w:rsid w:val="009B75A6"/>
    <w:rsid w:val="009C015E"/>
    <w:rsid w:val="009C029A"/>
    <w:rsid w:val="009C0DE4"/>
    <w:rsid w:val="009C0E01"/>
    <w:rsid w:val="009C1194"/>
    <w:rsid w:val="009C1A99"/>
    <w:rsid w:val="009C1F06"/>
    <w:rsid w:val="009C21F7"/>
    <w:rsid w:val="009C24F9"/>
    <w:rsid w:val="009C2693"/>
    <w:rsid w:val="009C2BA9"/>
    <w:rsid w:val="009C2D1B"/>
    <w:rsid w:val="009C311A"/>
    <w:rsid w:val="009C3242"/>
    <w:rsid w:val="009C38EC"/>
    <w:rsid w:val="009C4186"/>
    <w:rsid w:val="009C4874"/>
    <w:rsid w:val="009C52F9"/>
    <w:rsid w:val="009C5BE1"/>
    <w:rsid w:val="009C624E"/>
    <w:rsid w:val="009C6883"/>
    <w:rsid w:val="009C7299"/>
    <w:rsid w:val="009C794F"/>
    <w:rsid w:val="009C795E"/>
    <w:rsid w:val="009C7E0C"/>
    <w:rsid w:val="009C7EBB"/>
    <w:rsid w:val="009D00B1"/>
    <w:rsid w:val="009D03C9"/>
    <w:rsid w:val="009D10E0"/>
    <w:rsid w:val="009D131F"/>
    <w:rsid w:val="009D2829"/>
    <w:rsid w:val="009D298B"/>
    <w:rsid w:val="009D2AA0"/>
    <w:rsid w:val="009D33A3"/>
    <w:rsid w:val="009D3667"/>
    <w:rsid w:val="009D4378"/>
    <w:rsid w:val="009D5520"/>
    <w:rsid w:val="009D563D"/>
    <w:rsid w:val="009D5854"/>
    <w:rsid w:val="009D593E"/>
    <w:rsid w:val="009D5DC7"/>
    <w:rsid w:val="009D5E1B"/>
    <w:rsid w:val="009D6997"/>
    <w:rsid w:val="009D6DED"/>
    <w:rsid w:val="009D6F15"/>
    <w:rsid w:val="009D71DE"/>
    <w:rsid w:val="009D728C"/>
    <w:rsid w:val="009D730A"/>
    <w:rsid w:val="009D7372"/>
    <w:rsid w:val="009D7453"/>
    <w:rsid w:val="009D7508"/>
    <w:rsid w:val="009D77B8"/>
    <w:rsid w:val="009D7872"/>
    <w:rsid w:val="009D7AFE"/>
    <w:rsid w:val="009D7E3C"/>
    <w:rsid w:val="009E053E"/>
    <w:rsid w:val="009E0624"/>
    <w:rsid w:val="009E0FA2"/>
    <w:rsid w:val="009E12F7"/>
    <w:rsid w:val="009E130B"/>
    <w:rsid w:val="009E141D"/>
    <w:rsid w:val="009E146E"/>
    <w:rsid w:val="009E162D"/>
    <w:rsid w:val="009E19BC"/>
    <w:rsid w:val="009E222F"/>
    <w:rsid w:val="009E2CBC"/>
    <w:rsid w:val="009E3201"/>
    <w:rsid w:val="009E335E"/>
    <w:rsid w:val="009E33CB"/>
    <w:rsid w:val="009E3D04"/>
    <w:rsid w:val="009E3FD5"/>
    <w:rsid w:val="009E4105"/>
    <w:rsid w:val="009E4578"/>
    <w:rsid w:val="009E4B73"/>
    <w:rsid w:val="009E4BEB"/>
    <w:rsid w:val="009E4D87"/>
    <w:rsid w:val="009E4E08"/>
    <w:rsid w:val="009E51CA"/>
    <w:rsid w:val="009E549E"/>
    <w:rsid w:val="009E598E"/>
    <w:rsid w:val="009E5A22"/>
    <w:rsid w:val="009E5BC2"/>
    <w:rsid w:val="009E5DE1"/>
    <w:rsid w:val="009E63C5"/>
    <w:rsid w:val="009E68A3"/>
    <w:rsid w:val="009E6DC8"/>
    <w:rsid w:val="009E748A"/>
    <w:rsid w:val="009E7547"/>
    <w:rsid w:val="009E7597"/>
    <w:rsid w:val="009E7B49"/>
    <w:rsid w:val="009F0198"/>
    <w:rsid w:val="009F10A1"/>
    <w:rsid w:val="009F1110"/>
    <w:rsid w:val="009F1465"/>
    <w:rsid w:val="009F1855"/>
    <w:rsid w:val="009F1923"/>
    <w:rsid w:val="009F27D7"/>
    <w:rsid w:val="009F34E3"/>
    <w:rsid w:val="009F3690"/>
    <w:rsid w:val="009F3DE8"/>
    <w:rsid w:val="009F3DE9"/>
    <w:rsid w:val="009F4275"/>
    <w:rsid w:val="009F43B9"/>
    <w:rsid w:val="009F6401"/>
    <w:rsid w:val="009F7458"/>
    <w:rsid w:val="009F7529"/>
    <w:rsid w:val="00A0086A"/>
    <w:rsid w:val="00A00A40"/>
    <w:rsid w:val="00A015CF"/>
    <w:rsid w:val="00A01E57"/>
    <w:rsid w:val="00A0238A"/>
    <w:rsid w:val="00A0255D"/>
    <w:rsid w:val="00A02A55"/>
    <w:rsid w:val="00A02D65"/>
    <w:rsid w:val="00A02DA3"/>
    <w:rsid w:val="00A03225"/>
    <w:rsid w:val="00A03F09"/>
    <w:rsid w:val="00A044DA"/>
    <w:rsid w:val="00A04552"/>
    <w:rsid w:val="00A04E33"/>
    <w:rsid w:val="00A04E4E"/>
    <w:rsid w:val="00A04EF4"/>
    <w:rsid w:val="00A05E0F"/>
    <w:rsid w:val="00A0611A"/>
    <w:rsid w:val="00A06562"/>
    <w:rsid w:val="00A06979"/>
    <w:rsid w:val="00A07508"/>
    <w:rsid w:val="00A07861"/>
    <w:rsid w:val="00A07FD2"/>
    <w:rsid w:val="00A101CB"/>
    <w:rsid w:val="00A10729"/>
    <w:rsid w:val="00A1117A"/>
    <w:rsid w:val="00A11422"/>
    <w:rsid w:val="00A11CE0"/>
    <w:rsid w:val="00A12176"/>
    <w:rsid w:val="00A128BA"/>
    <w:rsid w:val="00A130CA"/>
    <w:rsid w:val="00A13184"/>
    <w:rsid w:val="00A1390C"/>
    <w:rsid w:val="00A13952"/>
    <w:rsid w:val="00A14798"/>
    <w:rsid w:val="00A14AA3"/>
    <w:rsid w:val="00A15A2D"/>
    <w:rsid w:val="00A15E1E"/>
    <w:rsid w:val="00A16D00"/>
    <w:rsid w:val="00A17DA1"/>
    <w:rsid w:val="00A17EDE"/>
    <w:rsid w:val="00A20587"/>
    <w:rsid w:val="00A20A18"/>
    <w:rsid w:val="00A214D6"/>
    <w:rsid w:val="00A21745"/>
    <w:rsid w:val="00A21B42"/>
    <w:rsid w:val="00A22683"/>
    <w:rsid w:val="00A22B4F"/>
    <w:rsid w:val="00A22B7F"/>
    <w:rsid w:val="00A22E2A"/>
    <w:rsid w:val="00A22EF2"/>
    <w:rsid w:val="00A23B30"/>
    <w:rsid w:val="00A24AD7"/>
    <w:rsid w:val="00A24C2C"/>
    <w:rsid w:val="00A24FAB"/>
    <w:rsid w:val="00A25A89"/>
    <w:rsid w:val="00A25B28"/>
    <w:rsid w:val="00A265E6"/>
    <w:rsid w:val="00A2669A"/>
    <w:rsid w:val="00A26797"/>
    <w:rsid w:val="00A274FB"/>
    <w:rsid w:val="00A27512"/>
    <w:rsid w:val="00A27CE4"/>
    <w:rsid w:val="00A30853"/>
    <w:rsid w:val="00A30E40"/>
    <w:rsid w:val="00A3175E"/>
    <w:rsid w:val="00A31A2D"/>
    <w:rsid w:val="00A31CC9"/>
    <w:rsid w:val="00A31D34"/>
    <w:rsid w:val="00A3231B"/>
    <w:rsid w:val="00A32534"/>
    <w:rsid w:val="00A3286A"/>
    <w:rsid w:val="00A32895"/>
    <w:rsid w:val="00A330BA"/>
    <w:rsid w:val="00A335CC"/>
    <w:rsid w:val="00A33DAA"/>
    <w:rsid w:val="00A3467F"/>
    <w:rsid w:val="00A34D11"/>
    <w:rsid w:val="00A35210"/>
    <w:rsid w:val="00A35465"/>
    <w:rsid w:val="00A3558C"/>
    <w:rsid w:val="00A35B9D"/>
    <w:rsid w:val="00A36105"/>
    <w:rsid w:val="00A3621D"/>
    <w:rsid w:val="00A36260"/>
    <w:rsid w:val="00A36CD4"/>
    <w:rsid w:val="00A36EAF"/>
    <w:rsid w:val="00A375D1"/>
    <w:rsid w:val="00A3760A"/>
    <w:rsid w:val="00A37704"/>
    <w:rsid w:val="00A37780"/>
    <w:rsid w:val="00A37840"/>
    <w:rsid w:val="00A37BB9"/>
    <w:rsid w:val="00A40715"/>
    <w:rsid w:val="00A40E58"/>
    <w:rsid w:val="00A42831"/>
    <w:rsid w:val="00A42CEE"/>
    <w:rsid w:val="00A42EB3"/>
    <w:rsid w:val="00A43367"/>
    <w:rsid w:val="00A43FE1"/>
    <w:rsid w:val="00A44039"/>
    <w:rsid w:val="00A44A89"/>
    <w:rsid w:val="00A44C40"/>
    <w:rsid w:val="00A4526D"/>
    <w:rsid w:val="00A456AE"/>
    <w:rsid w:val="00A46017"/>
    <w:rsid w:val="00A461E5"/>
    <w:rsid w:val="00A46567"/>
    <w:rsid w:val="00A46769"/>
    <w:rsid w:val="00A46A80"/>
    <w:rsid w:val="00A46D32"/>
    <w:rsid w:val="00A47190"/>
    <w:rsid w:val="00A4723A"/>
    <w:rsid w:val="00A5029D"/>
    <w:rsid w:val="00A50E07"/>
    <w:rsid w:val="00A5104F"/>
    <w:rsid w:val="00A51349"/>
    <w:rsid w:val="00A51648"/>
    <w:rsid w:val="00A51A09"/>
    <w:rsid w:val="00A51C09"/>
    <w:rsid w:val="00A51D94"/>
    <w:rsid w:val="00A51FB8"/>
    <w:rsid w:val="00A521D6"/>
    <w:rsid w:val="00A52564"/>
    <w:rsid w:val="00A52803"/>
    <w:rsid w:val="00A53298"/>
    <w:rsid w:val="00A5340F"/>
    <w:rsid w:val="00A534FC"/>
    <w:rsid w:val="00A5367C"/>
    <w:rsid w:val="00A53F2F"/>
    <w:rsid w:val="00A55578"/>
    <w:rsid w:val="00A55820"/>
    <w:rsid w:val="00A55908"/>
    <w:rsid w:val="00A5591F"/>
    <w:rsid w:val="00A55D47"/>
    <w:rsid w:val="00A561AC"/>
    <w:rsid w:val="00A56A19"/>
    <w:rsid w:val="00A56C26"/>
    <w:rsid w:val="00A574F6"/>
    <w:rsid w:val="00A575DB"/>
    <w:rsid w:val="00A5764F"/>
    <w:rsid w:val="00A578DD"/>
    <w:rsid w:val="00A57C3E"/>
    <w:rsid w:val="00A57FAC"/>
    <w:rsid w:val="00A60266"/>
    <w:rsid w:val="00A6033D"/>
    <w:rsid w:val="00A60FFB"/>
    <w:rsid w:val="00A61471"/>
    <w:rsid w:val="00A6152B"/>
    <w:rsid w:val="00A616F1"/>
    <w:rsid w:val="00A62063"/>
    <w:rsid w:val="00A6229C"/>
    <w:rsid w:val="00A6283B"/>
    <w:rsid w:val="00A62BC8"/>
    <w:rsid w:val="00A63415"/>
    <w:rsid w:val="00A6403B"/>
    <w:rsid w:val="00A64663"/>
    <w:rsid w:val="00A646F0"/>
    <w:rsid w:val="00A647BE"/>
    <w:rsid w:val="00A649B6"/>
    <w:rsid w:val="00A657C7"/>
    <w:rsid w:val="00A65FF4"/>
    <w:rsid w:val="00A66348"/>
    <w:rsid w:val="00A66861"/>
    <w:rsid w:val="00A67108"/>
    <w:rsid w:val="00A671BC"/>
    <w:rsid w:val="00A67376"/>
    <w:rsid w:val="00A675C7"/>
    <w:rsid w:val="00A67950"/>
    <w:rsid w:val="00A7017E"/>
    <w:rsid w:val="00A70395"/>
    <w:rsid w:val="00A70B5A"/>
    <w:rsid w:val="00A70B91"/>
    <w:rsid w:val="00A71EEC"/>
    <w:rsid w:val="00A72057"/>
    <w:rsid w:val="00A72075"/>
    <w:rsid w:val="00A7209C"/>
    <w:rsid w:val="00A72723"/>
    <w:rsid w:val="00A7294D"/>
    <w:rsid w:val="00A72967"/>
    <w:rsid w:val="00A73D6A"/>
    <w:rsid w:val="00A73E17"/>
    <w:rsid w:val="00A73EA2"/>
    <w:rsid w:val="00A742C2"/>
    <w:rsid w:val="00A74AEA"/>
    <w:rsid w:val="00A75657"/>
    <w:rsid w:val="00A7579C"/>
    <w:rsid w:val="00A758C1"/>
    <w:rsid w:val="00A75C84"/>
    <w:rsid w:val="00A75D6D"/>
    <w:rsid w:val="00A75DDA"/>
    <w:rsid w:val="00A76AA6"/>
    <w:rsid w:val="00A7741A"/>
    <w:rsid w:val="00A776FB"/>
    <w:rsid w:val="00A77B4A"/>
    <w:rsid w:val="00A8042D"/>
    <w:rsid w:val="00A8096B"/>
    <w:rsid w:val="00A80BE9"/>
    <w:rsid w:val="00A80C29"/>
    <w:rsid w:val="00A80C43"/>
    <w:rsid w:val="00A81B6C"/>
    <w:rsid w:val="00A826A9"/>
    <w:rsid w:val="00A82A47"/>
    <w:rsid w:val="00A82F1D"/>
    <w:rsid w:val="00A83582"/>
    <w:rsid w:val="00A8370C"/>
    <w:rsid w:val="00A83909"/>
    <w:rsid w:val="00A83E62"/>
    <w:rsid w:val="00A84030"/>
    <w:rsid w:val="00A840C1"/>
    <w:rsid w:val="00A84280"/>
    <w:rsid w:val="00A84801"/>
    <w:rsid w:val="00A8511C"/>
    <w:rsid w:val="00A85369"/>
    <w:rsid w:val="00A8569B"/>
    <w:rsid w:val="00A85783"/>
    <w:rsid w:val="00A86495"/>
    <w:rsid w:val="00A869DB"/>
    <w:rsid w:val="00A86B00"/>
    <w:rsid w:val="00A86C8A"/>
    <w:rsid w:val="00A8706C"/>
    <w:rsid w:val="00A87530"/>
    <w:rsid w:val="00A87C67"/>
    <w:rsid w:val="00A87C98"/>
    <w:rsid w:val="00A87DA3"/>
    <w:rsid w:val="00A9047E"/>
    <w:rsid w:val="00A90875"/>
    <w:rsid w:val="00A90E42"/>
    <w:rsid w:val="00A91141"/>
    <w:rsid w:val="00A91465"/>
    <w:rsid w:val="00A919C9"/>
    <w:rsid w:val="00A9269E"/>
    <w:rsid w:val="00A927A2"/>
    <w:rsid w:val="00A93471"/>
    <w:rsid w:val="00A93795"/>
    <w:rsid w:val="00A95532"/>
    <w:rsid w:val="00A95C6E"/>
    <w:rsid w:val="00A95CF9"/>
    <w:rsid w:val="00A962B2"/>
    <w:rsid w:val="00A9677B"/>
    <w:rsid w:val="00A978A0"/>
    <w:rsid w:val="00AA038A"/>
    <w:rsid w:val="00AA0AA1"/>
    <w:rsid w:val="00AA0D29"/>
    <w:rsid w:val="00AA0DA7"/>
    <w:rsid w:val="00AA17B9"/>
    <w:rsid w:val="00AA1A4D"/>
    <w:rsid w:val="00AA1EA4"/>
    <w:rsid w:val="00AA2756"/>
    <w:rsid w:val="00AA3095"/>
    <w:rsid w:val="00AA3149"/>
    <w:rsid w:val="00AA37D0"/>
    <w:rsid w:val="00AA3CFF"/>
    <w:rsid w:val="00AA3EDA"/>
    <w:rsid w:val="00AA407E"/>
    <w:rsid w:val="00AA414E"/>
    <w:rsid w:val="00AA431E"/>
    <w:rsid w:val="00AA43B5"/>
    <w:rsid w:val="00AA451A"/>
    <w:rsid w:val="00AA524C"/>
    <w:rsid w:val="00AA5D60"/>
    <w:rsid w:val="00AA6363"/>
    <w:rsid w:val="00AA6799"/>
    <w:rsid w:val="00AA6DA7"/>
    <w:rsid w:val="00AA74FA"/>
    <w:rsid w:val="00AA7E43"/>
    <w:rsid w:val="00AA7F8A"/>
    <w:rsid w:val="00AB00F8"/>
    <w:rsid w:val="00AB0117"/>
    <w:rsid w:val="00AB0589"/>
    <w:rsid w:val="00AB0725"/>
    <w:rsid w:val="00AB0794"/>
    <w:rsid w:val="00AB1165"/>
    <w:rsid w:val="00AB13B2"/>
    <w:rsid w:val="00AB1B52"/>
    <w:rsid w:val="00AB2104"/>
    <w:rsid w:val="00AB256F"/>
    <w:rsid w:val="00AB2A3B"/>
    <w:rsid w:val="00AB2C57"/>
    <w:rsid w:val="00AB3060"/>
    <w:rsid w:val="00AB37B1"/>
    <w:rsid w:val="00AB3912"/>
    <w:rsid w:val="00AB39FE"/>
    <w:rsid w:val="00AB3A3F"/>
    <w:rsid w:val="00AB3DFC"/>
    <w:rsid w:val="00AB47C5"/>
    <w:rsid w:val="00AB55D2"/>
    <w:rsid w:val="00AB5674"/>
    <w:rsid w:val="00AB5693"/>
    <w:rsid w:val="00AB6A2C"/>
    <w:rsid w:val="00AB6BAE"/>
    <w:rsid w:val="00AB6E5E"/>
    <w:rsid w:val="00AB6F68"/>
    <w:rsid w:val="00AC057B"/>
    <w:rsid w:val="00AC10F2"/>
    <w:rsid w:val="00AC19C3"/>
    <w:rsid w:val="00AC20C7"/>
    <w:rsid w:val="00AC2232"/>
    <w:rsid w:val="00AC2A0D"/>
    <w:rsid w:val="00AC3451"/>
    <w:rsid w:val="00AC366C"/>
    <w:rsid w:val="00AC3829"/>
    <w:rsid w:val="00AC39EC"/>
    <w:rsid w:val="00AC3B88"/>
    <w:rsid w:val="00AC3C1F"/>
    <w:rsid w:val="00AC3C66"/>
    <w:rsid w:val="00AC401C"/>
    <w:rsid w:val="00AC41F4"/>
    <w:rsid w:val="00AC490B"/>
    <w:rsid w:val="00AC4F8A"/>
    <w:rsid w:val="00AC517A"/>
    <w:rsid w:val="00AC5450"/>
    <w:rsid w:val="00AC5EEB"/>
    <w:rsid w:val="00AC614F"/>
    <w:rsid w:val="00AC61AE"/>
    <w:rsid w:val="00AC646F"/>
    <w:rsid w:val="00AC66E1"/>
    <w:rsid w:val="00AD0134"/>
    <w:rsid w:val="00AD0366"/>
    <w:rsid w:val="00AD03AB"/>
    <w:rsid w:val="00AD10AE"/>
    <w:rsid w:val="00AD12A0"/>
    <w:rsid w:val="00AD20F7"/>
    <w:rsid w:val="00AD24B4"/>
    <w:rsid w:val="00AD28C7"/>
    <w:rsid w:val="00AD28D1"/>
    <w:rsid w:val="00AD2D66"/>
    <w:rsid w:val="00AD2FB8"/>
    <w:rsid w:val="00AD3031"/>
    <w:rsid w:val="00AD32FB"/>
    <w:rsid w:val="00AD42FC"/>
    <w:rsid w:val="00AD4C63"/>
    <w:rsid w:val="00AD539F"/>
    <w:rsid w:val="00AD5762"/>
    <w:rsid w:val="00AD5C19"/>
    <w:rsid w:val="00AD5E02"/>
    <w:rsid w:val="00AD5E97"/>
    <w:rsid w:val="00AD62A5"/>
    <w:rsid w:val="00AD62B5"/>
    <w:rsid w:val="00AD6421"/>
    <w:rsid w:val="00AD7182"/>
    <w:rsid w:val="00AD7206"/>
    <w:rsid w:val="00AD7448"/>
    <w:rsid w:val="00AD7684"/>
    <w:rsid w:val="00AD7DA8"/>
    <w:rsid w:val="00AE0C5D"/>
    <w:rsid w:val="00AE0DB3"/>
    <w:rsid w:val="00AE0F8D"/>
    <w:rsid w:val="00AE1486"/>
    <w:rsid w:val="00AE1B5C"/>
    <w:rsid w:val="00AE1EA5"/>
    <w:rsid w:val="00AE212D"/>
    <w:rsid w:val="00AE23F0"/>
    <w:rsid w:val="00AE28AF"/>
    <w:rsid w:val="00AE3290"/>
    <w:rsid w:val="00AE3BD9"/>
    <w:rsid w:val="00AE44BB"/>
    <w:rsid w:val="00AE457A"/>
    <w:rsid w:val="00AE4639"/>
    <w:rsid w:val="00AE4DFD"/>
    <w:rsid w:val="00AE52BA"/>
    <w:rsid w:val="00AE5956"/>
    <w:rsid w:val="00AE5C3D"/>
    <w:rsid w:val="00AE68D9"/>
    <w:rsid w:val="00AE73D4"/>
    <w:rsid w:val="00AE75C4"/>
    <w:rsid w:val="00AE7A0E"/>
    <w:rsid w:val="00AF05AD"/>
    <w:rsid w:val="00AF062C"/>
    <w:rsid w:val="00AF08AD"/>
    <w:rsid w:val="00AF12BE"/>
    <w:rsid w:val="00AF1357"/>
    <w:rsid w:val="00AF1453"/>
    <w:rsid w:val="00AF1471"/>
    <w:rsid w:val="00AF14A7"/>
    <w:rsid w:val="00AF17CF"/>
    <w:rsid w:val="00AF1C4B"/>
    <w:rsid w:val="00AF1E5D"/>
    <w:rsid w:val="00AF20C0"/>
    <w:rsid w:val="00AF21BD"/>
    <w:rsid w:val="00AF249A"/>
    <w:rsid w:val="00AF2E6A"/>
    <w:rsid w:val="00AF33EE"/>
    <w:rsid w:val="00AF4074"/>
    <w:rsid w:val="00AF4690"/>
    <w:rsid w:val="00AF5148"/>
    <w:rsid w:val="00AF52A3"/>
    <w:rsid w:val="00AF5981"/>
    <w:rsid w:val="00AF6597"/>
    <w:rsid w:val="00AF6E2D"/>
    <w:rsid w:val="00AF6FC1"/>
    <w:rsid w:val="00AF70CD"/>
    <w:rsid w:val="00AF78DB"/>
    <w:rsid w:val="00AF7B38"/>
    <w:rsid w:val="00AF7B51"/>
    <w:rsid w:val="00B00588"/>
    <w:rsid w:val="00B00CE2"/>
    <w:rsid w:val="00B01D50"/>
    <w:rsid w:val="00B01DD2"/>
    <w:rsid w:val="00B027F9"/>
    <w:rsid w:val="00B02963"/>
    <w:rsid w:val="00B029D3"/>
    <w:rsid w:val="00B02A71"/>
    <w:rsid w:val="00B0312E"/>
    <w:rsid w:val="00B03436"/>
    <w:rsid w:val="00B03598"/>
    <w:rsid w:val="00B03608"/>
    <w:rsid w:val="00B036AD"/>
    <w:rsid w:val="00B037A1"/>
    <w:rsid w:val="00B03ECD"/>
    <w:rsid w:val="00B04145"/>
    <w:rsid w:val="00B043E6"/>
    <w:rsid w:val="00B0568D"/>
    <w:rsid w:val="00B059EE"/>
    <w:rsid w:val="00B05BE3"/>
    <w:rsid w:val="00B06125"/>
    <w:rsid w:val="00B0617E"/>
    <w:rsid w:val="00B06191"/>
    <w:rsid w:val="00B062C6"/>
    <w:rsid w:val="00B06410"/>
    <w:rsid w:val="00B06471"/>
    <w:rsid w:val="00B07A5D"/>
    <w:rsid w:val="00B07AB5"/>
    <w:rsid w:val="00B07B79"/>
    <w:rsid w:val="00B10647"/>
    <w:rsid w:val="00B10D1D"/>
    <w:rsid w:val="00B10D6A"/>
    <w:rsid w:val="00B10E1A"/>
    <w:rsid w:val="00B1144B"/>
    <w:rsid w:val="00B11841"/>
    <w:rsid w:val="00B1190C"/>
    <w:rsid w:val="00B12B2D"/>
    <w:rsid w:val="00B12BEC"/>
    <w:rsid w:val="00B12C88"/>
    <w:rsid w:val="00B1317D"/>
    <w:rsid w:val="00B131A8"/>
    <w:rsid w:val="00B1333E"/>
    <w:rsid w:val="00B13568"/>
    <w:rsid w:val="00B13E5A"/>
    <w:rsid w:val="00B13EF8"/>
    <w:rsid w:val="00B1494B"/>
    <w:rsid w:val="00B14ABA"/>
    <w:rsid w:val="00B15422"/>
    <w:rsid w:val="00B154DF"/>
    <w:rsid w:val="00B15AC0"/>
    <w:rsid w:val="00B161F3"/>
    <w:rsid w:val="00B163F3"/>
    <w:rsid w:val="00B16B04"/>
    <w:rsid w:val="00B17D94"/>
    <w:rsid w:val="00B2007C"/>
    <w:rsid w:val="00B202BC"/>
    <w:rsid w:val="00B21A5B"/>
    <w:rsid w:val="00B21CCA"/>
    <w:rsid w:val="00B228A3"/>
    <w:rsid w:val="00B22962"/>
    <w:rsid w:val="00B229D6"/>
    <w:rsid w:val="00B22B97"/>
    <w:rsid w:val="00B22C5B"/>
    <w:rsid w:val="00B23B43"/>
    <w:rsid w:val="00B2441C"/>
    <w:rsid w:val="00B25218"/>
    <w:rsid w:val="00B254E0"/>
    <w:rsid w:val="00B25D73"/>
    <w:rsid w:val="00B25DD5"/>
    <w:rsid w:val="00B25E37"/>
    <w:rsid w:val="00B26105"/>
    <w:rsid w:val="00B26207"/>
    <w:rsid w:val="00B27673"/>
    <w:rsid w:val="00B2782B"/>
    <w:rsid w:val="00B3007F"/>
    <w:rsid w:val="00B30453"/>
    <w:rsid w:val="00B308C7"/>
    <w:rsid w:val="00B30FA1"/>
    <w:rsid w:val="00B3104C"/>
    <w:rsid w:val="00B3140C"/>
    <w:rsid w:val="00B31446"/>
    <w:rsid w:val="00B31F51"/>
    <w:rsid w:val="00B31F6B"/>
    <w:rsid w:val="00B32AE6"/>
    <w:rsid w:val="00B3356E"/>
    <w:rsid w:val="00B337A7"/>
    <w:rsid w:val="00B33A0A"/>
    <w:rsid w:val="00B33CA9"/>
    <w:rsid w:val="00B341F9"/>
    <w:rsid w:val="00B34FF9"/>
    <w:rsid w:val="00B35302"/>
    <w:rsid w:val="00B35854"/>
    <w:rsid w:val="00B3597D"/>
    <w:rsid w:val="00B35D4D"/>
    <w:rsid w:val="00B36498"/>
    <w:rsid w:val="00B36763"/>
    <w:rsid w:val="00B3685D"/>
    <w:rsid w:val="00B36D4E"/>
    <w:rsid w:val="00B37184"/>
    <w:rsid w:val="00B3733E"/>
    <w:rsid w:val="00B37C65"/>
    <w:rsid w:val="00B40176"/>
    <w:rsid w:val="00B40494"/>
    <w:rsid w:val="00B40AE2"/>
    <w:rsid w:val="00B40C2A"/>
    <w:rsid w:val="00B414CE"/>
    <w:rsid w:val="00B4179B"/>
    <w:rsid w:val="00B41A7F"/>
    <w:rsid w:val="00B41ACA"/>
    <w:rsid w:val="00B42273"/>
    <w:rsid w:val="00B42426"/>
    <w:rsid w:val="00B44BB4"/>
    <w:rsid w:val="00B44D8D"/>
    <w:rsid w:val="00B458F2"/>
    <w:rsid w:val="00B45B2A"/>
    <w:rsid w:val="00B45E3A"/>
    <w:rsid w:val="00B45E91"/>
    <w:rsid w:val="00B4641F"/>
    <w:rsid w:val="00B46455"/>
    <w:rsid w:val="00B46AB0"/>
    <w:rsid w:val="00B46CF7"/>
    <w:rsid w:val="00B4731F"/>
    <w:rsid w:val="00B473EE"/>
    <w:rsid w:val="00B47BEE"/>
    <w:rsid w:val="00B51006"/>
    <w:rsid w:val="00B51060"/>
    <w:rsid w:val="00B51945"/>
    <w:rsid w:val="00B51A26"/>
    <w:rsid w:val="00B52648"/>
    <w:rsid w:val="00B52823"/>
    <w:rsid w:val="00B52EC9"/>
    <w:rsid w:val="00B53858"/>
    <w:rsid w:val="00B53ABD"/>
    <w:rsid w:val="00B53EEE"/>
    <w:rsid w:val="00B53F23"/>
    <w:rsid w:val="00B54ADB"/>
    <w:rsid w:val="00B54AFA"/>
    <w:rsid w:val="00B54E9D"/>
    <w:rsid w:val="00B54EAD"/>
    <w:rsid w:val="00B54F80"/>
    <w:rsid w:val="00B5512E"/>
    <w:rsid w:val="00B556A4"/>
    <w:rsid w:val="00B55977"/>
    <w:rsid w:val="00B55CC0"/>
    <w:rsid w:val="00B55D5D"/>
    <w:rsid w:val="00B5642B"/>
    <w:rsid w:val="00B56B82"/>
    <w:rsid w:val="00B5750C"/>
    <w:rsid w:val="00B5780F"/>
    <w:rsid w:val="00B57841"/>
    <w:rsid w:val="00B57D27"/>
    <w:rsid w:val="00B6004A"/>
    <w:rsid w:val="00B604AC"/>
    <w:rsid w:val="00B60E24"/>
    <w:rsid w:val="00B610E2"/>
    <w:rsid w:val="00B61C74"/>
    <w:rsid w:val="00B62303"/>
    <w:rsid w:val="00B62391"/>
    <w:rsid w:val="00B63125"/>
    <w:rsid w:val="00B639BF"/>
    <w:rsid w:val="00B639E6"/>
    <w:rsid w:val="00B63F98"/>
    <w:rsid w:val="00B64E6E"/>
    <w:rsid w:val="00B64EFF"/>
    <w:rsid w:val="00B64FD2"/>
    <w:rsid w:val="00B65B44"/>
    <w:rsid w:val="00B66084"/>
    <w:rsid w:val="00B664F7"/>
    <w:rsid w:val="00B66CE4"/>
    <w:rsid w:val="00B66D70"/>
    <w:rsid w:val="00B66EF8"/>
    <w:rsid w:val="00B67536"/>
    <w:rsid w:val="00B67D84"/>
    <w:rsid w:val="00B67EA0"/>
    <w:rsid w:val="00B702ED"/>
    <w:rsid w:val="00B705BC"/>
    <w:rsid w:val="00B70BCC"/>
    <w:rsid w:val="00B70ED4"/>
    <w:rsid w:val="00B71127"/>
    <w:rsid w:val="00B7165E"/>
    <w:rsid w:val="00B71FCE"/>
    <w:rsid w:val="00B7228F"/>
    <w:rsid w:val="00B7244D"/>
    <w:rsid w:val="00B72680"/>
    <w:rsid w:val="00B7314D"/>
    <w:rsid w:val="00B7383F"/>
    <w:rsid w:val="00B74345"/>
    <w:rsid w:val="00B7488B"/>
    <w:rsid w:val="00B74951"/>
    <w:rsid w:val="00B75011"/>
    <w:rsid w:val="00B7518B"/>
    <w:rsid w:val="00B75707"/>
    <w:rsid w:val="00B75B08"/>
    <w:rsid w:val="00B76756"/>
    <w:rsid w:val="00B76FEE"/>
    <w:rsid w:val="00B7742A"/>
    <w:rsid w:val="00B774A2"/>
    <w:rsid w:val="00B80BB8"/>
    <w:rsid w:val="00B8115C"/>
    <w:rsid w:val="00B81442"/>
    <w:rsid w:val="00B81D63"/>
    <w:rsid w:val="00B82064"/>
    <w:rsid w:val="00B821AA"/>
    <w:rsid w:val="00B82A00"/>
    <w:rsid w:val="00B833EB"/>
    <w:rsid w:val="00B833F0"/>
    <w:rsid w:val="00B844D4"/>
    <w:rsid w:val="00B8498B"/>
    <w:rsid w:val="00B84BF8"/>
    <w:rsid w:val="00B85223"/>
    <w:rsid w:val="00B859AB"/>
    <w:rsid w:val="00B86251"/>
    <w:rsid w:val="00B8666D"/>
    <w:rsid w:val="00B8669F"/>
    <w:rsid w:val="00B866C6"/>
    <w:rsid w:val="00B86942"/>
    <w:rsid w:val="00B8736A"/>
    <w:rsid w:val="00B8743B"/>
    <w:rsid w:val="00B874A7"/>
    <w:rsid w:val="00B87B6A"/>
    <w:rsid w:val="00B87C2E"/>
    <w:rsid w:val="00B90459"/>
    <w:rsid w:val="00B91172"/>
    <w:rsid w:val="00B91F7F"/>
    <w:rsid w:val="00B92444"/>
    <w:rsid w:val="00B9265B"/>
    <w:rsid w:val="00B928DC"/>
    <w:rsid w:val="00B929C8"/>
    <w:rsid w:val="00B92A3D"/>
    <w:rsid w:val="00B92A6E"/>
    <w:rsid w:val="00B9335D"/>
    <w:rsid w:val="00B93B82"/>
    <w:rsid w:val="00B93D27"/>
    <w:rsid w:val="00B94C74"/>
    <w:rsid w:val="00B9512B"/>
    <w:rsid w:val="00B955AC"/>
    <w:rsid w:val="00B95BAB"/>
    <w:rsid w:val="00B95DDB"/>
    <w:rsid w:val="00B95E91"/>
    <w:rsid w:val="00B96533"/>
    <w:rsid w:val="00B968FE"/>
    <w:rsid w:val="00B969BC"/>
    <w:rsid w:val="00B96A6C"/>
    <w:rsid w:val="00B97917"/>
    <w:rsid w:val="00B9795E"/>
    <w:rsid w:val="00BA0371"/>
    <w:rsid w:val="00BA0587"/>
    <w:rsid w:val="00BA0AAC"/>
    <w:rsid w:val="00BA0C8D"/>
    <w:rsid w:val="00BA0F23"/>
    <w:rsid w:val="00BA1174"/>
    <w:rsid w:val="00BA160A"/>
    <w:rsid w:val="00BA17DB"/>
    <w:rsid w:val="00BA1DFF"/>
    <w:rsid w:val="00BA24F9"/>
    <w:rsid w:val="00BA26AC"/>
    <w:rsid w:val="00BA298A"/>
    <w:rsid w:val="00BA2E36"/>
    <w:rsid w:val="00BA36B4"/>
    <w:rsid w:val="00BA36BE"/>
    <w:rsid w:val="00BA386D"/>
    <w:rsid w:val="00BA3FA0"/>
    <w:rsid w:val="00BA4025"/>
    <w:rsid w:val="00BA41C4"/>
    <w:rsid w:val="00BA473F"/>
    <w:rsid w:val="00BA4882"/>
    <w:rsid w:val="00BA4DFF"/>
    <w:rsid w:val="00BA5A11"/>
    <w:rsid w:val="00BA5A37"/>
    <w:rsid w:val="00BA6044"/>
    <w:rsid w:val="00BA700D"/>
    <w:rsid w:val="00BA7373"/>
    <w:rsid w:val="00BA7A79"/>
    <w:rsid w:val="00BB088A"/>
    <w:rsid w:val="00BB1079"/>
    <w:rsid w:val="00BB17AF"/>
    <w:rsid w:val="00BB1835"/>
    <w:rsid w:val="00BB2754"/>
    <w:rsid w:val="00BB2DB5"/>
    <w:rsid w:val="00BB2DF7"/>
    <w:rsid w:val="00BB2E39"/>
    <w:rsid w:val="00BB30B7"/>
    <w:rsid w:val="00BB3337"/>
    <w:rsid w:val="00BB3EC3"/>
    <w:rsid w:val="00BB4CCC"/>
    <w:rsid w:val="00BB54A3"/>
    <w:rsid w:val="00BB5989"/>
    <w:rsid w:val="00BB5ABD"/>
    <w:rsid w:val="00BB67F7"/>
    <w:rsid w:val="00BB6A1C"/>
    <w:rsid w:val="00BB6B3D"/>
    <w:rsid w:val="00BB741B"/>
    <w:rsid w:val="00BB7458"/>
    <w:rsid w:val="00BB7945"/>
    <w:rsid w:val="00BC0078"/>
    <w:rsid w:val="00BC039E"/>
    <w:rsid w:val="00BC03ED"/>
    <w:rsid w:val="00BC06A9"/>
    <w:rsid w:val="00BC125F"/>
    <w:rsid w:val="00BC1872"/>
    <w:rsid w:val="00BC1C63"/>
    <w:rsid w:val="00BC208F"/>
    <w:rsid w:val="00BC211F"/>
    <w:rsid w:val="00BC3436"/>
    <w:rsid w:val="00BC3924"/>
    <w:rsid w:val="00BC3986"/>
    <w:rsid w:val="00BC470E"/>
    <w:rsid w:val="00BC47B2"/>
    <w:rsid w:val="00BC5DBE"/>
    <w:rsid w:val="00BC60F2"/>
    <w:rsid w:val="00BC620F"/>
    <w:rsid w:val="00BC6359"/>
    <w:rsid w:val="00BC6BCD"/>
    <w:rsid w:val="00BC718E"/>
    <w:rsid w:val="00BC71EC"/>
    <w:rsid w:val="00BC7513"/>
    <w:rsid w:val="00BC760C"/>
    <w:rsid w:val="00BD0721"/>
    <w:rsid w:val="00BD073B"/>
    <w:rsid w:val="00BD08FA"/>
    <w:rsid w:val="00BD0C1E"/>
    <w:rsid w:val="00BD101F"/>
    <w:rsid w:val="00BD117B"/>
    <w:rsid w:val="00BD13D8"/>
    <w:rsid w:val="00BD153E"/>
    <w:rsid w:val="00BD1ADF"/>
    <w:rsid w:val="00BD1B72"/>
    <w:rsid w:val="00BD2815"/>
    <w:rsid w:val="00BD324E"/>
    <w:rsid w:val="00BD334C"/>
    <w:rsid w:val="00BD33CA"/>
    <w:rsid w:val="00BD37CD"/>
    <w:rsid w:val="00BD397A"/>
    <w:rsid w:val="00BD3D62"/>
    <w:rsid w:val="00BD3DAB"/>
    <w:rsid w:val="00BD4033"/>
    <w:rsid w:val="00BD42AC"/>
    <w:rsid w:val="00BD4542"/>
    <w:rsid w:val="00BD4940"/>
    <w:rsid w:val="00BD5AEA"/>
    <w:rsid w:val="00BD5BE2"/>
    <w:rsid w:val="00BD60D8"/>
    <w:rsid w:val="00BD6266"/>
    <w:rsid w:val="00BD6455"/>
    <w:rsid w:val="00BD6A65"/>
    <w:rsid w:val="00BD7FC4"/>
    <w:rsid w:val="00BE0076"/>
    <w:rsid w:val="00BE0CCF"/>
    <w:rsid w:val="00BE2480"/>
    <w:rsid w:val="00BE2EEA"/>
    <w:rsid w:val="00BE340B"/>
    <w:rsid w:val="00BE3732"/>
    <w:rsid w:val="00BE373B"/>
    <w:rsid w:val="00BE4306"/>
    <w:rsid w:val="00BE4590"/>
    <w:rsid w:val="00BE48C6"/>
    <w:rsid w:val="00BE49C9"/>
    <w:rsid w:val="00BE4D04"/>
    <w:rsid w:val="00BE4F4B"/>
    <w:rsid w:val="00BE4FA5"/>
    <w:rsid w:val="00BE5625"/>
    <w:rsid w:val="00BE58E6"/>
    <w:rsid w:val="00BE62F5"/>
    <w:rsid w:val="00BE6628"/>
    <w:rsid w:val="00BE6A6F"/>
    <w:rsid w:val="00BE6C45"/>
    <w:rsid w:val="00BE70CD"/>
    <w:rsid w:val="00BE7159"/>
    <w:rsid w:val="00BE7A9F"/>
    <w:rsid w:val="00BE7D8C"/>
    <w:rsid w:val="00BE7E30"/>
    <w:rsid w:val="00BF00E7"/>
    <w:rsid w:val="00BF0B7F"/>
    <w:rsid w:val="00BF1435"/>
    <w:rsid w:val="00BF18B8"/>
    <w:rsid w:val="00BF1B79"/>
    <w:rsid w:val="00BF2890"/>
    <w:rsid w:val="00BF3E2F"/>
    <w:rsid w:val="00BF42D1"/>
    <w:rsid w:val="00BF4EF3"/>
    <w:rsid w:val="00BF5F85"/>
    <w:rsid w:val="00BF69F4"/>
    <w:rsid w:val="00BF7CA0"/>
    <w:rsid w:val="00BF7E28"/>
    <w:rsid w:val="00C000CD"/>
    <w:rsid w:val="00C0027E"/>
    <w:rsid w:val="00C0050A"/>
    <w:rsid w:val="00C00BB8"/>
    <w:rsid w:val="00C0129A"/>
    <w:rsid w:val="00C014F0"/>
    <w:rsid w:val="00C01CE2"/>
    <w:rsid w:val="00C023F4"/>
    <w:rsid w:val="00C02949"/>
    <w:rsid w:val="00C0301B"/>
    <w:rsid w:val="00C0328C"/>
    <w:rsid w:val="00C03551"/>
    <w:rsid w:val="00C03A09"/>
    <w:rsid w:val="00C03C44"/>
    <w:rsid w:val="00C03FD7"/>
    <w:rsid w:val="00C04DFB"/>
    <w:rsid w:val="00C04E02"/>
    <w:rsid w:val="00C04E08"/>
    <w:rsid w:val="00C05D14"/>
    <w:rsid w:val="00C05D57"/>
    <w:rsid w:val="00C05D8A"/>
    <w:rsid w:val="00C0614F"/>
    <w:rsid w:val="00C069CD"/>
    <w:rsid w:val="00C06DAA"/>
    <w:rsid w:val="00C06EF1"/>
    <w:rsid w:val="00C06F9E"/>
    <w:rsid w:val="00C06FE4"/>
    <w:rsid w:val="00C0717A"/>
    <w:rsid w:val="00C079E5"/>
    <w:rsid w:val="00C07BE4"/>
    <w:rsid w:val="00C07DCC"/>
    <w:rsid w:val="00C07F2F"/>
    <w:rsid w:val="00C07F6F"/>
    <w:rsid w:val="00C10015"/>
    <w:rsid w:val="00C10F63"/>
    <w:rsid w:val="00C1197C"/>
    <w:rsid w:val="00C126FC"/>
    <w:rsid w:val="00C12F2D"/>
    <w:rsid w:val="00C13206"/>
    <w:rsid w:val="00C13C77"/>
    <w:rsid w:val="00C13E64"/>
    <w:rsid w:val="00C146B8"/>
    <w:rsid w:val="00C149C1"/>
    <w:rsid w:val="00C16186"/>
    <w:rsid w:val="00C1632A"/>
    <w:rsid w:val="00C16EC8"/>
    <w:rsid w:val="00C17507"/>
    <w:rsid w:val="00C179C8"/>
    <w:rsid w:val="00C20A20"/>
    <w:rsid w:val="00C20E99"/>
    <w:rsid w:val="00C21389"/>
    <w:rsid w:val="00C217D9"/>
    <w:rsid w:val="00C21BB4"/>
    <w:rsid w:val="00C21FE1"/>
    <w:rsid w:val="00C224C6"/>
    <w:rsid w:val="00C231E2"/>
    <w:rsid w:val="00C235C3"/>
    <w:rsid w:val="00C23A0B"/>
    <w:rsid w:val="00C23B32"/>
    <w:rsid w:val="00C23D8F"/>
    <w:rsid w:val="00C245E2"/>
    <w:rsid w:val="00C25405"/>
    <w:rsid w:val="00C255AB"/>
    <w:rsid w:val="00C26546"/>
    <w:rsid w:val="00C26763"/>
    <w:rsid w:val="00C26C69"/>
    <w:rsid w:val="00C27891"/>
    <w:rsid w:val="00C27AA1"/>
    <w:rsid w:val="00C27C00"/>
    <w:rsid w:val="00C27C78"/>
    <w:rsid w:val="00C27EE6"/>
    <w:rsid w:val="00C307A6"/>
    <w:rsid w:val="00C30BAD"/>
    <w:rsid w:val="00C30E17"/>
    <w:rsid w:val="00C31042"/>
    <w:rsid w:val="00C311A5"/>
    <w:rsid w:val="00C31354"/>
    <w:rsid w:val="00C3138E"/>
    <w:rsid w:val="00C3150C"/>
    <w:rsid w:val="00C316A2"/>
    <w:rsid w:val="00C31BF3"/>
    <w:rsid w:val="00C32AE2"/>
    <w:rsid w:val="00C34531"/>
    <w:rsid w:val="00C34715"/>
    <w:rsid w:val="00C3520E"/>
    <w:rsid w:val="00C35F2B"/>
    <w:rsid w:val="00C3661C"/>
    <w:rsid w:val="00C366A0"/>
    <w:rsid w:val="00C36D59"/>
    <w:rsid w:val="00C37003"/>
    <w:rsid w:val="00C37242"/>
    <w:rsid w:val="00C379DF"/>
    <w:rsid w:val="00C37B1E"/>
    <w:rsid w:val="00C4044D"/>
    <w:rsid w:val="00C40803"/>
    <w:rsid w:val="00C40C0A"/>
    <w:rsid w:val="00C41246"/>
    <w:rsid w:val="00C425B7"/>
    <w:rsid w:val="00C42C93"/>
    <w:rsid w:val="00C4331D"/>
    <w:rsid w:val="00C43BCF"/>
    <w:rsid w:val="00C43DF4"/>
    <w:rsid w:val="00C448F1"/>
    <w:rsid w:val="00C44C77"/>
    <w:rsid w:val="00C45125"/>
    <w:rsid w:val="00C453E4"/>
    <w:rsid w:val="00C45A10"/>
    <w:rsid w:val="00C45AA6"/>
    <w:rsid w:val="00C4613B"/>
    <w:rsid w:val="00C46509"/>
    <w:rsid w:val="00C46CED"/>
    <w:rsid w:val="00C46DFE"/>
    <w:rsid w:val="00C46F32"/>
    <w:rsid w:val="00C47996"/>
    <w:rsid w:val="00C47ABE"/>
    <w:rsid w:val="00C47CC5"/>
    <w:rsid w:val="00C50311"/>
    <w:rsid w:val="00C514C6"/>
    <w:rsid w:val="00C515D6"/>
    <w:rsid w:val="00C52262"/>
    <w:rsid w:val="00C52274"/>
    <w:rsid w:val="00C529EC"/>
    <w:rsid w:val="00C53277"/>
    <w:rsid w:val="00C53673"/>
    <w:rsid w:val="00C540D5"/>
    <w:rsid w:val="00C547EB"/>
    <w:rsid w:val="00C54840"/>
    <w:rsid w:val="00C553D8"/>
    <w:rsid w:val="00C5574B"/>
    <w:rsid w:val="00C55753"/>
    <w:rsid w:val="00C558F3"/>
    <w:rsid w:val="00C55D8A"/>
    <w:rsid w:val="00C563A0"/>
    <w:rsid w:val="00C5673E"/>
    <w:rsid w:val="00C568D0"/>
    <w:rsid w:val="00C56B0C"/>
    <w:rsid w:val="00C56BF3"/>
    <w:rsid w:val="00C56C00"/>
    <w:rsid w:val="00C56DF9"/>
    <w:rsid w:val="00C56E6B"/>
    <w:rsid w:val="00C5709E"/>
    <w:rsid w:val="00C57118"/>
    <w:rsid w:val="00C5753A"/>
    <w:rsid w:val="00C575B7"/>
    <w:rsid w:val="00C575CE"/>
    <w:rsid w:val="00C576A1"/>
    <w:rsid w:val="00C57BA8"/>
    <w:rsid w:val="00C6042E"/>
    <w:rsid w:val="00C6055C"/>
    <w:rsid w:val="00C605E4"/>
    <w:rsid w:val="00C60904"/>
    <w:rsid w:val="00C609B9"/>
    <w:rsid w:val="00C60BDC"/>
    <w:rsid w:val="00C60DE8"/>
    <w:rsid w:val="00C61267"/>
    <w:rsid w:val="00C61508"/>
    <w:rsid w:val="00C61514"/>
    <w:rsid w:val="00C623B9"/>
    <w:rsid w:val="00C639DE"/>
    <w:rsid w:val="00C63AEE"/>
    <w:rsid w:val="00C63CDE"/>
    <w:rsid w:val="00C63F44"/>
    <w:rsid w:val="00C6441E"/>
    <w:rsid w:val="00C648B3"/>
    <w:rsid w:val="00C649D4"/>
    <w:rsid w:val="00C64B20"/>
    <w:rsid w:val="00C65C1C"/>
    <w:rsid w:val="00C6608B"/>
    <w:rsid w:val="00C66683"/>
    <w:rsid w:val="00C67269"/>
    <w:rsid w:val="00C67374"/>
    <w:rsid w:val="00C67613"/>
    <w:rsid w:val="00C67961"/>
    <w:rsid w:val="00C67CEE"/>
    <w:rsid w:val="00C67D3A"/>
    <w:rsid w:val="00C67D61"/>
    <w:rsid w:val="00C701FB"/>
    <w:rsid w:val="00C70255"/>
    <w:rsid w:val="00C70814"/>
    <w:rsid w:val="00C72B30"/>
    <w:rsid w:val="00C72C9B"/>
    <w:rsid w:val="00C72EBA"/>
    <w:rsid w:val="00C73138"/>
    <w:rsid w:val="00C735AB"/>
    <w:rsid w:val="00C741EF"/>
    <w:rsid w:val="00C74CB5"/>
    <w:rsid w:val="00C750F1"/>
    <w:rsid w:val="00C75469"/>
    <w:rsid w:val="00C75E1A"/>
    <w:rsid w:val="00C76956"/>
    <w:rsid w:val="00C76C2A"/>
    <w:rsid w:val="00C77500"/>
    <w:rsid w:val="00C77B09"/>
    <w:rsid w:val="00C80585"/>
    <w:rsid w:val="00C8078E"/>
    <w:rsid w:val="00C80BDA"/>
    <w:rsid w:val="00C80D08"/>
    <w:rsid w:val="00C80EFF"/>
    <w:rsid w:val="00C811A9"/>
    <w:rsid w:val="00C816F8"/>
    <w:rsid w:val="00C818FA"/>
    <w:rsid w:val="00C81E84"/>
    <w:rsid w:val="00C822F2"/>
    <w:rsid w:val="00C82535"/>
    <w:rsid w:val="00C8298F"/>
    <w:rsid w:val="00C82C0A"/>
    <w:rsid w:val="00C83722"/>
    <w:rsid w:val="00C837F5"/>
    <w:rsid w:val="00C84A24"/>
    <w:rsid w:val="00C855BF"/>
    <w:rsid w:val="00C8659A"/>
    <w:rsid w:val="00C86631"/>
    <w:rsid w:val="00C86677"/>
    <w:rsid w:val="00C86750"/>
    <w:rsid w:val="00C87A48"/>
    <w:rsid w:val="00C90004"/>
    <w:rsid w:val="00C91500"/>
    <w:rsid w:val="00C915B7"/>
    <w:rsid w:val="00C917CB"/>
    <w:rsid w:val="00C91ADD"/>
    <w:rsid w:val="00C91FFC"/>
    <w:rsid w:val="00C92E82"/>
    <w:rsid w:val="00C93152"/>
    <w:rsid w:val="00C9325C"/>
    <w:rsid w:val="00C934A4"/>
    <w:rsid w:val="00C937A2"/>
    <w:rsid w:val="00C9399D"/>
    <w:rsid w:val="00C93A4B"/>
    <w:rsid w:val="00C93BC3"/>
    <w:rsid w:val="00C94722"/>
    <w:rsid w:val="00C94A6C"/>
    <w:rsid w:val="00C94F23"/>
    <w:rsid w:val="00C955BB"/>
    <w:rsid w:val="00C95AB1"/>
    <w:rsid w:val="00C95FE0"/>
    <w:rsid w:val="00C96111"/>
    <w:rsid w:val="00C96237"/>
    <w:rsid w:val="00C9624E"/>
    <w:rsid w:val="00C962DA"/>
    <w:rsid w:val="00C97343"/>
    <w:rsid w:val="00C976AF"/>
    <w:rsid w:val="00C97BB7"/>
    <w:rsid w:val="00C97CB9"/>
    <w:rsid w:val="00C97D8F"/>
    <w:rsid w:val="00CA01A9"/>
    <w:rsid w:val="00CA034A"/>
    <w:rsid w:val="00CA0B98"/>
    <w:rsid w:val="00CA146A"/>
    <w:rsid w:val="00CA1D48"/>
    <w:rsid w:val="00CA2649"/>
    <w:rsid w:val="00CA278D"/>
    <w:rsid w:val="00CA29FC"/>
    <w:rsid w:val="00CA3461"/>
    <w:rsid w:val="00CA3895"/>
    <w:rsid w:val="00CA3A29"/>
    <w:rsid w:val="00CA4222"/>
    <w:rsid w:val="00CA4D9F"/>
    <w:rsid w:val="00CA4EDB"/>
    <w:rsid w:val="00CA5556"/>
    <w:rsid w:val="00CA68DC"/>
    <w:rsid w:val="00CA6DCA"/>
    <w:rsid w:val="00CA7481"/>
    <w:rsid w:val="00CA7D7F"/>
    <w:rsid w:val="00CA7E15"/>
    <w:rsid w:val="00CB03C5"/>
    <w:rsid w:val="00CB0924"/>
    <w:rsid w:val="00CB0DCA"/>
    <w:rsid w:val="00CB1327"/>
    <w:rsid w:val="00CB1408"/>
    <w:rsid w:val="00CB1E91"/>
    <w:rsid w:val="00CB2405"/>
    <w:rsid w:val="00CB26C1"/>
    <w:rsid w:val="00CB3384"/>
    <w:rsid w:val="00CB3885"/>
    <w:rsid w:val="00CB38F6"/>
    <w:rsid w:val="00CB3E1A"/>
    <w:rsid w:val="00CB44E0"/>
    <w:rsid w:val="00CB48D1"/>
    <w:rsid w:val="00CB4C4F"/>
    <w:rsid w:val="00CB5114"/>
    <w:rsid w:val="00CB5557"/>
    <w:rsid w:val="00CB599C"/>
    <w:rsid w:val="00CB62F2"/>
    <w:rsid w:val="00CB6723"/>
    <w:rsid w:val="00CB67DC"/>
    <w:rsid w:val="00CB6A8C"/>
    <w:rsid w:val="00CB6EA8"/>
    <w:rsid w:val="00CB6F53"/>
    <w:rsid w:val="00CB7260"/>
    <w:rsid w:val="00CC034D"/>
    <w:rsid w:val="00CC035D"/>
    <w:rsid w:val="00CC041D"/>
    <w:rsid w:val="00CC1C07"/>
    <w:rsid w:val="00CC2E56"/>
    <w:rsid w:val="00CC2EC9"/>
    <w:rsid w:val="00CC3CBE"/>
    <w:rsid w:val="00CC42DA"/>
    <w:rsid w:val="00CC485A"/>
    <w:rsid w:val="00CC4912"/>
    <w:rsid w:val="00CC4A64"/>
    <w:rsid w:val="00CC4C32"/>
    <w:rsid w:val="00CC4F04"/>
    <w:rsid w:val="00CC5275"/>
    <w:rsid w:val="00CC5551"/>
    <w:rsid w:val="00CC5851"/>
    <w:rsid w:val="00CC5B71"/>
    <w:rsid w:val="00CC64FE"/>
    <w:rsid w:val="00CC6595"/>
    <w:rsid w:val="00CC66B1"/>
    <w:rsid w:val="00CC6858"/>
    <w:rsid w:val="00CC6CB9"/>
    <w:rsid w:val="00CC723C"/>
    <w:rsid w:val="00CC7D5C"/>
    <w:rsid w:val="00CC7EC9"/>
    <w:rsid w:val="00CD01D3"/>
    <w:rsid w:val="00CD09CA"/>
    <w:rsid w:val="00CD0EC6"/>
    <w:rsid w:val="00CD1444"/>
    <w:rsid w:val="00CD1591"/>
    <w:rsid w:val="00CD1859"/>
    <w:rsid w:val="00CD1C9E"/>
    <w:rsid w:val="00CD1DCC"/>
    <w:rsid w:val="00CD1E6B"/>
    <w:rsid w:val="00CD1EC4"/>
    <w:rsid w:val="00CD2386"/>
    <w:rsid w:val="00CD2B29"/>
    <w:rsid w:val="00CD30FD"/>
    <w:rsid w:val="00CD3546"/>
    <w:rsid w:val="00CD385A"/>
    <w:rsid w:val="00CD38BF"/>
    <w:rsid w:val="00CD42E1"/>
    <w:rsid w:val="00CD4611"/>
    <w:rsid w:val="00CD4951"/>
    <w:rsid w:val="00CD4F35"/>
    <w:rsid w:val="00CD4F7E"/>
    <w:rsid w:val="00CD5189"/>
    <w:rsid w:val="00CD54EF"/>
    <w:rsid w:val="00CD5BB8"/>
    <w:rsid w:val="00CD600D"/>
    <w:rsid w:val="00CD6EF7"/>
    <w:rsid w:val="00CD6F77"/>
    <w:rsid w:val="00CD74B1"/>
    <w:rsid w:val="00CD7707"/>
    <w:rsid w:val="00CD78DD"/>
    <w:rsid w:val="00CE049B"/>
    <w:rsid w:val="00CE076C"/>
    <w:rsid w:val="00CE07AB"/>
    <w:rsid w:val="00CE09C5"/>
    <w:rsid w:val="00CE0EDB"/>
    <w:rsid w:val="00CE0EDF"/>
    <w:rsid w:val="00CE2014"/>
    <w:rsid w:val="00CE21EB"/>
    <w:rsid w:val="00CE2911"/>
    <w:rsid w:val="00CE29FB"/>
    <w:rsid w:val="00CE2CEF"/>
    <w:rsid w:val="00CE3B2E"/>
    <w:rsid w:val="00CE4255"/>
    <w:rsid w:val="00CE4577"/>
    <w:rsid w:val="00CE4DC1"/>
    <w:rsid w:val="00CE6DD1"/>
    <w:rsid w:val="00CE6E62"/>
    <w:rsid w:val="00CE7107"/>
    <w:rsid w:val="00CE726D"/>
    <w:rsid w:val="00CF0700"/>
    <w:rsid w:val="00CF0A5B"/>
    <w:rsid w:val="00CF0D75"/>
    <w:rsid w:val="00CF0E33"/>
    <w:rsid w:val="00CF1511"/>
    <w:rsid w:val="00CF175E"/>
    <w:rsid w:val="00CF19F4"/>
    <w:rsid w:val="00CF1AB9"/>
    <w:rsid w:val="00CF1E2F"/>
    <w:rsid w:val="00CF1F06"/>
    <w:rsid w:val="00CF2645"/>
    <w:rsid w:val="00CF293C"/>
    <w:rsid w:val="00CF2B6C"/>
    <w:rsid w:val="00CF2C87"/>
    <w:rsid w:val="00CF2E5E"/>
    <w:rsid w:val="00CF3580"/>
    <w:rsid w:val="00CF3790"/>
    <w:rsid w:val="00CF3894"/>
    <w:rsid w:val="00CF3A55"/>
    <w:rsid w:val="00CF3CB0"/>
    <w:rsid w:val="00CF3CF7"/>
    <w:rsid w:val="00CF3E43"/>
    <w:rsid w:val="00CF4252"/>
    <w:rsid w:val="00CF45EB"/>
    <w:rsid w:val="00CF48E8"/>
    <w:rsid w:val="00CF4AFA"/>
    <w:rsid w:val="00CF4BDF"/>
    <w:rsid w:val="00CF4F32"/>
    <w:rsid w:val="00CF500A"/>
    <w:rsid w:val="00CF50A4"/>
    <w:rsid w:val="00CF569F"/>
    <w:rsid w:val="00CF5790"/>
    <w:rsid w:val="00CF67F1"/>
    <w:rsid w:val="00CF7663"/>
    <w:rsid w:val="00CF767B"/>
    <w:rsid w:val="00CF791D"/>
    <w:rsid w:val="00CF7C4F"/>
    <w:rsid w:val="00CF7F94"/>
    <w:rsid w:val="00D00303"/>
    <w:rsid w:val="00D005B6"/>
    <w:rsid w:val="00D009C2"/>
    <w:rsid w:val="00D00A51"/>
    <w:rsid w:val="00D00CEA"/>
    <w:rsid w:val="00D00F57"/>
    <w:rsid w:val="00D00F7A"/>
    <w:rsid w:val="00D0162F"/>
    <w:rsid w:val="00D01AD9"/>
    <w:rsid w:val="00D042FD"/>
    <w:rsid w:val="00D044D1"/>
    <w:rsid w:val="00D04739"/>
    <w:rsid w:val="00D04AAE"/>
    <w:rsid w:val="00D04B7E"/>
    <w:rsid w:val="00D04BF6"/>
    <w:rsid w:val="00D0582C"/>
    <w:rsid w:val="00D058AB"/>
    <w:rsid w:val="00D066E1"/>
    <w:rsid w:val="00D06A0B"/>
    <w:rsid w:val="00D06E47"/>
    <w:rsid w:val="00D071CE"/>
    <w:rsid w:val="00D07235"/>
    <w:rsid w:val="00D077AC"/>
    <w:rsid w:val="00D07871"/>
    <w:rsid w:val="00D07AE8"/>
    <w:rsid w:val="00D07BF6"/>
    <w:rsid w:val="00D10124"/>
    <w:rsid w:val="00D10659"/>
    <w:rsid w:val="00D118C9"/>
    <w:rsid w:val="00D119AC"/>
    <w:rsid w:val="00D1203F"/>
    <w:rsid w:val="00D125B4"/>
    <w:rsid w:val="00D12DDE"/>
    <w:rsid w:val="00D1317B"/>
    <w:rsid w:val="00D131D2"/>
    <w:rsid w:val="00D1323F"/>
    <w:rsid w:val="00D13E9D"/>
    <w:rsid w:val="00D146D2"/>
    <w:rsid w:val="00D14780"/>
    <w:rsid w:val="00D147A9"/>
    <w:rsid w:val="00D14B93"/>
    <w:rsid w:val="00D14EA0"/>
    <w:rsid w:val="00D14F67"/>
    <w:rsid w:val="00D1506B"/>
    <w:rsid w:val="00D15B44"/>
    <w:rsid w:val="00D1616D"/>
    <w:rsid w:val="00D16C8B"/>
    <w:rsid w:val="00D1715D"/>
    <w:rsid w:val="00D17288"/>
    <w:rsid w:val="00D174EA"/>
    <w:rsid w:val="00D1763A"/>
    <w:rsid w:val="00D17ABF"/>
    <w:rsid w:val="00D17ED2"/>
    <w:rsid w:val="00D2042D"/>
    <w:rsid w:val="00D208E8"/>
    <w:rsid w:val="00D2093B"/>
    <w:rsid w:val="00D20B79"/>
    <w:rsid w:val="00D20D47"/>
    <w:rsid w:val="00D20FC5"/>
    <w:rsid w:val="00D211D5"/>
    <w:rsid w:val="00D21406"/>
    <w:rsid w:val="00D214A3"/>
    <w:rsid w:val="00D2206D"/>
    <w:rsid w:val="00D227B8"/>
    <w:rsid w:val="00D23071"/>
    <w:rsid w:val="00D233C3"/>
    <w:rsid w:val="00D23709"/>
    <w:rsid w:val="00D2471E"/>
    <w:rsid w:val="00D24B73"/>
    <w:rsid w:val="00D24DD2"/>
    <w:rsid w:val="00D25673"/>
    <w:rsid w:val="00D25AB0"/>
    <w:rsid w:val="00D25C30"/>
    <w:rsid w:val="00D25F22"/>
    <w:rsid w:val="00D25FB3"/>
    <w:rsid w:val="00D2706B"/>
    <w:rsid w:val="00D27301"/>
    <w:rsid w:val="00D27B45"/>
    <w:rsid w:val="00D30542"/>
    <w:rsid w:val="00D30835"/>
    <w:rsid w:val="00D30F4D"/>
    <w:rsid w:val="00D313ED"/>
    <w:rsid w:val="00D318F5"/>
    <w:rsid w:val="00D32065"/>
    <w:rsid w:val="00D32228"/>
    <w:rsid w:val="00D324A9"/>
    <w:rsid w:val="00D3280E"/>
    <w:rsid w:val="00D32AF9"/>
    <w:rsid w:val="00D32FAD"/>
    <w:rsid w:val="00D3306A"/>
    <w:rsid w:val="00D33929"/>
    <w:rsid w:val="00D33D56"/>
    <w:rsid w:val="00D33EAB"/>
    <w:rsid w:val="00D33FA1"/>
    <w:rsid w:val="00D341F3"/>
    <w:rsid w:val="00D34478"/>
    <w:rsid w:val="00D34590"/>
    <w:rsid w:val="00D34708"/>
    <w:rsid w:val="00D34808"/>
    <w:rsid w:val="00D349CF"/>
    <w:rsid w:val="00D34A11"/>
    <w:rsid w:val="00D3500C"/>
    <w:rsid w:val="00D3564B"/>
    <w:rsid w:val="00D3568C"/>
    <w:rsid w:val="00D35F35"/>
    <w:rsid w:val="00D3610F"/>
    <w:rsid w:val="00D36574"/>
    <w:rsid w:val="00D371C6"/>
    <w:rsid w:val="00D3728F"/>
    <w:rsid w:val="00D3740E"/>
    <w:rsid w:val="00D37626"/>
    <w:rsid w:val="00D37879"/>
    <w:rsid w:val="00D37AB4"/>
    <w:rsid w:val="00D37DEE"/>
    <w:rsid w:val="00D40022"/>
    <w:rsid w:val="00D406BD"/>
    <w:rsid w:val="00D40F6E"/>
    <w:rsid w:val="00D41451"/>
    <w:rsid w:val="00D4187B"/>
    <w:rsid w:val="00D41AC1"/>
    <w:rsid w:val="00D41DA0"/>
    <w:rsid w:val="00D431B1"/>
    <w:rsid w:val="00D4343B"/>
    <w:rsid w:val="00D436FA"/>
    <w:rsid w:val="00D43702"/>
    <w:rsid w:val="00D43AAE"/>
    <w:rsid w:val="00D43DB9"/>
    <w:rsid w:val="00D43E7F"/>
    <w:rsid w:val="00D4409D"/>
    <w:rsid w:val="00D4411C"/>
    <w:rsid w:val="00D4449D"/>
    <w:rsid w:val="00D44716"/>
    <w:rsid w:val="00D44BE7"/>
    <w:rsid w:val="00D456EA"/>
    <w:rsid w:val="00D45A1C"/>
    <w:rsid w:val="00D45E24"/>
    <w:rsid w:val="00D463A1"/>
    <w:rsid w:val="00D46577"/>
    <w:rsid w:val="00D4698B"/>
    <w:rsid w:val="00D46B85"/>
    <w:rsid w:val="00D47046"/>
    <w:rsid w:val="00D51629"/>
    <w:rsid w:val="00D51E41"/>
    <w:rsid w:val="00D5203B"/>
    <w:rsid w:val="00D52062"/>
    <w:rsid w:val="00D52BE7"/>
    <w:rsid w:val="00D52C45"/>
    <w:rsid w:val="00D538B3"/>
    <w:rsid w:val="00D53C01"/>
    <w:rsid w:val="00D53EBC"/>
    <w:rsid w:val="00D53FB2"/>
    <w:rsid w:val="00D553CC"/>
    <w:rsid w:val="00D5597F"/>
    <w:rsid w:val="00D5684E"/>
    <w:rsid w:val="00D5690F"/>
    <w:rsid w:val="00D5711B"/>
    <w:rsid w:val="00D5759D"/>
    <w:rsid w:val="00D57717"/>
    <w:rsid w:val="00D5782F"/>
    <w:rsid w:val="00D57A92"/>
    <w:rsid w:val="00D6008D"/>
    <w:rsid w:val="00D60FD6"/>
    <w:rsid w:val="00D614E0"/>
    <w:rsid w:val="00D61B9C"/>
    <w:rsid w:val="00D6244E"/>
    <w:rsid w:val="00D62620"/>
    <w:rsid w:val="00D62B35"/>
    <w:rsid w:val="00D62CC9"/>
    <w:rsid w:val="00D63022"/>
    <w:rsid w:val="00D63367"/>
    <w:rsid w:val="00D633A6"/>
    <w:rsid w:val="00D63688"/>
    <w:rsid w:val="00D64676"/>
    <w:rsid w:val="00D64DC3"/>
    <w:rsid w:val="00D6524C"/>
    <w:rsid w:val="00D6601D"/>
    <w:rsid w:val="00D66BBA"/>
    <w:rsid w:val="00D66F43"/>
    <w:rsid w:val="00D6734F"/>
    <w:rsid w:val="00D676AB"/>
    <w:rsid w:val="00D67757"/>
    <w:rsid w:val="00D6799C"/>
    <w:rsid w:val="00D67E0C"/>
    <w:rsid w:val="00D70227"/>
    <w:rsid w:val="00D703F8"/>
    <w:rsid w:val="00D71089"/>
    <w:rsid w:val="00D71BB4"/>
    <w:rsid w:val="00D72736"/>
    <w:rsid w:val="00D72E17"/>
    <w:rsid w:val="00D74F2D"/>
    <w:rsid w:val="00D75581"/>
    <w:rsid w:val="00D75F22"/>
    <w:rsid w:val="00D7620A"/>
    <w:rsid w:val="00D76437"/>
    <w:rsid w:val="00D778F1"/>
    <w:rsid w:val="00D802C4"/>
    <w:rsid w:val="00D80EE5"/>
    <w:rsid w:val="00D80FE0"/>
    <w:rsid w:val="00D814B3"/>
    <w:rsid w:val="00D81EFD"/>
    <w:rsid w:val="00D829B5"/>
    <w:rsid w:val="00D82E4A"/>
    <w:rsid w:val="00D83442"/>
    <w:rsid w:val="00D837CE"/>
    <w:rsid w:val="00D83E7D"/>
    <w:rsid w:val="00D84731"/>
    <w:rsid w:val="00D84768"/>
    <w:rsid w:val="00D84C22"/>
    <w:rsid w:val="00D84EA8"/>
    <w:rsid w:val="00D84F38"/>
    <w:rsid w:val="00D8506D"/>
    <w:rsid w:val="00D854B5"/>
    <w:rsid w:val="00D86290"/>
    <w:rsid w:val="00D8657A"/>
    <w:rsid w:val="00D86CBD"/>
    <w:rsid w:val="00D8754F"/>
    <w:rsid w:val="00D87FD9"/>
    <w:rsid w:val="00D90B71"/>
    <w:rsid w:val="00D90CF9"/>
    <w:rsid w:val="00D916F9"/>
    <w:rsid w:val="00D91885"/>
    <w:rsid w:val="00D918A1"/>
    <w:rsid w:val="00D92276"/>
    <w:rsid w:val="00D9231E"/>
    <w:rsid w:val="00D924DE"/>
    <w:rsid w:val="00D92554"/>
    <w:rsid w:val="00D930B5"/>
    <w:rsid w:val="00D93577"/>
    <w:rsid w:val="00D937AD"/>
    <w:rsid w:val="00D93B4C"/>
    <w:rsid w:val="00D93B8C"/>
    <w:rsid w:val="00D93E12"/>
    <w:rsid w:val="00D941E5"/>
    <w:rsid w:val="00D94322"/>
    <w:rsid w:val="00D94679"/>
    <w:rsid w:val="00D94837"/>
    <w:rsid w:val="00D949A4"/>
    <w:rsid w:val="00D94CD3"/>
    <w:rsid w:val="00D9520B"/>
    <w:rsid w:val="00D95539"/>
    <w:rsid w:val="00D95962"/>
    <w:rsid w:val="00D978AD"/>
    <w:rsid w:val="00D97AF6"/>
    <w:rsid w:val="00DA07B2"/>
    <w:rsid w:val="00DA0841"/>
    <w:rsid w:val="00DA0BC6"/>
    <w:rsid w:val="00DA162B"/>
    <w:rsid w:val="00DA210B"/>
    <w:rsid w:val="00DA23F6"/>
    <w:rsid w:val="00DA25F7"/>
    <w:rsid w:val="00DA2BD8"/>
    <w:rsid w:val="00DA3A45"/>
    <w:rsid w:val="00DA4312"/>
    <w:rsid w:val="00DA449C"/>
    <w:rsid w:val="00DA5152"/>
    <w:rsid w:val="00DA535F"/>
    <w:rsid w:val="00DA5F6C"/>
    <w:rsid w:val="00DA5F98"/>
    <w:rsid w:val="00DA7054"/>
    <w:rsid w:val="00DA7DCF"/>
    <w:rsid w:val="00DA7DEA"/>
    <w:rsid w:val="00DB19E8"/>
    <w:rsid w:val="00DB1A88"/>
    <w:rsid w:val="00DB1E8A"/>
    <w:rsid w:val="00DB2163"/>
    <w:rsid w:val="00DB25CC"/>
    <w:rsid w:val="00DB2CAA"/>
    <w:rsid w:val="00DB2E04"/>
    <w:rsid w:val="00DB31AF"/>
    <w:rsid w:val="00DB3A6A"/>
    <w:rsid w:val="00DB3D3D"/>
    <w:rsid w:val="00DB3F20"/>
    <w:rsid w:val="00DB40E3"/>
    <w:rsid w:val="00DB4534"/>
    <w:rsid w:val="00DB467E"/>
    <w:rsid w:val="00DB4C97"/>
    <w:rsid w:val="00DB4D1C"/>
    <w:rsid w:val="00DB5057"/>
    <w:rsid w:val="00DB573F"/>
    <w:rsid w:val="00DB6264"/>
    <w:rsid w:val="00DB6551"/>
    <w:rsid w:val="00DB66C1"/>
    <w:rsid w:val="00DB6E85"/>
    <w:rsid w:val="00DC0126"/>
    <w:rsid w:val="00DC0717"/>
    <w:rsid w:val="00DC0805"/>
    <w:rsid w:val="00DC0B06"/>
    <w:rsid w:val="00DC1692"/>
    <w:rsid w:val="00DC1D8D"/>
    <w:rsid w:val="00DC1E8C"/>
    <w:rsid w:val="00DC23E0"/>
    <w:rsid w:val="00DC2BD4"/>
    <w:rsid w:val="00DC2C9A"/>
    <w:rsid w:val="00DC3815"/>
    <w:rsid w:val="00DC3F39"/>
    <w:rsid w:val="00DC4071"/>
    <w:rsid w:val="00DC4238"/>
    <w:rsid w:val="00DC4246"/>
    <w:rsid w:val="00DC42A4"/>
    <w:rsid w:val="00DC4E05"/>
    <w:rsid w:val="00DC508E"/>
    <w:rsid w:val="00DC571C"/>
    <w:rsid w:val="00DC577B"/>
    <w:rsid w:val="00DC5810"/>
    <w:rsid w:val="00DC60D7"/>
    <w:rsid w:val="00DC6476"/>
    <w:rsid w:val="00DC662D"/>
    <w:rsid w:val="00DC75B8"/>
    <w:rsid w:val="00DC7895"/>
    <w:rsid w:val="00DC78AF"/>
    <w:rsid w:val="00DC7A12"/>
    <w:rsid w:val="00DC7BC1"/>
    <w:rsid w:val="00DC7C6F"/>
    <w:rsid w:val="00DD0010"/>
    <w:rsid w:val="00DD0185"/>
    <w:rsid w:val="00DD0593"/>
    <w:rsid w:val="00DD0845"/>
    <w:rsid w:val="00DD1145"/>
    <w:rsid w:val="00DD19E9"/>
    <w:rsid w:val="00DD1AAD"/>
    <w:rsid w:val="00DD1B47"/>
    <w:rsid w:val="00DD24F9"/>
    <w:rsid w:val="00DD3539"/>
    <w:rsid w:val="00DD35EE"/>
    <w:rsid w:val="00DD360D"/>
    <w:rsid w:val="00DD36E7"/>
    <w:rsid w:val="00DD3A7E"/>
    <w:rsid w:val="00DD4F19"/>
    <w:rsid w:val="00DD5110"/>
    <w:rsid w:val="00DD5780"/>
    <w:rsid w:val="00DD5F01"/>
    <w:rsid w:val="00DD5FD2"/>
    <w:rsid w:val="00DD6904"/>
    <w:rsid w:val="00DD6968"/>
    <w:rsid w:val="00DD6F59"/>
    <w:rsid w:val="00DD7074"/>
    <w:rsid w:val="00DD719B"/>
    <w:rsid w:val="00DD7412"/>
    <w:rsid w:val="00DD7508"/>
    <w:rsid w:val="00DD7563"/>
    <w:rsid w:val="00DD76B6"/>
    <w:rsid w:val="00DD79C1"/>
    <w:rsid w:val="00DD7B35"/>
    <w:rsid w:val="00DE0254"/>
    <w:rsid w:val="00DE0F69"/>
    <w:rsid w:val="00DE282F"/>
    <w:rsid w:val="00DE2C18"/>
    <w:rsid w:val="00DE344D"/>
    <w:rsid w:val="00DE464B"/>
    <w:rsid w:val="00DE480D"/>
    <w:rsid w:val="00DE4838"/>
    <w:rsid w:val="00DE4B2B"/>
    <w:rsid w:val="00DE4BE0"/>
    <w:rsid w:val="00DE555B"/>
    <w:rsid w:val="00DE5758"/>
    <w:rsid w:val="00DE5981"/>
    <w:rsid w:val="00DE62C2"/>
    <w:rsid w:val="00DE6B65"/>
    <w:rsid w:val="00DE6D60"/>
    <w:rsid w:val="00DE6FAE"/>
    <w:rsid w:val="00DE7BA9"/>
    <w:rsid w:val="00DE7C9F"/>
    <w:rsid w:val="00DF1C40"/>
    <w:rsid w:val="00DF1DED"/>
    <w:rsid w:val="00DF2343"/>
    <w:rsid w:val="00DF249C"/>
    <w:rsid w:val="00DF265F"/>
    <w:rsid w:val="00DF299F"/>
    <w:rsid w:val="00DF320A"/>
    <w:rsid w:val="00DF3B7D"/>
    <w:rsid w:val="00DF48C5"/>
    <w:rsid w:val="00DF56D6"/>
    <w:rsid w:val="00DF5E8C"/>
    <w:rsid w:val="00DF6136"/>
    <w:rsid w:val="00DF6E3E"/>
    <w:rsid w:val="00DF6ED9"/>
    <w:rsid w:val="00DF776F"/>
    <w:rsid w:val="00DF7B61"/>
    <w:rsid w:val="00DF7DC7"/>
    <w:rsid w:val="00DF7E40"/>
    <w:rsid w:val="00DF7F12"/>
    <w:rsid w:val="00E00307"/>
    <w:rsid w:val="00E003C3"/>
    <w:rsid w:val="00E0065C"/>
    <w:rsid w:val="00E00D0C"/>
    <w:rsid w:val="00E01A69"/>
    <w:rsid w:val="00E01B30"/>
    <w:rsid w:val="00E01C0F"/>
    <w:rsid w:val="00E01CE4"/>
    <w:rsid w:val="00E026EC"/>
    <w:rsid w:val="00E0271C"/>
    <w:rsid w:val="00E02B19"/>
    <w:rsid w:val="00E02F6A"/>
    <w:rsid w:val="00E03632"/>
    <w:rsid w:val="00E036C3"/>
    <w:rsid w:val="00E04230"/>
    <w:rsid w:val="00E048D3"/>
    <w:rsid w:val="00E0550F"/>
    <w:rsid w:val="00E056BB"/>
    <w:rsid w:val="00E057E6"/>
    <w:rsid w:val="00E05C06"/>
    <w:rsid w:val="00E05CEF"/>
    <w:rsid w:val="00E05D04"/>
    <w:rsid w:val="00E0614D"/>
    <w:rsid w:val="00E066DE"/>
    <w:rsid w:val="00E0716E"/>
    <w:rsid w:val="00E07924"/>
    <w:rsid w:val="00E07D64"/>
    <w:rsid w:val="00E101B5"/>
    <w:rsid w:val="00E105B2"/>
    <w:rsid w:val="00E108F6"/>
    <w:rsid w:val="00E1097D"/>
    <w:rsid w:val="00E10B27"/>
    <w:rsid w:val="00E10F55"/>
    <w:rsid w:val="00E1118D"/>
    <w:rsid w:val="00E11E48"/>
    <w:rsid w:val="00E12365"/>
    <w:rsid w:val="00E12F77"/>
    <w:rsid w:val="00E13061"/>
    <w:rsid w:val="00E1394A"/>
    <w:rsid w:val="00E14AE2"/>
    <w:rsid w:val="00E153FE"/>
    <w:rsid w:val="00E15CDE"/>
    <w:rsid w:val="00E16C90"/>
    <w:rsid w:val="00E207A2"/>
    <w:rsid w:val="00E207FB"/>
    <w:rsid w:val="00E21679"/>
    <w:rsid w:val="00E21C07"/>
    <w:rsid w:val="00E21F76"/>
    <w:rsid w:val="00E2243C"/>
    <w:rsid w:val="00E22B41"/>
    <w:rsid w:val="00E22B46"/>
    <w:rsid w:val="00E22B84"/>
    <w:rsid w:val="00E231DE"/>
    <w:rsid w:val="00E249FA"/>
    <w:rsid w:val="00E24ABA"/>
    <w:rsid w:val="00E24D64"/>
    <w:rsid w:val="00E25388"/>
    <w:rsid w:val="00E25931"/>
    <w:rsid w:val="00E263EC"/>
    <w:rsid w:val="00E264D6"/>
    <w:rsid w:val="00E26BC4"/>
    <w:rsid w:val="00E26C33"/>
    <w:rsid w:val="00E273E7"/>
    <w:rsid w:val="00E27581"/>
    <w:rsid w:val="00E27EA8"/>
    <w:rsid w:val="00E27F1B"/>
    <w:rsid w:val="00E305C0"/>
    <w:rsid w:val="00E30C00"/>
    <w:rsid w:val="00E30E2A"/>
    <w:rsid w:val="00E31291"/>
    <w:rsid w:val="00E31DF2"/>
    <w:rsid w:val="00E32327"/>
    <w:rsid w:val="00E3429F"/>
    <w:rsid w:val="00E34442"/>
    <w:rsid w:val="00E34711"/>
    <w:rsid w:val="00E34E7B"/>
    <w:rsid w:val="00E358C1"/>
    <w:rsid w:val="00E3599D"/>
    <w:rsid w:val="00E35B8C"/>
    <w:rsid w:val="00E35DE5"/>
    <w:rsid w:val="00E3645F"/>
    <w:rsid w:val="00E36587"/>
    <w:rsid w:val="00E36FEE"/>
    <w:rsid w:val="00E37D5A"/>
    <w:rsid w:val="00E407F1"/>
    <w:rsid w:val="00E40C2D"/>
    <w:rsid w:val="00E4185A"/>
    <w:rsid w:val="00E41BB2"/>
    <w:rsid w:val="00E4223A"/>
    <w:rsid w:val="00E42306"/>
    <w:rsid w:val="00E4242B"/>
    <w:rsid w:val="00E424B7"/>
    <w:rsid w:val="00E427EF"/>
    <w:rsid w:val="00E42C91"/>
    <w:rsid w:val="00E431C1"/>
    <w:rsid w:val="00E43535"/>
    <w:rsid w:val="00E435B1"/>
    <w:rsid w:val="00E43CA1"/>
    <w:rsid w:val="00E43DFC"/>
    <w:rsid w:val="00E44464"/>
    <w:rsid w:val="00E44589"/>
    <w:rsid w:val="00E44996"/>
    <w:rsid w:val="00E44C75"/>
    <w:rsid w:val="00E451D9"/>
    <w:rsid w:val="00E457BC"/>
    <w:rsid w:val="00E45A6F"/>
    <w:rsid w:val="00E45E57"/>
    <w:rsid w:val="00E46467"/>
    <w:rsid w:val="00E46701"/>
    <w:rsid w:val="00E46C5B"/>
    <w:rsid w:val="00E46CAE"/>
    <w:rsid w:val="00E46E1C"/>
    <w:rsid w:val="00E46F8B"/>
    <w:rsid w:val="00E470E6"/>
    <w:rsid w:val="00E47111"/>
    <w:rsid w:val="00E47161"/>
    <w:rsid w:val="00E4728B"/>
    <w:rsid w:val="00E4784D"/>
    <w:rsid w:val="00E47A43"/>
    <w:rsid w:val="00E501CB"/>
    <w:rsid w:val="00E50505"/>
    <w:rsid w:val="00E5078F"/>
    <w:rsid w:val="00E507C5"/>
    <w:rsid w:val="00E517D7"/>
    <w:rsid w:val="00E519E1"/>
    <w:rsid w:val="00E51A4C"/>
    <w:rsid w:val="00E5260D"/>
    <w:rsid w:val="00E52D2B"/>
    <w:rsid w:val="00E53293"/>
    <w:rsid w:val="00E53314"/>
    <w:rsid w:val="00E537CE"/>
    <w:rsid w:val="00E54083"/>
    <w:rsid w:val="00E54242"/>
    <w:rsid w:val="00E54CC3"/>
    <w:rsid w:val="00E563A0"/>
    <w:rsid w:val="00E5673E"/>
    <w:rsid w:val="00E56B64"/>
    <w:rsid w:val="00E56B69"/>
    <w:rsid w:val="00E56F0A"/>
    <w:rsid w:val="00E56FD7"/>
    <w:rsid w:val="00E570E1"/>
    <w:rsid w:val="00E575BA"/>
    <w:rsid w:val="00E57FC0"/>
    <w:rsid w:val="00E600A2"/>
    <w:rsid w:val="00E6024B"/>
    <w:rsid w:val="00E60984"/>
    <w:rsid w:val="00E61569"/>
    <w:rsid w:val="00E618EF"/>
    <w:rsid w:val="00E6190B"/>
    <w:rsid w:val="00E619B8"/>
    <w:rsid w:val="00E61DD5"/>
    <w:rsid w:val="00E61F0B"/>
    <w:rsid w:val="00E623CF"/>
    <w:rsid w:val="00E62C66"/>
    <w:rsid w:val="00E632B1"/>
    <w:rsid w:val="00E6360B"/>
    <w:rsid w:val="00E6368F"/>
    <w:rsid w:val="00E63E9F"/>
    <w:rsid w:val="00E64114"/>
    <w:rsid w:val="00E64607"/>
    <w:rsid w:val="00E647C2"/>
    <w:rsid w:val="00E64C84"/>
    <w:rsid w:val="00E654B7"/>
    <w:rsid w:val="00E655F1"/>
    <w:rsid w:val="00E65777"/>
    <w:rsid w:val="00E65A06"/>
    <w:rsid w:val="00E65BFF"/>
    <w:rsid w:val="00E6646D"/>
    <w:rsid w:val="00E6651E"/>
    <w:rsid w:val="00E6685A"/>
    <w:rsid w:val="00E66F94"/>
    <w:rsid w:val="00E674D9"/>
    <w:rsid w:val="00E676A4"/>
    <w:rsid w:val="00E677F1"/>
    <w:rsid w:val="00E703F2"/>
    <w:rsid w:val="00E70F66"/>
    <w:rsid w:val="00E713EC"/>
    <w:rsid w:val="00E71CF1"/>
    <w:rsid w:val="00E72246"/>
    <w:rsid w:val="00E72659"/>
    <w:rsid w:val="00E7291D"/>
    <w:rsid w:val="00E72D60"/>
    <w:rsid w:val="00E7308F"/>
    <w:rsid w:val="00E7388B"/>
    <w:rsid w:val="00E7455D"/>
    <w:rsid w:val="00E74AB7"/>
    <w:rsid w:val="00E74C21"/>
    <w:rsid w:val="00E75899"/>
    <w:rsid w:val="00E75D52"/>
    <w:rsid w:val="00E7698A"/>
    <w:rsid w:val="00E76E0F"/>
    <w:rsid w:val="00E76EC0"/>
    <w:rsid w:val="00E76F09"/>
    <w:rsid w:val="00E77559"/>
    <w:rsid w:val="00E77778"/>
    <w:rsid w:val="00E80282"/>
    <w:rsid w:val="00E80843"/>
    <w:rsid w:val="00E8154D"/>
    <w:rsid w:val="00E8161B"/>
    <w:rsid w:val="00E818AB"/>
    <w:rsid w:val="00E8196F"/>
    <w:rsid w:val="00E81C77"/>
    <w:rsid w:val="00E82025"/>
    <w:rsid w:val="00E822B4"/>
    <w:rsid w:val="00E829AC"/>
    <w:rsid w:val="00E82F96"/>
    <w:rsid w:val="00E836E2"/>
    <w:rsid w:val="00E83800"/>
    <w:rsid w:val="00E83DAF"/>
    <w:rsid w:val="00E8492F"/>
    <w:rsid w:val="00E85EE7"/>
    <w:rsid w:val="00E86248"/>
    <w:rsid w:val="00E862F6"/>
    <w:rsid w:val="00E8682A"/>
    <w:rsid w:val="00E868F2"/>
    <w:rsid w:val="00E87278"/>
    <w:rsid w:val="00E874F1"/>
    <w:rsid w:val="00E87973"/>
    <w:rsid w:val="00E9030E"/>
    <w:rsid w:val="00E906AD"/>
    <w:rsid w:val="00E90B5A"/>
    <w:rsid w:val="00E9160C"/>
    <w:rsid w:val="00E916D3"/>
    <w:rsid w:val="00E9174C"/>
    <w:rsid w:val="00E91D25"/>
    <w:rsid w:val="00E91DDF"/>
    <w:rsid w:val="00E920C2"/>
    <w:rsid w:val="00E92B84"/>
    <w:rsid w:val="00E92CF0"/>
    <w:rsid w:val="00E92EAC"/>
    <w:rsid w:val="00E93318"/>
    <w:rsid w:val="00E93441"/>
    <w:rsid w:val="00E93F08"/>
    <w:rsid w:val="00E94574"/>
    <w:rsid w:val="00E948CA"/>
    <w:rsid w:val="00E94CC6"/>
    <w:rsid w:val="00E9506A"/>
    <w:rsid w:val="00E957D4"/>
    <w:rsid w:val="00E9584F"/>
    <w:rsid w:val="00E95DF2"/>
    <w:rsid w:val="00E96316"/>
    <w:rsid w:val="00E96DF5"/>
    <w:rsid w:val="00E96F33"/>
    <w:rsid w:val="00E97215"/>
    <w:rsid w:val="00EA0034"/>
    <w:rsid w:val="00EA0336"/>
    <w:rsid w:val="00EA0407"/>
    <w:rsid w:val="00EA0BC9"/>
    <w:rsid w:val="00EA1525"/>
    <w:rsid w:val="00EA1575"/>
    <w:rsid w:val="00EA1A47"/>
    <w:rsid w:val="00EA2584"/>
    <w:rsid w:val="00EA271C"/>
    <w:rsid w:val="00EA38C2"/>
    <w:rsid w:val="00EA39C7"/>
    <w:rsid w:val="00EA42CF"/>
    <w:rsid w:val="00EA4AA1"/>
    <w:rsid w:val="00EA60EF"/>
    <w:rsid w:val="00EA6670"/>
    <w:rsid w:val="00EA67FF"/>
    <w:rsid w:val="00EA68E8"/>
    <w:rsid w:val="00EA704E"/>
    <w:rsid w:val="00EA71BF"/>
    <w:rsid w:val="00EA79EC"/>
    <w:rsid w:val="00EA7AEF"/>
    <w:rsid w:val="00EB00EC"/>
    <w:rsid w:val="00EB04AF"/>
    <w:rsid w:val="00EB0E74"/>
    <w:rsid w:val="00EB126C"/>
    <w:rsid w:val="00EB154C"/>
    <w:rsid w:val="00EB16A5"/>
    <w:rsid w:val="00EB1E34"/>
    <w:rsid w:val="00EB27E0"/>
    <w:rsid w:val="00EB2EDF"/>
    <w:rsid w:val="00EB3168"/>
    <w:rsid w:val="00EB31F0"/>
    <w:rsid w:val="00EB33F7"/>
    <w:rsid w:val="00EB347B"/>
    <w:rsid w:val="00EB3576"/>
    <w:rsid w:val="00EB35F0"/>
    <w:rsid w:val="00EB3676"/>
    <w:rsid w:val="00EB37DE"/>
    <w:rsid w:val="00EB383C"/>
    <w:rsid w:val="00EB3C79"/>
    <w:rsid w:val="00EB408E"/>
    <w:rsid w:val="00EB43A8"/>
    <w:rsid w:val="00EB450F"/>
    <w:rsid w:val="00EB4D8A"/>
    <w:rsid w:val="00EB5137"/>
    <w:rsid w:val="00EB5397"/>
    <w:rsid w:val="00EB5895"/>
    <w:rsid w:val="00EB6458"/>
    <w:rsid w:val="00EB681B"/>
    <w:rsid w:val="00EB6C39"/>
    <w:rsid w:val="00EB6C89"/>
    <w:rsid w:val="00EB7920"/>
    <w:rsid w:val="00EB7934"/>
    <w:rsid w:val="00EB7C65"/>
    <w:rsid w:val="00EB7F32"/>
    <w:rsid w:val="00EC0058"/>
    <w:rsid w:val="00EC1363"/>
    <w:rsid w:val="00EC1E0D"/>
    <w:rsid w:val="00EC20BA"/>
    <w:rsid w:val="00EC281D"/>
    <w:rsid w:val="00EC287D"/>
    <w:rsid w:val="00EC29F8"/>
    <w:rsid w:val="00EC3CC4"/>
    <w:rsid w:val="00EC3E42"/>
    <w:rsid w:val="00EC3EB7"/>
    <w:rsid w:val="00EC4466"/>
    <w:rsid w:val="00EC465D"/>
    <w:rsid w:val="00EC4B5F"/>
    <w:rsid w:val="00EC4C65"/>
    <w:rsid w:val="00EC4F2F"/>
    <w:rsid w:val="00EC6599"/>
    <w:rsid w:val="00EC6C9A"/>
    <w:rsid w:val="00EC6CAC"/>
    <w:rsid w:val="00EC7871"/>
    <w:rsid w:val="00EC7A3A"/>
    <w:rsid w:val="00EC7A96"/>
    <w:rsid w:val="00EC7B5C"/>
    <w:rsid w:val="00EC7B92"/>
    <w:rsid w:val="00EC7FE4"/>
    <w:rsid w:val="00ED0169"/>
    <w:rsid w:val="00ED0ADE"/>
    <w:rsid w:val="00ED0B5B"/>
    <w:rsid w:val="00ED1182"/>
    <w:rsid w:val="00ED13B2"/>
    <w:rsid w:val="00ED1BE2"/>
    <w:rsid w:val="00ED1DB1"/>
    <w:rsid w:val="00ED1EE7"/>
    <w:rsid w:val="00ED20BE"/>
    <w:rsid w:val="00ED2781"/>
    <w:rsid w:val="00ED2CF5"/>
    <w:rsid w:val="00ED3272"/>
    <w:rsid w:val="00ED3527"/>
    <w:rsid w:val="00ED3539"/>
    <w:rsid w:val="00ED3684"/>
    <w:rsid w:val="00ED3EF1"/>
    <w:rsid w:val="00ED465F"/>
    <w:rsid w:val="00ED475E"/>
    <w:rsid w:val="00ED48BE"/>
    <w:rsid w:val="00ED548D"/>
    <w:rsid w:val="00ED5769"/>
    <w:rsid w:val="00ED5C65"/>
    <w:rsid w:val="00ED609E"/>
    <w:rsid w:val="00ED6807"/>
    <w:rsid w:val="00ED69F1"/>
    <w:rsid w:val="00ED761E"/>
    <w:rsid w:val="00ED7A60"/>
    <w:rsid w:val="00ED7B67"/>
    <w:rsid w:val="00EE05D0"/>
    <w:rsid w:val="00EE0B92"/>
    <w:rsid w:val="00EE0D56"/>
    <w:rsid w:val="00EE0F2E"/>
    <w:rsid w:val="00EE10A4"/>
    <w:rsid w:val="00EE13F3"/>
    <w:rsid w:val="00EE1762"/>
    <w:rsid w:val="00EE2DCE"/>
    <w:rsid w:val="00EE3002"/>
    <w:rsid w:val="00EE3AA6"/>
    <w:rsid w:val="00EE3F6C"/>
    <w:rsid w:val="00EE4AE8"/>
    <w:rsid w:val="00EE4C32"/>
    <w:rsid w:val="00EE5B02"/>
    <w:rsid w:val="00EE6291"/>
    <w:rsid w:val="00EE65D6"/>
    <w:rsid w:val="00EE6D35"/>
    <w:rsid w:val="00EE71DE"/>
    <w:rsid w:val="00EE7289"/>
    <w:rsid w:val="00EE7677"/>
    <w:rsid w:val="00EE7E36"/>
    <w:rsid w:val="00EF0271"/>
    <w:rsid w:val="00EF035F"/>
    <w:rsid w:val="00EF07D5"/>
    <w:rsid w:val="00EF0DAB"/>
    <w:rsid w:val="00EF0F96"/>
    <w:rsid w:val="00EF110D"/>
    <w:rsid w:val="00EF2ECC"/>
    <w:rsid w:val="00EF37F7"/>
    <w:rsid w:val="00EF3891"/>
    <w:rsid w:val="00EF3B10"/>
    <w:rsid w:val="00EF46AD"/>
    <w:rsid w:val="00EF4CC4"/>
    <w:rsid w:val="00EF4EDF"/>
    <w:rsid w:val="00EF4F6C"/>
    <w:rsid w:val="00EF53DD"/>
    <w:rsid w:val="00EF568F"/>
    <w:rsid w:val="00EF56C1"/>
    <w:rsid w:val="00EF5AA5"/>
    <w:rsid w:val="00EF5CB7"/>
    <w:rsid w:val="00EF5D66"/>
    <w:rsid w:val="00EF5ED4"/>
    <w:rsid w:val="00EF6288"/>
    <w:rsid w:val="00EF64C9"/>
    <w:rsid w:val="00EF6525"/>
    <w:rsid w:val="00EF673D"/>
    <w:rsid w:val="00EF69D0"/>
    <w:rsid w:val="00F00302"/>
    <w:rsid w:val="00F00A56"/>
    <w:rsid w:val="00F013D3"/>
    <w:rsid w:val="00F015F6"/>
    <w:rsid w:val="00F01AEC"/>
    <w:rsid w:val="00F01C0A"/>
    <w:rsid w:val="00F021BC"/>
    <w:rsid w:val="00F028F5"/>
    <w:rsid w:val="00F0297E"/>
    <w:rsid w:val="00F0395E"/>
    <w:rsid w:val="00F03A1A"/>
    <w:rsid w:val="00F04867"/>
    <w:rsid w:val="00F048EC"/>
    <w:rsid w:val="00F050B6"/>
    <w:rsid w:val="00F05296"/>
    <w:rsid w:val="00F05635"/>
    <w:rsid w:val="00F0594D"/>
    <w:rsid w:val="00F05DF3"/>
    <w:rsid w:val="00F06402"/>
    <w:rsid w:val="00F06692"/>
    <w:rsid w:val="00F06961"/>
    <w:rsid w:val="00F07017"/>
    <w:rsid w:val="00F073CE"/>
    <w:rsid w:val="00F07596"/>
    <w:rsid w:val="00F076F7"/>
    <w:rsid w:val="00F07C46"/>
    <w:rsid w:val="00F07C73"/>
    <w:rsid w:val="00F07D6A"/>
    <w:rsid w:val="00F07F14"/>
    <w:rsid w:val="00F10013"/>
    <w:rsid w:val="00F103E5"/>
    <w:rsid w:val="00F10C8B"/>
    <w:rsid w:val="00F10C91"/>
    <w:rsid w:val="00F10DBF"/>
    <w:rsid w:val="00F10F94"/>
    <w:rsid w:val="00F11BEE"/>
    <w:rsid w:val="00F11CC7"/>
    <w:rsid w:val="00F123FA"/>
    <w:rsid w:val="00F12485"/>
    <w:rsid w:val="00F12964"/>
    <w:rsid w:val="00F12D62"/>
    <w:rsid w:val="00F13585"/>
    <w:rsid w:val="00F13B68"/>
    <w:rsid w:val="00F1498D"/>
    <w:rsid w:val="00F15C15"/>
    <w:rsid w:val="00F16041"/>
    <w:rsid w:val="00F166E9"/>
    <w:rsid w:val="00F1675F"/>
    <w:rsid w:val="00F168FE"/>
    <w:rsid w:val="00F1792C"/>
    <w:rsid w:val="00F17BFB"/>
    <w:rsid w:val="00F17E87"/>
    <w:rsid w:val="00F2004F"/>
    <w:rsid w:val="00F20072"/>
    <w:rsid w:val="00F202FA"/>
    <w:rsid w:val="00F20663"/>
    <w:rsid w:val="00F20ABE"/>
    <w:rsid w:val="00F20B7C"/>
    <w:rsid w:val="00F21299"/>
    <w:rsid w:val="00F21361"/>
    <w:rsid w:val="00F21C9E"/>
    <w:rsid w:val="00F21D22"/>
    <w:rsid w:val="00F21E4C"/>
    <w:rsid w:val="00F22353"/>
    <w:rsid w:val="00F22726"/>
    <w:rsid w:val="00F22F21"/>
    <w:rsid w:val="00F2317D"/>
    <w:rsid w:val="00F238E9"/>
    <w:rsid w:val="00F23AFD"/>
    <w:rsid w:val="00F23DB6"/>
    <w:rsid w:val="00F24376"/>
    <w:rsid w:val="00F245EE"/>
    <w:rsid w:val="00F24CE6"/>
    <w:rsid w:val="00F24DB2"/>
    <w:rsid w:val="00F25038"/>
    <w:rsid w:val="00F250BB"/>
    <w:rsid w:val="00F252E4"/>
    <w:rsid w:val="00F2535C"/>
    <w:rsid w:val="00F25767"/>
    <w:rsid w:val="00F25867"/>
    <w:rsid w:val="00F25A85"/>
    <w:rsid w:val="00F263A6"/>
    <w:rsid w:val="00F266DF"/>
    <w:rsid w:val="00F27297"/>
    <w:rsid w:val="00F274DF"/>
    <w:rsid w:val="00F27C62"/>
    <w:rsid w:val="00F3035E"/>
    <w:rsid w:val="00F32241"/>
    <w:rsid w:val="00F33156"/>
    <w:rsid w:val="00F3365B"/>
    <w:rsid w:val="00F3374A"/>
    <w:rsid w:val="00F34796"/>
    <w:rsid w:val="00F3488F"/>
    <w:rsid w:val="00F34AB4"/>
    <w:rsid w:val="00F3584A"/>
    <w:rsid w:val="00F35A27"/>
    <w:rsid w:val="00F35F0A"/>
    <w:rsid w:val="00F362C1"/>
    <w:rsid w:val="00F36371"/>
    <w:rsid w:val="00F367E0"/>
    <w:rsid w:val="00F36FED"/>
    <w:rsid w:val="00F37590"/>
    <w:rsid w:val="00F376AF"/>
    <w:rsid w:val="00F37BF6"/>
    <w:rsid w:val="00F40943"/>
    <w:rsid w:val="00F40A99"/>
    <w:rsid w:val="00F40C99"/>
    <w:rsid w:val="00F40E58"/>
    <w:rsid w:val="00F40F53"/>
    <w:rsid w:val="00F41724"/>
    <w:rsid w:val="00F418E1"/>
    <w:rsid w:val="00F41901"/>
    <w:rsid w:val="00F41B54"/>
    <w:rsid w:val="00F41EE2"/>
    <w:rsid w:val="00F41F24"/>
    <w:rsid w:val="00F4281A"/>
    <w:rsid w:val="00F4291B"/>
    <w:rsid w:val="00F42B1E"/>
    <w:rsid w:val="00F432C4"/>
    <w:rsid w:val="00F43472"/>
    <w:rsid w:val="00F43CC8"/>
    <w:rsid w:val="00F43F7C"/>
    <w:rsid w:val="00F4409A"/>
    <w:rsid w:val="00F449B3"/>
    <w:rsid w:val="00F44A6A"/>
    <w:rsid w:val="00F44C9D"/>
    <w:rsid w:val="00F44F7B"/>
    <w:rsid w:val="00F44F7D"/>
    <w:rsid w:val="00F44FEB"/>
    <w:rsid w:val="00F451D1"/>
    <w:rsid w:val="00F45519"/>
    <w:rsid w:val="00F45B82"/>
    <w:rsid w:val="00F46E7B"/>
    <w:rsid w:val="00F473B8"/>
    <w:rsid w:val="00F47775"/>
    <w:rsid w:val="00F47D19"/>
    <w:rsid w:val="00F5081B"/>
    <w:rsid w:val="00F5086C"/>
    <w:rsid w:val="00F51325"/>
    <w:rsid w:val="00F51537"/>
    <w:rsid w:val="00F51C7B"/>
    <w:rsid w:val="00F526EE"/>
    <w:rsid w:val="00F52937"/>
    <w:rsid w:val="00F53316"/>
    <w:rsid w:val="00F53484"/>
    <w:rsid w:val="00F54547"/>
    <w:rsid w:val="00F548CF"/>
    <w:rsid w:val="00F54B58"/>
    <w:rsid w:val="00F54CF7"/>
    <w:rsid w:val="00F55148"/>
    <w:rsid w:val="00F55774"/>
    <w:rsid w:val="00F565D5"/>
    <w:rsid w:val="00F56CFA"/>
    <w:rsid w:val="00F572D8"/>
    <w:rsid w:val="00F5743D"/>
    <w:rsid w:val="00F60177"/>
    <w:rsid w:val="00F602EF"/>
    <w:rsid w:val="00F603DD"/>
    <w:rsid w:val="00F60479"/>
    <w:rsid w:val="00F60805"/>
    <w:rsid w:val="00F60B83"/>
    <w:rsid w:val="00F615C4"/>
    <w:rsid w:val="00F61A0B"/>
    <w:rsid w:val="00F61B09"/>
    <w:rsid w:val="00F61E16"/>
    <w:rsid w:val="00F61E26"/>
    <w:rsid w:val="00F62123"/>
    <w:rsid w:val="00F622CF"/>
    <w:rsid w:val="00F6240D"/>
    <w:rsid w:val="00F62741"/>
    <w:rsid w:val="00F62763"/>
    <w:rsid w:val="00F62793"/>
    <w:rsid w:val="00F638B5"/>
    <w:rsid w:val="00F639E8"/>
    <w:rsid w:val="00F63D5B"/>
    <w:rsid w:val="00F64E8D"/>
    <w:rsid w:val="00F64ECB"/>
    <w:rsid w:val="00F661D3"/>
    <w:rsid w:val="00F66283"/>
    <w:rsid w:val="00F662DC"/>
    <w:rsid w:val="00F665AE"/>
    <w:rsid w:val="00F66624"/>
    <w:rsid w:val="00F66F95"/>
    <w:rsid w:val="00F66FB1"/>
    <w:rsid w:val="00F674B6"/>
    <w:rsid w:val="00F67577"/>
    <w:rsid w:val="00F70856"/>
    <w:rsid w:val="00F70AE9"/>
    <w:rsid w:val="00F70D95"/>
    <w:rsid w:val="00F710F6"/>
    <w:rsid w:val="00F71738"/>
    <w:rsid w:val="00F71DC5"/>
    <w:rsid w:val="00F7223D"/>
    <w:rsid w:val="00F7230F"/>
    <w:rsid w:val="00F72514"/>
    <w:rsid w:val="00F72D77"/>
    <w:rsid w:val="00F72ED2"/>
    <w:rsid w:val="00F731D7"/>
    <w:rsid w:val="00F73696"/>
    <w:rsid w:val="00F7369C"/>
    <w:rsid w:val="00F737E4"/>
    <w:rsid w:val="00F741A0"/>
    <w:rsid w:val="00F74546"/>
    <w:rsid w:val="00F749B8"/>
    <w:rsid w:val="00F74A4F"/>
    <w:rsid w:val="00F74CC2"/>
    <w:rsid w:val="00F755CF"/>
    <w:rsid w:val="00F75B07"/>
    <w:rsid w:val="00F75B1C"/>
    <w:rsid w:val="00F75B48"/>
    <w:rsid w:val="00F75D37"/>
    <w:rsid w:val="00F762EB"/>
    <w:rsid w:val="00F7659C"/>
    <w:rsid w:val="00F76BBB"/>
    <w:rsid w:val="00F7702A"/>
    <w:rsid w:val="00F77DF4"/>
    <w:rsid w:val="00F77EAB"/>
    <w:rsid w:val="00F80648"/>
    <w:rsid w:val="00F810DA"/>
    <w:rsid w:val="00F81312"/>
    <w:rsid w:val="00F8135C"/>
    <w:rsid w:val="00F81A63"/>
    <w:rsid w:val="00F81C4C"/>
    <w:rsid w:val="00F81C86"/>
    <w:rsid w:val="00F8256C"/>
    <w:rsid w:val="00F82853"/>
    <w:rsid w:val="00F83179"/>
    <w:rsid w:val="00F839E9"/>
    <w:rsid w:val="00F845F9"/>
    <w:rsid w:val="00F84A0E"/>
    <w:rsid w:val="00F84C01"/>
    <w:rsid w:val="00F84C16"/>
    <w:rsid w:val="00F84E2C"/>
    <w:rsid w:val="00F85020"/>
    <w:rsid w:val="00F855B0"/>
    <w:rsid w:val="00F85900"/>
    <w:rsid w:val="00F863B6"/>
    <w:rsid w:val="00F8665A"/>
    <w:rsid w:val="00F869A0"/>
    <w:rsid w:val="00F8753C"/>
    <w:rsid w:val="00F87811"/>
    <w:rsid w:val="00F878FC"/>
    <w:rsid w:val="00F87A3C"/>
    <w:rsid w:val="00F905C5"/>
    <w:rsid w:val="00F910E7"/>
    <w:rsid w:val="00F91B34"/>
    <w:rsid w:val="00F91D4D"/>
    <w:rsid w:val="00F91F71"/>
    <w:rsid w:val="00F92283"/>
    <w:rsid w:val="00F9366A"/>
    <w:rsid w:val="00F93D3F"/>
    <w:rsid w:val="00F93DEC"/>
    <w:rsid w:val="00F94195"/>
    <w:rsid w:val="00F9487A"/>
    <w:rsid w:val="00F94A41"/>
    <w:rsid w:val="00F94EC2"/>
    <w:rsid w:val="00F94F97"/>
    <w:rsid w:val="00F9524F"/>
    <w:rsid w:val="00F9536C"/>
    <w:rsid w:val="00F95D9C"/>
    <w:rsid w:val="00F95EA9"/>
    <w:rsid w:val="00F95EC0"/>
    <w:rsid w:val="00F962C4"/>
    <w:rsid w:val="00F963AE"/>
    <w:rsid w:val="00F963E5"/>
    <w:rsid w:val="00F96AAC"/>
    <w:rsid w:val="00F96BF9"/>
    <w:rsid w:val="00F96CF6"/>
    <w:rsid w:val="00F96DC5"/>
    <w:rsid w:val="00F97325"/>
    <w:rsid w:val="00F97506"/>
    <w:rsid w:val="00F975BE"/>
    <w:rsid w:val="00F97FAA"/>
    <w:rsid w:val="00FA0842"/>
    <w:rsid w:val="00FA0939"/>
    <w:rsid w:val="00FA0996"/>
    <w:rsid w:val="00FA14B1"/>
    <w:rsid w:val="00FA1A31"/>
    <w:rsid w:val="00FA1C3B"/>
    <w:rsid w:val="00FA28D3"/>
    <w:rsid w:val="00FA2CE0"/>
    <w:rsid w:val="00FA35AF"/>
    <w:rsid w:val="00FA3761"/>
    <w:rsid w:val="00FA3F78"/>
    <w:rsid w:val="00FA49E5"/>
    <w:rsid w:val="00FA58FA"/>
    <w:rsid w:val="00FA5E72"/>
    <w:rsid w:val="00FA6343"/>
    <w:rsid w:val="00FA64A1"/>
    <w:rsid w:val="00FA65E0"/>
    <w:rsid w:val="00FA6927"/>
    <w:rsid w:val="00FA6956"/>
    <w:rsid w:val="00FA6B6D"/>
    <w:rsid w:val="00FA6D59"/>
    <w:rsid w:val="00FA6E7B"/>
    <w:rsid w:val="00FA712E"/>
    <w:rsid w:val="00FA7B1F"/>
    <w:rsid w:val="00FB0952"/>
    <w:rsid w:val="00FB097C"/>
    <w:rsid w:val="00FB0BBE"/>
    <w:rsid w:val="00FB103F"/>
    <w:rsid w:val="00FB108A"/>
    <w:rsid w:val="00FB10FE"/>
    <w:rsid w:val="00FB1623"/>
    <w:rsid w:val="00FB19CC"/>
    <w:rsid w:val="00FB21D4"/>
    <w:rsid w:val="00FB22C1"/>
    <w:rsid w:val="00FB2437"/>
    <w:rsid w:val="00FB285E"/>
    <w:rsid w:val="00FB31C9"/>
    <w:rsid w:val="00FB3852"/>
    <w:rsid w:val="00FB3ABB"/>
    <w:rsid w:val="00FB489D"/>
    <w:rsid w:val="00FB4F3C"/>
    <w:rsid w:val="00FB5222"/>
    <w:rsid w:val="00FB564F"/>
    <w:rsid w:val="00FB5D88"/>
    <w:rsid w:val="00FB6315"/>
    <w:rsid w:val="00FB6C8E"/>
    <w:rsid w:val="00FB6D10"/>
    <w:rsid w:val="00FB71D1"/>
    <w:rsid w:val="00FB7FAF"/>
    <w:rsid w:val="00FC028C"/>
    <w:rsid w:val="00FC04AD"/>
    <w:rsid w:val="00FC070B"/>
    <w:rsid w:val="00FC0DCB"/>
    <w:rsid w:val="00FC1092"/>
    <w:rsid w:val="00FC10C2"/>
    <w:rsid w:val="00FC137F"/>
    <w:rsid w:val="00FC1BE5"/>
    <w:rsid w:val="00FC203A"/>
    <w:rsid w:val="00FC36D4"/>
    <w:rsid w:val="00FC3C60"/>
    <w:rsid w:val="00FC3C88"/>
    <w:rsid w:val="00FC462A"/>
    <w:rsid w:val="00FC4B3A"/>
    <w:rsid w:val="00FC511B"/>
    <w:rsid w:val="00FC530D"/>
    <w:rsid w:val="00FC5B65"/>
    <w:rsid w:val="00FC6852"/>
    <w:rsid w:val="00FC6C2A"/>
    <w:rsid w:val="00FC6E5C"/>
    <w:rsid w:val="00FC6F1A"/>
    <w:rsid w:val="00FC7467"/>
    <w:rsid w:val="00FC795B"/>
    <w:rsid w:val="00FC7F28"/>
    <w:rsid w:val="00FD028E"/>
    <w:rsid w:val="00FD056A"/>
    <w:rsid w:val="00FD0699"/>
    <w:rsid w:val="00FD09EC"/>
    <w:rsid w:val="00FD0CD5"/>
    <w:rsid w:val="00FD1E45"/>
    <w:rsid w:val="00FD1EAC"/>
    <w:rsid w:val="00FD2053"/>
    <w:rsid w:val="00FD2DF0"/>
    <w:rsid w:val="00FD3435"/>
    <w:rsid w:val="00FD3694"/>
    <w:rsid w:val="00FD3A7A"/>
    <w:rsid w:val="00FD3EAF"/>
    <w:rsid w:val="00FD3F60"/>
    <w:rsid w:val="00FD4097"/>
    <w:rsid w:val="00FD40DD"/>
    <w:rsid w:val="00FD4205"/>
    <w:rsid w:val="00FD5340"/>
    <w:rsid w:val="00FD5619"/>
    <w:rsid w:val="00FD5830"/>
    <w:rsid w:val="00FD5D60"/>
    <w:rsid w:val="00FD61FB"/>
    <w:rsid w:val="00FD6469"/>
    <w:rsid w:val="00FD6973"/>
    <w:rsid w:val="00FD7008"/>
    <w:rsid w:val="00FD73A1"/>
    <w:rsid w:val="00FD79F0"/>
    <w:rsid w:val="00FE025F"/>
    <w:rsid w:val="00FE02C3"/>
    <w:rsid w:val="00FE0795"/>
    <w:rsid w:val="00FE07AA"/>
    <w:rsid w:val="00FE165D"/>
    <w:rsid w:val="00FE1818"/>
    <w:rsid w:val="00FE1CAB"/>
    <w:rsid w:val="00FE2933"/>
    <w:rsid w:val="00FE3A51"/>
    <w:rsid w:val="00FE3ACC"/>
    <w:rsid w:val="00FE3CAB"/>
    <w:rsid w:val="00FE46E6"/>
    <w:rsid w:val="00FE4BC4"/>
    <w:rsid w:val="00FE5BD1"/>
    <w:rsid w:val="00FE5CE8"/>
    <w:rsid w:val="00FE60E0"/>
    <w:rsid w:val="00FE6437"/>
    <w:rsid w:val="00FE65F1"/>
    <w:rsid w:val="00FE669D"/>
    <w:rsid w:val="00FE66D7"/>
    <w:rsid w:val="00FE69A2"/>
    <w:rsid w:val="00FE6A6B"/>
    <w:rsid w:val="00FE6E3A"/>
    <w:rsid w:val="00FE720F"/>
    <w:rsid w:val="00FE75DF"/>
    <w:rsid w:val="00FE79EB"/>
    <w:rsid w:val="00FE7EC6"/>
    <w:rsid w:val="00FF06B7"/>
    <w:rsid w:val="00FF0EA1"/>
    <w:rsid w:val="00FF0FDE"/>
    <w:rsid w:val="00FF1C49"/>
    <w:rsid w:val="00FF2F2C"/>
    <w:rsid w:val="00FF3B1E"/>
    <w:rsid w:val="00FF41F3"/>
    <w:rsid w:val="00FF5506"/>
    <w:rsid w:val="00FF5514"/>
    <w:rsid w:val="00FF5FA0"/>
    <w:rsid w:val="00FF684F"/>
    <w:rsid w:val="00FF70CA"/>
    <w:rsid w:val="00FF71A6"/>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1E4E1"/>
  <w14:defaultImageDpi w14:val="330"/>
  <w15:docId w15:val="{76F3DBDF-91C5-4D0E-B1BE-0E2EC271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0BF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CF"/>
    <w:pPr>
      <w:ind w:left="720"/>
      <w:contextualSpacing/>
    </w:pPr>
  </w:style>
  <w:style w:type="paragraph" w:styleId="BalloonText">
    <w:name w:val="Balloon Text"/>
    <w:basedOn w:val="Normal"/>
    <w:link w:val="BalloonTextChar"/>
    <w:uiPriority w:val="99"/>
    <w:semiHidden/>
    <w:unhideWhenUsed/>
    <w:rsid w:val="001D11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18D"/>
    <w:rPr>
      <w:rFonts w:ascii="Lucida Grande" w:hAnsi="Lucida Grande" w:cs="Lucida Grande"/>
      <w:sz w:val="18"/>
      <w:szCs w:val="18"/>
    </w:rPr>
  </w:style>
  <w:style w:type="paragraph" w:styleId="Footer">
    <w:name w:val="footer"/>
    <w:basedOn w:val="Normal"/>
    <w:link w:val="FooterChar"/>
    <w:uiPriority w:val="99"/>
    <w:unhideWhenUsed/>
    <w:rsid w:val="0063015F"/>
    <w:pPr>
      <w:tabs>
        <w:tab w:val="center" w:pos="4320"/>
        <w:tab w:val="right" w:pos="8640"/>
      </w:tabs>
    </w:pPr>
  </w:style>
  <w:style w:type="character" w:customStyle="1" w:styleId="FooterChar">
    <w:name w:val="Footer Char"/>
    <w:basedOn w:val="DefaultParagraphFont"/>
    <w:link w:val="Footer"/>
    <w:uiPriority w:val="99"/>
    <w:rsid w:val="0063015F"/>
  </w:style>
  <w:style w:type="character" w:styleId="PageNumber">
    <w:name w:val="page number"/>
    <w:basedOn w:val="DefaultParagraphFont"/>
    <w:uiPriority w:val="99"/>
    <w:semiHidden/>
    <w:unhideWhenUsed/>
    <w:rsid w:val="0063015F"/>
  </w:style>
  <w:style w:type="table" w:styleId="TableGrid">
    <w:name w:val="Table Grid"/>
    <w:basedOn w:val="TableNormal"/>
    <w:uiPriority w:val="39"/>
    <w:rsid w:val="00A72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F63"/>
    <w:pPr>
      <w:tabs>
        <w:tab w:val="center" w:pos="4513"/>
        <w:tab w:val="right" w:pos="9026"/>
      </w:tabs>
    </w:pPr>
  </w:style>
  <w:style w:type="character" w:customStyle="1" w:styleId="HeaderChar">
    <w:name w:val="Header Char"/>
    <w:basedOn w:val="DefaultParagraphFont"/>
    <w:link w:val="Header"/>
    <w:uiPriority w:val="99"/>
    <w:rsid w:val="00C10F63"/>
  </w:style>
  <w:style w:type="paragraph" w:styleId="Date">
    <w:name w:val="Date"/>
    <w:basedOn w:val="Normal"/>
    <w:next w:val="Normal"/>
    <w:link w:val="DateChar"/>
    <w:uiPriority w:val="99"/>
    <w:semiHidden/>
    <w:unhideWhenUsed/>
    <w:rsid w:val="00575B0F"/>
  </w:style>
  <w:style w:type="character" w:customStyle="1" w:styleId="DateChar">
    <w:name w:val="Date Char"/>
    <w:basedOn w:val="DefaultParagraphFont"/>
    <w:link w:val="Date"/>
    <w:uiPriority w:val="99"/>
    <w:semiHidden/>
    <w:rsid w:val="00575B0F"/>
  </w:style>
  <w:style w:type="character" w:styleId="CommentReference">
    <w:name w:val="annotation reference"/>
    <w:basedOn w:val="DefaultParagraphFont"/>
    <w:uiPriority w:val="99"/>
    <w:semiHidden/>
    <w:unhideWhenUsed/>
    <w:rsid w:val="00F62123"/>
    <w:rPr>
      <w:sz w:val="16"/>
      <w:szCs w:val="16"/>
    </w:rPr>
  </w:style>
  <w:style w:type="paragraph" w:styleId="CommentText">
    <w:name w:val="annotation text"/>
    <w:basedOn w:val="Normal"/>
    <w:link w:val="CommentTextChar"/>
    <w:uiPriority w:val="99"/>
    <w:semiHidden/>
    <w:unhideWhenUsed/>
    <w:rsid w:val="00F62123"/>
    <w:rPr>
      <w:sz w:val="20"/>
      <w:szCs w:val="20"/>
    </w:rPr>
  </w:style>
  <w:style w:type="character" w:customStyle="1" w:styleId="CommentTextChar">
    <w:name w:val="Comment Text Char"/>
    <w:basedOn w:val="DefaultParagraphFont"/>
    <w:link w:val="CommentText"/>
    <w:uiPriority w:val="99"/>
    <w:semiHidden/>
    <w:rsid w:val="00F62123"/>
    <w:rPr>
      <w:sz w:val="20"/>
      <w:szCs w:val="20"/>
    </w:rPr>
  </w:style>
  <w:style w:type="paragraph" w:styleId="CommentSubject">
    <w:name w:val="annotation subject"/>
    <w:basedOn w:val="CommentText"/>
    <w:next w:val="CommentText"/>
    <w:link w:val="CommentSubjectChar"/>
    <w:uiPriority w:val="99"/>
    <w:semiHidden/>
    <w:unhideWhenUsed/>
    <w:rsid w:val="00F62123"/>
    <w:rPr>
      <w:b/>
      <w:bCs/>
    </w:rPr>
  </w:style>
  <w:style w:type="character" w:customStyle="1" w:styleId="CommentSubjectChar">
    <w:name w:val="Comment Subject Char"/>
    <w:basedOn w:val="CommentTextChar"/>
    <w:link w:val="CommentSubject"/>
    <w:uiPriority w:val="99"/>
    <w:semiHidden/>
    <w:rsid w:val="00F62123"/>
    <w:rPr>
      <w:b/>
      <w:bCs/>
      <w:sz w:val="20"/>
      <w:szCs w:val="20"/>
    </w:rPr>
  </w:style>
  <w:style w:type="character" w:customStyle="1" w:styleId="Heading1Char">
    <w:name w:val="Heading 1 Char"/>
    <w:basedOn w:val="DefaultParagraphFont"/>
    <w:link w:val="Heading1"/>
    <w:uiPriority w:val="9"/>
    <w:rsid w:val="00800BF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00BF0"/>
    <w:pPr>
      <w:spacing w:line="259" w:lineRule="auto"/>
      <w:outlineLvl w:val="9"/>
    </w:pPr>
  </w:style>
  <w:style w:type="paragraph" w:styleId="PlainText">
    <w:name w:val="Plain Text"/>
    <w:basedOn w:val="Normal"/>
    <w:link w:val="PlainTextChar"/>
    <w:uiPriority w:val="99"/>
    <w:unhideWhenUsed/>
    <w:rsid w:val="00161F1D"/>
    <w:rPr>
      <w:rFonts w:ascii="Calibri" w:eastAsiaTheme="minorHAnsi" w:hAnsi="Calibri"/>
      <w:sz w:val="22"/>
      <w:szCs w:val="21"/>
      <w:lang w:val="en-AU"/>
    </w:rPr>
  </w:style>
  <w:style w:type="character" w:customStyle="1" w:styleId="PlainTextChar">
    <w:name w:val="Plain Text Char"/>
    <w:basedOn w:val="DefaultParagraphFont"/>
    <w:link w:val="PlainText"/>
    <w:uiPriority w:val="99"/>
    <w:rsid w:val="00161F1D"/>
    <w:rPr>
      <w:rFonts w:ascii="Calibri" w:eastAsiaTheme="minorHAnsi" w:hAnsi="Calibri"/>
      <w:sz w:val="22"/>
      <w:szCs w:val="21"/>
      <w:lang w:val="en-AU"/>
    </w:rPr>
  </w:style>
  <w:style w:type="character" w:styleId="Hyperlink">
    <w:name w:val="Hyperlink"/>
    <w:basedOn w:val="DefaultParagraphFont"/>
    <w:uiPriority w:val="99"/>
    <w:unhideWhenUsed/>
    <w:rsid w:val="00660AEA"/>
    <w:rPr>
      <w:color w:val="0000FF" w:themeColor="hyperlink"/>
      <w:u w:val="single"/>
    </w:rPr>
  </w:style>
  <w:style w:type="character" w:styleId="UnresolvedMention">
    <w:name w:val="Unresolved Mention"/>
    <w:basedOn w:val="DefaultParagraphFont"/>
    <w:uiPriority w:val="99"/>
    <w:semiHidden/>
    <w:unhideWhenUsed/>
    <w:rsid w:val="00680730"/>
    <w:rPr>
      <w:color w:val="605E5C"/>
      <w:shd w:val="clear" w:color="auto" w:fill="E1DFDD"/>
    </w:rPr>
  </w:style>
  <w:style w:type="character" w:styleId="FollowedHyperlink">
    <w:name w:val="FollowedHyperlink"/>
    <w:basedOn w:val="DefaultParagraphFont"/>
    <w:uiPriority w:val="99"/>
    <w:semiHidden/>
    <w:unhideWhenUsed/>
    <w:rsid w:val="00F8135C"/>
    <w:rPr>
      <w:color w:val="800080" w:themeColor="followedHyperlink"/>
      <w:u w:val="single"/>
    </w:rPr>
  </w:style>
  <w:style w:type="table" w:customStyle="1" w:styleId="TableGrid1">
    <w:name w:val="Table Grid1"/>
    <w:basedOn w:val="TableNormal"/>
    <w:next w:val="TableGrid"/>
    <w:uiPriority w:val="39"/>
    <w:rsid w:val="00024F2A"/>
    <w:rPr>
      <w:rFonts w:ascii="Calibri" w:eastAsia="Calibri" w:hAnsi="Calibri" w:cs="Mongolian Baiti"/>
      <w:sz w:val="22"/>
      <w:szCs w:val="28"/>
      <w:lang w:val="en-AU" w:bidi="mn-Mong-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5254">
      <w:bodyDiv w:val="1"/>
      <w:marLeft w:val="0"/>
      <w:marRight w:val="0"/>
      <w:marTop w:val="0"/>
      <w:marBottom w:val="0"/>
      <w:divBdr>
        <w:top w:val="none" w:sz="0" w:space="0" w:color="auto"/>
        <w:left w:val="none" w:sz="0" w:space="0" w:color="auto"/>
        <w:bottom w:val="none" w:sz="0" w:space="0" w:color="auto"/>
        <w:right w:val="none" w:sz="0" w:space="0" w:color="auto"/>
      </w:divBdr>
    </w:div>
    <w:div w:id="46296528">
      <w:bodyDiv w:val="1"/>
      <w:marLeft w:val="0"/>
      <w:marRight w:val="0"/>
      <w:marTop w:val="0"/>
      <w:marBottom w:val="0"/>
      <w:divBdr>
        <w:top w:val="none" w:sz="0" w:space="0" w:color="auto"/>
        <w:left w:val="none" w:sz="0" w:space="0" w:color="auto"/>
        <w:bottom w:val="none" w:sz="0" w:space="0" w:color="auto"/>
        <w:right w:val="none" w:sz="0" w:space="0" w:color="auto"/>
      </w:divBdr>
    </w:div>
    <w:div w:id="49615183">
      <w:bodyDiv w:val="1"/>
      <w:marLeft w:val="0"/>
      <w:marRight w:val="0"/>
      <w:marTop w:val="0"/>
      <w:marBottom w:val="0"/>
      <w:divBdr>
        <w:top w:val="none" w:sz="0" w:space="0" w:color="auto"/>
        <w:left w:val="none" w:sz="0" w:space="0" w:color="auto"/>
        <w:bottom w:val="none" w:sz="0" w:space="0" w:color="auto"/>
        <w:right w:val="none" w:sz="0" w:space="0" w:color="auto"/>
      </w:divBdr>
    </w:div>
    <w:div w:id="50622662">
      <w:bodyDiv w:val="1"/>
      <w:marLeft w:val="0"/>
      <w:marRight w:val="0"/>
      <w:marTop w:val="0"/>
      <w:marBottom w:val="0"/>
      <w:divBdr>
        <w:top w:val="none" w:sz="0" w:space="0" w:color="auto"/>
        <w:left w:val="none" w:sz="0" w:space="0" w:color="auto"/>
        <w:bottom w:val="none" w:sz="0" w:space="0" w:color="auto"/>
        <w:right w:val="none" w:sz="0" w:space="0" w:color="auto"/>
      </w:divBdr>
    </w:div>
    <w:div w:id="52050091">
      <w:bodyDiv w:val="1"/>
      <w:marLeft w:val="0"/>
      <w:marRight w:val="0"/>
      <w:marTop w:val="0"/>
      <w:marBottom w:val="0"/>
      <w:divBdr>
        <w:top w:val="none" w:sz="0" w:space="0" w:color="auto"/>
        <w:left w:val="none" w:sz="0" w:space="0" w:color="auto"/>
        <w:bottom w:val="none" w:sz="0" w:space="0" w:color="auto"/>
        <w:right w:val="none" w:sz="0" w:space="0" w:color="auto"/>
      </w:divBdr>
    </w:div>
    <w:div w:id="67919358">
      <w:bodyDiv w:val="1"/>
      <w:marLeft w:val="0"/>
      <w:marRight w:val="0"/>
      <w:marTop w:val="0"/>
      <w:marBottom w:val="0"/>
      <w:divBdr>
        <w:top w:val="none" w:sz="0" w:space="0" w:color="auto"/>
        <w:left w:val="none" w:sz="0" w:space="0" w:color="auto"/>
        <w:bottom w:val="none" w:sz="0" w:space="0" w:color="auto"/>
        <w:right w:val="none" w:sz="0" w:space="0" w:color="auto"/>
      </w:divBdr>
    </w:div>
    <w:div w:id="74978378">
      <w:bodyDiv w:val="1"/>
      <w:marLeft w:val="0"/>
      <w:marRight w:val="0"/>
      <w:marTop w:val="0"/>
      <w:marBottom w:val="0"/>
      <w:divBdr>
        <w:top w:val="none" w:sz="0" w:space="0" w:color="auto"/>
        <w:left w:val="none" w:sz="0" w:space="0" w:color="auto"/>
        <w:bottom w:val="none" w:sz="0" w:space="0" w:color="auto"/>
        <w:right w:val="none" w:sz="0" w:space="0" w:color="auto"/>
      </w:divBdr>
    </w:div>
    <w:div w:id="80302406">
      <w:bodyDiv w:val="1"/>
      <w:marLeft w:val="0"/>
      <w:marRight w:val="0"/>
      <w:marTop w:val="0"/>
      <w:marBottom w:val="0"/>
      <w:divBdr>
        <w:top w:val="none" w:sz="0" w:space="0" w:color="auto"/>
        <w:left w:val="none" w:sz="0" w:space="0" w:color="auto"/>
        <w:bottom w:val="none" w:sz="0" w:space="0" w:color="auto"/>
        <w:right w:val="none" w:sz="0" w:space="0" w:color="auto"/>
      </w:divBdr>
    </w:div>
    <w:div w:id="82340001">
      <w:bodyDiv w:val="1"/>
      <w:marLeft w:val="0"/>
      <w:marRight w:val="0"/>
      <w:marTop w:val="0"/>
      <w:marBottom w:val="0"/>
      <w:divBdr>
        <w:top w:val="none" w:sz="0" w:space="0" w:color="auto"/>
        <w:left w:val="none" w:sz="0" w:space="0" w:color="auto"/>
        <w:bottom w:val="none" w:sz="0" w:space="0" w:color="auto"/>
        <w:right w:val="none" w:sz="0" w:space="0" w:color="auto"/>
      </w:divBdr>
    </w:div>
    <w:div w:id="85273494">
      <w:bodyDiv w:val="1"/>
      <w:marLeft w:val="0"/>
      <w:marRight w:val="0"/>
      <w:marTop w:val="0"/>
      <w:marBottom w:val="0"/>
      <w:divBdr>
        <w:top w:val="none" w:sz="0" w:space="0" w:color="auto"/>
        <w:left w:val="none" w:sz="0" w:space="0" w:color="auto"/>
        <w:bottom w:val="none" w:sz="0" w:space="0" w:color="auto"/>
        <w:right w:val="none" w:sz="0" w:space="0" w:color="auto"/>
      </w:divBdr>
    </w:div>
    <w:div w:id="103883819">
      <w:bodyDiv w:val="1"/>
      <w:marLeft w:val="0"/>
      <w:marRight w:val="0"/>
      <w:marTop w:val="0"/>
      <w:marBottom w:val="0"/>
      <w:divBdr>
        <w:top w:val="none" w:sz="0" w:space="0" w:color="auto"/>
        <w:left w:val="none" w:sz="0" w:space="0" w:color="auto"/>
        <w:bottom w:val="none" w:sz="0" w:space="0" w:color="auto"/>
        <w:right w:val="none" w:sz="0" w:space="0" w:color="auto"/>
      </w:divBdr>
    </w:div>
    <w:div w:id="120155793">
      <w:bodyDiv w:val="1"/>
      <w:marLeft w:val="0"/>
      <w:marRight w:val="0"/>
      <w:marTop w:val="0"/>
      <w:marBottom w:val="0"/>
      <w:divBdr>
        <w:top w:val="none" w:sz="0" w:space="0" w:color="auto"/>
        <w:left w:val="none" w:sz="0" w:space="0" w:color="auto"/>
        <w:bottom w:val="none" w:sz="0" w:space="0" w:color="auto"/>
        <w:right w:val="none" w:sz="0" w:space="0" w:color="auto"/>
      </w:divBdr>
    </w:div>
    <w:div w:id="144471911">
      <w:bodyDiv w:val="1"/>
      <w:marLeft w:val="0"/>
      <w:marRight w:val="0"/>
      <w:marTop w:val="0"/>
      <w:marBottom w:val="0"/>
      <w:divBdr>
        <w:top w:val="none" w:sz="0" w:space="0" w:color="auto"/>
        <w:left w:val="none" w:sz="0" w:space="0" w:color="auto"/>
        <w:bottom w:val="none" w:sz="0" w:space="0" w:color="auto"/>
        <w:right w:val="none" w:sz="0" w:space="0" w:color="auto"/>
      </w:divBdr>
    </w:div>
    <w:div w:id="156727749">
      <w:bodyDiv w:val="1"/>
      <w:marLeft w:val="0"/>
      <w:marRight w:val="0"/>
      <w:marTop w:val="0"/>
      <w:marBottom w:val="0"/>
      <w:divBdr>
        <w:top w:val="none" w:sz="0" w:space="0" w:color="auto"/>
        <w:left w:val="none" w:sz="0" w:space="0" w:color="auto"/>
        <w:bottom w:val="none" w:sz="0" w:space="0" w:color="auto"/>
        <w:right w:val="none" w:sz="0" w:space="0" w:color="auto"/>
      </w:divBdr>
    </w:div>
    <w:div w:id="172496490">
      <w:bodyDiv w:val="1"/>
      <w:marLeft w:val="0"/>
      <w:marRight w:val="0"/>
      <w:marTop w:val="0"/>
      <w:marBottom w:val="0"/>
      <w:divBdr>
        <w:top w:val="none" w:sz="0" w:space="0" w:color="auto"/>
        <w:left w:val="none" w:sz="0" w:space="0" w:color="auto"/>
        <w:bottom w:val="none" w:sz="0" w:space="0" w:color="auto"/>
        <w:right w:val="none" w:sz="0" w:space="0" w:color="auto"/>
      </w:divBdr>
    </w:div>
    <w:div w:id="180820074">
      <w:bodyDiv w:val="1"/>
      <w:marLeft w:val="0"/>
      <w:marRight w:val="0"/>
      <w:marTop w:val="0"/>
      <w:marBottom w:val="0"/>
      <w:divBdr>
        <w:top w:val="none" w:sz="0" w:space="0" w:color="auto"/>
        <w:left w:val="none" w:sz="0" w:space="0" w:color="auto"/>
        <w:bottom w:val="none" w:sz="0" w:space="0" w:color="auto"/>
        <w:right w:val="none" w:sz="0" w:space="0" w:color="auto"/>
      </w:divBdr>
    </w:div>
    <w:div w:id="193004326">
      <w:bodyDiv w:val="1"/>
      <w:marLeft w:val="0"/>
      <w:marRight w:val="0"/>
      <w:marTop w:val="0"/>
      <w:marBottom w:val="0"/>
      <w:divBdr>
        <w:top w:val="none" w:sz="0" w:space="0" w:color="auto"/>
        <w:left w:val="none" w:sz="0" w:space="0" w:color="auto"/>
        <w:bottom w:val="none" w:sz="0" w:space="0" w:color="auto"/>
        <w:right w:val="none" w:sz="0" w:space="0" w:color="auto"/>
      </w:divBdr>
    </w:div>
    <w:div w:id="194779489">
      <w:bodyDiv w:val="1"/>
      <w:marLeft w:val="0"/>
      <w:marRight w:val="0"/>
      <w:marTop w:val="0"/>
      <w:marBottom w:val="0"/>
      <w:divBdr>
        <w:top w:val="none" w:sz="0" w:space="0" w:color="auto"/>
        <w:left w:val="none" w:sz="0" w:space="0" w:color="auto"/>
        <w:bottom w:val="none" w:sz="0" w:space="0" w:color="auto"/>
        <w:right w:val="none" w:sz="0" w:space="0" w:color="auto"/>
      </w:divBdr>
    </w:div>
    <w:div w:id="196966442">
      <w:bodyDiv w:val="1"/>
      <w:marLeft w:val="0"/>
      <w:marRight w:val="0"/>
      <w:marTop w:val="0"/>
      <w:marBottom w:val="0"/>
      <w:divBdr>
        <w:top w:val="none" w:sz="0" w:space="0" w:color="auto"/>
        <w:left w:val="none" w:sz="0" w:space="0" w:color="auto"/>
        <w:bottom w:val="none" w:sz="0" w:space="0" w:color="auto"/>
        <w:right w:val="none" w:sz="0" w:space="0" w:color="auto"/>
      </w:divBdr>
    </w:div>
    <w:div w:id="203445838">
      <w:bodyDiv w:val="1"/>
      <w:marLeft w:val="0"/>
      <w:marRight w:val="0"/>
      <w:marTop w:val="0"/>
      <w:marBottom w:val="0"/>
      <w:divBdr>
        <w:top w:val="none" w:sz="0" w:space="0" w:color="auto"/>
        <w:left w:val="none" w:sz="0" w:space="0" w:color="auto"/>
        <w:bottom w:val="none" w:sz="0" w:space="0" w:color="auto"/>
        <w:right w:val="none" w:sz="0" w:space="0" w:color="auto"/>
      </w:divBdr>
    </w:div>
    <w:div w:id="209537314">
      <w:bodyDiv w:val="1"/>
      <w:marLeft w:val="0"/>
      <w:marRight w:val="0"/>
      <w:marTop w:val="0"/>
      <w:marBottom w:val="0"/>
      <w:divBdr>
        <w:top w:val="none" w:sz="0" w:space="0" w:color="auto"/>
        <w:left w:val="none" w:sz="0" w:space="0" w:color="auto"/>
        <w:bottom w:val="none" w:sz="0" w:space="0" w:color="auto"/>
        <w:right w:val="none" w:sz="0" w:space="0" w:color="auto"/>
      </w:divBdr>
    </w:div>
    <w:div w:id="248737806">
      <w:bodyDiv w:val="1"/>
      <w:marLeft w:val="0"/>
      <w:marRight w:val="0"/>
      <w:marTop w:val="0"/>
      <w:marBottom w:val="0"/>
      <w:divBdr>
        <w:top w:val="none" w:sz="0" w:space="0" w:color="auto"/>
        <w:left w:val="none" w:sz="0" w:space="0" w:color="auto"/>
        <w:bottom w:val="none" w:sz="0" w:space="0" w:color="auto"/>
        <w:right w:val="none" w:sz="0" w:space="0" w:color="auto"/>
      </w:divBdr>
    </w:div>
    <w:div w:id="255141983">
      <w:bodyDiv w:val="1"/>
      <w:marLeft w:val="0"/>
      <w:marRight w:val="0"/>
      <w:marTop w:val="0"/>
      <w:marBottom w:val="0"/>
      <w:divBdr>
        <w:top w:val="none" w:sz="0" w:space="0" w:color="auto"/>
        <w:left w:val="none" w:sz="0" w:space="0" w:color="auto"/>
        <w:bottom w:val="none" w:sz="0" w:space="0" w:color="auto"/>
        <w:right w:val="none" w:sz="0" w:space="0" w:color="auto"/>
      </w:divBdr>
    </w:div>
    <w:div w:id="255872928">
      <w:bodyDiv w:val="1"/>
      <w:marLeft w:val="0"/>
      <w:marRight w:val="0"/>
      <w:marTop w:val="0"/>
      <w:marBottom w:val="0"/>
      <w:divBdr>
        <w:top w:val="none" w:sz="0" w:space="0" w:color="auto"/>
        <w:left w:val="none" w:sz="0" w:space="0" w:color="auto"/>
        <w:bottom w:val="none" w:sz="0" w:space="0" w:color="auto"/>
        <w:right w:val="none" w:sz="0" w:space="0" w:color="auto"/>
      </w:divBdr>
    </w:div>
    <w:div w:id="310448582">
      <w:bodyDiv w:val="1"/>
      <w:marLeft w:val="0"/>
      <w:marRight w:val="0"/>
      <w:marTop w:val="0"/>
      <w:marBottom w:val="0"/>
      <w:divBdr>
        <w:top w:val="none" w:sz="0" w:space="0" w:color="auto"/>
        <w:left w:val="none" w:sz="0" w:space="0" w:color="auto"/>
        <w:bottom w:val="none" w:sz="0" w:space="0" w:color="auto"/>
        <w:right w:val="none" w:sz="0" w:space="0" w:color="auto"/>
      </w:divBdr>
    </w:div>
    <w:div w:id="311839353">
      <w:bodyDiv w:val="1"/>
      <w:marLeft w:val="0"/>
      <w:marRight w:val="0"/>
      <w:marTop w:val="0"/>
      <w:marBottom w:val="0"/>
      <w:divBdr>
        <w:top w:val="none" w:sz="0" w:space="0" w:color="auto"/>
        <w:left w:val="none" w:sz="0" w:space="0" w:color="auto"/>
        <w:bottom w:val="none" w:sz="0" w:space="0" w:color="auto"/>
        <w:right w:val="none" w:sz="0" w:space="0" w:color="auto"/>
      </w:divBdr>
    </w:div>
    <w:div w:id="323050211">
      <w:bodyDiv w:val="1"/>
      <w:marLeft w:val="0"/>
      <w:marRight w:val="0"/>
      <w:marTop w:val="0"/>
      <w:marBottom w:val="0"/>
      <w:divBdr>
        <w:top w:val="none" w:sz="0" w:space="0" w:color="auto"/>
        <w:left w:val="none" w:sz="0" w:space="0" w:color="auto"/>
        <w:bottom w:val="none" w:sz="0" w:space="0" w:color="auto"/>
        <w:right w:val="none" w:sz="0" w:space="0" w:color="auto"/>
      </w:divBdr>
    </w:div>
    <w:div w:id="350423721">
      <w:bodyDiv w:val="1"/>
      <w:marLeft w:val="0"/>
      <w:marRight w:val="0"/>
      <w:marTop w:val="0"/>
      <w:marBottom w:val="0"/>
      <w:divBdr>
        <w:top w:val="none" w:sz="0" w:space="0" w:color="auto"/>
        <w:left w:val="none" w:sz="0" w:space="0" w:color="auto"/>
        <w:bottom w:val="none" w:sz="0" w:space="0" w:color="auto"/>
        <w:right w:val="none" w:sz="0" w:space="0" w:color="auto"/>
      </w:divBdr>
    </w:div>
    <w:div w:id="376053093">
      <w:bodyDiv w:val="1"/>
      <w:marLeft w:val="0"/>
      <w:marRight w:val="0"/>
      <w:marTop w:val="0"/>
      <w:marBottom w:val="0"/>
      <w:divBdr>
        <w:top w:val="none" w:sz="0" w:space="0" w:color="auto"/>
        <w:left w:val="none" w:sz="0" w:space="0" w:color="auto"/>
        <w:bottom w:val="none" w:sz="0" w:space="0" w:color="auto"/>
        <w:right w:val="none" w:sz="0" w:space="0" w:color="auto"/>
      </w:divBdr>
    </w:div>
    <w:div w:id="386145744">
      <w:bodyDiv w:val="1"/>
      <w:marLeft w:val="0"/>
      <w:marRight w:val="0"/>
      <w:marTop w:val="0"/>
      <w:marBottom w:val="0"/>
      <w:divBdr>
        <w:top w:val="none" w:sz="0" w:space="0" w:color="auto"/>
        <w:left w:val="none" w:sz="0" w:space="0" w:color="auto"/>
        <w:bottom w:val="none" w:sz="0" w:space="0" w:color="auto"/>
        <w:right w:val="none" w:sz="0" w:space="0" w:color="auto"/>
      </w:divBdr>
    </w:div>
    <w:div w:id="386563303">
      <w:bodyDiv w:val="1"/>
      <w:marLeft w:val="0"/>
      <w:marRight w:val="0"/>
      <w:marTop w:val="0"/>
      <w:marBottom w:val="0"/>
      <w:divBdr>
        <w:top w:val="none" w:sz="0" w:space="0" w:color="auto"/>
        <w:left w:val="none" w:sz="0" w:space="0" w:color="auto"/>
        <w:bottom w:val="none" w:sz="0" w:space="0" w:color="auto"/>
        <w:right w:val="none" w:sz="0" w:space="0" w:color="auto"/>
      </w:divBdr>
    </w:div>
    <w:div w:id="386925139">
      <w:bodyDiv w:val="1"/>
      <w:marLeft w:val="0"/>
      <w:marRight w:val="0"/>
      <w:marTop w:val="0"/>
      <w:marBottom w:val="0"/>
      <w:divBdr>
        <w:top w:val="none" w:sz="0" w:space="0" w:color="auto"/>
        <w:left w:val="none" w:sz="0" w:space="0" w:color="auto"/>
        <w:bottom w:val="none" w:sz="0" w:space="0" w:color="auto"/>
        <w:right w:val="none" w:sz="0" w:space="0" w:color="auto"/>
      </w:divBdr>
    </w:div>
    <w:div w:id="400949861">
      <w:bodyDiv w:val="1"/>
      <w:marLeft w:val="0"/>
      <w:marRight w:val="0"/>
      <w:marTop w:val="0"/>
      <w:marBottom w:val="0"/>
      <w:divBdr>
        <w:top w:val="none" w:sz="0" w:space="0" w:color="auto"/>
        <w:left w:val="none" w:sz="0" w:space="0" w:color="auto"/>
        <w:bottom w:val="none" w:sz="0" w:space="0" w:color="auto"/>
        <w:right w:val="none" w:sz="0" w:space="0" w:color="auto"/>
      </w:divBdr>
    </w:div>
    <w:div w:id="417597227">
      <w:bodyDiv w:val="1"/>
      <w:marLeft w:val="0"/>
      <w:marRight w:val="0"/>
      <w:marTop w:val="0"/>
      <w:marBottom w:val="0"/>
      <w:divBdr>
        <w:top w:val="none" w:sz="0" w:space="0" w:color="auto"/>
        <w:left w:val="none" w:sz="0" w:space="0" w:color="auto"/>
        <w:bottom w:val="none" w:sz="0" w:space="0" w:color="auto"/>
        <w:right w:val="none" w:sz="0" w:space="0" w:color="auto"/>
      </w:divBdr>
    </w:div>
    <w:div w:id="423650081">
      <w:bodyDiv w:val="1"/>
      <w:marLeft w:val="0"/>
      <w:marRight w:val="0"/>
      <w:marTop w:val="0"/>
      <w:marBottom w:val="0"/>
      <w:divBdr>
        <w:top w:val="none" w:sz="0" w:space="0" w:color="auto"/>
        <w:left w:val="none" w:sz="0" w:space="0" w:color="auto"/>
        <w:bottom w:val="none" w:sz="0" w:space="0" w:color="auto"/>
        <w:right w:val="none" w:sz="0" w:space="0" w:color="auto"/>
      </w:divBdr>
    </w:div>
    <w:div w:id="434137568">
      <w:bodyDiv w:val="1"/>
      <w:marLeft w:val="0"/>
      <w:marRight w:val="0"/>
      <w:marTop w:val="0"/>
      <w:marBottom w:val="0"/>
      <w:divBdr>
        <w:top w:val="none" w:sz="0" w:space="0" w:color="auto"/>
        <w:left w:val="none" w:sz="0" w:space="0" w:color="auto"/>
        <w:bottom w:val="none" w:sz="0" w:space="0" w:color="auto"/>
        <w:right w:val="none" w:sz="0" w:space="0" w:color="auto"/>
      </w:divBdr>
    </w:div>
    <w:div w:id="439573519">
      <w:bodyDiv w:val="1"/>
      <w:marLeft w:val="0"/>
      <w:marRight w:val="0"/>
      <w:marTop w:val="0"/>
      <w:marBottom w:val="0"/>
      <w:divBdr>
        <w:top w:val="none" w:sz="0" w:space="0" w:color="auto"/>
        <w:left w:val="none" w:sz="0" w:space="0" w:color="auto"/>
        <w:bottom w:val="none" w:sz="0" w:space="0" w:color="auto"/>
        <w:right w:val="none" w:sz="0" w:space="0" w:color="auto"/>
      </w:divBdr>
    </w:div>
    <w:div w:id="451751668">
      <w:bodyDiv w:val="1"/>
      <w:marLeft w:val="0"/>
      <w:marRight w:val="0"/>
      <w:marTop w:val="0"/>
      <w:marBottom w:val="0"/>
      <w:divBdr>
        <w:top w:val="none" w:sz="0" w:space="0" w:color="auto"/>
        <w:left w:val="none" w:sz="0" w:space="0" w:color="auto"/>
        <w:bottom w:val="none" w:sz="0" w:space="0" w:color="auto"/>
        <w:right w:val="none" w:sz="0" w:space="0" w:color="auto"/>
      </w:divBdr>
    </w:div>
    <w:div w:id="464665642">
      <w:bodyDiv w:val="1"/>
      <w:marLeft w:val="0"/>
      <w:marRight w:val="0"/>
      <w:marTop w:val="0"/>
      <w:marBottom w:val="0"/>
      <w:divBdr>
        <w:top w:val="none" w:sz="0" w:space="0" w:color="auto"/>
        <w:left w:val="none" w:sz="0" w:space="0" w:color="auto"/>
        <w:bottom w:val="none" w:sz="0" w:space="0" w:color="auto"/>
        <w:right w:val="none" w:sz="0" w:space="0" w:color="auto"/>
      </w:divBdr>
    </w:div>
    <w:div w:id="482744952">
      <w:bodyDiv w:val="1"/>
      <w:marLeft w:val="0"/>
      <w:marRight w:val="0"/>
      <w:marTop w:val="0"/>
      <w:marBottom w:val="0"/>
      <w:divBdr>
        <w:top w:val="none" w:sz="0" w:space="0" w:color="auto"/>
        <w:left w:val="none" w:sz="0" w:space="0" w:color="auto"/>
        <w:bottom w:val="none" w:sz="0" w:space="0" w:color="auto"/>
        <w:right w:val="none" w:sz="0" w:space="0" w:color="auto"/>
      </w:divBdr>
    </w:div>
    <w:div w:id="486020694">
      <w:bodyDiv w:val="1"/>
      <w:marLeft w:val="0"/>
      <w:marRight w:val="0"/>
      <w:marTop w:val="0"/>
      <w:marBottom w:val="0"/>
      <w:divBdr>
        <w:top w:val="none" w:sz="0" w:space="0" w:color="auto"/>
        <w:left w:val="none" w:sz="0" w:space="0" w:color="auto"/>
        <w:bottom w:val="none" w:sz="0" w:space="0" w:color="auto"/>
        <w:right w:val="none" w:sz="0" w:space="0" w:color="auto"/>
      </w:divBdr>
    </w:div>
    <w:div w:id="490104635">
      <w:bodyDiv w:val="1"/>
      <w:marLeft w:val="0"/>
      <w:marRight w:val="0"/>
      <w:marTop w:val="0"/>
      <w:marBottom w:val="0"/>
      <w:divBdr>
        <w:top w:val="none" w:sz="0" w:space="0" w:color="auto"/>
        <w:left w:val="none" w:sz="0" w:space="0" w:color="auto"/>
        <w:bottom w:val="none" w:sz="0" w:space="0" w:color="auto"/>
        <w:right w:val="none" w:sz="0" w:space="0" w:color="auto"/>
      </w:divBdr>
    </w:div>
    <w:div w:id="505900691">
      <w:bodyDiv w:val="1"/>
      <w:marLeft w:val="0"/>
      <w:marRight w:val="0"/>
      <w:marTop w:val="0"/>
      <w:marBottom w:val="0"/>
      <w:divBdr>
        <w:top w:val="none" w:sz="0" w:space="0" w:color="auto"/>
        <w:left w:val="none" w:sz="0" w:space="0" w:color="auto"/>
        <w:bottom w:val="none" w:sz="0" w:space="0" w:color="auto"/>
        <w:right w:val="none" w:sz="0" w:space="0" w:color="auto"/>
      </w:divBdr>
    </w:div>
    <w:div w:id="522091860">
      <w:bodyDiv w:val="1"/>
      <w:marLeft w:val="0"/>
      <w:marRight w:val="0"/>
      <w:marTop w:val="0"/>
      <w:marBottom w:val="0"/>
      <w:divBdr>
        <w:top w:val="none" w:sz="0" w:space="0" w:color="auto"/>
        <w:left w:val="none" w:sz="0" w:space="0" w:color="auto"/>
        <w:bottom w:val="none" w:sz="0" w:space="0" w:color="auto"/>
        <w:right w:val="none" w:sz="0" w:space="0" w:color="auto"/>
      </w:divBdr>
    </w:div>
    <w:div w:id="560332805">
      <w:bodyDiv w:val="1"/>
      <w:marLeft w:val="0"/>
      <w:marRight w:val="0"/>
      <w:marTop w:val="0"/>
      <w:marBottom w:val="0"/>
      <w:divBdr>
        <w:top w:val="none" w:sz="0" w:space="0" w:color="auto"/>
        <w:left w:val="none" w:sz="0" w:space="0" w:color="auto"/>
        <w:bottom w:val="none" w:sz="0" w:space="0" w:color="auto"/>
        <w:right w:val="none" w:sz="0" w:space="0" w:color="auto"/>
      </w:divBdr>
    </w:div>
    <w:div w:id="562956779">
      <w:bodyDiv w:val="1"/>
      <w:marLeft w:val="0"/>
      <w:marRight w:val="0"/>
      <w:marTop w:val="0"/>
      <w:marBottom w:val="0"/>
      <w:divBdr>
        <w:top w:val="none" w:sz="0" w:space="0" w:color="auto"/>
        <w:left w:val="none" w:sz="0" w:space="0" w:color="auto"/>
        <w:bottom w:val="none" w:sz="0" w:space="0" w:color="auto"/>
        <w:right w:val="none" w:sz="0" w:space="0" w:color="auto"/>
      </w:divBdr>
    </w:div>
    <w:div w:id="589512794">
      <w:bodyDiv w:val="1"/>
      <w:marLeft w:val="0"/>
      <w:marRight w:val="0"/>
      <w:marTop w:val="0"/>
      <w:marBottom w:val="0"/>
      <w:divBdr>
        <w:top w:val="none" w:sz="0" w:space="0" w:color="auto"/>
        <w:left w:val="none" w:sz="0" w:space="0" w:color="auto"/>
        <w:bottom w:val="none" w:sz="0" w:space="0" w:color="auto"/>
        <w:right w:val="none" w:sz="0" w:space="0" w:color="auto"/>
      </w:divBdr>
    </w:div>
    <w:div w:id="608973210">
      <w:bodyDiv w:val="1"/>
      <w:marLeft w:val="0"/>
      <w:marRight w:val="0"/>
      <w:marTop w:val="0"/>
      <w:marBottom w:val="0"/>
      <w:divBdr>
        <w:top w:val="none" w:sz="0" w:space="0" w:color="auto"/>
        <w:left w:val="none" w:sz="0" w:space="0" w:color="auto"/>
        <w:bottom w:val="none" w:sz="0" w:space="0" w:color="auto"/>
        <w:right w:val="none" w:sz="0" w:space="0" w:color="auto"/>
      </w:divBdr>
    </w:div>
    <w:div w:id="612440243">
      <w:bodyDiv w:val="1"/>
      <w:marLeft w:val="0"/>
      <w:marRight w:val="0"/>
      <w:marTop w:val="0"/>
      <w:marBottom w:val="0"/>
      <w:divBdr>
        <w:top w:val="none" w:sz="0" w:space="0" w:color="auto"/>
        <w:left w:val="none" w:sz="0" w:space="0" w:color="auto"/>
        <w:bottom w:val="none" w:sz="0" w:space="0" w:color="auto"/>
        <w:right w:val="none" w:sz="0" w:space="0" w:color="auto"/>
      </w:divBdr>
    </w:div>
    <w:div w:id="612788560">
      <w:bodyDiv w:val="1"/>
      <w:marLeft w:val="0"/>
      <w:marRight w:val="0"/>
      <w:marTop w:val="0"/>
      <w:marBottom w:val="0"/>
      <w:divBdr>
        <w:top w:val="none" w:sz="0" w:space="0" w:color="auto"/>
        <w:left w:val="none" w:sz="0" w:space="0" w:color="auto"/>
        <w:bottom w:val="none" w:sz="0" w:space="0" w:color="auto"/>
        <w:right w:val="none" w:sz="0" w:space="0" w:color="auto"/>
      </w:divBdr>
    </w:div>
    <w:div w:id="627130533">
      <w:bodyDiv w:val="1"/>
      <w:marLeft w:val="0"/>
      <w:marRight w:val="0"/>
      <w:marTop w:val="0"/>
      <w:marBottom w:val="0"/>
      <w:divBdr>
        <w:top w:val="none" w:sz="0" w:space="0" w:color="auto"/>
        <w:left w:val="none" w:sz="0" w:space="0" w:color="auto"/>
        <w:bottom w:val="none" w:sz="0" w:space="0" w:color="auto"/>
        <w:right w:val="none" w:sz="0" w:space="0" w:color="auto"/>
      </w:divBdr>
    </w:div>
    <w:div w:id="627779109">
      <w:bodyDiv w:val="1"/>
      <w:marLeft w:val="0"/>
      <w:marRight w:val="0"/>
      <w:marTop w:val="0"/>
      <w:marBottom w:val="0"/>
      <w:divBdr>
        <w:top w:val="none" w:sz="0" w:space="0" w:color="auto"/>
        <w:left w:val="none" w:sz="0" w:space="0" w:color="auto"/>
        <w:bottom w:val="none" w:sz="0" w:space="0" w:color="auto"/>
        <w:right w:val="none" w:sz="0" w:space="0" w:color="auto"/>
      </w:divBdr>
    </w:div>
    <w:div w:id="630673411">
      <w:bodyDiv w:val="1"/>
      <w:marLeft w:val="0"/>
      <w:marRight w:val="0"/>
      <w:marTop w:val="0"/>
      <w:marBottom w:val="0"/>
      <w:divBdr>
        <w:top w:val="none" w:sz="0" w:space="0" w:color="auto"/>
        <w:left w:val="none" w:sz="0" w:space="0" w:color="auto"/>
        <w:bottom w:val="none" w:sz="0" w:space="0" w:color="auto"/>
        <w:right w:val="none" w:sz="0" w:space="0" w:color="auto"/>
      </w:divBdr>
    </w:div>
    <w:div w:id="649870196">
      <w:bodyDiv w:val="1"/>
      <w:marLeft w:val="0"/>
      <w:marRight w:val="0"/>
      <w:marTop w:val="0"/>
      <w:marBottom w:val="0"/>
      <w:divBdr>
        <w:top w:val="none" w:sz="0" w:space="0" w:color="auto"/>
        <w:left w:val="none" w:sz="0" w:space="0" w:color="auto"/>
        <w:bottom w:val="none" w:sz="0" w:space="0" w:color="auto"/>
        <w:right w:val="none" w:sz="0" w:space="0" w:color="auto"/>
      </w:divBdr>
    </w:div>
    <w:div w:id="665671113">
      <w:bodyDiv w:val="1"/>
      <w:marLeft w:val="0"/>
      <w:marRight w:val="0"/>
      <w:marTop w:val="0"/>
      <w:marBottom w:val="0"/>
      <w:divBdr>
        <w:top w:val="none" w:sz="0" w:space="0" w:color="auto"/>
        <w:left w:val="none" w:sz="0" w:space="0" w:color="auto"/>
        <w:bottom w:val="none" w:sz="0" w:space="0" w:color="auto"/>
        <w:right w:val="none" w:sz="0" w:space="0" w:color="auto"/>
      </w:divBdr>
    </w:div>
    <w:div w:id="676346397">
      <w:bodyDiv w:val="1"/>
      <w:marLeft w:val="0"/>
      <w:marRight w:val="0"/>
      <w:marTop w:val="0"/>
      <w:marBottom w:val="0"/>
      <w:divBdr>
        <w:top w:val="none" w:sz="0" w:space="0" w:color="auto"/>
        <w:left w:val="none" w:sz="0" w:space="0" w:color="auto"/>
        <w:bottom w:val="none" w:sz="0" w:space="0" w:color="auto"/>
        <w:right w:val="none" w:sz="0" w:space="0" w:color="auto"/>
      </w:divBdr>
    </w:div>
    <w:div w:id="688063498">
      <w:bodyDiv w:val="1"/>
      <w:marLeft w:val="0"/>
      <w:marRight w:val="0"/>
      <w:marTop w:val="0"/>
      <w:marBottom w:val="0"/>
      <w:divBdr>
        <w:top w:val="none" w:sz="0" w:space="0" w:color="auto"/>
        <w:left w:val="none" w:sz="0" w:space="0" w:color="auto"/>
        <w:bottom w:val="none" w:sz="0" w:space="0" w:color="auto"/>
        <w:right w:val="none" w:sz="0" w:space="0" w:color="auto"/>
      </w:divBdr>
    </w:div>
    <w:div w:id="705176093">
      <w:bodyDiv w:val="1"/>
      <w:marLeft w:val="0"/>
      <w:marRight w:val="0"/>
      <w:marTop w:val="0"/>
      <w:marBottom w:val="0"/>
      <w:divBdr>
        <w:top w:val="none" w:sz="0" w:space="0" w:color="auto"/>
        <w:left w:val="none" w:sz="0" w:space="0" w:color="auto"/>
        <w:bottom w:val="none" w:sz="0" w:space="0" w:color="auto"/>
        <w:right w:val="none" w:sz="0" w:space="0" w:color="auto"/>
      </w:divBdr>
    </w:div>
    <w:div w:id="706107796">
      <w:bodyDiv w:val="1"/>
      <w:marLeft w:val="0"/>
      <w:marRight w:val="0"/>
      <w:marTop w:val="0"/>
      <w:marBottom w:val="0"/>
      <w:divBdr>
        <w:top w:val="none" w:sz="0" w:space="0" w:color="auto"/>
        <w:left w:val="none" w:sz="0" w:space="0" w:color="auto"/>
        <w:bottom w:val="none" w:sz="0" w:space="0" w:color="auto"/>
        <w:right w:val="none" w:sz="0" w:space="0" w:color="auto"/>
      </w:divBdr>
    </w:div>
    <w:div w:id="717585434">
      <w:bodyDiv w:val="1"/>
      <w:marLeft w:val="0"/>
      <w:marRight w:val="0"/>
      <w:marTop w:val="0"/>
      <w:marBottom w:val="0"/>
      <w:divBdr>
        <w:top w:val="none" w:sz="0" w:space="0" w:color="auto"/>
        <w:left w:val="none" w:sz="0" w:space="0" w:color="auto"/>
        <w:bottom w:val="none" w:sz="0" w:space="0" w:color="auto"/>
        <w:right w:val="none" w:sz="0" w:space="0" w:color="auto"/>
      </w:divBdr>
    </w:div>
    <w:div w:id="726492895">
      <w:bodyDiv w:val="1"/>
      <w:marLeft w:val="0"/>
      <w:marRight w:val="0"/>
      <w:marTop w:val="0"/>
      <w:marBottom w:val="0"/>
      <w:divBdr>
        <w:top w:val="none" w:sz="0" w:space="0" w:color="auto"/>
        <w:left w:val="none" w:sz="0" w:space="0" w:color="auto"/>
        <w:bottom w:val="none" w:sz="0" w:space="0" w:color="auto"/>
        <w:right w:val="none" w:sz="0" w:space="0" w:color="auto"/>
      </w:divBdr>
    </w:div>
    <w:div w:id="739793492">
      <w:bodyDiv w:val="1"/>
      <w:marLeft w:val="0"/>
      <w:marRight w:val="0"/>
      <w:marTop w:val="0"/>
      <w:marBottom w:val="0"/>
      <w:divBdr>
        <w:top w:val="none" w:sz="0" w:space="0" w:color="auto"/>
        <w:left w:val="none" w:sz="0" w:space="0" w:color="auto"/>
        <w:bottom w:val="none" w:sz="0" w:space="0" w:color="auto"/>
        <w:right w:val="none" w:sz="0" w:space="0" w:color="auto"/>
      </w:divBdr>
    </w:div>
    <w:div w:id="816605665">
      <w:bodyDiv w:val="1"/>
      <w:marLeft w:val="0"/>
      <w:marRight w:val="0"/>
      <w:marTop w:val="0"/>
      <w:marBottom w:val="0"/>
      <w:divBdr>
        <w:top w:val="none" w:sz="0" w:space="0" w:color="auto"/>
        <w:left w:val="none" w:sz="0" w:space="0" w:color="auto"/>
        <w:bottom w:val="none" w:sz="0" w:space="0" w:color="auto"/>
        <w:right w:val="none" w:sz="0" w:space="0" w:color="auto"/>
      </w:divBdr>
    </w:div>
    <w:div w:id="821655908">
      <w:bodyDiv w:val="1"/>
      <w:marLeft w:val="0"/>
      <w:marRight w:val="0"/>
      <w:marTop w:val="0"/>
      <w:marBottom w:val="0"/>
      <w:divBdr>
        <w:top w:val="none" w:sz="0" w:space="0" w:color="auto"/>
        <w:left w:val="none" w:sz="0" w:space="0" w:color="auto"/>
        <w:bottom w:val="none" w:sz="0" w:space="0" w:color="auto"/>
        <w:right w:val="none" w:sz="0" w:space="0" w:color="auto"/>
      </w:divBdr>
    </w:div>
    <w:div w:id="828860837">
      <w:bodyDiv w:val="1"/>
      <w:marLeft w:val="0"/>
      <w:marRight w:val="0"/>
      <w:marTop w:val="0"/>
      <w:marBottom w:val="0"/>
      <w:divBdr>
        <w:top w:val="none" w:sz="0" w:space="0" w:color="auto"/>
        <w:left w:val="none" w:sz="0" w:space="0" w:color="auto"/>
        <w:bottom w:val="none" w:sz="0" w:space="0" w:color="auto"/>
        <w:right w:val="none" w:sz="0" w:space="0" w:color="auto"/>
      </w:divBdr>
    </w:div>
    <w:div w:id="832257609">
      <w:bodyDiv w:val="1"/>
      <w:marLeft w:val="0"/>
      <w:marRight w:val="0"/>
      <w:marTop w:val="0"/>
      <w:marBottom w:val="0"/>
      <w:divBdr>
        <w:top w:val="none" w:sz="0" w:space="0" w:color="auto"/>
        <w:left w:val="none" w:sz="0" w:space="0" w:color="auto"/>
        <w:bottom w:val="none" w:sz="0" w:space="0" w:color="auto"/>
        <w:right w:val="none" w:sz="0" w:space="0" w:color="auto"/>
      </w:divBdr>
    </w:div>
    <w:div w:id="836773497">
      <w:bodyDiv w:val="1"/>
      <w:marLeft w:val="0"/>
      <w:marRight w:val="0"/>
      <w:marTop w:val="0"/>
      <w:marBottom w:val="0"/>
      <w:divBdr>
        <w:top w:val="none" w:sz="0" w:space="0" w:color="auto"/>
        <w:left w:val="none" w:sz="0" w:space="0" w:color="auto"/>
        <w:bottom w:val="none" w:sz="0" w:space="0" w:color="auto"/>
        <w:right w:val="none" w:sz="0" w:space="0" w:color="auto"/>
      </w:divBdr>
    </w:div>
    <w:div w:id="849374583">
      <w:bodyDiv w:val="1"/>
      <w:marLeft w:val="0"/>
      <w:marRight w:val="0"/>
      <w:marTop w:val="0"/>
      <w:marBottom w:val="0"/>
      <w:divBdr>
        <w:top w:val="none" w:sz="0" w:space="0" w:color="auto"/>
        <w:left w:val="none" w:sz="0" w:space="0" w:color="auto"/>
        <w:bottom w:val="none" w:sz="0" w:space="0" w:color="auto"/>
        <w:right w:val="none" w:sz="0" w:space="0" w:color="auto"/>
      </w:divBdr>
    </w:div>
    <w:div w:id="857932761">
      <w:bodyDiv w:val="1"/>
      <w:marLeft w:val="0"/>
      <w:marRight w:val="0"/>
      <w:marTop w:val="0"/>
      <w:marBottom w:val="0"/>
      <w:divBdr>
        <w:top w:val="none" w:sz="0" w:space="0" w:color="auto"/>
        <w:left w:val="none" w:sz="0" w:space="0" w:color="auto"/>
        <w:bottom w:val="none" w:sz="0" w:space="0" w:color="auto"/>
        <w:right w:val="none" w:sz="0" w:space="0" w:color="auto"/>
      </w:divBdr>
    </w:div>
    <w:div w:id="863983100">
      <w:bodyDiv w:val="1"/>
      <w:marLeft w:val="0"/>
      <w:marRight w:val="0"/>
      <w:marTop w:val="0"/>
      <w:marBottom w:val="0"/>
      <w:divBdr>
        <w:top w:val="none" w:sz="0" w:space="0" w:color="auto"/>
        <w:left w:val="none" w:sz="0" w:space="0" w:color="auto"/>
        <w:bottom w:val="none" w:sz="0" w:space="0" w:color="auto"/>
        <w:right w:val="none" w:sz="0" w:space="0" w:color="auto"/>
      </w:divBdr>
    </w:div>
    <w:div w:id="867138512">
      <w:bodyDiv w:val="1"/>
      <w:marLeft w:val="0"/>
      <w:marRight w:val="0"/>
      <w:marTop w:val="0"/>
      <w:marBottom w:val="0"/>
      <w:divBdr>
        <w:top w:val="none" w:sz="0" w:space="0" w:color="auto"/>
        <w:left w:val="none" w:sz="0" w:space="0" w:color="auto"/>
        <w:bottom w:val="none" w:sz="0" w:space="0" w:color="auto"/>
        <w:right w:val="none" w:sz="0" w:space="0" w:color="auto"/>
      </w:divBdr>
    </w:div>
    <w:div w:id="904026528">
      <w:bodyDiv w:val="1"/>
      <w:marLeft w:val="0"/>
      <w:marRight w:val="0"/>
      <w:marTop w:val="0"/>
      <w:marBottom w:val="0"/>
      <w:divBdr>
        <w:top w:val="none" w:sz="0" w:space="0" w:color="auto"/>
        <w:left w:val="none" w:sz="0" w:space="0" w:color="auto"/>
        <w:bottom w:val="none" w:sz="0" w:space="0" w:color="auto"/>
        <w:right w:val="none" w:sz="0" w:space="0" w:color="auto"/>
      </w:divBdr>
    </w:div>
    <w:div w:id="909845769">
      <w:bodyDiv w:val="1"/>
      <w:marLeft w:val="0"/>
      <w:marRight w:val="0"/>
      <w:marTop w:val="0"/>
      <w:marBottom w:val="0"/>
      <w:divBdr>
        <w:top w:val="none" w:sz="0" w:space="0" w:color="auto"/>
        <w:left w:val="none" w:sz="0" w:space="0" w:color="auto"/>
        <w:bottom w:val="none" w:sz="0" w:space="0" w:color="auto"/>
        <w:right w:val="none" w:sz="0" w:space="0" w:color="auto"/>
      </w:divBdr>
    </w:div>
    <w:div w:id="913781546">
      <w:bodyDiv w:val="1"/>
      <w:marLeft w:val="0"/>
      <w:marRight w:val="0"/>
      <w:marTop w:val="0"/>
      <w:marBottom w:val="0"/>
      <w:divBdr>
        <w:top w:val="none" w:sz="0" w:space="0" w:color="auto"/>
        <w:left w:val="none" w:sz="0" w:space="0" w:color="auto"/>
        <w:bottom w:val="none" w:sz="0" w:space="0" w:color="auto"/>
        <w:right w:val="none" w:sz="0" w:space="0" w:color="auto"/>
      </w:divBdr>
    </w:div>
    <w:div w:id="927353232">
      <w:bodyDiv w:val="1"/>
      <w:marLeft w:val="0"/>
      <w:marRight w:val="0"/>
      <w:marTop w:val="0"/>
      <w:marBottom w:val="0"/>
      <w:divBdr>
        <w:top w:val="none" w:sz="0" w:space="0" w:color="auto"/>
        <w:left w:val="none" w:sz="0" w:space="0" w:color="auto"/>
        <w:bottom w:val="none" w:sz="0" w:space="0" w:color="auto"/>
        <w:right w:val="none" w:sz="0" w:space="0" w:color="auto"/>
      </w:divBdr>
    </w:div>
    <w:div w:id="978218809">
      <w:bodyDiv w:val="1"/>
      <w:marLeft w:val="0"/>
      <w:marRight w:val="0"/>
      <w:marTop w:val="0"/>
      <w:marBottom w:val="0"/>
      <w:divBdr>
        <w:top w:val="none" w:sz="0" w:space="0" w:color="auto"/>
        <w:left w:val="none" w:sz="0" w:space="0" w:color="auto"/>
        <w:bottom w:val="none" w:sz="0" w:space="0" w:color="auto"/>
        <w:right w:val="none" w:sz="0" w:space="0" w:color="auto"/>
      </w:divBdr>
    </w:div>
    <w:div w:id="986205467">
      <w:bodyDiv w:val="1"/>
      <w:marLeft w:val="0"/>
      <w:marRight w:val="0"/>
      <w:marTop w:val="0"/>
      <w:marBottom w:val="0"/>
      <w:divBdr>
        <w:top w:val="none" w:sz="0" w:space="0" w:color="auto"/>
        <w:left w:val="none" w:sz="0" w:space="0" w:color="auto"/>
        <w:bottom w:val="none" w:sz="0" w:space="0" w:color="auto"/>
        <w:right w:val="none" w:sz="0" w:space="0" w:color="auto"/>
      </w:divBdr>
    </w:div>
    <w:div w:id="1003316798">
      <w:bodyDiv w:val="1"/>
      <w:marLeft w:val="0"/>
      <w:marRight w:val="0"/>
      <w:marTop w:val="0"/>
      <w:marBottom w:val="0"/>
      <w:divBdr>
        <w:top w:val="none" w:sz="0" w:space="0" w:color="auto"/>
        <w:left w:val="none" w:sz="0" w:space="0" w:color="auto"/>
        <w:bottom w:val="none" w:sz="0" w:space="0" w:color="auto"/>
        <w:right w:val="none" w:sz="0" w:space="0" w:color="auto"/>
      </w:divBdr>
    </w:div>
    <w:div w:id="1005792413">
      <w:bodyDiv w:val="1"/>
      <w:marLeft w:val="0"/>
      <w:marRight w:val="0"/>
      <w:marTop w:val="0"/>
      <w:marBottom w:val="0"/>
      <w:divBdr>
        <w:top w:val="none" w:sz="0" w:space="0" w:color="auto"/>
        <w:left w:val="none" w:sz="0" w:space="0" w:color="auto"/>
        <w:bottom w:val="none" w:sz="0" w:space="0" w:color="auto"/>
        <w:right w:val="none" w:sz="0" w:space="0" w:color="auto"/>
      </w:divBdr>
    </w:div>
    <w:div w:id="1060906943">
      <w:bodyDiv w:val="1"/>
      <w:marLeft w:val="0"/>
      <w:marRight w:val="0"/>
      <w:marTop w:val="0"/>
      <w:marBottom w:val="0"/>
      <w:divBdr>
        <w:top w:val="none" w:sz="0" w:space="0" w:color="auto"/>
        <w:left w:val="none" w:sz="0" w:space="0" w:color="auto"/>
        <w:bottom w:val="none" w:sz="0" w:space="0" w:color="auto"/>
        <w:right w:val="none" w:sz="0" w:space="0" w:color="auto"/>
      </w:divBdr>
    </w:div>
    <w:div w:id="1063792531">
      <w:bodyDiv w:val="1"/>
      <w:marLeft w:val="0"/>
      <w:marRight w:val="0"/>
      <w:marTop w:val="0"/>
      <w:marBottom w:val="0"/>
      <w:divBdr>
        <w:top w:val="none" w:sz="0" w:space="0" w:color="auto"/>
        <w:left w:val="none" w:sz="0" w:space="0" w:color="auto"/>
        <w:bottom w:val="none" w:sz="0" w:space="0" w:color="auto"/>
        <w:right w:val="none" w:sz="0" w:space="0" w:color="auto"/>
      </w:divBdr>
    </w:div>
    <w:div w:id="1067528967">
      <w:bodyDiv w:val="1"/>
      <w:marLeft w:val="0"/>
      <w:marRight w:val="0"/>
      <w:marTop w:val="0"/>
      <w:marBottom w:val="0"/>
      <w:divBdr>
        <w:top w:val="none" w:sz="0" w:space="0" w:color="auto"/>
        <w:left w:val="none" w:sz="0" w:space="0" w:color="auto"/>
        <w:bottom w:val="none" w:sz="0" w:space="0" w:color="auto"/>
        <w:right w:val="none" w:sz="0" w:space="0" w:color="auto"/>
      </w:divBdr>
    </w:div>
    <w:div w:id="1075473350">
      <w:bodyDiv w:val="1"/>
      <w:marLeft w:val="0"/>
      <w:marRight w:val="0"/>
      <w:marTop w:val="0"/>
      <w:marBottom w:val="0"/>
      <w:divBdr>
        <w:top w:val="none" w:sz="0" w:space="0" w:color="auto"/>
        <w:left w:val="none" w:sz="0" w:space="0" w:color="auto"/>
        <w:bottom w:val="none" w:sz="0" w:space="0" w:color="auto"/>
        <w:right w:val="none" w:sz="0" w:space="0" w:color="auto"/>
      </w:divBdr>
    </w:div>
    <w:div w:id="1079641096">
      <w:bodyDiv w:val="1"/>
      <w:marLeft w:val="0"/>
      <w:marRight w:val="0"/>
      <w:marTop w:val="0"/>
      <w:marBottom w:val="0"/>
      <w:divBdr>
        <w:top w:val="none" w:sz="0" w:space="0" w:color="auto"/>
        <w:left w:val="none" w:sz="0" w:space="0" w:color="auto"/>
        <w:bottom w:val="none" w:sz="0" w:space="0" w:color="auto"/>
        <w:right w:val="none" w:sz="0" w:space="0" w:color="auto"/>
      </w:divBdr>
    </w:div>
    <w:div w:id="1083184422">
      <w:bodyDiv w:val="1"/>
      <w:marLeft w:val="0"/>
      <w:marRight w:val="0"/>
      <w:marTop w:val="0"/>
      <w:marBottom w:val="0"/>
      <w:divBdr>
        <w:top w:val="none" w:sz="0" w:space="0" w:color="auto"/>
        <w:left w:val="none" w:sz="0" w:space="0" w:color="auto"/>
        <w:bottom w:val="none" w:sz="0" w:space="0" w:color="auto"/>
        <w:right w:val="none" w:sz="0" w:space="0" w:color="auto"/>
      </w:divBdr>
    </w:div>
    <w:div w:id="1084187055">
      <w:bodyDiv w:val="1"/>
      <w:marLeft w:val="0"/>
      <w:marRight w:val="0"/>
      <w:marTop w:val="0"/>
      <w:marBottom w:val="0"/>
      <w:divBdr>
        <w:top w:val="none" w:sz="0" w:space="0" w:color="auto"/>
        <w:left w:val="none" w:sz="0" w:space="0" w:color="auto"/>
        <w:bottom w:val="none" w:sz="0" w:space="0" w:color="auto"/>
        <w:right w:val="none" w:sz="0" w:space="0" w:color="auto"/>
      </w:divBdr>
    </w:div>
    <w:div w:id="1091463414">
      <w:bodyDiv w:val="1"/>
      <w:marLeft w:val="0"/>
      <w:marRight w:val="0"/>
      <w:marTop w:val="0"/>
      <w:marBottom w:val="0"/>
      <w:divBdr>
        <w:top w:val="none" w:sz="0" w:space="0" w:color="auto"/>
        <w:left w:val="none" w:sz="0" w:space="0" w:color="auto"/>
        <w:bottom w:val="none" w:sz="0" w:space="0" w:color="auto"/>
        <w:right w:val="none" w:sz="0" w:space="0" w:color="auto"/>
      </w:divBdr>
    </w:div>
    <w:div w:id="1123503452">
      <w:bodyDiv w:val="1"/>
      <w:marLeft w:val="0"/>
      <w:marRight w:val="0"/>
      <w:marTop w:val="0"/>
      <w:marBottom w:val="0"/>
      <w:divBdr>
        <w:top w:val="none" w:sz="0" w:space="0" w:color="auto"/>
        <w:left w:val="none" w:sz="0" w:space="0" w:color="auto"/>
        <w:bottom w:val="none" w:sz="0" w:space="0" w:color="auto"/>
        <w:right w:val="none" w:sz="0" w:space="0" w:color="auto"/>
      </w:divBdr>
    </w:div>
    <w:div w:id="1128549387">
      <w:bodyDiv w:val="1"/>
      <w:marLeft w:val="0"/>
      <w:marRight w:val="0"/>
      <w:marTop w:val="0"/>
      <w:marBottom w:val="0"/>
      <w:divBdr>
        <w:top w:val="none" w:sz="0" w:space="0" w:color="auto"/>
        <w:left w:val="none" w:sz="0" w:space="0" w:color="auto"/>
        <w:bottom w:val="none" w:sz="0" w:space="0" w:color="auto"/>
        <w:right w:val="none" w:sz="0" w:space="0" w:color="auto"/>
      </w:divBdr>
    </w:div>
    <w:div w:id="1131049034">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42888428">
      <w:bodyDiv w:val="1"/>
      <w:marLeft w:val="0"/>
      <w:marRight w:val="0"/>
      <w:marTop w:val="0"/>
      <w:marBottom w:val="0"/>
      <w:divBdr>
        <w:top w:val="none" w:sz="0" w:space="0" w:color="auto"/>
        <w:left w:val="none" w:sz="0" w:space="0" w:color="auto"/>
        <w:bottom w:val="none" w:sz="0" w:space="0" w:color="auto"/>
        <w:right w:val="none" w:sz="0" w:space="0" w:color="auto"/>
      </w:divBdr>
    </w:div>
    <w:div w:id="1159224059">
      <w:bodyDiv w:val="1"/>
      <w:marLeft w:val="0"/>
      <w:marRight w:val="0"/>
      <w:marTop w:val="0"/>
      <w:marBottom w:val="0"/>
      <w:divBdr>
        <w:top w:val="none" w:sz="0" w:space="0" w:color="auto"/>
        <w:left w:val="none" w:sz="0" w:space="0" w:color="auto"/>
        <w:bottom w:val="none" w:sz="0" w:space="0" w:color="auto"/>
        <w:right w:val="none" w:sz="0" w:space="0" w:color="auto"/>
      </w:divBdr>
    </w:div>
    <w:div w:id="1182429018">
      <w:bodyDiv w:val="1"/>
      <w:marLeft w:val="0"/>
      <w:marRight w:val="0"/>
      <w:marTop w:val="0"/>
      <w:marBottom w:val="0"/>
      <w:divBdr>
        <w:top w:val="none" w:sz="0" w:space="0" w:color="auto"/>
        <w:left w:val="none" w:sz="0" w:space="0" w:color="auto"/>
        <w:bottom w:val="none" w:sz="0" w:space="0" w:color="auto"/>
        <w:right w:val="none" w:sz="0" w:space="0" w:color="auto"/>
      </w:divBdr>
    </w:div>
    <w:div w:id="1190415439">
      <w:bodyDiv w:val="1"/>
      <w:marLeft w:val="0"/>
      <w:marRight w:val="0"/>
      <w:marTop w:val="0"/>
      <w:marBottom w:val="0"/>
      <w:divBdr>
        <w:top w:val="none" w:sz="0" w:space="0" w:color="auto"/>
        <w:left w:val="none" w:sz="0" w:space="0" w:color="auto"/>
        <w:bottom w:val="none" w:sz="0" w:space="0" w:color="auto"/>
        <w:right w:val="none" w:sz="0" w:space="0" w:color="auto"/>
      </w:divBdr>
    </w:div>
    <w:div w:id="1194146668">
      <w:bodyDiv w:val="1"/>
      <w:marLeft w:val="0"/>
      <w:marRight w:val="0"/>
      <w:marTop w:val="0"/>
      <w:marBottom w:val="0"/>
      <w:divBdr>
        <w:top w:val="none" w:sz="0" w:space="0" w:color="auto"/>
        <w:left w:val="none" w:sz="0" w:space="0" w:color="auto"/>
        <w:bottom w:val="none" w:sz="0" w:space="0" w:color="auto"/>
        <w:right w:val="none" w:sz="0" w:space="0" w:color="auto"/>
      </w:divBdr>
    </w:div>
    <w:div w:id="1214778442">
      <w:bodyDiv w:val="1"/>
      <w:marLeft w:val="0"/>
      <w:marRight w:val="0"/>
      <w:marTop w:val="0"/>
      <w:marBottom w:val="0"/>
      <w:divBdr>
        <w:top w:val="none" w:sz="0" w:space="0" w:color="auto"/>
        <w:left w:val="none" w:sz="0" w:space="0" w:color="auto"/>
        <w:bottom w:val="none" w:sz="0" w:space="0" w:color="auto"/>
        <w:right w:val="none" w:sz="0" w:space="0" w:color="auto"/>
      </w:divBdr>
    </w:div>
    <w:div w:id="1224481969">
      <w:bodyDiv w:val="1"/>
      <w:marLeft w:val="0"/>
      <w:marRight w:val="0"/>
      <w:marTop w:val="0"/>
      <w:marBottom w:val="0"/>
      <w:divBdr>
        <w:top w:val="none" w:sz="0" w:space="0" w:color="auto"/>
        <w:left w:val="none" w:sz="0" w:space="0" w:color="auto"/>
        <w:bottom w:val="none" w:sz="0" w:space="0" w:color="auto"/>
        <w:right w:val="none" w:sz="0" w:space="0" w:color="auto"/>
      </w:divBdr>
    </w:div>
    <w:div w:id="1252465665">
      <w:bodyDiv w:val="1"/>
      <w:marLeft w:val="0"/>
      <w:marRight w:val="0"/>
      <w:marTop w:val="0"/>
      <w:marBottom w:val="0"/>
      <w:divBdr>
        <w:top w:val="none" w:sz="0" w:space="0" w:color="auto"/>
        <w:left w:val="none" w:sz="0" w:space="0" w:color="auto"/>
        <w:bottom w:val="none" w:sz="0" w:space="0" w:color="auto"/>
        <w:right w:val="none" w:sz="0" w:space="0" w:color="auto"/>
      </w:divBdr>
    </w:div>
    <w:div w:id="1255626274">
      <w:bodyDiv w:val="1"/>
      <w:marLeft w:val="0"/>
      <w:marRight w:val="0"/>
      <w:marTop w:val="0"/>
      <w:marBottom w:val="0"/>
      <w:divBdr>
        <w:top w:val="none" w:sz="0" w:space="0" w:color="auto"/>
        <w:left w:val="none" w:sz="0" w:space="0" w:color="auto"/>
        <w:bottom w:val="none" w:sz="0" w:space="0" w:color="auto"/>
        <w:right w:val="none" w:sz="0" w:space="0" w:color="auto"/>
      </w:divBdr>
    </w:div>
    <w:div w:id="1267543404">
      <w:bodyDiv w:val="1"/>
      <w:marLeft w:val="0"/>
      <w:marRight w:val="0"/>
      <w:marTop w:val="0"/>
      <w:marBottom w:val="0"/>
      <w:divBdr>
        <w:top w:val="none" w:sz="0" w:space="0" w:color="auto"/>
        <w:left w:val="none" w:sz="0" w:space="0" w:color="auto"/>
        <w:bottom w:val="none" w:sz="0" w:space="0" w:color="auto"/>
        <w:right w:val="none" w:sz="0" w:space="0" w:color="auto"/>
      </w:divBdr>
    </w:div>
    <w:div w:id="1271354597">
      <w:bodyDiv w:val="1"/>
      <w:marLeft w:val="0"/>
      <w:marRight w:val="0"/>
      <w:marTop w:val="0"/>
      <w:marBottom w:val="0"/>
      <w:divBdr>
        <w:top w:val="none" w:sz="0" w:space="0" w:color="auto"/>
        <w:left w:val="none" w:sz="0" w:space="0" w:color="auto"/>
        <w:bottom w:val="none" w:sz="0" w:space="0" w:color="auto"/>
        <w:right w:val="none" w:sz="0" w:space="0" w:color="auto"/>
      </w:divBdr>
    </w:div>
    <w:div w:id="1290086521">
      <w:bodyDiv w:val="1"/>
      <w:marLeft w:val="0"/>
      <w:marRight w:val="0"/>
      <w:marTop w:val="0"/>
      <w:marBottom w:val="0"/>
      <w:divBdr>
        <w:top w:val="none" w:sz="0" w:space="0" w:color="auto"/>
        <w:left w:val="none" w:sz="0" w:space="0" w:color="auto"/>
        <w:bottom w:val="none" w:sz="0" w:space="0" w:color="auto"/>
        <w:right w:val="none" w:sz="0" w:space="0" w:color="auto"/>
      </w:divBdr>
    </w:div>
    <w:div w:id="1303584215">
      <w:bodyDiv w:val="1"/>
      <w:marLeft w:val="0"/>
      <w:marRight w:val="0"/>
      <w:marTop w:val="0"/>
      <w:marBottom w:val="0"/>
      <w:divBdr>
        <w:top w:val="none" w:sz="0" w:space="0" w:color="auto"/>
        <w:left w:val="none" w:sz="0" w:space="0" w:color="auto"/>
        <w:bottom w:val="none" w:sz="0" w:space="0" w:color="auto"/>
        <w:right w:val="none" w:sz="0" w:space="0" w:color="auto"/>
      </w:divBdr>
    </w:div>
    <w:div w:id="1316182606">
      <w:bodyDiv w:val="1"/>
      <w:marLeft w:val="0"/>
      <w:marRight w:val="0"/>
      <w:marTop w:val="0"/>
      <w:marBottom w:val="0"/>
      <w:divBdr>
        <w:top w:val="none" w:sz="0" w:space="0" w:color="auto"/>
        <w:left w:val="none" w:sz="0" w:space="0" w:color="auto"/>
        <w:bottom w:val="none" w:sz="0" w:space="0" w:color="auto"/>
        <w:right w:val="none" w:sz="0" w:space="0" w:color="auto"/>
      </w:divBdr>
    </w:div>
    <w:div w:id="1356544408">
      <w:bodyDiv w:val="1"/>
      <w:marLeft w:val="0"/>
      <w:marRight w:val="0"/>
      <w:marTop w:val="0"/>
      <w:marBottom w:val="0"/>
      <w:divBdr>
        <w:top w:val="none" w:sz="0" w:space="0" w:color="auto"/>
        <w:left w:val="none" w:sz="0" w:space="0" w:color="auto"/>
        <w:bottom w:val="none" w:sz="0" w:space="0" w:color="auto"/>
        <w:right w:val="none" w:sz="0" w:space="0" w:color="auto"/>
      </w:divBdr>
    </w:div>
    <w:div w:id="1389960272">
      <w:bodyDiv w:val="1"/>
      <w:marLeft w:val="0"/>
      <w:marRight w:val="0"/>
      <w:marTop w:val="0"/>
      <w:marBottom w:val="0"/>
      <w:divBdr>
        <w:top w:val="none" w:sz="0" w:space="0" w:color="auto"/>
        <w:left w:val="none" w:sz="0" w:space="0" w:color="auto"/>
        <w:bottom w:val="none" w:sz="0" w:space="0" w:color="auto"/>
        <w:right w:val="none" w:sz="0" w:space="0" w:color="auto"/>
      </w:divBdr>
    </w:div>
    <w:div w:id="1399866958">
      <w:bodyDiv w:val="1"/>
      <w:marLeft w:val="0"/>
      <w:marRight w:val="0"/>
      <w:marTop w:val="0"/>
      <w:marBottom w:val="0"/>
      <w:divBdr>
        <w:top w:val="none" w:sz="0" w:space="0" w:color="auto"/>
        <w:left w:val="none" w:sz="0" w:space="0" w:color="auto"/>
        <w:bottom w:val="none" w:sz="0" w:space="0" w:color="auto"/>
        <w:right w:val="none" w:sz="0" w:space="0" w:color="auto"/>
      </w:divBdr>
    </w:div>
    <w:div w:id="1401713240">
      <w:bodyDiv w:val="1"/>
      <w:marLeft w:val="0"/>
      <w:marRight w:val="0"/>
      <w:marTop w:val="0"/>
      <w:marBottom w:val="0"/>
      <w:divBdr>
        <w:top w:val="none" w:sz="0" w:space="0" w:color="auto"/>
        <w:left w:val="none" w:sz="0" w:space="0" w:color="auto"/>
        <w:bottom w:val="none" w:sz="0" w:space="0" w:color="auto"/>
        <w:right w:val="none" w:sz="0" w:space="0" w:color="auto"/>
      </w:divBdr>
    </w:div>
    <w:div w:id="1404063819">
      <w:bodyDiv w:val="1"/>
      <w:marLeft w:val="0"/>
      <w:marRight w:val="0"/>
      <w:marTop w:val="0"/>
      <w:marBottom w:val="0"/>
      <w:divBdr>
        <w:top w:val="none" w:sz="0" w:space="0" w:color="auto"/>
        <w:left w:val="none" w:sz="0" w:space="0" w:color="auto"/>
        <w:bottom w:val="none" w:sz="0" w:space="0" w:color="auto"/>
        <w:right w:val="none" w:sz="0" w:space="0" w:color="auto"/>
      </w:divBdr>
    </w:div>
    <w:div w:id="1411388175">
      <w:bodyDiv w:val="1"/>
      <w:marLeft w:val="0"/>
      <w:marRight w:val="0"/>
      <w:marTop w:val="0"/>
      <w:marBottom w:val="0"/>
      <w:divBdr>
        <w:top w:val="none" w:sz="0" w:space="0" w:color="auto"/>
        <w:left w:val="none" w:sz="0" w:space="0" w:color="auto"/>
        <w:bottom w:val="none" w:sz="0" w:space="0" w:color="auto"/>
        <w:right w:val="none" w:sz="0" w:space="0" w:color="auto"/>
      </w:divBdr>
    </w:div>
    <w:div w:id="1455443622">
      <w:bodyDiv w:val="1"/>
      <w:marLeft w:val="0"/>
      <w:marRight w:val="0"/>
      <w:marTop w:val="0"/>
      <w:marBottom w:val="0"/>
      <w:divBdr>
        <w:top w:val="none" w:sz="0" w:space="0" w:color="auto"/>
        <w:left w:val="none" w:sz="0" w:space="0" w:color="auto"/>
        <w:bottom w:val="none" w:sz="0" w:space="0" w:color="auto"/>
        <w:right w:val="none" w:sz="0" w:space="0" w:color="auto"/>
      </w:divBdr>
    </w:div>
    <w:div w:id="1491678501">
      <w:bodyDiv w:val="1"/>
      <w:marLeft w:val="0"/>
      <w:marRight w:val="0"/>
      <w:marTop w:val="0"/>
      <w:marBottom w:val="0"/>
      <w:divBdr>
        <w:top w:val="none" w:sz="0" w:space="0" w:color="auto"/>
        <w:left w:val="none" w:sz="0" w:space="0" w:color="auto"/>
        <w:bottom w:val="none" w:sz="0" w:space="0" w:color="auto"/>
        <w:right w:val="none" w:sz="0" w:space="0" w:color="auto"/>
      </w:divBdr>
    </w:div>
    <w:div w:id="1517109080">
      <w:bodyDiv w:val="1"/>
      <w:marLeft w:val="0"/>
      <w:marRight w:val="0"/>
      <w:marTop w:val="0"/>
      <w:marBottom w:val="0"/>
      <w:divBdr>
        <w:top w:val="none" w:sz="0" w:space="0" w:color="auto"/>
        <w:left w:val="none" w:sz="0" w:space="0" w:color="auto"/>
        <w:bottom w:val="none" w:sz="0" w:space="0" w:color="auto"/>
        <w:right w:val="none" w:sz="0" w:space="0" w:color="auto"/>
      </w:divBdr>
    </w:div>
    <w:div w:id="1523326774">
      <w:bodyDiv w:val="1"/>
      <w:marLeft w:val="0"/>
      <w:marRight w:val="0"/>
      <w:marTop w:val="0"/>
      <w:marBottom w:val="0"/>
      <w:divBdr>
        <w:top w:val="none" w:sz="0" w:space="0" w:color="auto"/>
        <w:left w:val="none" w:sz="0" w:space="0" w:color="auto"/>
        <w:bottom w:val="none" w:sz="0" w:space="0" w:color="auto"/>
        <w:right w:val="none" w:sz="0" w:space="0" w:color="auto"/>
      </w:divBdr>
    </w:div>
    <w:div w:id="1537354379">
      <w:bodyDiv w:val="1"/>
      <w:marLeft w:val="0"/>
      <w:marRight w:val="0"/>
      <w:marTop w:val="0"/>
      <w:marBottom w:val="0"/>
      <w:divBdr>
        <w:top w:val="none" w:sz="0" w:space="0" w:color="auto"/>
        <w:left w:val="none" w:sz="0" w:space="0" w:color="auto"/>
        <w:bottom w:val="none" w:sz="0" w:space="0" w:color="auto"/>
        <w:right w:val="none" w:sz="0" w:space="0" w:color="auto"/>
      </w:divBdr>
    </w:div>
    <w:div w:id="1567178329">
      <w:bodyDiv w:val="1"/>
      <w:marLeft w:val="0"/>
      <w:marRight w:val="0"/>
      <w:marTop w:val="0"/>
      <w:marBottom w:val="0"/>
      <w:divBdr>
        <w:top w:val="none" w:sz="0" w:space="0" w:color="auto"/>
        <w:left w:val="none" w:sz="0" w:space="0" w:color="auto"/>
        <w:bottom w:val="none" w:sz="0" w:space="0" w:color="auto"/>
        <w:right w:val="none" w:sz="0" w:space="0" w:color="auto"/>
      </w:divBdr>
    </w:div>
    <w:div w:id="1576822046">
      <w:bodyDiv w:val="1"/>
      <w:marLeft w:val="0"/>
      <w:marRight w:val="0"/>
      <w:marTop w:val="0"/>
      <w:marBottom w:val="0"/>
      <w:divBdr>
        <w:top w:val="none" w:sz="0" w:space="0" w:color="auto"/>
        <w:left w:val="none" w:sz="0" w:space="0" w:color="auto"/>
        <w:bottom w:val="none" w:sz="0" w:space="0" w:color="auto"/>
        <w:right w:val="none" w:sz="0" w:space="0" w:color="auto"/>
      </w:divBdr>
    </w:div>
    <w:div w:id="1577351751">
      <w:bodyDiv w:val="1"/>
      <w:marLeft w:val="0"/>
      <w:marRight w:val="0"/>
      <w:marTop w:val="0"/>
      <w:marBottom w:val="0"/>
      <w:divBdr>
        <w:top w:val="none" w:sz="0" w:space="0" w:color="auto"/>
        <w:left w:val="none" w:sz="0" w:space="0" w:color="auto"/>
        <w:bottom w:val="none" w:sz="0" w:space="0" w:color="auto"/>
        <w:right w:val="none" w:sz="0" w:space="0" w:color="auto"/>
      </w:divBdr>
    </w:div>
    <w:div w:id="1607158341">
      <w:bodyDiv w:val="1"/>
      <w:marLeft w:val="0"/>
      <w:marRight w:val="0"/>
      <w:marTop w:val="0"/>
      <w:marBottom w:val="0"/>
      <w:divBdr>
        <w:top w:val="none" w:sz="0" w:space="0" w:color="auto"/>
        <w:left w:val="none" w:sz="0" w:space="0" w:color="auto"/>
        <w:bottom w:val="none" w:sz="0" w:space="0" w:color="auto"/>
        <w:right w:val="none" w:sz="0" w:space="0" w:color="auto"/>
      </w:divBdr>
    </w:div>
    <w:div w:id="1613046809">
      <w:bodyDiv w:val="1"/>
      <w:marLeft w:val="0"/>
      <w:marRight w:val="0"/>
      <w:marTop w:val="0"/>
      <w:marBottom w:val="0"/>
      <w:divBdr>
        <w:top w:val="none" w:sz="0" w:space="0" w:color="auto"/>
        <w:left w:val="none" w:sz="0" w:space="0" w:color="auto"/>
        <w:bottom w:val="none" w:sz="0" w:space="0" w:color="auto"/>
        <w:right w:val="none" w:sz="0" w:space="0" w:color="auto"/>
      </w:divBdr>
    </w:div>
    <w:div w:id="1654336915">
      <w:bodyDiv w:val="1"/>
      <w:marLeft w:val="0"/>
      <w:marRight w:val="0"/>
      <w:marTop w:val="0"/>
      <w:marBottom w:val="0"/>
      <w:divBdr>
        <w:top w:val="none" w:sz="0" w:space="0" w:color="auto"/>
        <w:left w:val="none" w:sz="0" w:space="0" w:color="auto"/>
        <w:bottom w:val="none" w:sz="0" w:space="0" w:color="auto"/>
        <w:right w:val="none" w:sz="0" w:space="0" w:color="auto"/>
      </w:divBdr>
    </w:div>
    <w:div w:id="1667242676">
      <w:bodyDiv w:val="1"/>
      <w:marLeft w:val="0"/>
      <w:marRight w:val="0"/>
      <w:marTop w:val="0"/>
      <w:marBottom w:val="0"/>
      <w:divBdr>
        <w:top w:val="none" w:sz="0" w:space="0" w:color="auto"/>
        <w:left w:val="none" w:sz="0" w:space="0" w:color="auto"/>
        <w:bottom w:val="none" w:sz="0" w:space="0" w:color="auto"/>
        <w:right w:val="none" w:sz="0" w:space="0" w:color="auto"/>
      </w:divBdr>
    </w:div>
    <w:div w:id="1670669582">
      <w:bodyDiv w:val="1"/>
      <w:marLeft w:val="0"/>
      <w:marRight w:val="0"/>
      <w:marTop w:val="0"/>
      <w:marBottom w:val="0"/>
      <w:divBdr>
        <w:top w:val="none" w:sz="0" w:space="0" w:color="auto"/>
        <w:left w:val="none" w:sz="0" w:space="0" w:color="auto"/>
        <w:bottom w:val="none" w:sz="0" w:space="0" w:color="auto"/>
        <w:right w:val="none" w:sz="0" w:space="0" w:color="auto"/>
      </w:divBdr>
    </w:div>
    <w:div w:id="1682974885">
      <w:bodyDiv w:val="1"/>
      <w:marLeft w:val="0"/>
      <w:marRight w:val="0"/>
      <w:marTop w:val="0"/>
      <w:marBottom w:val="0"/>
      <w:divBdr>
        <w:top w:val="none" w:sz="0" w:space="0" w:color="auto"/>
        <w:left w:val="none" w:sz="0" w:space="0" w:color="auto"/>
        <w:bottom w:val="none" w:sz="0" w:space="0" w:color="auto"/>
        <w:right w:val="none" w:sz="0" w:space="0" w:color="auto"/>
      </w:divBdr>
    </w:div>
    <w:div w:id="1685590909">
      <w:bodyDiv w:val="1"/>
      <w:marLeft w:val="0"/>
      <w:marRight w:val="0"/>
      <w:marTop w:val="0"/>
      <w:marBottom w:val="0"/>
      <w:divBdr>
        <w:top w:val="none" w:sz="0" w:space="0" w:color="auto"/>
        <w:left w:val="none" w:sz="0" w:space="0" w:color="auto"/>
        <w:bottom w:val="none" w:sz="0" w:space="0" w:color="auto"/>
        <w:right w:val="none" w:sz="0" w:space="0" w:color="auto"/>
      </w:divBdr>
    </w:div>
    <w:div w:id="1698508586">
      <w:bodyDiv w:val="1"/>
      <w:marLeft w:val="0"/>
      <w:marRight w:val="0"/>
      <w:marTop w:val="0"/>
      <w:marBottom w:val="0"/>
      <w:divBdr>
        <w:top w:val="none" w:sz="0" w:space="0" w:color="auto"/>
        <w:left w:val="none" w:sz="0" w:space="0" w:color="auto"/>
        <w:bottom w:val="none" w:sz="0" w:space="0" w:color="auto"/>
        <w:right w:val="none" w:sz="0" w:space="0" w:color="auto"/>
      </w:divBdr>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
    <w:div w:id="1726248176">
      <w:bodyDiv w:val="1"/>
      <w:marLeft w:val="0"/>
      <w:marRight w:val="0"/>
      <w:marTop w:val="0"/>
      <w:marBottom w:val="0"/>
      <w:divBdr>
        <w:top w:val="none" w:sz="0" w:space="0" w:color="auto"/>
        <w:left w:val="none" w:sz="0" w:space="0" w:color="auto"/>
        <w:bottom w:val="none" w:sz="0" w:space="0" w:color="auto"/>
        <w:right w:val="none" w:sz="0" w:space="0" w:color="auto"/>
      </w:divBdr>
    </w:div>
    <w:div w:id="1726903237">
      <w:bodyDiv w:val="1"/>
      <w:marLeft w:val="0"/>
      <w:marRight w:val="0"/>
      <w:marTop w:val="0"/>
      <w:marBottom w:val="0"/>
      <w:divBdr>
        <w:top w:val="none" w:sz="0" w:space="0" w:color="auto"/>
        <w:left w:val="none" w:sz="0" w:space="0" w:color="auto"/>
        <w:bottom w:val="none" w:sz="0" w:space="0" w:color="auto"/>
        <w:right w:val="none" w:sz="0" w:space="0" w:color="auto"/>
      </w:divBdr>
    </w:div>
    <w:div w:id="1749188141">
      <w:bodyDiv w:val="1"/>
      <w:marLeft w:val="0"/>
      <w:marRight w:val="0"/>
      <w:marTop w:val="0"/>
      <w:marBottom w:val="0"/>
      <w:divBdr>
        <w:top w:val="none" w:sz="0" w:space="0" w:color="auto"/>
        <w:left w:val="none" w:sz="0" w:space="0" w:color="auto"/>
        <w:bottom w:val="none" w:sz="0" w:space="0" w:color="auto"/>
        <w:right w:val="none" w:sz="0" w:space="0" w:color="auto"/>
      </w:divBdr>
    </w:div>
    <w:div w:id="1784884740">
      <w:bodyDiv w:val="1"/>
      <w:marLeft w:val="0"/>
      <w:marRight w:val="0"/>
      <w:marTop w:val="0"/>
      <w:marBottom w:val="0"/>
      <w:divBdr>
        <w:top w:val="none" w:sz="0" w:space="0" w:color="auto"/>
        <w:left w:val="none" w:sz="0" w:space="0" w:color="auto"/>
        <w:bottom w:val="none" w:sz="0" w:space="0" w:color="auto"/>
        <w:right w:val="none" w:sz="0" w:space="0" w:color="auto"/>
      </w:divBdr>
    </w:div>
    <w:div w:id="1796826322">
      <w:bodyDiv w:val="1"/>
      <w:marLeft w:val="0"/>
      <w:marRight w:val="0"/>
      <w:marTop w:val="0"/>
      <w:marBottom w:val="0"/>
      <w:divBdr>
        <w:top w:val="none" w:sz="0" w:space="0" w:color="auto"/>
        <w:left w:val="none" w:sz="0" w:space="0" w:color="auto"/>
        <w:bottom w:val="none" w:sz="0" w:space="0" w:color="auto"/>
        <w:right w:val="none" w:sz="0" w:space="0" w:color="auto"/>
      </w:divBdr>
    </w:div>
    <w:div w:id="1816726315">
      <w:bodyDiv w:val="1"/>
      <w:marLeft w:val="0"/>
      <w:marRight w:val="0"/>
      <w:marTop w:val="0"/>
      <w:marBottom w:val="0"/>
      <w:divBdr>
        <w:top w:val="none" w:sz="0" w:space="0" w:color="auto"/>
        <w:left w:val="none" w:sz="0" w:space="0" w:color="auto"/>
        <w:bottom w:val="none" w:sz="0" w:space="0" w:color="auto"/>
        <w:right w:val="none" w:sz="0" w:space="0" w:color="auto"/>
      </w:divBdr>
    </w:div>
    <w:div w:id="1824854056">
      <w:bodyDiv w:val="1"/>
      <w:marLeft w:val="0"/>
      <w:marRight w:val="0"/>
      <w:marTop w:val="0"/>
      <w:marBottom w:val="0"/>
      <w:divBdr>
        <w:top w:val="none" w:sz="0" w:space="0" w:color="auto"/>
        <w:left w:val="none" w:sz="0" w:space="0" w:color="auto"/>
        <w:bottom w:val="none" w:sz="0" w:space="0" w:color="auto"/>
        <w:right w:val="none" w:sz="0" w:space="0" w:color="auto"/>
      </w:divBdr>
    </w:div>
    <w:div w:id="1828665993">
      <w:bodyDiv w:val="1"/>
      <w:marLeft w:val="0"/>
      <w:marRight w:val="0"/>
      <w:marTop w:val="0"/>
      <w:marBottom w:val="0"/>
      <w:divBdr>
        <w:top w:val="none" w:sz="0" w:space="0" w:color="auto"/>
        <w:left w:val="none" w:sz="0" w:space="0" w:color="auto"/>
        <w:bottom w:val="none" w:sz="0" w:space="0" w:color="auto"/>
        <w:right w:val="none" w:sz="0" w:space="0" w:color="auto"/>
      </w:divBdr>
    </w:div>
    <w:div w:id="1844320673">
      <w:bodyDiv w:val="1"/>
      <w:marLeft w:val="0"/>
      <w:marRight w:val="0"/>
      <w:marTop w:val="0"/>
      <w:marBottom w:val="0"/>
      <w:divBdr>
        <w:top w:val="none" w:sz="0" w:space="0" w:color="auto"/>
        <w:left w:val="none" w:sz="0" w:space="0" w:color="auto"/>
        <w:bottom w:val="none" w:sz="0" w:space="0" w:color="auto"/>
        <w:right w:val="none" w:sz="0" w:space="0" w:color="auto"/>
      </w:divBdr>
    </w:div>
    <w:div w:id="1845975385">
      <w:bodyDiv w:val="1"/>
      <w:marLeft w:val="0"/>
      <w:marRight w:val="0"/>
      <w:marTop w:val="0"/>
      <w:marBottom w:val="0"/>
      <w:divBdr>
        <w:top w:val="none" w:sz="0" w:space="0" w:color="auto"/>
        <w:left w:val="none" w:sz="0" w:space="0" w:color="auto"/>
        <w:bottom w:val="none" w:sz="0" w:space="0" w:color="auto"/>
        <w:right w:val="none" w:sz="0" w:space="0" w:color="auto"/>
      </w:divBdr>
    </w:div>
    <w:div w:id="1862626742">
      <w:bodyDiv w:val="1"/>
      <w:marLeft w:val="0"/>
      <w:marRight w:val="0"/>
      <w:marTop w:val="0"/>
      <w:marBottom w:val="0"/>
      <w:divBdr>
        <w:top w:val="none" w:sz="0" w:space="0" w:color="auto"/>
        <w:left w:val="none" w:sz="0" w:space="0" w:color="auto"/>
        <w:bottom w:val="none" w:sz="0" w:space="0" w:color="auto"/>
        <w:right w:val="none" w:sz="0" w:space="0" w:color="auto"/>
      </w:divBdr>
    </w:div>
    <w:div w:id="1886019816">
      <w:bodyDiv w:val="1"/>
      <w:marLeft w:val="0"/>
      <w:marRight w:val="0"/>
      <w:marTop w:val="0"/>
      <w:marBottom w:val="0"/>
      <w:divBdr>
        <w:top w:val="none" w:sz="0" w:space="0" w:color="auto"/>
        <w:left w:val="none" w:sz="0" w:space="0" w:color="auto"/>
        <w:bottom w:val="none" w:sz="0" w:space="0" w:color="auto"/>
        <w:right w:val="none" w:sz="0" w:space="0" w:color="auto"/>
      </w:divBdr>
    </w:div>
    <w:div w:id="1897005068">
      <w:bodyDiv w:val="1"/>
      <w:marLeft w:val="0"/>
      <w:marRight w:val="0"/>
      <w:marTop w:val="0"/>
      <w:marBottom w:val="0"/>
      <w:divBdr>
        <w:top w:val="none" w:sz="0" w:space="0" w:color="auto"/>
        <w:left w:val="none" w:sz="0" w:space="0" w:color="auto"/>
        <w:bottom w:val="none" w:sz="0" w:space="0" w:color="auto"/>
        <w:right w:val="none" w:sz="0" w:space="0" w:color="auto"/>
      </w:divBdr>
    </w:div>
    <w:div w:id="1908681244">
      <w:bodyDiv w:val="1"/>
      <w:marLeft w:val="0"/>
      <w:marRight w:val="0"/>
      <w:marTop w:val="0"/>
      <w:marBottom w:val="0"/>
      <w:divBdr>
        <w:top w:val="none" w:sz="0" w:space="0" w:color="auto"/>
        <w:left w:val="none" w:sz="0" w:space="0" w:color="auto"/>
        <w:bottom w:val="none" w:sz="0" w:space="0" w:color="auto"/>
        <w:right w:val="none" w:sz="0" w:space="0" w:color="auto"/>
      </w:divBdr>
    </w:div>
    <w:div w:id="1916086097">
      <w:bodyDiv w:val="1"/>
      <w:marLeft w:val="0"/>
      <w:marRight w:val="0"/>
      <w:marTop w:val="0"/>
      <w:marBottom w:val="0"/>
      <w:divBdr>
        <w:top w:val="none" w:sz="0" w:space="0" w:color="auto"/>
        <w:left w:val="none" w:sz="0" w:space="0" w:color="auto"/>
        <w:bottom w:val="none" w:sz="0" w:space="0" w:color="auto"/>
        <w:right w:val="none" w:sz="0" w:space="0" w:color="auto"/>
      </w:divBdr>
    </w:div>
    <w:div w:id="1959331559">
      <w:bodyDiv w:val="1"/>
      <w:marLeft w:val="0"/>
      <w:marRight w:val="0"/>
      <w:marTop w:val="0"/>
      <w:marBottom w:val="0"/>
      <w:divBdr>
        <w:top w:val="none" w:sz="0" w:space="0" w:color="auto"/>
        <w:left w:val="none" w:sz="0" w:space="0" w:color="auto"/>
        <w:bottom w:val="none" w:sz="0" w:space="0" w:color="auto"/>
        <w:right w:val="none" w:sz="0" w:space="0" w:color="auto"/>
      </w:divBdr>
    </w:div>
    <w:div w:id="1964651772">
      <w:bodyDiv w:val="1"/>
      <w:marLeft w:val="0"/>
      <w:marRight w:val="0"/>
      <w:marTop w:val="0"/>
      <w:marBottom w:val="0"/>
      <w:divBdr>
        <w:top w:val="none" w:sz="0" w:space="0" w:color="auto"/>
        <w:left w:val="none" w:sz="0" w:space="0" w:color="auto"/>
        <w:bottom w:val="none" w:sz="0" w:space="0" w:color="auto"/>
        <w:right w:val="none" w:sz="0" w:space="0" w:color="auto"/>
      </w:divBdr>
    </w:div>
    <w:div w:id="1984195608">
      <w:bodyDiv w:val="1"/>
      <w:marLeft w:val="0"/>
      <w:marRight w:val="0"/>
      <w:marTop w:val="0"/>
      <w:marBottom w:val="0"/>
      <w:divBdr>
        <w:top w:val="none" w:sz="0" w:space="0" w:color="auto"/>
        <w:left w:val="none" w:sz="0" w:space="0" w:color="auto"/>
        <w:bottom w:val="none" w:sz="0" w:space="0" w:color="auto"/>
        <w:right w:val="none" w:sz="0" w:space="0" w:color="auto"/>
      </w:divBdr>
    </w:div>
    <w:div w:id="1995642503">
      <w:bodyDiv w:val="1"/>
      <w:marLeft w:val="0"/>
      <w:marRight w:val="0"/>
      <w:marTop w:val="0"/>
      <w:marBottom w:val="0"/>
      <w:divBdr>
        <w:top w:val="none" w:sz="0" w:space="0" w:color="auto"/>
        <w:left w:val="none" w:sz="0" w:space="0" w:color="auto"/>
        <w:bottom w:val="none" w:sz="0" w:space="0" w:color="auto"/>
        <w:right w:val="none" w:sz="0" w:space="0" w:color="auto"/>
      </w:divBdr>
    </w:div>
    <w:div w:id="1998417160">
      <w:bodyDiv w:val="1"/>
      <w:marLeft w:val="0"/>
      <w:marRight w:val="0"/>
      <w:marTop w:val="0"/>
      <w:marBottom w:val="0"/>
      <w:divBdr>
        <w:top w:val="none" w:sz="0" w:space="0" w:color="auto"/>
        <w:left w:val="none" w:sz="0" w:space="0" w:color="auto"/>
        <w:bottom w:val="none" w:sz="0" w:space="0" w:color="auto"/>
        <w:right w:val="none" w:sz="0" w:space="0" w:color="auto"/>
      </w:divBdr>
    </w:div>
    <w:div w:id="2028477465">
      <w:bodyDiv w:val="1"/>
      <w:marLeft w:val="0"/>
      <w:marRight w:val="0"/>
      <w:marTop w:val="0"/>
      <w:marBottom w:val="0"/>
      <w:divBdr>
        <w:top w:val="none" w:sz="0" w:space="0" w:color="auto"/>
        <w:left w:val="none" w:sz="0" w:space="0" w:color="auto"/>
        <w:bottom w:val="none" w:sz="0" w:space="0" w:color="auto"/>
        <w:right w:val="none" w:sz="0" w:space="0" w:color="auto"/>
      </w:divBdr>
    </w:div>
    <w:div w:id="2056157838">
      <w:bodyDiv w:val="1"/>
      <w:marLeft w:val="0"/>
      <w:marRight w:val="0"/>
      <w:marTop w:val="0"/>
      <w:marBottom w:val="0"/>
      <w:divBdr>
        <w:top w:val="none" w:sz="0" w:space="0" w:color="auto"/>
        <w:left w:val="none" w:sz="0" w:space="0" w:color="auto"/>
        <w:bottom w:val="none" w:sz="0" w:space="0" w:color="auto"/>
        <w:right w:val="none" w:sz="0" w:space="0" w:color="auto"/>
      </w:divBdr>
    </w:div>
    <w:div w:id="2061975284">
      <w:bodyDiv w:val="1"/>
      <w:marLeft w:val="0"/>
      <w:marRight w:val="0"/>
      <w:marTop w:val="0"/>
      <w:marBottom w:val="0"/>
      <w:divBdr>
        <w:top w:val="none" w:sz="0" w:space="0" w:color="auto"/>
        <w:left w:val="none" w:sz="0" w:space="0" w:color="auto"/>
        <w:bottom w:val="none" w:sz="0" w:space="0" w:color="auto"/>
        <w:right w:val="none" w:sz="0" w:space="0" w:color="auto"/>
      </w:divBdr>
    </w:div>
    <w:div w:id="2062971541">
      <w:bodyDiv w:val="1"/>
      <w:marLeft w:val="0"/>
      <w:marRight w:val="0"/>
      <w:marTop w:val="0"/>
      <w:marBottom w:val="0"/>
      <w:divBdr>
        <w:top w:val="none" w:sz="0" w:space="0" w:color="auto"/>
        <w:left w:val="none" w:sz="0" w:space="0" w:color="auto"/>
        <w:bottom w:val="none" w:sz="0" w:space="0" w:color="auto"/>
        <w:right w:val="none" w:sz="0" w:space="0" w:color="auto"/>
      </w:divBdr>
    </w:div>
    <w:div w:id="2063212689">
      <w:bodyDiv w:val="1"/>
      <w:marLeft w:val="0"/>
      <w:marRight w:val="0"/>
      <w:marTop w:val="0"/>
      <w:marBottom w:val="0"/>
      <w:divBdr>
        <w:top w:val="none" w:sz="0" w:space="0" w:color="auto"/>
        <w:left w:val="none" w:sz="0" w:space="0" w:color="auto"/>
        <w:bottom w:val="none" w:sz="0" w:space="0" w:color="auto"/>
        <w:right w:val="none" w:sz="0" w:space="0" w:color="auto"/>
      </w:divBdr>
    </w:div>
    <w:div w:id="2064982133">
      <w:bodyDiv w:val="1"/>
      <w:marLeft w:val="0"/>
      <w:marRight w:val="0"/>
      <w:marTop w:val="0"/>
      <w:marBottom w:val="0"/>
      <w:divBdr>
        <w:top w:val="none" w:sz="0" w:space="0" w:color="auto"/>
        <w:left w:val="none" w:sz="0" w:space="0" w:color="auto"/>
        <w:bottom w:val="none" w:sz="0" w:space="0" w:color="auto"/>
        <w:right w:val="none" w:sz="0" w:space="0" w:color="auto"/>
      </w:divBdr>
    </w:div>
    <w:div w:id="2078242182">
      <w:bodyDiv w:val="1"/>
      <w:marLeft w:val="0"/>
      <w:marRight w:val="0"/>
      <w:marTop w:val="0"/>
      <w:marBottom w:val="0"/>
      <w:divBdr>
        <w:top w:val="none" w:sz="0" w:space="0" w:color="auto"/>
        <w:left w:val="none" w:sz="0" w:space="0" w:color="auto"/>
        <w:bottom w:val="none" w:sz="0" w:space="0" w:color="auto"/>
        <w:right w:val="none" w:sz="0" w:space="0" w:color="auto"/>
      </w:divBdr>
    </w:div>
    <w:div w:id="2080130944">
      <w:bodyDiv w:val="1"/>
      <w:marLeft w:val="0"/>
      <w:marRight w:val="0"/>
      <w:marTop w:val="0"/>
      <w:marBottom w:val="0"/>
      <w:divBdr>
        <w:top w:val="none" w:sz="0" w:space="0" w:color="auto"/>
        <w:left w:val="none" w:sz="0" w:space="0" w:color="auto"/>
        <w:bottom w:val="none" w:sz="0" w:space="0" w:color="auto"/>
        <w:right w:val="none" w:sz="0" w:space="0" w:color="auto"/>
      </w:divBdr>
    </w:div>
    <w:div w:id="2084595966">
      <w:bodyDiv w:val="1"/>
      <w:marLeft w:val="0"/>
      <w:marRight w:val="0"/>
      <w:marTop w:val="0"/>
      <w:marBottom w:val="0"/>
      <w:divBdr>
        <w:top w:val="none" w:sz="0" w:space="0" w:color="auto"/>
        <w:left w:val="none" w:sz="0" w:space="0" w:color="auto"/>
        <w:bottom w:val="none" w:sz="0" w:space="0" w:color="auto"/>
        <w:right w:val="none" w:sz="0" w:space="0" w:color="auto"/>
      </w:divBdr>
    </w:div>
    <w:div w:id="2092460022">
      <w:bodyDiv w:val="1"/>
      <w:marLeft w:val="0"/>
      <w:marRight w:val="0"/>
      <w:marTop w:val="0"/>
      <w:marBottom w:val="0"/>
      <w:divBdr>
        <w:top w:val="none" w:sz="0" w:space="0" w:color="auto"/>
        <w:left w:val="none" w:sz="0" w:space="0" w:color="auto"/>
        <w:bottom w:val="none" w:sz="0" w:space="0" w:color="auto"/>
        <w:right w:val="none" w:sz="0" w:space="0" w:color="auto"/>
      </w:divBdr>
    </w:div>
    <w:div w:id="2101366973">
      <w:bodyDiv w:val="1"/>
      <w:marLeft w:val="0"/>
      <w:marRight w:val="0"/>
      <w:marTop w:val="0"/>
      <w:marBottom w:val="0"/>
      <w:divBdr>
        <w:top w:val="none" w:sz="0" w:space="0" w:color="auto"/>
        <w:left w:val="none" w:sz="0" w:space="0" w:color="auto"/>
        <w:bottom w:val="none" w:sz="0" w:space="0" w:color="auto"/>
        <w:right w:val="none" w:sz="0" w:space="0" w:color="auto"/>
      </w:divBdr>
    </w:div>
    <w:div w:id="2101414793">
      <w:bodyDiv w:val="1"/>
      <w:marLeft w:val="0"/>
      <w:marRight w:val="0"/>
      <w:marTop w:val="0"/>
      <w:marBottom w:val="0"/>
      <w:divBdr>
        <w:top w:val="none" w:sz="0" w:space="0" w:color="auto"/>
        <w:left w:val="none" w:sz="0" w:space="0" w:color="auto"/>
        <w:bottom w:val="none" w:sz="0" w:space="0" w:color="auto"/>
        <w:right w:val="none" w:sz="0" w:space="0" w:color="auto"/>
      </w:divBdr>
    </w:div>
    <w:div w:id="2101637475">
      <w:bodyDiv w:val="1"/>
      <w:marLeft w:val="0"/>
      <w:marRight w:val="0"/>
      <w:marTop w:val="0"/>
      <w:marBottom w:val="0"/>
      <w:divBdr>
        <w:top w:val="none" w:sz="0" w:space="0" w:color="auto"/>
        <w:left w:val="none" w:sz="0" w:space="0" w:color="auto"/>
        <w:bottom w:val="none" w:sz="0" w:space="0" w:color="auto"/>
        <w:right w:val="none" w:sz="0" w:space="0" w:color="auto"/>
      </w:divBdr>
    </w:div>
    <w:div w:id="2112436045">
      <w:bodyDiv w:val="1"/>
      <w:marLeft w:val="0"/>
      <w:marRight w:val="0"/>
      <w:marTop w:val="0"/>
      <w:marBottom w:val="0"/>
      <w:divBdr>
        <w:top w:val="none" w:sz="0" w:space="0" w:color="auto"/>
        <w:left w:val="none" w:sz="0" w:space="0" w:color="auto"/>
        <w:bottom w:val="none" w:sz="0" w:space="0" w:color="auto"/>
        <w:right w:val="none" w:sz="0" w:space="0" w:color="auto"/>
      </w:divBdr>
    </w:div>
    <w:div w:id="2146775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nsw.gov.au/hansard/Pages/home.aspx?s=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icroads.vic.gov.au/safety-and-road-rules/driver-safety/drugs-and-alcohol/illicit-drugs-and-road-safety" TargetMode="External"/><Relationship Id="rId4" Type="http://schemas.openxmlformats.org/officeDocument/2006/relationships/settings" Target="settings.xml"/><Relationship Id="rId9" Type="http://schemas.openxmlformats.org/officeDocument/2006/relationships/hyperlink" Target="https://www.parliament.nsw.gov.au/hansard/Pages/home.aspx?s=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E00B-3520-4B01-8E13-AE579B24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7274</Words>
  <Characters>41462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CASR</Company>
  <LinksUpToDate>false</LinksUpToDate>
  <CharactersWithSpaces>48639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White</dc:creator>
  <cp:keywords/>
  <dc:description/>
  <cp:lastModifiedBy>rdserver1</cp:lastModifiedBy>
  <cp:revision>13</cp:revision>
  <cp:lastPrinted>2023-02-19T22:24:00Z</cp:lastPrinted>
  <dcterms:created xsi:type="dcterms:W3CDTF">2023-03-05T11:05:00Z</dcterms:created>
  <dcterms:modified xsi:type="dcterms:W3CDTF">2023-05-25T02:20:00Z</dcterms:modified>
</cp:coreProperties>
</file>