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FAB9" w14:textId="77777777" w:rsidR="003B54CC" w:rsidRDefault="003B54CC" w:rsidP="00497BD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C48355" w14:textId="70DAD061" w:rsidR="00497BD1" w:rsidRPr="002F0ADA" w:rsidRDefault="00497BD1" w:rsidP="00497BD1">
      <w:pPr>
        <w:spacing w:after="0" w:line="240" w:lineRule="auto"/>
        <w:rPr>
          <w:rFonts w:ascii="Times New Roman" w:hAnsi="Times New Roman" w:cs="Times New Roman"/>
        </w:rPr>
      </w:pPr>
      <w:r w:rsidRPr="002F0ADA">
        <w:rPr>
          <w:rFonts w:ascii="Times New Roman" w:hAnsi="Times New Roman" w:cs="Times New Roman"/>
          <w:b/>
          <w:bCs/>
        </w:rPr>
        <w:t xml:space="preserve">Figure S1. </w:t>
      </w:r>
      <w:r w:rsidRPr="002F0ADA">
        <w:rPr>
          <w:rFonts w:ascii="Times New Roman" w:hAnsi="Times New Roman" w:cs="Times New Roman"/>
        </w:rPr>
        <w:t>Patient disposition.</w:t>
      </w:r>
    </w:p>
    <w:p w14:paraId="04EF3A03" w14:textId="77777777" w:rsidR="00497BD1" w:rsidRPr="002F0ADA" w:rsidRDefault="00497BD1" w:rsidP="00497BD1">
      <w:pPr>
        <w:tabs>
          <w:tab w:val="left" w:pos="1265"/>
        </w:tabs>
        <w:spacing w:line="360" w:lineRule="auto"/>
        <w:rPr>
          <w:rFonts w:ascii="Times New Roman" w:hAnsi="Times New Roman" w:cs="Times New Roman"/>
          <w:b/>
          <w:bCs/>
        </w:rPr>
      </w:pPr>
      <w:r w:rsidRPr="002F0ADA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4D992B2" wp14:editId="09DDA689">
            <wp:extent cx="3416300" cy="180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1284E" w14:textId="77777777" w:rsidR="00497BD1" w:rsidRPr="002F0ADA" w:rsidRDefault="00497BD1" w:rsidP="00497BD1">
      <w:pPr>
        <w:tabs>
          <w:tab w:val="left" w:pos="1265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2F0ADA">
        <w:rPr>
          <w:rFonts w:ascii="Times New Roman" w:hAnsi="Times New Roman" w:cs="Times New Roman"/>
          <w:vertAlign w:val="superscript"/>
        </w:rPr>
        <w:t>a</w:t>
      </w:r>
      <w:r w:rsidRPr="002F0ADA">
        <w:rPr>
          <w:rFonts w:ascii="Times New Roman" w:hAnsi="Times New Roman" w:cs="Times New Roman"/>
        </w:rPr>
        <w:t>All</w:t>
      </w:r>
      <w:proofErr w:type="spellEnd"/>
      <w:r w:rsidRPr="002F0ADA">
        <w:rPr>
          <w:rFonts w:ascii="Times New Roman" w:hAnsi="Times New Roman" w:cs="Times New Roman"/>
        </w:rPr>
        <w:t xml:space="preserve"> patients who were enrolled in the study and had one or more sample evaluated with a valid result for immunogenicity (full analysis set). Reasons for withdrawal included request to use a </w:t>
      </w:r>
      <w:proofErr w:type="spellStart"/>
      <w:r w:rsidRPr="002F0ADA">
        <w:rPr>
          <w:rFonts w:ascii="Times New Roman" w:hAnsi="Times New Roman" w:cs="Times New Roman"/>
        </w:rPr>
        <w:t>portacath</w:t>
      </w:r>
      <w:proofErr w:type="spellEnd"/>
      <w:r w:rsidRPr="002F0ADA">
        <w:rPr>
          <w:rFonts w:ascii="Times New Roman" w:hAnsi="Times New Roman" w:cs="Times New Roman"/>
        </w:rPr>
        <w:t xml:space="preserve">, participation in another study testing the same antibodies, family participation in another Sarepta Therapeutics, Inc. study that does antibody tests, lost to follow-up, resourcing issues, and inability to obtain consent after two blood draws. </w:t>
      </w:r>
    </w:p>
    <w:p w14:paraId="23C4206A" w14:textId="77777777" w:rsidR="00497BD1" w:rsidRPr="002F0ADA" w:rsidRDefault="00497BD1" w:rsidP="00497B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F0ADA">
        <w:rPr>
          <w:rFonts w:ascii="Times New Roman" w:hAnsi="Times New Roman" w:cs="Times New Roman"/>
          <w:b/>
          <w:bCs/>
        </w:rPr>
        <w:br w:type="page"/>
      </w:r>
    </w:p>
    <w:p w14:paraId="361C4173" w14:textId="77777777" w:rsidR="00497BD1" w:rsidRPr="002F0ADA" w:rsidRDefault="00497BD1" w:rsidP="00497BD1">
      <w:pPr>
        <w:tabs>
          <w:tab w:val="left" w:pos="1265"/>
        </w:tabs>
        <w:spacing w:line="360" w:lineRule="auto"/>
        <w:rPr>
          <w:rFonts w:ascii="Times New Roman" w:hAnsi="Times New Roman" w:cs="Times New Roman"/>
        </w:rPr>
      </w:pPr>
      <w:r w:rsidRPr="002F0ADA">
        <w:rPr>
          <w:rFonts w:ascii="Times New Roman" w:hAnsi="Times New Roman" w:cs="Times New Roman"/>
          <w:b/>
          <w:bCs/>
        </w:rPr>
        <w:lastRenderedPageBreak/>
        <w:t>Table S1.</w:t>
      </w:r>
      <w:r w:rsidRPr="002F0ADA">
        <w:rPr>
          <w:rFonts w:ascii="Times New Roman" w:hAnsi="Times New Roman" w:cs="Times New Roman"/>
        </w:rPr>
        <w:t xml:space="preserve"> Seroprevalence of anti-rAAVrh74 antibody titers in the overall population by age group and by antibody titer range (full analysis set).</w:t>
      </w:r>
    </w:p>
    <w:tbl>
      <w:tblPr>
        <w:tblStyle w:val="GridTable1Light"/>
        <w:tblW w:w="9400" w:type="dxa"/>
        <w:tblLook w:val="0420" w:firstRow="1" w:lastRow="0" w:firstColumn="0" w:lastColumn="0" w:noHBand="0" w:noVBand="1"/>
      </w:tblPr>
      <w:tblGrid>
        <w:gridCol w:w="7381"/>
        <w:gridCol w:w="2019"/>
      </w:tblGrid>
      <w:tr w:rsidR="00497BD1" w:rsidRPr="002F0ADA" w14:paraId="363718B2" w14:textId="77777777" w:rsidTr="00D56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7381" w:type="dxa"/>
          </w:tcPr>
          <w:p w14:paraId="7507A26E" w14:textId="2432CC57" w:rsidR="00497BD1" w:rsidRPr="002F0ADA" w:rsidRDefault="00497BD1" w:rsidP="00D56D9F">
            <w:pPr>
              <w:spacing w:after="0" w:line="21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pt-BR" w:eastAsia="en-GB"/>
              </w:rPr>
            </w:pPr>
            <w:r w:rsidRPr="002F0AD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pt-BR" w:eastAsia="en-GB"/>
              </w:rPr>
              <w:t>Overall (</w:t>
            </w:r>
            <w:r w:rsidRPr="002F0A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val="pt-BR" w:eastAsia="en-GB"/>
              </w:rPr>
              <w:t>N</w:t>
            </w:r>
            <w:r w:rsidRPr="002F0AD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pt-BR" w:eastAsia="en-GB"/>
              </w:rPr>
              <w:t>=101)</w:t>
            </w:r>
          </w:p>
        </w:tc>
        <w:tc>
          <w:tcPr>
            <w:tcW w:w="2019" w:type="dxa"/>
          </w:tcPr>
          <w:p w14:paraId="40EF4501" w14:textId="77777777" w:rsidR="00497BD1" w:rsidRPr="002F0ADA" w:rsidRDefault="00497BD1" w:rsidP="00D56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4"/>
                <w:lang w:val="pt-BR" w:eastAsia="en-GB"/>
              </w:rPr>
            </w:pPr>
            <w:r w:rsidRPr="002F0A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val="pt-BR" w:eastAsia="en-GB"/>
              </w:rPr>
              <w:t>n</w:t>
            </w:r>
            <w:r w:rsidRPr="002F0AD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pt-BR" w:eastAsia="en-GB"/>
              </w:rPr>
              <w:t xml:space="preserve"> (%)</w:t>
            </w:r>
          </w:p>
        </w:tc>
      </w:tr>
      <w:tr w:rsidR="00497BD1" w:rsidRPr="002F0ADA" w14:paraId="1A8C7E8E" w14:textId="77777777" w:rsidTr="00D56D9F">
        <w:trPr>
          <w:trHeight w:val="20"/>
        </w:trPr>
        <w:tc>
          <w:tcPr>
            <w:tcW w:w="7381" w:type="dxa"/>
            <w:hideMark/>
          </w:tcPr>
          <w:p w14:paraId="7ABB3CA0" w14:textId="77777777" w:rsidR="00497BD1" w:rsidRPr="002F0ADA" w:rsidRDefault="00497BD1" w:rsidP="00D5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</w:pPr>
            <w:r w:rsidRPr="002F0ADA"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>Positive, n (%)</w:t>
            </w:r>
          </w:p>
          <w:p w14:paraId="7C11CFC4" w14:textId="77777777" w:rsidR="00497BD1" w:rsidRPr="002F0ADA" w:rsidRDefault="00497BD1" w:rsidP="00D56D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F0ADA">
              <w:rPr>
                <w:rFonts w:ascii="Times New Roman" w:eastAsia="Times New Roman" w:hAnsi="Times New Roman" w:cs="Times New Roman"/>
                <w:lang w:val="en-GB" w:eastAsia="en-GB"/>
              </w:rPr>
              <w:t>95% CI</w:t>
            </w:r>
          </w:p>
        </w:tc>
        <w:tc>
          <w:tcPr>
            <w:tcW w:w="2019" w:type="dxa"/>
            <w:hideMark/>
          </w:tcPr>
          <w:p w14:paraId="525C85F7" w14:textId="77777777" w:rsidR="00497BD1" w:rsidRPr="002F0ADA" w:rsidRDefault="00497BD1" w:rsidP="00D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F0ADA">
              <w:rPr>
                <w:rFonts w:ascii="Times New Roman" w:eastAsia="Times New Roman" w:hAnsi="Times New Roman" w:cs="Times New Roman"/>
                <w:lang w:val="en-GB" w:eastAsia="en-GB"/>
              </w:rPr>
              <w:t>14 (13.9)</w:t>
            </w:r>
          </w:p>
          <w:p w14:paraId="428C46FF" w14:textId="77777777" w:rsidR="00497BD1" w:rsidRPr="002F0ADA" w:rsidRDefault="00497BD1" w:rsidP="00D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F0ADA">
              <w:rPr>
                <w:rFonts w:ascii="Times New Roman" w:eastAsia="Times New Roman" w:hAnsi="Times New Roman" w:cs="Times New Roman"/>
                <w:lang w:val="en-GB" w:eastAsia="en-GB"/>
              </w:rPr>
              <w:t>(7.8–22.2)</w:t>
            </w:r>
          </w:p>
        </w:tc>
      </w:tr>
      <w:tr w:rsidR="00497BD1" w:rsidRPr="002F0ADA" w14:paraId="17955430" w14:textId="77777777" w:rsidTr="00D56D9F">
        <w:trPr>
          <w:trHeight w:val="20"/>
        </w:trPr>
        <w:tc>
          <w:tcPr>
            <w:tcW w:w="7381" w:type="dxa"/>
            <w:hideMark/>
          </w:tcPr>
          <w:p w14:paraId="1ADFBFDE" w14:textId="5BD892E4" w:rsidR="00497BD1" w:rsidRPr="002F0ADA" w:rsidRDefault="00497BD1" w:rsidP="00D56D9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GB" w:eastAsia="en-GB"/>
              </w:rPr>
            </w:pPr>
            <w:r w:rsidRPr="002F0A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pt-BR" w:eastAsia="en-GB"/>
              </w:rPr>
              <w:t xml:space="preserve">Range </w:t>
            </w:r>
            <w:proofErr w:type="spellStart"/>
            <w:r w:rsidRPr="002F0A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pt-BR" w:eastAsia="en-GB"/>
              </w:rPr>
              <w:t>of</w:t>
            </w:r>
            <w:proofErr w:type="spellEnd"/>
            <w:r w:rsidRPr="002F0A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pt-BR" w:eastAsia="en-GB"/>
              </w:rPr>
              <w:t xml:space="preserve"> </w:t>
            </w:r>
            <w:r w:rsidR="007830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pt-BR" w:eastAsia="en-GB"/>
              </w:rPr>
              <w:t>a</w:t>
            </w:r>
            <w:r w:rsidRPr="002F0A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pt-BR" w:eastAsia="en-GB"/>
              </w:rPr>
              <w:t xml:space="preserve">nti-rAAVrh74 </w:t>
            </w:r>
            <w:proofErr w:type="spellStart"/>
            <w:r w:rsidR="007830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pt-BR" w:eastAsia="en-GB"/>
              </w:rPr>
              <w:t>a</w:t>
            </w:r>
            <w:r w:rsidRPr="002F0A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pt-BR" w:eastAsia="en-GB"/>
              </w:rPr>
              <w:t>ntibody</w:t>
            </w:r>
            <w:proofErr w:type="spellEnd"/>
            <w:r w:rsidRPr="002F0A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pt-BR" w:eastAsia="en-GB"/>
              </w:rPr>
              <w:t xml:space="preserve"> </w:t>
            </w:r>
            <w:proofErr w:type="spellStart"/>
            <w:r w:rsidR="007830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pt-BR" w:eastAsia="en-GB"/>
              </w:rPr>
              <w:t>t</w:t>
            </w:r>
            <w:r w:rsidRPr="002F0A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pt-BR" w:eastAsia="en-GB"/>
              </w:rPr>
              <w:t>iters</w:t>
            </w:r>
            <w:proofErr w:type="spellEnd"/>
            <w:r w:rsidRPr="002F0A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pt-BR" w:eastAsia="en-GB"/>
              </w:rPr>
              <w:t xml:space="preserve"> (</w:t>
            </w:r>
            <w:r w:rsidRPr="002F0A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lang w:val="pt-BR" w:eastAsia="en-GB"/>
              </w:rPr>
              <w:t>N</w:t>
            </w:r>
            <w:r w:rsidRPr="002F0A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pt-BR" w:eastAsia="en-GB"/>
              </w:rPr>
              <w:t>=101)</w:t>
            </w:r>
          </w:p>
        </w:tc>
        <w:tc>
          <w:tcPr>
            <w:tcW w:w="2019" w:type="dxa"/>
            <w:hideMark/>
          </w:tcPr>
          <w:p w14:paraId="14D0568E" w14:textId="77777777" w:rsidR="00497BD1" w:rsidRPr="002F0ADA" w:rsidRDefault="00497BD1" w:rsidP="00D56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pt-BR" w:eastAsia="en-GB"/>
              </w:rPr>
            </w:pPr>
            <w:r w:rsidRPr="002F0A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lang w:val="pt-BR" w:eastAsia="en-GB"/>
              </w:rPr>
              <w:t>n</w:t>
            </w:r>
            <w:r w:rsidRPr="002F0A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pt-BR" w:eastAsia="en-GB"/>
              </w:rPr>
              <w:t xml:space="preserve"> (%)</w:t>
            </w:r>
          </w:p>
        </w:tc>
      </w:tr>
      <w:tr w:rsidR="00497BD1" w:rsidRPr="002F0ADA" w14:paraId="52C54250" w14:textId="77777777" w:rsidTr="00D56D9F">
        <w:trPr>
          <w:trHeight w:val="20"/>
        </w:trPr>
        <w:tc>
          <w:tcPr>
            <w:tcW w:w="7381" w:type="dxa"/>
            <w:hideMark/>
          </w:tcPr>
          <w:p w14:paraId="56CB7DAB" w14:textId="77777777" w:rsidR="00497BD1" w:rsidRPr="002F0ADA" w:rsidRDefault="00497BD1" w:rsidP="00D56D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F0ADA"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>&lt;1:400</w:t>
            </w:r>
          </w:p>
        </w:tc>
        <w:tc>
          <w:tcPr>
            <w:tcW w:w="2019" w:type="dxa"/>
            <w:hideMark/>
          </w:tcPr>
          <w:p w14:paraId="57A0E6DB" w14:textId="77777777" w:rsidR="00497BD1" w:rsidRPr="002F0ADA" w:rsidRDefault="00497BD1" w:rsidP="00D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F0ADA"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 xml:space="preserve">87 (86.1) </w:t>
            </w:r>
          </w:p>
        </w:tc>
      </w:tr>
      <w:tr w:rsidR="00497BD1" w:rsidRPr="002F0ADA" w14:paraId="286A52B9" w14:textId="77777777" w:rsidTr="00D56D9F">
        <w:trPr>
          <w:trHeight w:val="20"/>
        </w:trPr>
        <w:tc>
          <w:tcPr>
            <w:tcW w:w="7381" w:type="dxa"/>
            <w:hideMark/>
          </w:tcPr>
          <w:p w14:paraId="748DE055" w14:textId="77777777" w:rsidR="00497BD1" w:rsidRPr="002F0ADA" w:rsidRDefault="00497BD1" w:rsidP="00D56D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F0ADA"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>1:400</w:t>
            </w:r>
          </w:p>
        </w:tc>
        <w:tc>
          <w:tcPr>
            <w:tcW w:w="2019" w:type="dxa"/>
            <w:hideMark/>
          </w:tcPr>
          <w:p w14:paraId="01E424F4" w14:textId="77777777" w:rsidR="00497BD1" w:rsidRPr="002F0ADA" w:rsidRDefault="00497BD1" w:rsidP="00D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F0ADA"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>1 (1.0)</w:t>
            </w:r>
          </w:p>
        </w:tc>
      </w:tr>
      <w:tr w:rsidR="00497BD1" w:rsidRPr="002F0ADA" w14:paraId="53CE4DE2" w14:textId="77777777" w:rsidTr="00D56D9F">
        <w:trPr>
          <w:trHeight w:val="20"/>
        </w:trPr>
        <w:tc>
          <w:tcPr>
            <w:tcW w:w="7381" w:type="dxa"/>
            <w:hideMark/>
          </w:tcPr>
          <w:p w14:paraId="11F451E3" w14:textId="77777777" w:rsidR="00497BD1" w:rsidRPr="002F0ADA" w:rsidRDefault="00497BD1" w:rsidP="00D56D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F0ADA">
              <w:rPr>
                <w:rFonts w:ascii="Times New Roman" w:eastAsia="Times New Roman" w:hAnsi="Times New Roman" w:cs="Times New Roman"/>
                <w:lang w:val="en-GB" w:eastAsia="en-GB"/>
              </w:rPr>
              <w:t>1:800</w:t>
            </w:r>
          </w:p>
        </w:tc>
        <w:tc>
          <w:tcPr>
            <w:tcW w:w="2019" w:type="dxa"/>
            <w:hideMark/>
          </w:tcPr>
          <w:p w14:paraId="64F6314D" w14:textId="77777777" w:rsidR="00497BD1" w:rsidRPr="002F0ADA" w:rsidRDefault="00497BD1" w:rsidP="00D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F0ADA"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>4 (4.0)</w:t>
            </w:r>
          </w:p>
        </w:tc>
      </w:tr>
      <w:tr w:rsidR="00497BD1" w:rsidRPr="002F0ADA" w14:paraId="0A703E57" w14:textId="77777777" w:rsidTr="00D56D9F">
        <w:trPr>
          <w:trHeight w:val="20"/>
        </w:trPr>
        <w:tc>
          <w:tcPr>
            <w:tcW w:w="7381" w:type="dxa"/>
            <w:hideMark/>
          </w:tcPr>
          <w:p w14:paraId="2C8EBB0F" w14:textId="77777777" w:rsidR="00497BD1" w:rsidRPr="002F0ADA" w:rsidRDefault="00497BD1" w:rsidP="00D56D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F0ADA"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>1:1600</w:t>
            </w:r>
          </w:p>
        </w:tc>
        <w:tc>
          <w:tcPr>
            <w:tcW w:w="2019" w:type="dxa"/>
            <w:hideMark/>
          </w:tcPr>
          <w:p w14:paraId="7AAAEDC3" w14:textId="77777777" w:rsidR="00497BD1" w:rsidRPr="002F0ADA" w:rsidRDefault="00497BD1" w:rsidP="00D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F0ADA"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>6 (5.9)</w:t>
            </w:r>
          </w:p>
        </w:tc>
      </w:tr>
      <w:tr w:rsidR="00497BD1" w:rsidRPr="002F0ADA" w14:paraId="0A22087E" w14:textId="77777777" w:rsidTr="00D56D9F">
        <w:trPr>
          <w:trHeight w:val="20"/>
        </w:trPr>
        <w:tc>
          <w:tcPr>
            <w:tcW w:w="7381" w:type="dxa"/>
            <w:hideMark/>
          </w:tcPr>
          <w:p w14:paraId="0F1443AF" w14:textId="77777777" w:rsidR="00497BD1" w:rsidRPr="002F0ADA" w:rsidRDefault="00497BD1" w:rsidP="00D56D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F0ADA">
              <w:rPr>
                <w:rFonts w:ascii="Times New Roman" w:eastAsia="Times New Roman" w:hAnsi="Times New Roman" w:cs="Times New Roman"/>
                <w:lang w:val="en-GB" w:eastAsia="en-GB"/>
              </w:rPr>
              <w:t>1:3200</w:t>
            </w:r>
          </w:p>
        </w:tc>
        <w:tc>
          <w:tcPr>
            <w:tcW w:w="2019" w:type="dxa"/>
            <w:hideMark/>
          </w:tcPr>
          <w:p w14:paraId="17754D45" w14:textId="77777777" w:rsidR="00497BD1" w:rsidRPr="002F0ADA" w:rsidRDefault="00497BD1" w:rsidP="00D5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F0ADA"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>3 (3.0)</w:t>
            </w:r>
          </w:p>
        </w:tc>
      </w:tr>
    </w:tbl>
    <w:p w14:paraId="56AC74A2" w14:textId="1E8821B4" w:rsidR="00497BD1" w:rsidRPr="002F0ADA" w:rsidRDefault="00497BD1" w:rsidP="00497BD1">
      <w:pPr>
        <w:tabs>
          <w:tab w:val="left" w:pos="1265"/>
        </w:tabs>
        <w:spacing w:line="360" w:lineRule="auto"/>
        <w:rPr>
          <w:rFonts w:ascii="Times New Roman" w:hAnsi="Times New Roman" w:cs="Times New Roman"/>
          <w:vertAlign w:val="superscript"/>
        </w:rPr>
      </w:pPr>
      <w:r w:rsidRPr="002F0ADA">
        <w:rPr>
          <w:rFonts w:ascii="Times New Roman" w:hAnsi="Times New Roman" w:cs="Times New Roman"/>
        </w:rPr>
        <w:t xml:space="preserve">CI, confidence interval; rAAVrh74, recombinant </w:t>
      </w:r>
      <w:r w:rsidR="0078302E" w:rsidRPr="0078302E">
        <w:rPr>
          <w:rFonts w:ascii="Times New Roman" w:hAnsi="Times New Roman" w:cs="Times New Roman"/>
        </w:rPr>
        <w:t>adeno-associated virus</w:t>
      </w:r>
      <w:r w:rsidRPr="002F0ADA">
        <w:rPr>
          <w:rFonts w:ascii="Times New Roman" w:hAnsi="Times New Roman" w:cs="Times New Roman"/>
        </w:rPr>
        <w:t xml:space="preserve"> serotype rh74.</w:t>
      </w:r>
    </w:p>
    <w:p w14:paraId="310340CC" w14:textId="77777777" w:rsidR="00497BD1" w:rsidRPr="002F0ADA" w:rsidRDefault="00497BD1" w:rsidP="00497BD1">
      <w:pPr>
        <w:tabs>
          <w:tab w:val="left" w:pos="1265"/>
        </w:tabs>
        <w:spacing w:line="360" w:lineRule="auto"/>
        <w:rPr>
          <w:rFonts w:ascii="Times New Roman" w:hAnsi="Times New Roman" w:cs="Times New Roman"/>
        </w:rPr>
      </w:pPr>
    </w:p>
    <w:p w14:paraId="5C4080ED" w14:textId="77777777" w:rsidR="00EB65AA" w:rsidRDefault="00EB65AA"/>
    <w:sectPr w:rsidR="00EB65AA" w:rsidSect="00F2672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3B3E" w14:textId="77777777" w:rsidR="00CC1101" w:rsidRDefault="00CC1101">
      <w:pPr>
        <w:spacing w:after="0" w:line="240" w:lineRule="auto"/>
      </w:pPr>
      <w:r>
        <w:separator/>
      </w:r>
    </w:p>
  </w:endnote>
  <w:endnote w:type="continuationSeparator" w:id="0">
    <w:p w14:paraId="09279A61" w14:textId="77777777" w:rsidR="00CC1101" w:rsidRDefault="00CC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857F" w14:textId="77777777" w:rsidR="00812B5D" w:rsidRDefault="003B54CC" w:rsidP="000C5A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594F" w14:textId="77777777" w:rsidR="00CC1101" w:rsidRDefault="00CC1101">
      <w:pPr>
        <w:spacing w:after="0" w:line="240" w:lineRule="auto"/>
      </w:pPr>
      <w:r>
        <w:separator/>
      </w:r>
    </w:p>
  </w:footnote>
  <w:footnote w:type="continuationSeparator" w:id="0">
    <w:p w14:paraId="38BD6CBD" w14:textId="77777777" w:rsidR="00CC1101" w:rsidRDefault="00CC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9084" w14:textId="77777777" w:rsidR="00812B5D" w:rsidRPr="006B2D9B" w:rsidRDefault="003B54CC" w:rsidP="006B2D9B">
    <w:pPr>
      <w:pStyle w:val="Header"/>
      <w:rPr>
        <w:rFonts w:ascii="Arial" w:hAnsi="Arial"/>
      </w:rPr>
    </w:pPr>
    <w:r w:rsidRPr="006B2D9B">
      <w:rPr>
        <w:rFonts w:ascii="Arial" w:hAnsi="Arial"/>
      </w:rPr>
      <w:t xml:space="preserve"> rAAVrh74 </w:t>
    </w:r>
    <w:r>
      <w:rPr>
        <w:rFonts w:ascii="Arial" w:hAnsi="Arial"/>
      </w:rPr>
      <w:t>Seroprevalence</w:t>
    </w:r>
  </w:p>
  <w:p w14:paraId="2296DB04" w14:textId="77777777" w:rsidR="00812B5D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D1"/>
    <w:rsid w:val="00155303"/>
    <w:rsid w:val="001F0999"/>
    <w:rsid w:val="002A2E27"/>
    <w:rsid w:val="003313FC"/>
    <w:rsid w:val="003B54CC"/>
    <w:rsid w:val="00497BD1"/>
    <w:rsid w:val="004D4E83"/>
    <w:rsid w:val="0078302E"/>
    <w:rsid w:val="00A43429"/>
    <w:rsid w:val="00B754E0"/>
    <w:rsid w:val="00CC1101"/>
    <w:rsid w:val="00E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64DB"/>
  <w15:chartTrackingRefBased/>
  <w15:docId w15:val="{8B400760-4723-4751-9665-A78EF530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BD1"/>
    <w:pPr>
      <w:spacing w:after="200" w:line="276" w:lineRule="auto"/>
    </w:pPr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BD1"/>
    <w:rPr>
      <w:rFonts w:ascii="Calibri" w:eastAsia="SimSun" w:hAnsi="Calibri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BD1"/>
    <w:rPr>
      <w:rFonts w:ascii="Calibri" w:eastAsia="SimSun" w:hAnsi="Calibri" w:cs="Arial"/>
      <w:lang w:eastAsia="zh-CN"/>
    </w:rPr>
  </w:style>
  <w:style w:type="table" w:styleId="GridTable1Light">
    <w:name w:val="Grid Table 1 Light"/>
    <w:basedOn w:val="TableNormal"/>
    <w:uiPriority w:val="46"/>
    <w:rsid w:val="00497BD1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5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4CC"/>
    <w:rPr>
      <w:rFonts w:ascii="Calibri" w:eastAsia="SimSun" w:hAnsi="Calibri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4CC"/>
    <w:rPr>
      <w:rFonts w:ascii="Calibri" w:eastAsia="SimSun" w:hAnsi="Calibri" w:cs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A43429"/>
    <w:pPr>
      <w:spacing w:after="0" w:line="240" w:lineRule="auto"/>
    </w:pPr>
    <w:rPr>
      <w:rFonts w:ascii="Calibri" w:eastAsia="SimSu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Becker-Marrero, Sarah</dc:creator>
  <cp:keywords/>
  <dc:description/>
  <cp:lastModifiedBy>paraskevi briassouli</cp:lastModifiedBy>
  <cp:revision>2</cp:revision>
  <dcterms:created xsi:type="dcterms:W3CDTF">2022-09-02T00:00:00Z</dcterms:created>
  <dcterms:modified xsi:type="dcterms:W3CDTF">2022-09-02T00:00:00Z</dcterms:modified>
</cp:coreProperties>
</file>