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C330" w14:textId="77777777" w:rsidR="00163630" w:rsidRDefault="00163630" w:rsidP="00163630">
      <w:pPr>
        <w:pStyle w:val="Heading1"/>
      </w:pPr>
      <w:bookmarkStart w:id="0" w:name="_Hlk93057274"/>
      <w:r w:rsidRPr="00B56B86">
        <w:t xml:space="preserve">Healthcare resource use in myasthenia gravis: a United States health claims analysis </w:t>
      </w:r>
    </w:p>
    <w:bookmarkEnd w:id="0"/>
    <w:p w14:paraId="361AE8CC" w14:textId="77777777" w:rsidR="00163630" w:rsidRPr="00B56B86" w:rsidRDefault="00163630" w:rsidP="00163630">
      <w:pPr>
        <w:pStyle w:val="Heading1"/>
      </w:pPr>
      <w:r w:rsidRPr="00B56B86">
        <w:t xml:space="preserve">Author list, </w:t>
      </w:r>
      <w:proofErr w:type="gramStart"/>
      <w:r w:rsidRPr="00B56B86">
        <w:t>affiliations</w:t>
      </w:r>
      <w:proofErr w:type="gramEnd"/>
      <w:r w:rsidRPr="00B56B86">
        <w:t xml:space="preserve"> and degree information </w:t>
      </w:r>
    </w:p>
    <w:p w14:paraId="4161A437" w14:textId="77777777" w:rsidR="00163630" w:rsidRPr="00B56B86" w:rsidRDefault="00163630" w:rsidP="00163630">
      <w:pPr>
        <w:rPr>
          <w:b/>
          <w:vertAlign w:val="superscript"/>
        </w:rPr>
      </w:pPr>
      <w:r w:rsidRPr="00B56B86">
        <w:t>Milada Mahic PhD</w:t>
      </w:r>
      <w:proofErr w:type="gramStart"/>
      <w:r w:rsidRPr="00B56B86">
        <w:rPr>
          <w:vertAlign w:val="superscript"/>
        </w:rPr>
        <w:t>1,</w:t>
      </w:r>
      <w:r w:rsidRPr="00B56B86">
        <w:t>*</w:t>
      </w:r>
      <w:proofErr w:type="gramEnd"/>
      <w:r w:rsidRPr="00B56B86">
        <w:t>, Ali Bozorg MD, MBA</w:t>
      </w:r>
      <w:r w:rsidRPr="00B56B86">
        <w:rPr>
          <w:vertAlign w:val="superscript"/>
        </w:rPr>
        <w:t>2</w:t>
      </w:r>
      <w:r w:rsidRPr="00B56B86">
        <w:t>, Jan Rudnik</w:t>
      </w:r>
      <w:r w:rsidRPr="00B56B86">
        <w:rPr>
          <w:color w:val="FF0000"/>
        </w:rPr>
        <w:t xml:space="preserve"> </w:t>
      </w:r>
      <w:r w:rsidRPr="00B56B86">
        <w:t>PhD</w:t>
      </w:r>
      <w:r w:rsidRPr="00B56B86">
        <w:rPr>
          <w:vertAlign w:val="superscript"/>
        </w:rPr>
        <w:t>3</w:t>
      </w:r>
      <w:r w:rsidRPr="00B56B86">
        <w:t>, Piotr Zaremba MSc</w:t>
      </w:r>
      <w:r w:rsidRPr="00B56B86">
        <w:rPr>
          <w:vertAlign w:val="superscript"/>
        </w:rPr>
        <w:t>4</w:t>
      </w:r>
      <w:r w:rsidRPr="00B56B86">
        <w:rPr>
          <w:rFonts w:cstheme="minorHAnsi"/>
        </w:rPr>
        <w:t>, Anna Scowcroft MSc</w:t>
      </w:r>
      <w:r w:rsidRPr="00B56B86">
        <w:rPr>
          <w:rFonts w:cstheme="minorHAnsi"/>
          <w:vertAlign w:val="superscript"/>
        </w:rPr>
        <w:t>1</w:t>
      </w:r>
    </w:p>
    <w:p w14:paraId="59E59E1B" w14:textId="77777777" w:rsidR="00163630" w:rsidRPr="00B56B86" w:rsidRDefault="00163630" w:rsidP="00163630">
      <w:pPr>
        <w:spacing w:line="480" w:lineRule="auto"/>
      </w:pPr>
      <w:r w:rsidRPr="00B56B86">
        <w:rPr>
          <w:vertAlign w:val="superscript"/>
        </w:rPr>
        <w:t>1</w:t>
      </w:r>
      <w:r w:rsidRPr="00B56B86">
        <w:t xml:space="preserve">UCB Pharma, Slough, United Kingdom; </w:t>
      </w:r>
      <w:r w:rsidRPr="00B56B86">
        <w:rPr>
          <w:vertAlign w:val="superscript"/>
        </w:rPr>
        <w:t>2</w:t>
      </w:r>
      <w:r w:rsidRPr="00B56B86">
        <w:t xml:space="preserve">UCB Pharma, Morrisville, NC, United States; </w:t>
      </w:r>
      <w:r w:rsidRPr="00B56B86">
        <w:rPr>
          <w:vertAlign w:val="superscript"/>
        </w:rPr>
        <w:t>3</w:t>
      </w:r>
      <w:r w:rsidRPr="00B56B86">
        <w:t xml:space="preserve">UCB Pharma, Warszawa, Poland; </w:t>
      </w:r>
      <w:r w:rsidRPr="00B56B86">
        <w:rPr>
          <w:vertAlign w:val="superscript"/>
        </w:rPr>
        <w:t>4</w:t>
      </w:r>
      <w:r w:rsidRPr="00B56B86">
        <w:t xml:space="preserve">UCB Pharma, Katowice, Poland  </w:t>
      </w:r>
    </w:p>
    <w:p w14:paraId="58EF60A0" w14:textId="77777777" w:rsidR="00163630" w:rsidRPr="00B56B86" w:rsidRDefault="00163630" w:rsidP="00163630">
      <w:pPr>
        <w:spacing w:line="480" w:lineRule="auto"/>
      </w:pPr>
      <w:r w:rsidRPr="00B56B86">
        <w:t xml:space="preserve">*At time of study. </w:t>
      </w:r>
    </w:p>
    <w:p w14:paraId="725ACCC3" w14:textId="77777777" w:rsidR="00163630" w:rsidRPr="00B56B86" w:rsidRDefault="00163630" w:rsidP="00163630">
      <w:pPr>
        <w:pStyle w:val="Heading1"/>
      </w:pPr>
      <w:r w:rsidRPr="00B56B86">
        <w:t>Corresponding author</w:t>
      </w:r>
    </w:p>
    <w:p w14:paraId="206E5199" w14:textId="77777777" w:rsidR="00163630" w:rsidRPr="00B56B86" w:rsidRDefault="00163630" w:rsidP="00163630">
      <w:bookmarkStart w:id="1" w:name="_Hlk75355840"/>
      <w:r w:rsidRPr="00B56B86">
        <w:rPr>
          <w:rFonts w:eastAsiaTheme="majorEastAsia" w:cstheme="minorHAnsi"/>
          <w:bCs/>
        </w:rPr>
        <w:t>Anna Scowcroft MSc</w:t>
      </w:r>
      <w:r w:rsidRPr="00B56B86">
        <w:t>,</w:t>
      </w:r>
      <w:r w:rsidRPr="00B56B86">
        <w:rPr>
          <w:color w:val="FF0000"/>
        </w:rPr>
        <w:t xml:space="preserve"> </w:t>
      </w:r>
      <w:r w:rsidRPr="00B56B86">
        <w:t>(</w:t>
      </w:r>
      <w:hyperlink r:id="rId10" w:history="1">
        <w:r w:rsidRPr="00B56B86">
          <w:rPr>
            <w:rStyle w:val="Hyperlink"/>
          </w:rPr>
          <w:t>Anna.Scowcroft@ucb.com</w:t>
        </w:r>
      </w:hyperlink>
      <w:r w:rsidRPr="00B56B86">
        <w:t>), UCB Pharma, 208 Bath Road, Slough, SL1 3WE, UK</w:t>
      </w:r>
      <w:bookmarkEnd w:id="1"/>
    </w:p>
    <w:p w14:paraId="6A939E24" w14:textId="77777777" w:rsidR="00163630" w:rsidRDefault="00163630">
      <w:pPr>
        <w:spacing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3C4E04C1" w14:textId="69292594" w:rsidR="00163630" w:rsidRPr="00B56B86" w:rsidRDefault="00163630" w:rsidP="00163630">
      <w:pPr>
        <w:pStyle w:val="Heading1"/>
      </w:pPr>
      <w:r w:rsidRPr="00B56B86">
        <w:lastRenderedPageBreak/>
        <w:t xml:space="preserve">Appendix </w:t>
      </w:r>
    </w:p>
    <w:p w14:paraId="18193862" w14:textId="77777777" w:rsidR="00163630" w:rsidRPr="00B56B86" w:rsidRDefault="00163630" w:rsidP="00163630">
      <w:pPr>
        <w:pStyle w:val="Heading3"/>
        <w:spacing w:before="0" w:line="480" w:lineRule="auto"/>
        <w:rPr>
          <w:rFonts w:cstheme="minorHAnsi"/>
        </w:rPr>
      </w:pPr>
      <w:r w:rsidRPr="00B56B86">
        <w:rPr>
          <w:rFonts w:cstheme="minorHAnsi"/>
        </w:rPr>
        <w:t>Appendix Table 1: Measures and definitions</w:t>
      </w:r>
    </w:p>
    <w:tbl>
      <w:tblPr>
        <w:tblW w:w="5503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66"/>
        <w:gridCol w:w="7446"/>
      </w:tblGrid>
      <w:tr w:rsidR="00163630" w:rsidRPr="00B56B86" w14:paraId="72CB691B" w14:textId="77777777" w:rsidTr="000A4C1C">
        <w:trPr>
          <w:trHeight w:val="366"/>
        </w:trPr>
        <w:tc>
          <w:tcPr>
            <w:tcW w:w="124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4B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94BA08" w14:textId="77777777" w:rsidR="00163630" w:rsidRPr="00B56B86" w:rsidRDefault="00163630" w:rsidP="000A4C1C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56B8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Outcome </w:t>
            </w:r>
          </w:p>
        </w:tc>
        <w:tc>
          <w:tcPr>
            <w:tcW w:w="375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4B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B181BF" w14:textId="77777777" w:rsidR="00163630" w:rsidRPr="00B56B86" w:rsidRDefault="00163630" w:rsidP="000A4C1C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56B8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Definition</w:t>
            </w:r>
          </w:p>
        </w:tc>
      </w:tr>
      <w:tr w:rsidR="00163630" w:rsidRPr="00B56B86" w14:paraId="7875ED92" w14:textId="77777777" w:rsidTr="000A4C1C">
        <w:trPr>
          <w:trHeight w:val="659"/>
        </w:trPr>
        <w:tc>
          <w:tcPr>
            <w:tcW w:w="124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0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8C2028" w14:textId="5FE0BEFB" w:rsidR="00163630" w:rsidRPr="00B56B86" w:rsidRDefault="009776B5" w:rsidP="000A4C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  <w:lang w:eastAsia="zh-CN"/>
              </w:rPr>
              <w:t xml:space="preserve">Serious </w:t>
            </w:r>
            <w:r w:rsidR="00163630" w:rsidRPr="00B56B86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  <w:lang w:eastAsia="zh-CN"/>
              </w:rPr>
              <w:t>MG exacerbation</w:t>
            </w:r>
          </w:p>
        </w:tc>
        <w:tc>
          <w:tcPr>
            <w:tcW w:w="375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0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BA4F03" w14:textId="7F12FCC1" w:rsidR="00163630" w:rsidRPr="00B56B86" w:rsidRDefault="00163630" w:rsidP="000A4C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56B86">
              <w:rPr>
                <w:rFonts w:cstheme="minorHAnsi"/>
                <w:sz w:val="18"/>
                <w:szCs w:val="18"/>
              </w:rPr>
              <w:t>Occurrence of Ig (SC or IV) cycle, PLEX cycle, or MG-related hospitalization</w:t>
            </w:r>
            <w:r w:rsidR="003A6260">
              <w:rPr>
                <w:rFonts w:cstheme="minorHAnsi"/>
                <w:sz w:val="18"/>
                <w:szCs w:val="18"/>
              </w:rPr>
              <w:t>, or ER visit with MG diagnosis</w:t>
            </w:r>
            <w:r w:rsidRPr="00B56B86"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 w:rsidRPr="00B56B86">
              <w:rPr>
                <w:rFonts w:cstheme="minorHAnsi"/>
                <w:sz w:val="18"/>
                <w:szCs w:val="18"/>
              </w:rPr>
              <w:t>In the event that</w:t>
            </w:r>
            <w:proofErr w:type="gramEnd"/>
            <w:r w:rsidRPr="00B56B86">
              <w:rPr>
                <w:rFonts w:cstheme="minorHAnsi"/>
                <w:sz w:val="18"/>
                <w:szCs w:val="18"/>
              </w:rPr>
              <w:t xml:space="preserve"> a patient is treated with Ig and/or PLEX while in hospital, this will count as only one occurrence of exacerbation</w:t>
            </w:r>
          </w:p>
        </w:tc>
      </w:tr>
      <w:tr w:rsidR="00163630" w:rsidRPr="00B56B86" w14:paraId="70CB3797" w14:textId="77777777" w:rsidTr="000A4C1C">
        <w:trPr>
          <w:trHeight w:val="659"/>
        </w:trPr>
        <w:tc>
          <w:tcPr>
            <w:tcW w:w="12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27EA51" w14:textId="77777777" w:rsidR="00163630" w:rsidRPr="00B56B86" w:rsidRDefault="00163630" w:rsidP="000A4C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 w:rsidRPr="00B56B86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  <w:lang w:eastAsia="zh-CN"/>
              </w:rPr>
              <w:t xml:space="preserve">Myasthenic crisis </w:t>
            </w:r>
          </w:p>
        </w:tc>
        <w:tc>
          <w:tcPr>
            <w:tcW w:w="3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5519CB" w14:textId="77777777" w:rsidR="00163630" w:rsidRPr="00B56B86" w:rsidRDefault="00163630" w:rsidP="000A4C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56B86">
              <w:rPr>
                <w:rFonts w:cstheme="minorHAnsi"/>
                <w:sz w:val="18"/>
                <w:szCs w:val="18"/>
              </w:rPr>
              <w:t>Occurrence of IVIg/PLEX treatment AND MG diagnosis AND respiratory failure or mechanical ventilation in an inpatient setting. All three events need to occur within 7 days</w:t>
            </w:r>
          </w:p>
        </w:tc>
      </w:tr>
      <w:tr w:rsidR="00163630" w:rsidRPr="00B56B86" w14:paraId="1659C1B6" w14:textId="77777777" w:rsidTr="000A4C1C">
        <w:trPr>
          <w:trHeight w:val="659"/>
        </w:trPr>
        <w:tc>
          <w:tcPr>
            <w:tcW w:w="12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0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209A8F" w14:textId="77777777" w:rsidR="00163630" w:rsidRPr="00B56B86" w:rsidRDefault="00163630" w:rsidP="000A4C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 w:rsidRPr="00B56B86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  <w:lang w:eastAsia="zh-CN"/>
              </w:rPr>
              <w:t>Ig (IV/SC) cycle</w:t>
            </w:r>
          </w:p>
        </w:tc>
        <w:tc>
          <w:tcPr>
            <w:tcW w:w="3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0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D63FC8" w14:textId="77777777" w:rsidR="00163630" w:rsidRPr="00B56B86" w:rsidRDefault="00163630" w:rsidP="000A4C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56B86">
              <w:rPr>
                <w:rFonts w:cstheme="minorHAnsi"/>
                <w:sz w:val="18"/>
                <w:szCs w:val="18"/>
              </w:rPr>
              <w:t>Ig therapy at least 7 days after last Ig therapy is considered the start of a new cycle. Includes both IV and SC administration</w:t>
            </w:r>
          </w:p>
        </w:tc>
      </w:tr>
      <w:tr w:rsidR="00163630" w:rsidRPr="00B56B86" w14:paraId="00FD1023" w14:textId="77777777" w:rsidTr="000A4C1C">
        <w:trPr>
          <w:trHeight w:val="659"/>
        </w:trPr>
        <w:tc>
          <w:tcPr>
            <w:tcW w:w="12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6925BB" w14:textId="77777777" w:rsidR="00163630" w:rsidRPr="00B56B86" w:rsidRDefault="00163630" w:rsidP="000A4C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 w:rsidRPr="00B56B86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  <w:lang w:eastAsia="zh-CN"/>
              </w:rPr>
              <w:t>PLEX cycle</w:t>
            </w:r>
          </w:p>
        </w:tc>
        <w:tc>
          <w:tcPr>
            <w:tcW w:w="3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D93CC4" w14:textId="77777777" w:rsidR="00163630" w:rsidRPr="00B56B86" w:rsidRDefault="00163630" w:rsidP="000A4C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56B86">
              <w:rPr>
                <w:rFonts w:cstheme="minorHAnsi"/>
                <w:sz w:val="18"/>
                <w:szCs w:val="18"/>
              </w:rPr>
              <w:t xml:space="preserve">PLEX therapy after a gap of at least 7 days since last PLEX therapy is considered the start of a new cycle </w:t>
            </w:r>
          </w:p>
        </w:tc>
      </w:tr>
      <w:tr w:rsidR="00471F6D" w:rsidRPr="00B56B86" w14:paraId="045A4F2E" w14:textId="77777777" w:rsidTr="000A4C1C">
        <w:trPr>
          <w:trHeight w:val="659"/>
        </w:trPr>
        <w:tc>
          <w:tcPr>
            <w:tcW w:w="12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D66B3" w14:textId="72E2EBA8" w:rsidR="00471F6D" w:rsidRPr="00B56B86" w:rsidRDefault="00471F6D" w:rsidP="000A4C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  <w:lang w:eastAsia="zh-CN"/>
              </w:rPr>
              <w:t>Event rate</w:t>
            </w:r>
          </w:p>
        </w:tc>
        <w:tc>
          <w:tcPr>
            <w:tcW w:w="3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29B6E5" w14:textId="0355D088" w:rsidR="00471F6D" w:rsidRPr="00B56B86" w:rsidRDefault="00902A26" w:rsidP="000A4C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2A26">
              <w:rPr>
                <w:rFonts w:cstheme="minorHAnsi"/>
                <w:sz w:val="18"/>
                <w:szCs w:val="18"/>
              </w:rPr>
              <w:t>Mean number of events per patients divided by follow-up time among patients with at least one event</w:t>
            </w:r>
          </w:p>
        </w:tc>
      </w:tr>
    </w:tbl>
    <w:p w14:paraId="036B8A0B" w14:textId="77777777" w:rsidR="00163630" w:rsidRPr="00B56B86" w:rsidRDefault="00163630" w:rsidP="00163630">
      <w:pPr>
        <w:rPr>
          <w:b/>
        </w:rPr>
      </w:pPr>
      <w:r w:rsidRPr="00B56B86">
        <w:t xml:space="preserve">Ig, immunoglobulin; IV, intravenous; MG, myasthenia gravis; PLEX, plasma exchange; SC, subcutaneous. </w:t>
      </w:r>
    </w:p>
    <w:p w14:paraId="06E4546D" w14:textId="77777777" w:rsidR="00DD7B32" w:rsidRDefault="00DD7B32"/>
    <w:sectPr w:rsidR="00DD7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97C0" w14:textId="77777777" w:rsidR="00221173" w:rsidRDefault="00221173" w:rsidP="009118CA">
      <w:pPr>
        <w:spacing w:after="0" w:line="240" w:lineRule="auto"/>
      </w:pPr>
      <w:r>
        <w:separator/>
      </w:r>
    </w:p>
  </w:endnote>
  <w:endnote w:type="continuationSeparator" w:id="0">
    <w:p w14:paraId="2E4CF20D" w14:textId="77777777" w:rsidR="00221173" w:rsidRDefault="00221173" w:rsidP="0091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F60C" w14:textId="77777777" w:rsidR="00221173" w:rsidRDefault="00221173" w:rsidP="009118CA">
      <w:pPr>
        <w:spacing w:after="0" w:line="240" w:lineRule="auto"/>
      </w:pPr>
      <w:r>
        <w:separator/>
      </w:r>
    </w:p>
  </w:footnote>
  <w:footnote w:type="continuationSeparator" w:id="0">
    <w:p w14:paraId="49FEC7E3" w14:textId="77777777" w:rsidR="00221173" w:rsidRDefault="00221173" w:rsidP="0091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5035"/>
    <w:multiLevelType w:val="hybridMultilevel"/>
    <w:tmpl w:val="8870DA48"/>
    <w:lvl w:ilvl="0" w:tplc="9F286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E3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6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26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2A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D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27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6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48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1414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30"/>
    <w:rsid w:val="00066BF4"/>
    <w:rsid w:val="00163630"/>
    <w:rsid w:val="00221173"/>
    <w:rsid w:val="002E545A"/>
    <w:rsid w:val="00396EFC"/>
    <w:rsid w:val="003A6260"/>
    <w:rsid w:val="00471F6D"/>
    <w:rsid w:val="00522875"/>
    <w:rsid w:val="00686611"/>
    <w:rsid w:val="006B4E64"/>
    <w:rsid w:val="007574B2"/>
    <w:rsid w:val="007E0F48"/>
    <w:rsid w:val="00863D39"/>
    <w:rsid w:val="00902A26"/>
    <w:rsid w:val="009118CA"/>
    <w:rsid w:val="009776B5"/>
    <w:rsid w:val="0099040C"/>
    <w:rsid w:val="00AC290B"/>
    <w:rsid w:val="00CD70F0"/>
    <w:rsid w:val="00D73E93"/>
    <w:rsid w:val="00DC580B"/>
    <w:rsid w:val="00D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94A2B"/>
  <w15:chartTrackingRefBased/>
  <w15:docId w15:val="{05EBBFFE-AA3A-4038-87F7-4C614081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30"/>
    <w:pPr>
      <w:spacing w:line="360" w:lineRule="auto"/>
    </w:pPr>
    <w:rPr>
      <w:rFonts w:cs="Times New Roman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63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630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630"/>
    <w:rPr>
      <w:rFonts w:eastAsiaTheme="majorEastAsia" w:cstheme="majorBidi"/>
      <w:b/>
      <w:sz w:val="28"/>
      <w:szCs w:val="32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3630"/>
    <w:rPr>
      <w:rFonts w:eastAsiaTheme="majorEastAsia" w:cstheme="majorBidi"/>
      <w:b/>
      <w:i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1636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EFC"/>
    <w:rPr>
      <w:rFonts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FC"/>
    <w:rPr>
      <w:rFonts w:cs="Times New Roman"/>
      <w:b/>
      <w:bCs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1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CA"/>
    <w:rPr>
      <w:rFonts w:cs="Times New Roman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91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CA"/>
    <w:rPr>
      <w:rFonts w:cs="Times New Roman"/>
      <w:lang w:val="en-US" w:eastAsia="en-GB"/>
    </w:rPr>
  </w:style>
  <w:style w:type="paragraph" w:styleId="Revision">
    <w:name w:val="Revision"/>
    <w:hidden/>
    <w:uiPriority w:val="99"/>
    <w:semiHidden/>
    <w:rsid w:val="006B4E64"/>
    <w:pPr>
      <w:spacing w:after="0" w:line="240" w:lineRule="auto"/>
    </w:pPr>
    <w:rPr>
      <w:rFonts w:cs="Times New Roman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a.Scowcroft@ucb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2BE17D22885469402D857D48D66D2" ma:contentTypeVersion="18" ma:contentTypeDescription="Create a new document." ma:contentTypeScope="" ma:versionID="9b8e522846ee3dfe76198ed843103289">
  <xsd:schema xmlns:xsd="http://www.w3.org/2001/XMLSchema" xmlns:xs="http://www.w3.org/2001/XMLSchema" xmlns:p="http://schemas.microsoft.com/office/2006/metadata/properties" xmlns:ns1="http://schemas.microsoft.com/sharepoint/v3" xmlns:ns2="b608349c-9cc0-4a85-a854-a2df3763e08d" xmlns:ns3="3fbd8b50-f070-4c2b-80c8-1a954da54ccc" xmlns:ns4="c4b2c68f-b55b-444b-8812-a8bfd78cf6e5" targetNamespace="http://schemas.microsoft.com/office/2006/metadata/properties" ma:root="true" ma:fieldsID="8dad73834c2e602fbf55a2066078e909" ns1:_="" ns2:_="" ns3:_="" ns4:_="">
    <xsd:import namespace="http://schemas.microsoft.com/sharepoint/v3"/>
    <xsd:import namespace="b608349c-9cc0-4a85-a854-a2df3763e08d"/>
    <xsd:import namespace="3fbd8b50-f070-4c2b-80c8-1a954da54ccc"/>
    <xsd:import namespace="c4b2c68f-b55b-444b-8812-a8bfd78cf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8349c-9cc0-4a85-a854-a2df3763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3d344c-9e5d-4dd2-9612-f746068d8c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d8b50-f070-4c2b-80c8-1a954da54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2c68f-b55b-444b-8812-a8bfd78cf6e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fe424b5-ddfd-4d50-97dc-5b7caf473280}" ma:internalName="TaxCatchAll" ma:showField="CatchAllData" ma:web="3fbd8b50-f070-4c2b-80c8-1a954da54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2c68f-b55b-444b-8812-a8bfd78cf6e5" xsi:nil="true"/>
    <lcf76f155ced4ddcb4097134ff3c332f xmlns="b608349c-9cc0-4a85-a854-a2df3763e08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56D7B0-9344-43BE-AB95-3014C0DEE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12DFA-0270-4E40-944C-B043C7887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08349c-9cc0-4a85-a854-a2df3763e08d"/>
    <ds:schemaRef ds:uri="3fbd8b50-f070-4c2b-80c8-1a954da54ccc"/>
    <ds:schemaRef ds:uri="c4b2c68f-b55b-444b-8812-a8bfd78cf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65177-3619-4EF1-AFA6-1DDCC317D2F8}">
  <ds:schemaRefs>
    <ds:schemaRef ds:uri="http://schemas.microsoft.com/office/2006/metadata/properties"/>
    <ds:schemaRef ds:uri="http://schemas.microsoft.com/office/infopath/2007/PartnerControls"/>
    <ds:schemaRef ds:uri="c4b2c68f-b55b-444b-8812-a8bfd78cf6e5"/>
    <ds:schemaRef ds:uri="b608349c-9cc0-4a85-a854-a2df3763e08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Price</dc:creator>
  <cp:keywords/>
  <dc:description/>
  <cp:lastModifiedBy>Ogilvy Health</cp:lastModifiedBy>
  <cp:revision>4</cp:revision>
  <dcterms:created xsi:type="dcterms:W3CDTF">2022-07-14T10:11:00Z</dcterms:created>
  <dcterms:modified xsi:type="dcterms:W3CDTF">2022-11-09T13:32:00Z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0x010100FDA41CC4FD3F324388FCB7AF53A08979</vt:lpwstr>
  </property>
  <property fmtid="{D5CDD505-2E9C-101B-9397-08002B2CF9AE}" pid="3" name="MediaServiceImageTags">
    <vt:lpwstr/>
  </property>
</Properties>
</file>