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350"/>
        <w:gridCol w:w="1620"/>
        <w:gridCol w:w="1440"/>
        <w:gridCol w:w="1170"/>
        <w:gridCol w:w="1530"/>
        <w:gridCol w:w="1260"/>
        <w:gridCol w:w="1170"/>
      </w:tblGrid>
      <w:tr w:rsidR="003A28EB" w:rsidRPr="00641737" w14:paraId="32213D2E" w14:textId="77777777" w:rsidTr="00D57F38">
        <w:tc>
          <w:tcPr>
            <w:tcW w:w="12060" w:type="dxa"/>
            <w:gridSpan w:val="9"/>
          </w:tcPr>
          <w:p w14:paraId="0BE02CBE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  <w:r w:rsidRPr="00641737">
              <w:rPr>
                <w:rFonts w:ascii="Times" w:hAnsi="Times"/>
                <w:sz w:val="22"/>
                <w:szCs w:val="22"/>
              </w:rPr>
              <w:t>Risk of Bias in Non-Randomized Studies of Interventions</w:t>
            </w:r>
          </w:p>
        </w:tc>
      </w:tr>
      <w:tr w:rsidR="003A28EB" w:rsidRPr="00641737" w14:paraId="350A5D08" w14:textId="77777777" w:rsidTr="00D57F38">
        <w:tc>
          <w:tcPr>
            <w:tcW w:w="1080" w:type="dxa"/>
            <w:vAlign w:val="center"/>
          </w:tcPr>
          <w:p w14:paraId="4034E47A" w14:textId="77777777" w:rsidR="003A28EB" w:rsidRPr="00641737" w:rsidRDefault="003A28EB" w:rsidP="00D57F3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Study ID</w:t>
            </w:r>
          </w:p>
        </w:tc>
        <w:tc>
          <w:tcPr>
            <w:tcW w:w="1440" w:type="dxa"/>
          </w:tcPr>
          <w:p w14:paraId="482E0332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Confounding</w:t>
            </w:r>
          </w:p>
        </w:tc>
        <w:tc>
          <w:tcPr>
            <w:tcW w:w="1350" w:type="dxa"/>
          </w:tcPr>
          <w:p w14:paraId="283D7E1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Selection of participants into the study</w:t>
            </w:r>
          </w:p>
        </w:tc>
        <w:tc>
          <w:tcPr>
            <w:tcW w:w="1620" w:type="dxa"/>
          </w:tcPr>
          <w:p w14:paraId="5A1A110A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Classification of interventions </w:t>
            </w:r>
          </w:p>
        </w:tc>
        <w:tc>
          <w:tcPr>
            <w:tcW w:w="1440" w:type="dxa"/>
          </w:tcPr>
          <w:p w14:paraId="350C95AF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Deviations from intended interventions</w:t>
            </w:r>
          </w:p>
        </w:tc>
        <w:tc>
          <w:tcPr>
            <w:tcW w:w="1170" w:type="dxa"/>
          </w:tcPr>
          <w:p w14:paraId="3ED72760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Missing outcome data</w:t>
            </w:r>
          </w:p>
        </w:tc>
        <w:tc>
          <w:tcPr>
            <w:tcW w:w="1530" w:type="dxa"/>
          </w:tcPr>
          <w:p w14:paraId="5F0E6EAE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Measurement of the outcome</w:t>
            </w:r>
          </w:p>
        </w:tc>
        <w:tc>
          <w:tcPr>
            <w:tcW w:w="1260" w:type="dxa"/>
          </w:tcPr>
          <w:p w14:paraId="47B8FD20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Selection of the reported result</w:t>
            </w:r>
          </w:p>
        </w:tc>
        <w:tc>
          <w:tcPr>
            <w:tcW w:w="1170" w:type="dxa"/>
          </w:tcPr>
          <w:p w14:paraId="1ED38E64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Overall Bias</w:t>
            </w:r>
          </w:p>
        </w:tc>
      </w:tr>
      <w:tr w:rsidR="003A28EB" w:rsidRPr="00641737" w14:paraId="0DE68E70" w14:textId="77777777" w:rsidTr="00D57F38">
        <w:tc>
          <w:tcPr>
            <w:tcW w:w="1080" w:type="dxa"/>
          </w:tcPr>
          <w:p w14:paraId="699FD96A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Carhart-Harris 2018</w:t>
            </w:r>
          </w:p>
        </w:tc>
        <w:tc>
          <w:tcPr>
            <w:tcW w:w="1440" w:type="dxa"/>
          </w:tcPr>
          <w:p w14:paraId="3464ABB9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350" w:type="dxa"/>
          </w:tcPr>
          <w:p w14:paraId="151CA77C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620" w:type="dxa"/>
          </w:tcPr>
          <w:p w14:paraId="0751FA45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N/A (single arm trial)</w:t>
            </w:r>
          </w:p>
        </w:tc>
        <w:tc>
          <w:tcPr>
            <w:tcW w:w="1440" w:type="dxa"/>
          </w:tcPr>
          <w:p w14:paraId="6EFAE1B6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Low </w:t>
            </w:r>
          </w:p>
        </w:tc>
        <w:tc>
          <w:tcPr>
            <w:tcW w:w="1170" w:type="dxa"/>
          </w:tcPr>
          <w:p w14:paraId="29B1E93F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Low </w:t>
            </w:r>
          </w:p>
        </w:tc>
        <w:tc>
          <w:tcPr>
            <w:tcW w:w="1530" w:type="dxa"/>
          </w:tcPr>
          <w:p w14:paraId="294DDF8B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260" w:type="dxa"/>
          </w:tcPr>
          <w:p w14:paraId="2B85A02E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170" w:type="dxa"/>
          </w:tcPr>
          <w:p w14:paraId="405EBF88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</w:tr>
      <w:tr w:rsidR="003A28EB" w:rsidRPr="00641737" w14:paraId="2E1E4F40" w14:textId="77777777" w:rsidTr="00D57F38">
        <w:tc>
          <w:tcPr>
            <w:tcW w:w="1080" w:type="dxa"/>
          </w:tcPr>
          <w:p w14:paraId="60F323D8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Anderson 2020</w:t>
            </w:r>
          </w:p>
        </w:tc>
        <w:tc>
          <w:tcPr>
            <w:tcW w:w="1440" w:type="dxa"/>
          </w:tcPr>
          <w:p w14:paraId="6AB30868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350" w:type="dxa"/>
          </w:tcPr>
          <w:p w14:paraId="7156700B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620" w:type="dxa"/>
          </w:tcPr>
          <w:p w14:paraId="1C155647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N/A (single arm trial)</w:t>
            </w:r>
          </w:p>
        </w:tc>
        <w:tc>
          <w:tcPr>
            <w:tcW w:w="1440" w:type="dxa"/>
          </w:tcPr>
          <w:p w14:paraId="799B941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170" w:type="dxa"/>
          </w:tcPr>
          <w:p w14:paraId="608C4BCE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530" w:type="dxa"/>
          </w:tcPr>
          <w:p w14:paraId="014512F4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260" w:type="dxa"/>
          </w:tcPr>
          <w:p w14:paraId="51F4CA72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170" w:type="dxa"/>
          </w:tcPr>
          <w:p w14:paraId="37074CE9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</w:tr>
      <w:tr w:rsidR="003A28EB" w:rsidRPr="00641737" w14:paraId="522C9A48" w14:textId="77777777" w:rsidTr="00D57F38">
        <w:tc>
          <w:tcPr>
            <w:tcW w:w="1080" w:type="dxa"/>
          </w:tcPr>
          <w:p w14:paraId="5BD32476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641737">
              <w:rPr>
                <w:rFonts w:ascii="Times" w:hAnsi="Times"/>
                <w:sz w:val="22"/>
                <w:szCs w:val="22"/>
              </w:rPr>
              <w:t>Zeifman</w:t>
            </w:r>
            <w:proofErr w:type="spellEnd"/>
            <w:r w:rsidRPr="00641737">
              <w:rPr>
                <w:rFonts w:ascii="Times" w:hAnsi="Times"/>
                <w:sz w:val="22"/>
                <w:szCs w:val="22"/>
              </w:rPr>
              <w:t xml:space="preserve"> 2020</w:t>
            </w:r>
          </w:p>
        </w:tc>
        <w:tc>
          <w:tcPr>
            <w:tcW w:w="1440" w:type="dxa"/>
          </w:tcPr>
          <w:p w14:paraId="4E2AB76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350" w:type="dxa"/>
          </w:tcPr>
          <w:p w14:paraId="57C9EF62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620" w:type="dxa"/>
          </w:tcPr>
          <w:p w14:paraId="78F1790F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N/A (single arm trial)</w:t>
            </w:r>
          </w:p>
        </w:tc>
        <w:tc>
          <w:tcPr>
            <w:tcW w:w="1440" w:type="dxa"/>
          </w:tcPr>
          <w:p w14:paraId="62BE3B5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170" w:type="dxa"/>
          </w:tcPr>
          <w:p w14:paraId="36F690D5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530" w:type="dxa"/>
          </w:tcPr>
          <w:p w14:paraId="2C1EFF44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260" w:type="dxa"/>
          </w:tcPr>
          <w:p w14:paraId="3C339CE9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170" w:type="dxa"/>
          </w:tcPr>
          <w:p w14:paraId="23175BE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</w:tr>
      <w:tr w:rsidR="003A28EB" w:rsidRPr="00641737" w14:paraId="34646F06" w14:textId="77777777" w:rsidTr="00D57F38">
        <w:tc>
          <w:tcPr>
            <w:tcW w:w="1080" w:type="dxa"/>
          </w:tcPr>
          <w:p w14:paraId="1427AA4E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Gasser 2014 (Phase 2)</w:t>
            </w:r>
          </w:p>
        </w:tc>
        <w:tc>
          <w:tcPr>
            <w:tcW w:w="1440" w:type="dxa"/>
          </w:tcPr>
          <w:p w14:paraId="50BD2643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350" w:type="dxa"/>
          </w:tcPr>
          <w:p w14:paraId="0371AD76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620" w:type="dxa"/>
          </w:tcPr>
          <w:p w14:paraId="3B184888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N/A (single arm trial)</w:t>
            </w:r>
          </w:p>
        </w:tc>
        <w:tc>
          <w:tcPr>
            <w:tcW w:w="1440" w:type="dxa"/>
          </w:tcPr>
          <w:p w14:paraId="2DA359E1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170" w:type="dxa"/>
          </w:tcPr>
          <w:p w14:paraId="6EBBE9B9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530" w:type="dxa"/>
          </w:tcPr>
          <w:p w14:paraId="3A024802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Low</w:t>
            </w:r>
          </w:p>
        </w:tc>
        <w:tc>
          <w:tcPr>
            <w:tcW w:w="1260" w:type="dxa"/>
          </w:tcPr>
          <w:p w14:paraId="04913A7D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  <w:tc>
          <w:tcPr>
            <w:tcW w:w="1170" w:type="dxa"/>
          </w:tcPr>
          <w:p w14:paraId="527D8502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Serious Risk</w:t>
            </w:r>
          </w:p>
        </w:tc>
      </w:tr>
      <w:tr w:rsidR="003A28EB" w:rsidRPr="00641737" w14:paraId="13D05330" w14:textId="77777777" w:rsidTr="00D57F38">
        <w:tc>
          <w:tcPr>
            <w:tcW w:w="12060" w:type="dxa"/>
            <w:gridSpan w:val="9"/>
          </w:tcPr>
          <w:p w14:paraId="0C041618" w14:textId="77777777" w:rsidR="003A28EB" w:rsidRPr="00641737" w:rsidRDefault="003A28EB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b/>
                <w:bCs/>
                <w:sz w:val="22"/>
                <w:szCs w:val="22"/>
              </w:rPr>
              <w:t>Supplemental Table 2</w:t>
            </w:r>
            <w:r w:rsidRPr="00641737">
              <w:rPr>
                <w:rFonts w:ascii="Times" w:hAnsi="Times"/>
                <w:sz w:val="22"/>
                <w:szCs w:val="22"/>
              </w:rPr>
              <w:t xml:space="preserve"> </w:t>
            </w:r>
            <w:r w:rsidRPr="00641737">
              <w:rPr>
                <w:rFonts w:ascii="Times" w:hAnsi="Times"/>
                <w:i/>
                <w:iCs/>
                <w:sz w:val="22"/>
                <w:szCs w:val="22"/>
              </w:rPr>
              <w:t>Risk of Bias Assessment using the Cochrane Risk of Bias in Non-Randomized Studies of Interventions (ROBINS-I) tool</w:t>
            </w:r>
            <w:r w:rsidRPr="00641737">
              <w:rPr>
                <w:rFonts w:ascii="Times" w:hAnsi="Times"/>
                <w:sz w:val="22"/>
                <w:szCs w:val="22"/>
              </w:rPr>
              <w:t xml:space="preserve">. Assessments for the non-randomized trials included in this meta-analysis, across the 7 domains used by the ROBINS-I tool are listed. As all of the above represent open-label, single arm trials, in which there was only one intervention group, no bias was present due to misclassification of subjects in different interventions. </w:t>
            </w:r>
            <w:proofErr w:type="gramStart"/>
            <w:r w:rsidRPr="00641737">
              <w:rPr>
                <w:rFonts w:ascii="Times" w:hAnsi="Times"/>
                <w:sz w:val="22"/>
                <w:szCs w:val="22"/>
              </w:rPr>
              <w:t>Similarly</w:t>
            </w:r>
            <w:proofErr w:type="gramEnd"/>
            <w:r w:rsidRPr="00641737">
              <w:rPr>
                <w:rFonts w:ascii="Times" w:hAnsi="Times"/>
                <w:sz w:val="22"/>
                <w:szCs w:val="22"/>
              </w:rPr>
              <w:t xml:space="preserve"> to the RCT’s, much of the appreciated bias in these trials was due to the use of multiple scales being used to assess the same outcomes (i.e. depression &amp; anxiety) as well as the potential for patients’ knowledge of the interventions’ purposes to influence measurement of the outcomes. </w:t>
            </w:r>
          </w:p>
        </w:tc>
      </w:tr>
    </w:tbl>
    <w:p w14:paraId="6BADCC8D" w14:textId="77777777" w:rsidR="003573E6" w:rsidRDefault="003573E6"/>
    <w:sectPr w:rsidR="003573E6" w:rsidSect="00D6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B"/>
    <w:rsid w:val="000578B7"/>
    <w:rsid w:val="000B7146"/>
    <w:rsid w:val="000D06E0"/>
    <w:rsid w:val="0017296B"/>
    <w:rsid w:val="0017621D"/>
    <w:rsid w:val="0017746C"/>
    <w:rsid w:val="001D7217"/>
    <w:rsid w:val="002331E4"/>
    <w:rsid w:val="0024133E"/>
    <w:rsid w:val="002419F8"/>
    <w:rsid w:val="002915D7"/>
    <w:rsid w:val="002C195E"/>
    <w:rsid w:val="002C4DAF"/>
    <w:rsid w:val="002E30B9"/>
    <w:rsid w:val="00315B28"/>
    <w:rsid w:val="00324E43"/>
    <w:rsid w:val="003573E6"/>
    <w:rsid w:val="003A28EB"/>
    <w:rsid w:val="003E5210"/>
    <w:rsid w:val="00433E9C"/>
    <w:rsid w:val="0046242A"/>
    <w:rsid w:val="004945A5"/>
    <w:rsid w:val="004B0718"/>
    <w:rsid w:val="004E2CB0"/>
    <w:rsid w:val="00513A82"/>
    <w:rsid w:val="00552EC8"/>
    <w:rsid w:val="00554327"/>
    <w:rsid w:val="00587D5D"/>
    <w:rsid w:val="005C3FD7"/>
    <w:rsid w:val="005D1A89"/>
    <w:rsid w:val="005D6036"/>
    <w:rsid w:val="005E63D7"/>
    <w:rsid w:val="00623C65"/>
    <w:rsid w:val="006531BF"/>
    <w:rsid w:val="00663087"/>
    <w:rsid w:val="006A031C"/>
    <w:rsid w:val="006F0E56"/>
    <w:rsid w:val="0076597F"/>
    <w:rsid w:val="007A371B"/>
    <w:rsid w:val="007A4F2D"/>
    <w:rsid w:val="007B3682"/>
    <w:rsid w:val="007C591E"/>
    <w:rsid w:val="007E4A63"/>
    <w:rsid w:val="00854E1C"/>
    <w:rsid w:val="00857FFB"/>
    <w:rsid w:val="00916B30"/>
    <w:rsid w:val="00926045"/>
    <w:rsid w:val="0095392E"/>
    <w:rsid w:val="009A6D84"/>
    <w:rsid w:val="009B5676"/>
    <w:rsid w:val="009F050F"/>
    <w:rsid w:val="00A32CB8"/>
    <w:rsid w:val="00A36FC0"/>
    <w:rsid w:val="00A706CE"/>
    <w:rsid w:val="00A70C70"/>
    <w:rsid w:val="00A905CE"/>
    <w:rsid w:val="00AB5875"/>
    <w:rsid w:val="00AB7ACD"/>
    <w:rsid w:val="00B1687C"/>
    <w:rsid w:val="00B67D99"/>
    <w:rsid w:val="00B812A7"/>
    <w:rsid w:val="00BD1539"/>
    <w:rsid w:val="00C07B83"/>
    <w:rsid w:val="00C42CFC"/>
    <w:rsid w:val="00C75530"/>
    <w:rsid w:val="00CB48DE"/>
    <w:rsid w:val="00D0624E"/>
    <w:rsid w:val="00D12CAE"/>
    <w:rsid w:val="00D13658"/>
    <w:rsid w:val="00D26E36"/>
    <w:rsid w:val="00D63261"/>
    <w:rsid w:val="00D64827"/>
    <w:rsid w:val="00D70975"/>
    <w:rsid w:val="00DB0A31"/>
    <w:rsid w:val="00DB2712"/>
    <w:rsid w:val="00DC037A"/>
    <w:rsid w:val="00DD6066"/>
    <w:rsid w:val="00DF27AF"/>
    <w:rsid w:val="00DF48B2"/>
    <w:rsid w:val="00E00E05"/>
    <w:rsid w:val="00E339E1"/>
    <w:rsid w:val="00E35233"/>
    <w:rsid w:val="00E43B80"/>
    <w:rsid w:val="00E90B2E"/>
    <w:rsid w:val="00EC123B"/>
    <w:rsid w:val="00EC6661"/>
    <w:rsid w:val="00ED6F4B"/>
    <w:rsid w:val="00EE4293"/>
    <w:rsid w:val="00EE4A54"/>
    <w:rsid w:val="00F2337D"/>
    <w:rsid w:val="00F2556B"/>
    <w:rsid w:val="00F91E2F"/>
    <w:rsid w:val="00FA54C0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C3D9D"/>
  <w15:chartTrackingRefBased/>
  <w15:docId w15:val="{9DA76EDE-3F76-8841-B42C-361392E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Fulton Leger</dc:creator>
  <cp:keywords/>
  <dc:description/>
  <cp:lastModifiedBy>Robert Fulton Leger</cp:lastModifiedBy>
  <cp:revision>1</cp:revision>
  <dcterms:created xsi:type="dcterms:W3CDTF">2021-01-01T17:12:00Z</dcterms:created>
  <dcterms:modified xsi:type="dcterms:W3CDTF">2021-01-01T17:12:00Z</dcterms:modified>
</cp:coreProperties>
</file>