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E63F6" w14:textId="77777777" w:rsidR="00F22AD9" w:rsidRPr="00E30225" w:rsidRDefault="00F22AD9" w:rsidP="00F22AD9">
      <w:pPr>
        <w:rPr>
          <w:rFonts w:ascii="Times New Roman" w:hAnsi="Times New Roman"/>
          <w:b/>
        </w:rPr>
      </w:pPr>
      <w:r w:rsidRPr="00E30225">
        <w:rPr>
          <w:rFonts w:ascii="Times New Roman" w:hAnsi="Times New Roman"/>
          <w:b/>
        </w:rPr>
        <w:t>Supplement 1</w:t>
      </w:r>
    </w:p>
    <w:p w14:paraId="24CDCFC7" w14:textId="77777777" w:rsidR="00F22AD9" w:rsidRPr="00E30225" w:rsidRDefault="00F22AD9" w:rsidP="00F22AD9">
      <w:pPr>
        <w:rPr>
          <w:rFonts w:ascii="Times New Roman" w:hAnsi="Times New Roman"/>
        </w:rPr>
      </w:pPr>
    </w:p>
    <w:p w14:paraId="06A8BF11" w14:textId="6DBED151" w:rsidR="00F22AD9" w:rsidRDefault="00F22AD9" w:rsidP="00F22AD9">
      <w:pPr>
        <w:rPr>
          <w:rFonts w:ascii="Times New Roman" w:hAnsi="Times New Roman"/>
          <w:b/>
        </w:rPr>
      </w:pPr>
      <w:bookmarkStart w:id="0" w:name="_Hlk17180354"/>
      <w:r w:rsidRPr="00E30225">
        <w:rPr>
          <w:rFonts w:ascii="Times New Roman" w:hAnsi="Times New Roman"/>
          <w:b/>
        </w:rPr>
        <w:t xml:space="preserve">Radiocarbon </w:t>
      </w:r>
      <w:proofErr w:type="spellStart"/>
      <w:r w:rsidRPr="00E30225">
        <w:rPr>
          <w:rFonts w:ascii="Times New Roman" w:hAnsi="Times New Roman"/>
          <w:b/>
        </w:rPr>
        <w:t>datings</w:t>
      </w:r>
      <w:proofErr w:type="spellEnd"/>
      <w:r w:rsidRPr="00E30225">
        <w:rPr>
          <w:rFonts w:ascii="Times New Roman" w:hAnsi="Times New Roman"/>
          <w:b/>
        </w:rPr>
        <w:t xml:space="preserve"> from the </w:t>
      </w:r>
      <w:proofErr w:type="spellStart"/>
      <w:r w:rsidRPr="00E30225">
        <w:rPr>
          <w:rFonts w:ascii="Times New Roman" w:hAnsi="Times New Roman"/>
          <w:b/>
        </w:rPr>
        <w:t>Bol’shoe</w:t>
      </w:r>
      <w:proofErr w:type="spellEnd"/>
      <w:r w:rsidR="008F1B99">
        <w:rPr>
          <w:rFonts w:ascii="Times New Roman" w:hAnsi="Times New Roman"/>
          <w:b/>
        </w:rPr>
        <w:t xml:space="preserve"> </w:t>
      </w:r>
      <w:bookmarkStart w:id="1" w:name="_GoBack"/>
      <w:bookmarkEnd w:id="1"/>
      <w:proofErr w:type="spellStart"/>
      <w:r w:rsidRPr="00E30225">
        <w:rPr>
          <w:rFonts w:ascii="Times New Roman" w:hAnsi="Times New Roman"/>
          <w:b/>
        </w:rPr>
        <w:t>Zavetnoe</w:t>
      </w:r>
      <w:proofErr w:type="spellEnd"/>
      <w:r w:rsidRPr="00E30225">
        <w:rPr>
          <w:rFonts w:ascii="Times New Roman" w:hAnsi="Times New Roman"/>
          <w:b/>
        </w:rPr>
        <w:t xml:space="preserve"> 4 </w:t>
      </w:r>
      <w:bookmarkEnd w:id="0"/>
      <w:r w:rsidRPr="00E30225">
        <w:rPr>
          <w:rFonts w:ascii="Times New Roman" w:hAnsi="Times New Roman"/>
          <w:b/>
        </w:rPr>
        <w:t>site (</w:t>
      </w:r>
      <w:proofErr w:type="spellStart"/>
      <w:r w:rsidRPr="00E30225">
        <w:rPr>
          <w:rFonts w:ascii="Times New Roman" w:hAnsi="Times New Roman"/>
          <w:b/>
        </w:rPr>
        <w:t>Juoksemajärvi</w:t>
      </w:r>
      <w:proofErr w:type="spellEnd"/>
      <w:r w:rsidRPr="00E30225">
        <w:rPr>
          <w:rFonts w:ascii="Times New Roman" w:hAnsi="Times New Roman"/>
          <w:b/>
        </w:rPr>
        <w:t xml:space="preserve"> </w:t>
      </w:r>
      <w:proofErr w:type="spellStart"/>
      <w:r w:rsidRPr="00E30225">
        <w:rPr>
          <w:rFonts w:ascii="Times New Roman" w:hAnsi="Times New Roman"/>
          <w:b/>
        </w:rPr>
        <w:t>Westend</w:t>
      </w:r>
      <w:proofErr w:type="spellEnd"/>
      <w:r w:rsidRPr="00E30225">
        <w:rPr>
          <w:rFonts w:ascii="Times New Roman" w:hAnsi="Times New Roman"/>
          <w:b/>
        </w:rPr>
        <w:t>)</w:t>
      </w:r>
    </w:p>
    <w:p w14:paraId="7C32065D" w14:textId="77777777" w:rsidR="00CB394D" w:rsidRPr="00E30225" w:rsidRDefault="00CB394D" w:rsidP="00F22AD9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5"/>
        <w:gridCol w:w="1117"/>
        <w:gridCol w:w="2505"/>
        <w:gridCol w:w="4701"/>
      </w:tblGrid>
      <w:tr w:rsidR="00F22AD9" w:rsidRPr="00E30225" w14:paraId="4BB3A386" w14:textId="77777777" w:rsidTr="003715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2B6A461" w14:textId="77777777" w:rsidR="00F22AD9" w:rsidRPr="00E30225" w:rsidRDefault="00F22AD9" w:rsidP="00371510">
            <w:pPr>
              <w:rPr>
                <w:rFonts w:cs="Calibri"/>
                <w:b/>
                <w:sz w:val="18"/>
                <w:szCs w:val="18"/>
                <w:lang w:eastAsia="fi-FI"/>
              </w:rPr>
            </w:pPr>
            <w:r w:rsidRPr="00E30225">
              <w:rPr>
                <w:rFonts w:cs="Calibri"/>
                <w:b/>
                <w:sz w:val="18"/>
                <w:szCs w:val="18"/>
                <w:lang w:eastAsia="fi-FI"/>
              </w:rPr>
              <w:t>Laboratory no.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3CCCF5F" w14:textId="77777777" w:rsidR="00F22AD9" w:rsidRPr="00E30225" w:rsidRDefault="00F22AD9" w:rsidP="00371510">
            <w:pPr>
              <w:rPr>
                <w:rFonts w:cs="Calibri"/>
                <w:b/>
                <w:sz w:val="18"/>
                <w:szCs w:val="18"/>
                <w:lang w:eastAsia="fi-FI"/>
              </w:rPr>
            </w:pPr>
            <w:r w:rsidRPr="00E30225">
              <w:rPr>
                <w:rFonts w:cs="Calibri"/>
                <w:b/>
                <w:sz w:val="18"/>
                <w:szCs w:val="18"/>
                <w:vertAlign w:val="superscript"/>
                <w:lang w:eastAsia="fi-FI"/>
              </w:rPr>
              <w:t>14</w:t>
            </w:r>
            <w:r w:rsidRPr="00E30225">
              <w:rPr>
                <w:rFonts w:cs="Calibri"/>
                <w:b/>
                <w:sz w:val="18"/>
                <w:szCs w:val="18"/>
                <w:lang w:eastAsia="fi-FI"/>
              </w:rPr>
              <w:t xml:space="preserve">C age </w:t>
            </w:r>
            <w:proofErr w:type="spellStart"/>
            <w:r w:rsidRPr="00E30225">
              <w:rPr>
                <w:rFonts w:cs="Calibri"/>
                <w:b/>
                <w:sz w:val="18"/>
                <w:szCs w:val="18"/>
                <w:lang w:eastAsia="fi-FI"/>
              </w:rPr>
              <w:t>yrBP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33C107A" w14:textId="77777777" w:rsidR="00F22AD9" w:rsidRPr="00E30225" w:rsidRDefault="00F22AD9" w:rsidP="00371510">
            <w:pPr>
              <w:rPr>
                <w:rFonts w:cs="Calibri"/>
                <w:b/>
                <w:sz w:val="18"/>
                <w:szCs w:val="18"/>
                <w:highlight w:val="yellow"/>
                <w:lang w:eastAsia="fi-FI"/>
              </w:rPr>
            </w:pPr>
            <w:r w:rsidRPr="00E30225">
              <w:rPr>
                <w:rFonts w:cs="Calibri"/>
                <w:b/>
                <w:sz w:val="18"/>
                <w:szCs w:val="18"/>
                <w:lang w:eastAsia="fi-FI"/>
              </w:rPr>
              <w:t xml:space="preserve">95.4% </w:t>
            </w:r>
            <w:proofErr w:type="spellStart"/>
            <w:r w:rsidRPr="00E30225">
              <w:rPr>
                <w:rFonts w:cs="Calibri"/>
                <w:b/>
                <w:sz w:val="18"/>
                <w:szCs w:val="18"/>
                <w:lang w:eastAsia="fi-FI"/>
              </w:rPr>
              <w:t>cal</w:t>
            </w:r>
            <w:proofErr w:type="spellEnd"/>
            <w:r w:rsidRPr="00E30225">
              <w:rPr>
                <w:rFonts w:cs="Calibri"/>
                <w:b/>
                <w:sz w:val="18"/>
                <w:szCs w:val="18"/>
                <w:lang w:eastAsia="fi-FI"/>
              </w:rPr>
              <w:t xml:space="preserve"> age ranges (from) (to)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2511587" w14:textId="77777777" w:rsidR="00F22AD9" w:rsidRPr="00E30225" w:rsidRDefault="00F22AD9" w:rsidP="00371510">
            <w:pPr>
              <w:rPr>
                <w:rFonts w:cs="Calibri"/>
                <w:b/>
                <w:sz w:val="18"/>
                <w:szCs w:val="18"/>
                <w:lang w:eastAsia="fi-FI"/>
              </w:rPr>
            </w:pPr>
            <w:r w:rsidRPr="00E30225">
              <w:rPr>
                <w:rFonts w:cs="Calibri"/>
                <w:b/>
                <w:sz w:val="18"/>
                <w:szCs w:val="18"/>
                <w:lang w:eastAsia="fi-FI"/>
              </w:rPr>
              <w:t>Dated material and context</w:t>
            </w:r>
          </w:p>
        </w:tc>
      </w:tr>
      <w:tr w:rsidR="00F22AD9" w:rsidRPr="00B72933" w14:paraId="240B4728" w14:textId="77777777" w:rsidTr="003715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3075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</w:rPr>
            </w:pPr>
            <w:r w:rsidRPr="00E30225">
              <w:rPr>
                <w:rFonts w:cs="Calibri"/>
                <w:sz w:val="18"/>
                <w:szCs w:val="18"/>
                <w:lang w:eastAsia="fi-FI"/>
              </w:rPr>
              <w:t>Le-6556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DE1C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</w:rPr>
            </w:pPr>
            <w:r w:rsidRPr="00E30225">
              <w:rPr>
                <w:rFonts w:cs="Calibri"/>
                <w:sz w:val="18"/>
                <w:szCs w:val="18"/>
                <w:lang w:eastAsia="fi-FI"/>
              </w:rPr>
              <w:t>7750±180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59757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  <w:highlight w:val="yellow"/>
              </w:rPr>
            </w:pPr>
            <w:r w:rsidRPr="00E30225">
              <w:rPr>
                <w:rFonts w:cs="Calibri"/>
                <w:color w:val="000000"/>
                <w:sz w:val="18"/>
                <w:szCs w:val="18"/>
              </w:rPr>
              <w:t>7074–6241 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9CCD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  <w:lang w:eastAsia="fi-FI"/>
              </w:rPr>
            </w:pPr>
            <w:r w:rsidRPr="00E30225">
              <w:rPr>
                <w:rFonts w:cs="Calibri"/>
                <w:sz w:val="18"/>
                <w:szCs w:val="18"/>
                <w:lang w:eastAsia="fi-FI"/>
              </w:rPr>
              <w:t>Charcoal, cultural layer (context 7) outside the dwelling</w:t>
            </w:r>
          </w:p>
        </w:tc>
      </w:tr>
      <w:tr w:rsidR="00F22AD9" w:rsidRPr="00B72933" w14:paraId="070A3C1B" w14:textId="77777777" w:rsidTr="003715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8579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</w:rPr>
            </w:pPr>
            <w:r w:rsidRPr="00E30225">
              <w:rPr>
                <w:rFonts w:cs="Calibri"/>
                <w:sz w:val="18"/>
                <w:szCs w:val="18"/>
                <w:lang w:eastAsia="fi-FI"/>
              </w:rPr>
              <w:t>Le-6641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58C9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</w:rPr>
            </w:pPr>
            <w:r w:rsidRPr="00E30225">
              <w:rPr>
                <w:rFonts w:cs="Calibri"/>
                <w:sz w:val="18"/>
                <w:szCs w:val="18"/>
                <w:lang w:eastAsia="fi-FI"/>
              </w:rPr>
              <w:t>4550±180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0EB16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  <w:highlight w:val="yellow"/>
              </w:rPr>
            </w:pPr>
            <w:r w:rsidRPr="00E30225">
              <w:rPr>
                <w:rFonts w:cs="Calibri"/>
                <w:color w:val="000000"/>
                <w:sz w:val="18"/>
                <w:szCs w:val="18"/>
              </w:rPr>
              <w:t>3704–2780 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A38E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  <w:lang w:eastAsia="fi-FI"/>
              </w:rPr>
            </w:pPr>
            <w:r w:rsidRPr="00E30225">
              <w:rPr>
                <w:rFonts w:cs="Calibri"/>
                <w:sz w:val="18"/>
                <w:szCs w:val="18"/>
                <w:lang w:eastAsia="fi-FI"/>
              </w:rPr>
              <w:t>Charcoal, cultural layer (context 7) outside the dwelling</w:t>
            </w:r>
          </w:p>
        </w:tc>
      </w:tr>
      <w:tr w:rsidR="00F22AD9" w:rsidRPr="00B72933" w14:paraId="5AF71347" w14:textId="77777777" w:rsidTr="003715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9028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</w:rPr>
            </w:pPr>
            <w:r w:rsidRPr="00E30225">
              <w:rPr>
                <w:rFonts w:cs="Calibri"/>
                <w:sz w:val="18"/>
                <w:szCs w:val="18"/>
                <w:lang w:eastAsia="fi-FI"/>
              </w:rPr>
              <w:t>Le-6512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18C9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</w:rPr>
            </w:pPr>
            <w:r w:rsidRPr="00E30225">
              <w:rPr>
                <w:rFonts w:cs="Calibri"/>
                <w:sz w:val="18"/>
                <w:szCs w:val="18"/>
                <w:lang w:eastAsia="fi-FI"/>
              </w:rPr>
              <w:t>4150±50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EB116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  <w:highlight w:val="yellow"/>
              </w:rPr>
            </w:pPr>
            <w:r w:rsidRPr="00E30225">
              <w:rPr>
                <w:rFonts w:cs="Calibri"/>
                <w:color w:val="000000"/>
                <w:sz w:val="18"/>
                <w:szCs w:val="18"/>
              </w:rPr>
              <w:t>2881–2581 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5935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  <w:lang w:eastAsia="fi-FI"/>
              </w:rPr>
            </w:pPr>
            <w:r w:rsidRPr="00E30225">
              <w:rPr>
                <w:rFonts w:cs="Calibri"/>
                <w:sz w:val="18"/>
                <w:szCs w:val="18"/>
                <w:lang w:eastAsia="fi-FI"/>
              </w:rPr>
              <w:t>Charcoal, cultural layer (context 7) outside the dwelling</w:t>
            </w:r>
          </w:p>
        </w:tc>
      </w:tr>
      <w:tr w:rsidR="00F22AD9" w:rsidRPr="00B72933" w14:paraId="1BBA7A18" w14:textId="77777777" w:rsidTr="003715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8081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</w:rPr>
            </w:pPr>
            <w:r w:rsidRPr="00E30225">
              <w:rPr>
                <w:rFonts w:cs="Calibri"/>
                <w:sz w:val="18"/>
                <w:szCs w:val="18"/>
                <w:lang w:eastAsia="fi-FI"/>
              </w:rPr>
              <w:t>Le-6601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BC69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</w:rPr>
            </w:pPr>
            <w:r w:rsidRPr="00E30225">
              <w:rPr>
                <w:rFonts w:cs="Calibri"/>
                <w:sz w:val="18"/>
                <w:szCs w:val="18"/>
                <w:lang w:eastAsia="fi-FI"/>
              </w:rPr>
              <w:t>3740±90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20966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  <w:highlight w:val="yellow"/>
              </w:rPr>
            </w:pPr>
            <w:r w:rsidRPr="00E30225">
              <w:rPr>
                <w:rFonts w:cs="Calibri"/>
                <w:color w:val="000000"/>
                <w:sz w:val="18"/>
                <w:szCs w:val="18"/>
              </w:rPr>
              <w:t>2458–1936 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4E45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  <w:lang w:eastAsia="fi-FI"/>
              </w:rPr>
            </w:pPr>
            <w:r w:rsidRPr="00E30225">
              <w:rPr>
                <w:rFonts w:cs="Calibri"/>
                <w:sz w:val="18"/>
                <w:szCs w:val="18"/>
                <w:lang w:eastAsia="fi-FI"/>
              </w:rPr>
              <w:t>Charcoal, cultural layer (context 7) outside the dwelling</w:t>
            </w:r>
          </w:p>
        </w:tc>
      </w:tr>
      <w:tr w:rsidR="00F22AD9" w:rsidRPr="00B72933" w14:paraId="417E88C9" w14:textId="77777777" w:rsidTr="003715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BA11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</w:rPr>
            </w:pPr>
            <w:r w:rsidRPr="00E30225">
              <w:rPr>
                <w:rFonts w:cs="Calibri"/>
                <w:sz w:val="18"/>
                <w:szCs w:val="18"/>
                <w:lang w:eastAsia="fi-FI"/>
              </w:rPr>
              <w:t>Le-6557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05BA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</w:rPr>
            </w:pPr>
            <w:r w:rsidRPr="00E30225">
              <w:rPr>
                <w:rFonts w:cs="Calibri"/>
                <w:sz w:val="18"/>
                <w:szCs w:val="18"/>
                <w:lang w:eastAsia="fi-FI"/>
              </w:rPr>
              <w:t>3700±320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58B75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  <w:highlight w:val="yellow"/>
              </w:rPr>
            </w:pPr>
            <w:r w:rsidRPr="00E30225">
              <w:rPr>
                <w:rFonts w:cs="Calibri"/>
                <w:color w:val="000000"/>
                <w:sz w:val="18"/>
                <w:szCs w:val="18"/>
              </w:rPr>
              <w:t>3015–1305 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EE01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  <w:lang w:eastAsia="fi-FI"/>
              </w:rPr>
            </w:pPr>
            <w:r w:rsidRPr="00E30225">
              <w:rPr>
                <w:rFonts w:cs="Calibri"/>
                <w:sz w:val="18"/>
                <w:szCs w:val="18"/>
                <w:lang w:eastAsia="fi-FI"/>
              </w:rPr>
              <w:t>Charcoal, cultural layer (context 7) outside the dwelling</w:t>
            </w:r>
          </w:p>
        </w:tc>
      </w:tr>
      <w:tr w:rsidR="00F22AD9" w:rsidRPr="00B72933" w14:paraId="13473B51" w14:textId="77777777" w:rsidTr="003715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5A91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</w:rPr>
            </w:pPr>
            <w:r w:rsidRPr="00E30225">
              <w:rPr>
                <w:rFonts w:cs="Calibri"/>
                <w:sz w:val="18"/>
                <w:szCs w:val="18"/>
                <w:lang w:eastAsia="fi-FI"/>
              </w:rPr>
              <w:t>Le-6602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3475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</w:rPr>
            </w:pPr>
            <w:r w:rsidRPr="00E30225">
              <w:rPr>
                <w:rFonts w:cs="Calibri"/>
                <w:sz w:val="18"/>
                <w:szCs w:val="18"/>
                <w:lang w:eastAsia="fi-FI"/>
              </w:rPr>
              <w:t>3660±30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E46CA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  <w:highlight w:val="yellow"/>
              </w:rPr>
            </w:pPr>
            <w:r w:rsidRPr="00E30225">
              <w:rPr>
                <w:rFonts w:cs="Calibri"/>
                <w:color w:val="000000"/>
                <w:sz w:val="18"/>
                <w:szCs w:val="18"/>
              </w:rPr>
              <w:t>2136–1950 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AEDE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  <w:lang w:eastAsia="fi-FI"/>
              </w:rPr>
            </w:pPr>
            <w:r w:rsidRPr="00E30225">
              <w:rPr>
                <w:rFonts w:cs="Calibri"/>
                <w:sz w:val="18"/>
                <w:szCs w:val="18"/>
                <w:lang w:eastAsia="fi-FI"/>
              </w:rPr>
              <w:t>Charcoal, charcoal concentration (context 5) inside the dwelling</w:t>
            </w:r>
          </w:p>
        </w:tc>
      </w:tr>
      <w:tr w:rsidR="00F22AD9" w:rsidRPr="00B72933" w14:paraId="3C2F282A" w14:textId="77777777" w:rsidTr="003715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3C89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  <w:lang w:eastAsia="fi-FI"/>
              </w:rPr>
            </w:pPr>
            <w:r w:rsidRPr="00E30225">
              <w:rPr>
                <w:rFonts w:cs="Calibri"/>
                <w:sz w:val="18"/>
                <w:szCs w:val="18"/>
                <w:lang w:eastAsia="fi-FI"/>
              </w:rPr>
              <w:t>Le-6642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30C1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  <w:lang w:eastAsia="fi-FI"/>
              </w:rPr>
            </w:pPr>
            <w:r w:rsidRPr="00E30225">
              <w:rPr>
                <w:rFonts w:cs="Calibri"/>
                <w:sz w:val="18"/>
                <w:szCs w:val="18"/>
                <w:lang w:eastAsia="fi-FI"/>
              </w:rPr>
              <w:t>3450±100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145EA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  <w:highlight w:val="yellow"/>
                <w:lang w:eastAsia="fi-FI"/>
              </w:rPr>
            </w:pPr>
            <w:r w:rsidRPr="00E30225">
              <w:rPr>
                <w:rFonts w:cs="Calibri"/>
                <w:color w:val="000000"/>
                <w:sz w:val="18"/>
                <w:szCs w:val="18"/>
              </w:rPr>
              <w:t>2024–1521 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E7C4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  <w:lang w:eastAsia="fi-FI"/>
              </w:rPr>
            </w:pPr>
            <w:r w:rsidRPr="00E30225">
              <w:rPr>
                <w:rFonts w:cs="Calibri"/>
                <w:sz w:val="18"/>
                <w:szCs w:val="18"/>
                <w:lang w:eastAsia="fi-FI"/>
              </w:rPr>
              <w:t>Charcoal, cultural layer (context 3) outside the dwelling</w:t>
            </w:r>
          </w:p>
        </w:tc>
      </w:tr>
      <w:tr w:rsidR="00F22AD9" w:rsidRPr="00B72933" w14:paraId="0BEAC70C" w14:textId="77777777" w:rsidTr="003715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A48D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</w:rPr>
            </w:pPr>
            <w:r w:rsidRPr="00E30225">
              <w:rPr>
                <w:rFonts w:cs="Calibri"/>
                <w:sz w:val="18"/>
                <w:szCs w:val="18"/>
                <w:lang w:eastAsia="fi-FI"/>
              </w:rPr>
              <w:t>Le-6600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B880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</w:rPr>
            </w:pPr>
            <w:r w:rsidRPr="00E30225">
              <w:rPr>
                <w:rFonts w:cs="Calibri"/>
                <w:sz w:val="18"/>
                <w:szCs w:val="18"/>
                <w:lang w:eastAsia="fi-FI"/>
              </w:rPr>
              <w:t>3370±30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7C2F8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  <w:highlight w:val="yellow"/>
              </w:rPr>
            </w:pPr>
            <w:r w:rsidRPr="00E30225">
              <w:rPr>
                <w:rFonts w:cs="Calibri"/>
                <w:color w:val="000000"/>
                <w:sz w:val="18"/>
                <w:szCs w:val="18"/>
              </w:rPr>
              <w:t>1745–1566 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6DF9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  <w:lang w:eastAsia="fi-FI"/>
              </w:rPr>
            </w:pPr>
            <w:r w:rsidRPr="00E30225">
              <w:rPr>
                <w:rFonts w:cs="Calibri"/>
                <w:sz w:val="18"/>
                <w:szCs w:val="18"/>
                <w:lang w:eastAsia="fi-FI"/>
              </w:rPr>
              <w:t>Charcoal, charcoal concentration (context 5) inside the dwelling</w:t>
            </w:r>
          </w:p>
        </w:tc>
      </w:tr>
      <w:tr w:rsidR="00F22AD9" w:rsidRPr="00B72933" w14:paraId="7ABFA3AF" w14:textId="77777777" w:rsidTr="003715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C5D1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</w:rPr>
            </w:pPr>
            <w:r w:rsidRPr="00E30225">
              <w:rPr>
                <w:rFonts w:cs="Calibri"/>
                <w:sz w:val="18"/>
                <w:szCs w:val="18"/>
                <w:lang w:eastAsia="fi-FI"/>
              </w:rPr>
              <w:t>Le-6643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AE14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</w:rPr>
            </w:pPr>
            <w:r w:rsidRPr="00E30225">
              <w:rPr>
                <w:rFonts w:cs="Calibri"/>
                <w:sz w:val="18"/>
                <w:szCs w:val="18"/>
                <w:lang w:eastAsia="fi-FI"/>
              </w:rPr>
              <w:t>2620±70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2163A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  <w:highlight w:val="yellow"/>
              </w:rPr>
            </w:pPr>
            <w:r w:rsidRPr="00E30225">
              <w:rPr>
                <w:rFonts w:cs="Calibri"/>
                <w:color w:val="000000"/>
                <w:sz w:val="18"/>
                <w:szCs w:val="18"/>
              </w:rPr>
              <w:t>927–540 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6432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  <w:lang w:eastAsia="fi-FI"/>
              </w:rPr>
            </w:pPr>
            <w:r w:rsidRPr="00E30225">
              <w:rPr>
                <w:rFonts w:cs="Calibri"/>
                <w:sz w:val="18"/>
                <w:szCs w:val="18"/>
                <w:lang w:eastAsia="fi-FI"/>
              </w:rPr>
              <w:t>Charcoal, cultural layer (context 5) inside the dwelling</w:t>
            </w:r>
          </w:p>
        </w:tc>
      </w:tr>
      <w:tr w:rsidR="00F22AD9" w:rsidRPr="00B72933" w14:paraId="0BC23B86" w14:textId="77777777" w:rsidTr="003715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6264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  <w:lang w:eastAsia="fi-FI"/>
              </w:rPr>
            </w:pPr>
            <w:r w:rsidRPr="00E30225">
              <w:rPr>
                <w:rFonts w:cs="Calibri"/>
                <w:sz w:val="18"/>
                <w:szCs w:val="18"/>
                <w:lang w:eastAsia="fi-FI"/>
              </w:rPr>
              <w:t>Le-6640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6CDF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  <w:lang w:eastAsia="fi-FI"/>
              </w:rPr>
            </w:pPr>
            <w:r w:rsidRPr="00E30225">
              <w:rPr>
                <w:rFonts w:cs="Calibri"/>
                <w:sz w:val="18"/>
                <w:szCs w:val="18"/>
                <w:lang w:eastAsia="fi-FI"/>
              </w:rPr>
              <w:t>1400±50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B78FB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  <w:highlight w:val="yellow"/>
                <w:lang w:eastAsia="fi-FI"/>
              </w:rPr>
            </w:pPr>
            <w:r w:rsidRPr="00E30225">
              <w:rPr>
                <w:rFonts w:cs="Calibri"/>
                <w:color w:val="000000"/>
                <w:sz w:val="18"/>
                <w:szCs w:val="18"/>
              </w:rPr>
              <w:t>550–761 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2A73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  <w:lang w:eastAsia="fi-FI"/>
              </w:rPr>
            </w:pPr>
            <w:r w:rsidRPr="00E30225">
              <w:rPr>
                <w:rFonts w:cs="Calibri"/>
                <w:sz w:val="18"/>
                <w:szCs w:val="18"/>
                <w:lang w:eastAsia="fi-FI"/>
              </w:rPr>
              <w:t>Charcoal, cultural layer (context 7) outside the dwelling</w:t>
            </w:r>
          </w:p>
        </w:tc>
      </w:tr>
      <w:tr w:rsidR="00F22AD9" w:rsidRPr="00B72933" w14:paraId="1639F83D" w14:textId="77777777" w:rsidTr="003715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2A92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  <w:lang w:eastAsia="fi-FI"/>
              </w:rPr>
            </w:pPr>
            <w:r w:rsidRPr="00E30225">
              <w:rPr>
                <w:rFonts w:cs="Calibri"/>
                <w:sz w:val="18"/>
                <w:szCs w:val="18"/>
                <w:lang w:eastAsia="fi-FI"/>
              </w:rPr>
              <w:t>Le-6558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E0ED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  <w:lang w:eastAsia="fi-FI"/>
              </w:rPr>
            </w:pPr>
            <w:r w:rsidRPr="00E30225">
              <w:rPr>
                <w:bCs/>
                <w:sz w:val="18"/>
              </w:rPr>
              <w:t>σ - 10</w:t>
            </w:r>
            <w:r w:rsidRPr="00E30225">
              <w:rPr>
                <w:rFonts w:cs="Calibri"/>
                <w:bCs/>
                <w:sz w:val="18"/>
              </w:rPr>
              <w:t>±</w:t>
            </w:r>
            <w:r w:rsidRPr="00E30225">
              <w:rPr>
                <w:bCs/>
                <w:sz w:val="18"/>
              </w:rPr>
              <w:t>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CE5A6" w14:textId="77777777" w:rsidR="00F22AD9" w:rsidRPr="00E30225" w:rsidRDefault="00F22AD9" w:rsidP="00371510">
            <w:pPr>
              <w:rPr>
                <w:rFonts w:cs="Calibri"/>
                <w:color w:val="000000"/>
                <w:sz w:val="18"/>
                <w:szCs w:val="18"/>
              </w:rPr>
            </w:pPr>
            <w:r w:rsidRPr="00E30225">
              <w:rPr>
                <w:rFonts w:cs="Calibri"/>
                <w:color w:val="000000"/>
                <w:sz w:val="18"/>
                <w:szCs w:val="18"/>
              </w:rPr>
              <w:t>modern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ED64" w14:textId="77777777" w:rsidR="00F22AD9" w:rsidRPr="00E30225" w:rsidRDefault="00F22AD9" w:rsidP="00371510">
            <w:pPr>
              <w:rPr>
                <w:rFonts w:cs="Calibri"/>
                <w:sz w:val="18"/>
                <w:szCs w:val="18"/>
                <w:lang w:eastAsia="fi-FI"/>
              </w:rPr>
            </w:pPr>
            <w:r w:rsidRPr="00E30225">
              <w:rPr>
                <w:rFonts w:cs="Calibri"/>
                <w:sz w:val="18"/>
                <w:szCs w:val="18"/>
                <w:lang w:eastAsia="fi-FI"/>
              </w:rPr>
              <w:t>Charcoal, cultural layer (context 7) outside the dwelling</w:t>
            </w:r>
          </w:p>
        </w:tc>
      </w:tr>
    </w:tbl>
    <w:p w14:paraId="5E165112" w14:textId="77777777" w:rsidR="00CB394D" w:rsidRDefault="00CB394D" w:rsidP="00F22AD9">
      <w:pPr>
        <w:rPr>
          <w:rFonts w:cs="Calibri"/>
        </w:rPr>
      </w:pPr>
    </w:p>
    <w:p w14:paraId="48F4E6A5" w14:textId="262B16CC" w:rsidR="00F22AD9" w:rsidRPr="00E30225" w:rsidRDefault="00F22AD9" w:rsidP="00F22AD9">
      <w:pPr>
        <w:rPr>
          <w:rFonts w:cs="Calibri"/>
        </w:rPr>
      </w:pPr>
      <w:proofErr w:type="spellStart"/>
      <w:r w:rsidRPr="00E30225">
        <w:rPr>
          <w:rFonts w:cs="Calibri"/>
        </w:rPr>
        <w:t>OxCal</w:t>
      </w:r>
      <w:proofErr w:type="spellEnd"/>
      <w:r w:rsidRPr="00E30225">
        <w:rPr>
          <w:rFonts w:cs="Calibri"/>
        </w:rPr>
        <w:t xml:space="preserve"> 4.3.2 (</w:t>
      </w:r>
      <w:proofErr w:type="spellStart"/>
      <w:r w:rsidRPr="00E30225">
        <w:rPr>
          <w:rFonts w:cs="Calibri"/>
        </w:rPr>
        <w:t>Bronk</w:t>
      </w:r>
      <w:proofErr w:type="spellEnd"/>
      <w:r w:rsidRPr="00E30225">
        <w:rPr>
          <w:rFonts w:cs="Calibri"/>
        </w:rPr>
        <w:t xml:space="preserve"> Ramsey 2009), IntCal13 atmospheric curve (Reimer et al. 2013).</w:t>
      </w:r>
    </w:p>
    <w:p w14:paraId="76412167" w14:textId="77777777" w:rsidR="00F22AD9" w:rsidRPr="00E30225" w:rsidRDefault="00F22AD9" w:rsidP="00F22AD9">
      <w:pPr>
        <w:rPr>
          <w:rFonts w:cs="Calibri"/>
        </w:rPr>
      </w:pPr>
    </w:p>
    <w:p w14:paraId="3BAB67FA" w14:textId="77777777" w:rsidR="00F22AD9" w:rsidRPr="00E30225" w:rsidRDefault="00F22AD9" w:rsidP="00F22AD9">
      <w:pPr>
        <w:rPr>
          <w:rFonts w:ascii="Times New Roman" w:hAnsi="Times New Roman"/>
          <w:color w:val="212121"/>
          <w:sz w:val="20"/>
          <w:szCs w:val="20"/>
          <w:shd w:val="clear" w:color="auto" w:fill="FFFFFF"/>
        </w:rPr>
      </w:pPr>
      <w:r w:rsidRPr="00E30225">
        <w:rPr>
          <w:rFonts w:ascii="Times New Roman" w:hAnsi="Times New Roman"/>
        </w:rPr>
        <w:t xml:space="preserve">All dated samples are wood charcoal collected from the cultural layer; due to the requirements of the conventional method, a large amount of material has been combined for each sample. The results do not provide a solid framework for dating the </w:t>
      </w:r>
      <w:proofErr w:type="spellStart"/>
      <w:r w:rsidRPr="00E30225">
        <w:rPr>
          <w:rFonts w:ascii="Times New Roman" w:hAnsi="Times New Roman"/>
        </w:rPr>
        <w:t>pithouse</w:t>
      </w:r>
      <w:proofErr w:type="spellEnd"/>
      <w:r w:rsidRPr="00E30225">
        <w:rPr>
          <w:rFonts w:ascii="Times New Roman" w:hAnsi="Times New Roman"/>
        </w:rPr>
        <w:t xml:space="preserve"> and are hard to interpret, as </w:t>
      </w:r>
      <w:proofErr w:type="spellStart"/>
      <w:r w:rsidRPr="00E30225">
        <w:rPr>
          <w:rFonts w:ascii="Times New Roman" w:hAnsi="Times New Roman"/>
        </w:rPr>
        <w:t>datings</w:t>
      </w:r>
      <w:proofErr w:type="spellEnd"/>
      <w:r w:rsidRPr="00E30225">
        <w:rPr>
          <w:rFonts w:ascii="Times New Roman" w:hAnsi="Times New Roman"/>
        </w:rPr>
        <w:t xml:space="preserve"> from the same contexts gave very different results. The reasons for this may be that the dated contexts contain charcoals of various ages (mixing/contamination), some of the </w:t>
      </w:r>
      <w:proofErr w:type="spellStart"/>
      <w:r w:rsidRPr="00E30225">
        <w:rPr>
          <w:rFonts w:ascii="Times New Roman" w:hAnsi="Times New Roman"/>
        </w:rPr>
        <w:t>datings</w:t>
      </w:r>
      <w:proofErr w:type="spellEnd"/>
      <w:r w:rsidRPr="00E30225">
        <w:rPr>
          <w:rFonts w:ascii="Times New Roman" w:hAnsi="Times New Roman"/>
        </w:rPr>
        <w:t xml:space="preserve"> are connected to natural processes,</w:t>
      </w:r>
      <w:r>
        <w:rPr>
          <w:rFonts w:ascii="Times New Roman" w:hAnsi="Times New Roman"/>
        </w:rPr>
        <w:t xml:space="preserve"> </w:t>
      </w:r>
      <w:r w:rsidRPr="00E30225">
        <w:rPr>
          <w:rFonts w:ascii="Times New Roman" w:hAnsi="Times New Roman"/>
        </w:rPr>
        <w:t xml:space="preserve">or the </w:t>
      </w:r>
      <w:proofErr w:type="spellStart"/>
      <w:r w:rsidRPr="00E30225">
        <w:rPr>
          <w:rFonts w:ascii="Times New Roman" w:hAnsi="Times New Roman"/>
        </w:rPr>
        <w:t>datings</w:t>
      </w:r>
      <w:proofErr w:type="spellEnd"/>
      <w:r w:rsidRPr="00E30225">
        <w:rPr>
          <w:rFonts w:ascii="Times New Roman" w:hAnsi="Times New Roman"/>
        </w:rPr>
        <w:t xml:space="preserve"> reflect human activit</w:t>
      </w:r>
      <w:r>
        <w:rPr>
          <w:rFonts w:ascii="Times New Roman" w:hAnsi="Times New Roman"/>
        </w:rPr>
        <w:t xml:space="preserve">y </w:t>
      </w:r>
      <w:r w:rsidRPr="00E30225">
        <w:rPr>
          <w:rFonts w:ascii="Times New Roman" w:hAnsi="Times New Roman"/>
        </w:rPr>
        <w:t>that ha</w:t>
      </w:r>
      <w:r>
        <w:rPr>
          <w:rFonts w:ascii="Times New Roman" w:hAnsi="Times New Roman"/>
        </w:rPr>
        <w:t>s</w:t>
      </w:r>
      <w:r w:rsidRPr="00E30225">
        <w:rPr>
          <w:rFonts w:ascii="Times New Roman" w:hAnsi="Times New Roman"/>
        </w:rPr>
        <w:t xml:space="preserve"> left no archaeologically recognizable evidence in the excavated area. In addition, some </w:t>
      </w:r>
      <w:proofErr w:type="spellStart"/>
      <w:r w:rsidRPr="00E30225">
        <w:rPr>
          <w:rFonts w:ascii="Times New Roman" w:hAnsi="Times New Roman"/>
        </w:rPr>
        <w:t>datings</w:t>
      </w:r>
      <w:proofErr w:type="spellEnd"/>
      <w:r w:rsidRPr="00E30225">
        <w:rPr>
          <w:rFonts w:ascii="Times New Roman" w:hAnsi="Times New Roman"/>
        </w:rPr>
        <w:t xml:space="preserve"> are of very poor quality, i.e. with large measuring errors and wide calibrated intervals. Data after </w:t>
      </w:r>
      <w:proofErr w:type="spellStart"/>
      <w:r w:rsidRPr="00E30225">
        <w:rPr>
          <w:rFonts w:ascii="Times New Roman" w:hAnsi="Times New Roman"/>
        </w:rPr>
        <w:t>Gerasimov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E30225">
        <w:rPr>
          <w:rFonts w:ascii="Times New Roman" w:hAnsi="Times New Roman"/>
        </w:rPr>
        <w:t>Kul’kova</w:t>
      </w:r>
      <w:proofErr w:type="spellEnd"/>
      <w:r w:rsidRPr="00E30225">
        <w:rPr>
          <w:rFonts w:ascii="Times New Roman" w:hAnsi="Times New Roman"/>
        </w:rPr>
        <w:t xml:space="preserve"> 2003; </w:t>
      </w:r>
      <w:proofErr w:type="spellStart"/>
      <w:r w:rsidRPr="00E30225">
        <w:rPr>
          <w:rFonts w:ascii="Times New Roman" w:hAnsi="Times New Roman"/>
        </w:rPr>
        <w:t>Halinen</w:t>
      </w:r>
      <w:proofErr w:type="spellEnd"/>
      <w:r w:rsidRPr="00E30225">
        <w:rPr>
          <w:rFonts w:ascii="Times New Roman" w:hAnsi="Times New Roman"/>
        </w:rPr>
        <w:t xml:space="preserve"> et al. 2008; </w:t>
      </w:r>
      <w:proofErr w:type="spellStart"/>
      <w:r w:rsidRPr="00E30225">
        <w:rPr>
          <w:rFonts w:ascii="Times New Roman" w:hAnsi="Times New Roman"/>
        </w:rPr>
        <w:t>Seitsonen</w:t>
      </w:r>
      <w:proofErr w:type="spellEnd"/>
      <w:r w:rsidRPr="00E30225">
        <w:rPr>
          <w:rFonts w:ascii="Times New Roman" w:hAnsi="Times New Roman"/>
        </w:rPr>
        <w:t xml:space="preserve"> et al. 2012 (discrepancies concerning dates Le-6641, Le-6512, Le-6557, and Le-6556 in these sources corrected).</w:t>
      </w:r>
    </w:p>
    <w:p w14:paraId="6C05F388" w14:textId="77777777" w:rsidR="007447F6" w:rsidRPr="00F22AD9" w:rsidRDefault="007447F6" w:rsidP="00F22AD9"/>
    <w:sectPr w:rsidR="007447F6" w:rsidRPr="00F22AD9" w:rsidSect="00505E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23"/>
    <w:rsid w:val="00000767"/>
    <w:rsid w:val="00026B52"/>
    <w:rsid w:val="00055633"/>
    <w:rsid w:val="000D2423"/>
    <w:rsid w:val="001C32EB"/>
    <w:rsid w:val="00325FF3"/>
    <w:rsid w:val="003739CB"/>
    <w:rsid w:val="003E5B0F"/>
    <w:rsid w:val="003F53BC"/>
    <w:rsid w:val="00635EA1"/>
    <w:rsid w:val="00654BFC"/>
    <w:rsid w:val="006B7808"/>
    <w:rsid w:val="006E1796"/>
    <w:rsid w:val="007447F6"/>
    <w:rsid w:val="007507EB"/>
    <w:rsid w:val="0079005A"/>
    <w:rsid w:val="007C2478"/>
    <w:rsid w:val="007F2E87"/>
    <w:rsid w:val="008F1B99"/>
    <w:rsid w:val="009275C0"/>
    <w:rsid w:val="009C0214"/>
    <w:rsid w:val="00B3082F"/>
    <w:rsid w:val="00B42FC2"/>
    <w:rsid w:val="00B6495C"/>
    <w:rsid w:val="00C850D3"/>
    <w:rsid w:val="00CB394D"/>
    <w:rsid w:val="00CF1496"/>
    <w:rsid w:val="00D22033"/>
    <w:rsid w:val="00D22525"/>
    <w:rsid w:val="00D46B6F"/>
    <w:rsid w:val="00EC74FD"/>
    <w:rsid w:val="00EE768D"/>
    <w:rsid w:val="00F14529"/>
    <w:rsid w:val="00F22AD9"/>
    <w:rsid w:val="00FB4B4B"/>
    <w:rsid w:val="00F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4537"/>
  <w14:defaultImageDpi w14:val="32767"/>
  <w15:chartTrackingRefBased/>
  <w15:docId w15:val="{433BEB05-B4B9-6744-82F0-30689F86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nhideWhenUsed/>
    <w:rsid w:val="000D242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D2423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link w:val="CommentText"/>
    <w:rsid w:val="000D2423"/>
    <w:rPr>
      <w:rFonts w:ascii="Calibri" w:eastAsia="Times New Roman" w:hAnsi="Calibri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42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2423"/>
    <w:rPr>
      <w:rFonts w:ascii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D2423"/>
    <w:pPr>
      <w:spacing w:before="100" w:beforeAutospacing="1" w:after="100" w:afterAutospacing="1"/>
    </w:pPr>
    <w:rPr>
      <w:rFonts w:ascii="Times New Roman" w:eastAsia="Times New Roman" w:hAnsi="Times New Roman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4FD"/>
    <w:rPr>
      <w:rFonts w:eastAsia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EC74FD"/>
    <w:rPr>
      <w:rFonts w:ascii="Calibri" w:eastAsia="Times New Roman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3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2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8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0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9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6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2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3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Teija Alenius</cp:lastModifiedBy>
  <cp:revision>7</cp:revision>
  <dcterms:created xsi:type="dcterms:W3CDTF">2019-08-16T08:33:00Z</dcterms:created>
  <dcterms:modified xsi:type="dcterms:W3CDTF">2020-04-06T06:03:00Z</dcterms:modified>
</cp:coreProperties>
</file>