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B7" w:rsidRPr="00E6748B" w:rsidRDefault="00FF1D08" w:rsidP="00523A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48B">
        <w:rPr>
          <w:rFonts w:ascii="Times New Roman" w:hAnsi="Times New Roman" w:cs="Times New Roman"/>
          <w:b/>
          <w:sz w:val="24"/>
          <w:szCs w:val="24"/>
          <w:lang w:val="en-US"/>
        </w:rPr>
        <w:t>Supplementary M</w:t>
      </w:r>
      <w:r w:rsidR="00F07BFE" w:rsidRPr="00E6748B">
        <w:rPr>
          <w:rFonts w:ascii="Times New Roman" w:hAnsi="Times New Roman" w:cs="Times New Roman"/>
          <w:b/>
          <w:sz w:val="24"/>
          <w:szCs w:val="24"/>
          <w:lang w:val="en-US"/>
        </w:rPr>
        <w:t>aterials</w:t>
      </w:r>
    </w:p>
    <w:p w:rsidR="0084591D" w:rsidRDefault="00F07BFE" w:rsidP="00523AB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To test if the argument applies beyond the UK, I analyze data from Denmark and Australia with very different electoral </w:t>
      </w:r>
      <w:r w:rsidR="000557E9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party systems. In the Danish proportional electoral system, multiple parties are in parliament. </w:t>
      </w:r>
      <w:r w:rsidR="000557E9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Hence, this provides a very clear contrast case to the British. 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>Australia is in between with a majoritarian electoral system, but more parties usually present in parliament than in the UK</w:t>
      </w:r>
      <w:r w:rsidR="00E46635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even if the Liberal party and Labour dominates in terms of seats. </w:t>
      </w:r>
      <w:r w:rsidR="0084591D">
        <w:rPr>
          <w:rFonts w:ascii="Times New Roman" w:hAnsi="Times New Roman" w:cs="Times New Roman"/>
          <w:sz w:val="24"/>
          <w:szCs w:val="24"/>
          <w:lang w:val="en-US"/>
        </w:rPr>
        <w:t xml:space="preserve">Together, Denmark and Australia represent a party system with more than two large parties which is quite typical for many Western democracies. </w:t>
      </w:r>
    </w:p>
    <w:p w:rsidR="00FF1D08" w:rsidRPr="00E6748B" w:rsidRDefault="0027267F" w:rsidP="0084591D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Testing the argument on cases with more parties is important because multiple parties in opposition may produce a more ambiguous message to the voters in terms of which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problems voters should pay attention to and how or to what extent voters should hold the government to account. Rivalry between opposition parties would make such situation hard to escape. </w:t>
      </w:r>
      <w:r w:rsidR="00EC47C5">
        <w:rPr>
          <w:rFonts w:ascii="Times New Roman" w:hAnsi="Times New Roman" w:cs="Times New Roman"/>
          <w:sz w:val="24"/>
          <w:szCs w:val="24"/>
          <w:lang w:val="en-US"/>
        </w:rPr>
        <w:t xml:space="preserve">At the same time, the larger number of parties typically also in government </w:t>
      </w:r>
      <w:r w:rsidR="0084591D">
        <w:rPr>
          <w:rFonts w:ascii="Times New Roman" w:hAnsi="Times New Roman" w:cs="Times New Roman"/>
          <w:sz w:val="24"/>
          <w:szCs w:val="24"/>
          <w:lang w:val="en-US"/>
        </w:rPr>
        <w:t xml:space="preserve">in these countries </w:t>
      </w:r>
      <w:r w:rsidR="00EC47C5">
        <w:rPr>
          <w:rFonts w:ascii="Times New Roman" w:hAnsi="Times New Roman" w:cs="Times New Roman"/>
          <w:sz w:val="24"/>
          <w:szCs w:val="24"/>
          <w:lang w:val="en-US"/>
        </w:rPr>
        <w:t>may lower the ‘clarify or responsibility’</w:t>
      </w:r>
      <w:r w:rsidR="000949D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949D7" w:rsidRPr="00834D2F">
        <w:rPr>
          <w:rFonts w:ascii="Times New Roman" w:hAnsi="Times New Roman" w:cs="Times New Roman"/>
          <w:sz w:val="24"/>
          <w:lang w:val="en-US"/>
        </w:rPr>
        <w:t>Powell and Whitten 1993</w:t>
      </w:r>
      <w:r w:rsidR="000949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47C5">
        <w:rPr>
          <w:rFonts w:ascii="Times New Roman" w:hAnsi="Times New Roman" w:cs="Times New Roman"/>
          <w:sz w:val="24"/>
          <w:szCs w:val="24"/>
          <w:lang w:val="en-US"/>
        </w:rPr>
        <w:t xml:space="preserve">, and hence, increase the importance of the opposition as the messenger </w:t>
      </w:r>
      <w:r w:rsidR="0084591D">
        <w:rPr>
          <w:rFonts w:ascii="Times New Roman" w:hAnsi="Times New Roman" w:cs="Times New Roman"/>
          <w:sz w:val="24"/>
          <w:szCs w:val="24"/>
          <w:lang w:val="en-US"/>
        </w:rPr>
        <w:t>that makes</w:t>
      </w:r>
      <w:r w:rsidR="00EC47C5">
        <w:rPr>
          <w:rFonts w:ascii="Times New Roman" w:hAnsi="Times New Roman" w:cs="Times New Roman"/>
          <w:sz w:val="24"/>
          <w:szCs w:val="24"/>
          <w:lang w:val="en-US"/>
        </w:rPr>
        <w:t xml:space="preserve"> voters aware of the government’s responsibility for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7C5">
        <w:rPr>
          <w:rFonts w:ascii="Times New Roman" w:hAnsi="Times New Roman" w:cs="Times New Roman"/>
          <w:sz w:val="24"/>
          <w:szCs w:val="24"/>
          <w:lang w:val="en-US"/>
        </w:rPr>
        <w:t xml:space="preserve">problems. </w:t>
      </w:r>
    </w:p>
    <w:p w:rsidR="00FA5730" w:rsidRDefault="00FF1D08" w:rsidP="00523ABE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Getting comparable data </w:t>
      </w:r>
      <w:r w:rsidR="00D92A24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on several issues 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across countries </w:t>
      </w:r>
      <w:r w:rsidR="0084591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362F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over time 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on opposition criticism, government evaluations, and developments in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3751C5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problems is very hard. Hence, </w:t>
      </w:r>
      <w:r w:rsidR="0084591D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the access to data </w:t>
      </w:r>
      <w:r w:rsidR="0084591D">
        <w:rPr>
          <w:rFonts w:ascii="Times New Roman" w:hAnsi="Times New Roman" w:cs="Times New Roman"/>
          <w:sz w:val="24"/>
          <w:szCs w:val="24"/>
          <w:lang w:val="en-US"/>
        </w:rPr>
        <w:t>is also a motivation for</w:t>
      </w:r>
      <w:r w:rsidR="0084591D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the case selection</w:t>
      </w:r>
      <w:r w:rsidR="006D362F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. The Danish Policy Agendas Projects </w:t>
      </w:r>
      <w:r w:rsidR="00FA5730" w:rsidRPr="00FA5730">
        <w:rPr>
          <w:rFonts w:ascii="Times New Roman" w:hAnsi="Times New Roman" w:cs="Times New Roman"/>
          <w:sz w:val="24"/>
          <w:lang w:val="en-US"/>
        </w:rPr>
        <w:t>(Green-Pedersen 2005)</w:t>
      </w:r>
      <w:r w:rsidR="00FA5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2F" w:rsidRPr="00E6748B">
        <w:rPr>
          <w:rFonts w:ascii="Times New Roman" w:hAnsi="Times New Roman" w:cs="Times New Roman"/>
          <w:sz w:val="24"/>
          <w:szCs w:val="24"/>
          <w:lang w:val="en-US"/>
        </w:rPr>
        <w:t>as well as the Australian counterpart</w:t>
      </w:r>
      <w:r w:rsidR="00FA5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730" w:rsidRPr="00FA5730">
        <w:rPr>
          <w:rFonts w:ascii="Times New Roman" w:hAnsi="Times New Roman" w:cs="Times New Roman"/>
          <w:sz w:val="24"/>
          <w:lang w:val="en-US"/>
        </w:rPr>
        <w:t>(Dowding and Martin 2017)</w:t>
      </w:r>
      <w:r w:rsidR="00D92A24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2F" w:rsidRPr="00E6748B">
        <w:rPr>
          <w:rFonts w:ascii="Times New Roman" w:hAnsi="Times New Roman" w:cs="Times New Roman"/>
          <w:sz w:val="24"/>
          <w:szCs w:val="24"/>
          <w:lang w:val="en-US"/>
        </w:rPr>
        <w:t>have kindly shared data on questions to the minister as an indicator of opposition criticism.</w:t>
      </w:r>
      <w:r w:rsidR="00523ABE" w:rsidRPr="00E6748B">
        <w:rPr>
          <w:rStyle w:val="Fodnotehenvisning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6D362F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D362F" w:rsidRPr="00E6748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main analysis of the UK uses the same indicator. </w:t>
      </w:r>
      <w:r w:rsidR="00D92A24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Government evaluations </w:t>
      </w:r>
      <w:r w:rsidR="00523ABE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with the same question wording as in the UK analysis </w:t>
      </w:r>
      <w:r w:rsidR="00D92A24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are difficult to muster on many issues over time, and the analysis therefore relies on </w:t>
      </w:r>
      <w:r w:rsidR="00523ABE" w:rsidRPr="00E6748B">
        <w:rPr>
          <w:rFonts w:ascii="Times New Roman" w:hAnsi="Times New Roman" w:cs="Times New Roman"/>
          <w:sz w:val="24"/>
          <w:szCs w:val="24"/>
          <w:lang w:val="en-US"/>
        </w:rPr>
        <w:t>issue ownership data.</w:t>
      </w:r>
      <w:r w:rsidR="00860384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This is a good substitute because issue ownership also </w:t>
      </w:r>
      <w:r w:rsidR="009E6426">
        <w:rPr>
          <w:rFonts w:ascii="Times New Roman" w:hAnsi="Times New Roman" w:cs="Times New Roman"/>
          <w:sz w:val="24"/>
          <w:szCs w:val="24"/>
          <w:lang w:val="en-US"/>
        </w:rPr>
        <w:t xml:space="preserve">is concerned with </w:t>
      </w:r>
      <w:r w:rsidR="00860384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how voters evaluate the government’s performance on an issue. The main difference </w:t>
      </w:r>
      <w:r w:rsidR="009E6426">
        <w:rPr>
          <w:rFonts w:ascii="Times New Roman" w:hAnsi="Times New Roman" w:cs="Times New Roman"/>
          <w:sz w:val="24"/>
          <w:szCs w:val="24"/>
          <w:lang w:val="en-US"/>
        </w:rPr>
        <w:t xml:space="preserve">to the government evaluations used in the UK analysis </w:t>
      </w:r>
      <w:r w:rsidR="00860384" w:rsidRPr="00E6748B">
        <w:rPr>
          <w:rFonts w:ascii="Times New Roman" w:hAnsi="Times New Roman" w:cs="Times New Roman"/>
          <w:sz w:val="24"/>
          <w:szCs w:val="24"/>
          <w:lang w:val="en-US"/>
        </w:rPr>
        <w:t>is that with issue ownership data, voters choose a party</w:t>
      </w:r>
      <w:r w:rsidR="006B42AC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among the alternatives</w:t>
      </w:r>
      <w:r w:rsidR="00860384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. Hence, </w:t>
      </w:r>
      <w:r w:rsidR="006B42AC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if a low proportion of voters pick the incumbent party, this is a clear sign of </w:t>
      </w:r>
      <w:r w:rsidR="009E6426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="006B42AC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evaluations</w:t>
      </w:r>
      <w:r w:rsidR="00F04F97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730" w:rsidRPr="00FA5730">
        <w:rPr>
          <w:rFonts w:ascii="Times New Roman" w:hAnsi="Times New Roman" w:cs="Times New Roman"/>
          <w:sz w:val="24"/>
          <w:lang w:val="en-US"/>
        </w:rPr>
        <w:t xml:space="preserve">(for details, see </w:t>
      </w:r>
      <w:r w:rsidR="00596E47">
        <w:rPr>
          <w:rFonts w:ascii="Times New Roman" w:hAnsi="Times New Roman" w:cs="Times New Roman"/>
          <w:sz w:val="24"/>
          <w:lang w:val="en-US"/>
        </w:rPr>
        <w:t>AUTHOR</w:t>
      </w:r>
      <w:r w:rsidR="00FA5730" w:rsidRPr="00FA5730">
        <w:rPr>
          <w:rFonts w:ascii="Times New Roman" w:hAnsi="Times New Roman" w:cs="Times New Roman"/>
          <w:sz w:val="24"/>
          <w:lang w:val="en-US"/>
        </w:rPr>
        <w:t>)</w:t>
      </w:r>
      <w:r w:rsidR="00FA57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5820" w:rsidRDefault="00F04F97" w:rsidP="00775820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As the issue ownership data stems from national election studies, observations come for each election in the two countries since the early 1990s (see Table </w:t>
      </w:r>
      <w:r w:rsidR="00B046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1 for an overview). </w:t>
      </w:r>
      <w:r w:rsidR="00F66131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Opposition criticism and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3751C5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131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problems are measured </w:t>
      </w:r>
      <w:r w:rsidR="009E6426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F66131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to each of these elections to ensure a short distance between the dependent variable and the independent variables. </w:t>
      </w:r>
      <w:r w:rsidR="00820EDD" w:rsidRPr="00E67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66131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his leaves a very different data structure </w:t>
      </w:r>
      <w:r w:rsidR="00820EDD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than the UK main analysis </w:t>
      </w:r>
      <w:r w:rsidR="00F66131" w:rsidRPr="00E6748B">
        <w:rPr>
          <w:rFonts w:ascii="Times New Roman" w:hAnsi="Times New Roman" w:cs="Times New Roman"/>
          <w:sz w:val="24"/>
          <w:szCs w:val="24"/>
          <w:lang w:val="en-US"/>
        </w:rPr>
        <w:t>with far fewer observations over time and far less temporal detail</w:t>
      </w:r>
      <w:r w:rsidR="00820EDD" w:rsidRPr="00E674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38D0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Moreover, the data leaves only </w:t>
      </w:r>
      <w:r w:rsidR="008243AE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A638D0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observations for the analysis providing a weak basis for reaching statistical significant results.</w:t>
      </w:r>
      <w:r w:rsidR="00820EDD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In that sense, </w:t>
      </w:r>
      <w:r w:rsidR="00A638D0" w:rsidRPr="00E6748B">
        <w:rPr>
          <w:rFonts w:ascii="Times New Roman" w:hAnsi="Times New Roman" w:cs="Times New Roman"/>
          <w:sz w:val="24"/>
          <w:szCs w:val="24"/>
          <w:lang w:val="en-US"/>
        </w:rPr>
        <w:t>the extra analysis</w:t>
      </w:r>
      <w:r w:rsidR="00820EDD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provides a conservative test of argument as it becomes harder to identify the same patterns.</w:t>
      </w:r>
      <w:r w:rsidR="004D4F73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5C2E" w:rsidRPr="00E6748B" w:rsidRDefault="004D4F73" w:rsidP="00775820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The analysis covers </w:t>
      </w:r>
      <w:r w:rsidR="00ED137A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almost 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>the same issues as the UK test: unemployment, immigration, and health. As data is available</w:t>
      </w:r>
      <w:r w:rsidR="00ED137A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also on 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>the economy</w:t>
      </w:r>
      <w:r w:rsidR="00ED137A" w:rsidRPr="00E6748B">
        <w:rPr>
          <w:rFonts w:ascii="Times New Roman" w:hAnsi="Times New Roman" w:cs="Times New Roman"/>
          <w:sz w:val="24"/>
          <w:szCs w:val="24"/>
          <w:lang w:val="en-US"/>
        </w:rPr>
        <w:t>, it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is included.</w:t>
      </w:r>
      <w:r w:rsidR="00ED137A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Issue ownership data is not available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37A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on law and order in Australia, so this issue is not included. </w:t>
      </w:r>
      <w:r w:rsidR="000A0881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3751C5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881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indicators are largely comparable </w:t>
      </w:r>
      <w:r w:rsidR="009E642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5F3B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9E6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881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the unemployment rate for the issue of unemployment, </w:t>
      </w:r>
      <w:r w:rsidR="00775820" w:rsidRPr="00775820">
        <w:rPr>
          <w:rFonts w:ascii="Times New Roman" w:hAnsi="Times New Roman" w:cs="Times New Roman"/>
          <w:sz w:val="24"/>
          <w:szCs w:val="24"/>
          <w:lang w:val="en-US"/>
        </w:rPr>
        <w:t>the number of asylum seekers per 1,000 population</w:t>
      </w:r>
      <w:r w:rsidR="00775820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881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for the issue of immigration, and </w:t>
      </w:r>
      <w:r w:rsidR="00775820" w:rsidRPr="00775820">
        <w:rPr>
          <w:rFonts w:ascii="Times New Roman" w:hAnsi="Times New Roman" w:cs="Times New Roman"/>
          <w:sz w:val="24"/>
          <w:szCs w:val="24"/>
          <w:lang w:val="en-US"/>
        </w:rPr>
        <w:t xml:space="preserve">the number of cancer patients per 1,000 population </w:t>
      </w:r>
      <w:r w:rsidR="0077582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75820" w:rsidRPr="00775820">
        <w:rPr>
          <w:rFonts w:ascii="Times New Roman" w:hAnsi="Times New Roman" w:cs="Times New Roman"/>
          <w:sz w:val="24"/>
          <w:szCs w:val="24"/>
          <w:lang w:val="en-US"/>
        </w:rPr>
        <w:t>or the issue of health (OECD 2016)</w:t>
      </w:r>
      <w:r w:rsidR="00814205">
        <w:rPr>
          <w:rFonts w:ascii="Times New Roman" w:hAnsi="Times New Roman" w:cs="Times New Roman"/>
          <w:sz w:val="24"/>
          <w:szCs w:val="24"/>
          <w:lang w:val="en-US"/>
        </w:rPr>
        <w:t xml:space="preserve">. GDP growth is used for the </w:t>
      </w:r>
      <w:r w:rsidR="000A1176">
        <w:rPr>
          <w:rFonts w:ascii="Times New Roman" w:hAnsi="Times New Roman" w:cs="Times New Roman"/>
          <w:sz w:val="24"/>
          <w:szCs w:val="24"/>
          <w:lang w:val="en-US"/>
        </w:rPr>
        <w:t xml:space="preserve">issue of the </w:t>
      </w:r>
      <w:r w:rsidR="00814205">
        <w:rPr>
          <w:rFonts w:ascii="Times New Roman" w:hAnsi="Times New Roman" w:cs="Times New Roman"/>
          <w:sz w:val="24"/>
          <w:szCs w:val="24"/>
          <w:lang w:val="en-US"/>
        </w:rPr>
        <w:t xml:space="preserve">economy. </w:t>
      </w:r>
      <w:r w:rsidR="002F7C0C">
        <w:rPr>
          <w:rFonts w:ascii="Times New Roman" w:hAnsi="Times New Roman" w:cs="Times New Roman"/>
          <w:sz w:val="24"/>
          <w:szCs w:val="24"/>
          <w:lang w:val="en-US"/>
        </w:rPr>
        <w:t xml:space="preserve">With only 29 observations in total across countries and including all issues, I pool the data and use </w:t>
      </w:r>
      <w:r w:rsidR="00FE2453" w:rsidRPr="00E6748B">
        <w:rPr>
          <w:rFonts w:ascii="Times New Roman" w:hAnsi="Times New Roman" w:cs="Times New Roman"/>
          <w:sz w:val="24"/>
          <w:szCs w:val="24"/>
          <w:lang w:val="en-US"/>
        </w:rPr>
        <w:t>fixed effects with issues and countries as panels</w:t>
      </w:r>
      <w:r w:rsidR="002F7C0C">
        <w:rPr>
          <w:rFonts w:ascii="Times New Roman" w:hAnsi="Times New Roman" w:cs="Times New Roman"/>
          <w:sz w:val="24"/>
          <w:szCs w:val="24"/>
          <w:lang w:val="en-US"/>
        </w:rPr>
        <w:t xml:space="preserve"> in the estimation</w:t>
      </w:r>
      <w:r w:rsidR="00FE2453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5820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Like the UK analysis, the estimation uses moving averages </w:t>
      </w:r>
      <w:r w:rsidR="007532A0">
        <w:rPr>
          <w:rFonts w:ascii="Times New Roman" w:hAnsi="Times New Roman" w:cs="Times New Roman"/>
          <w:sz w:val="24"/>
          <w:szCs w:val="24"/>
          <w:lang w:val="en-US"/>
        </w:rPr>
        <w:t xml:space="preserve">for opposition criticism and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lastRenderedPageBreak/>
        <w:t>social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2A0">
        <w:rPr>
          <w:rFonts w:ascii="Times New Roman" w:hAnsi="Times New Roman" w:cs="Times New Roman"/>
          <w:sz w:val="24"/>
          <w:szCs w:val="24"/>
          <w:lang w:val="en-US"/>
        </w:rPr>
        <w:t xml:space="preserve">problems </w:t>
      </w:r>
      <w:r w:rsidR="00775820" w:rsidRPr="00E6748B">
        <w:rPr>
          <w:rFonts w:ascii="Times New Roman" w:hAnsi="Times New Roman" w:cs="Times New Roman"/>
          <w:sz w:val="24"/>
          <w:szCs w:val="24"/>
          <w:lang w:val="en-US"/>
        </w:rPr>
        <w:t>across the</w:t>
      </w:r>
      <w:r w:rsidR="007532A0">
        <w:rPr>
          <w:rFonts w:ascii="Times New Roman" w:hAnsi="Times New Roman" w:cs="Times New Roman"/>
          <w:sz w:val="24"/>
          <w:szCs w:val="24"/>
          <w:lang w:val="en-US"/>
        </w:rPr>
        <w:t xml:space="preserve"> three</w:t>
      </w:r>
      <w:r w:rsidR="00775820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2A0">
        <w:rPr>
          <w:rFonts w:ascii="Times New Roman" w:hAnsi="Times New Roman" w:cs="Times New Roman"/>
          <w:sz w:val="24"/>
          <w:szCs w:val="24"/>
          <w:lang w:val="en-US"/>
        </w:rPr>
        <w:t xml:space="preserve">years immediately prior to each of the issue ownership </w:t>
      </w:r>
      <w:r w:rsidR="00775820" w:rsidRPr="00E6748B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="007532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5820" w:rsidRPr="00E674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6131" w:rsidRDefault="00812EEB" w:rsidP="00523ABE">
      <w:pPr>
        <w:spacing w:line="48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Importantly, t</w:t>
      </w:r>
      <w:r w:rsidR="004C2053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he estimation across Denmark and Australia repeats the finding from the UK analysis: when the opposition criticizes the government during rising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3751C5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053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problems, government evaluations systematically deteriorate. This is </w:t>
      </w:r>
      <w:r w:rsidR="00FE2453" w:rsidRPr="00E6748B">
        <w:rPr>
          <w:rFonts w:ascii="Times New Roman" w:hAnsi="Times New Roman" w:cs="Times New Roman"/>
          <w:sz w:val="24"/>
          <w:szCs w:val="24"/>
          <w:lang w:val="en-US"/>
        </w:rPr>
        <w:t>evident</w:t>
      </w:r>
      <w:r w:rsidR="004C2053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1AE" w:rsidRPr="00E6748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4C2053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the negative and statistically significant coefficient </w:t>
      </w:r>
      <w:r w:rsidR="00FE2453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for the interaction between opposition criticism and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3751C5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453" w:rsidRPr="00E6748B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EA61AE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8243AE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EA61AE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column of Table S</w:t>
      </w:r>
      <w:r w:rsidR="00B046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E2453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43AE">
        <w:rPr>
          <w:rFonts w:ascii="Times New Roman" w:hAnsi="Times New Roman" w:cs="Times New Roman"/>
          <w:sz w:val="24"/>
          <w:szCs w:val="24"/>
          <w:lang w:val="en-US"/>
        </w:rPr>
        <w:t xml:space="preserve">Again,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3AE">
        <w:rPr>
          <w:rFonts w:ascii="Times New Roman" w:hAnsi="Times New Roman" w:cs="Times New Roman"/>
          <w:sz w:val="24"/>
          <w:szCs w:val="24"/>
          <w:lang w:val="en-US"/>
        </w:rPr>
        <w:t xml:space="preserve">problems and opposition criticism do not operate separately, but only in concert as the statistically insignificant coefficients in the first column show. </w:t>
      </w:r>
      <w:r w:rsidR="008A1C4B">
        <w:rPr>
          <w:rFonts w:ascii="Times New Roman" w:hAnsi="Times New Roman" w:cs="Times New Roman"/>
          <w:sz w:val="24"/>
          <w:szCs w:val="24"/>
          <w:lang w:val="en-US"/>
        </w:rPr>
        <w:t xml:space="preserve">Hence, this data suggest that the results from the more elaborate analysis of the UK apply beyond this case and at least to two countries with </w:t>
      </w:r>
      <w:r w:rsidR="00FA5730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8A1C4B">
        <w:rPr>
          <w:rFonts w:ascii="Times New Roman" w:hAnsi="Times New Roman" w:cs="Times New Roman"/>
          <w:sz w:val="24"/>
          <w:szCs w:val="24"/>
          <w:lang w:val="en-US"/>
        </w:rPr>
        <w:t xml:space="preserve"> party systems. </w:t>
      </w:r>
    </w:p>
    <w:p w:rsidR="0099050A" w:rsidRPr="00FA5730" w:rsidRDefault="009905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573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22B0F" w:rsidRPr="00CC4452" w:rsidRDefault="00722B0F" w:rsidP="00722B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452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S1. Overview of data</w:t>
      </w:r>
      <w:r w:rsidR="00812EEB">
        <w:rPr>
          <w:rFonts w:ascii="Times New Roman" w:hAnsi="Times New Roman" w:cs="Times New Roman"/>
          <w:sz w:val="24"/>
          <w:szCs w:val="24"/>
          <w:lang w:val="en-US"/>
        </w:rPr>
        <w:t xml:space="preserve"> in Denmark and Australia</w:t>
      </w:r>
      <w:r w:rsidRPr="00CC44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430"/>
        <w:gridCol w:w="2430"/>
      </w:tblGrid>
      <w:tr w:rsidR="00CC4452" w:rsidRPr="00CC4452" w:rsidTr="00CC445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CC4452" w:rsidRPr="00CC4452" w:rsidRDefault="00CC4452" w:rsidP="00722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C4452" w:rsidRPr="00CC4452" w:rsidRDefault="00CC4452" w:rsidP="00722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C4452" w:rsidRPr="00CC4452" w:rsidRDefault="00CC4452" w:rsidP="00AA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</w:tr>
      <w:tr w:rsidR="00CC4452" w:rsidRPr="00CC4452" w:rsidTr="00CC4452">
        <w:tc>
          <w:tcPr>
            <w:tcW w:w="2178" w:type="dxa"/>
            <w:tcBorders>
              <w:top w:val="single" w:sz="4" w:space="0" w:color="auto"/>
            </w:tcBorders>
          </w:tcPr>
          <w:p w:rsidR="00CC4452" w:rsidRPr="00CC4452" w:rsidRDefault="00CC4452" w:rsidP="00722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C4452" w:rsidRPr="00CC4452" w:rsidRDefault="00CC4452" w:rsidP="00CC4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1990-2011 (7)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C4452" w:rsidRPr="00CC4452" w:rsidRDefault="00CC4452" w:rsidP="00AA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1993-2013 (3)</w:t>
            </w:r>
          </w:p>
        </w:tc>
      </w:tr>
      <w:tr w:rsidR="00CC4452" w:rsidRPr="00CC4452" w:rsidTr="00CC4452">
        <w:tc>
          <w:tcPr>
            <w:tcW w:w="2178" w:type="dxa"/>
          </w:tcPr>
          <w:p w:rsidR="00CC4452" w:rsidRPr="00CC4452" w:rsidRDefault="00CC4452" w:rsidP="00722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2430" w:type="dxa"/>
          </w:tcPr>
          <w:p w:rsidR="00CC4452" w:rsidRPr="00CC4452" w:rsidRDefault="00CC4452" w:rsidP="00CC4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1998-2011 (5)</w:t>
            </w:r>
          </w:p>
        </w:tc>
        <w:tc>
          <w:tcPr>
            <w:tcW w:w="2430" w:type="dxa"/>
          </w:tcPr>
          <w:p w:rsidR="00CC4452" w:rsidRPr="00CC4452" w:rsidRDefault="00CC4452" w:rsidP="00CC4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2001-2013 (5)</w:t>
            </w:r>
          </w:p>
        </w:tc>
      </w:tr>
      <w:tr w:rsidR="00CC4452" w:rsidRPr="00CC4452" w:rsidTr="00CC4452">
        <w:tc>
          <w:tcPr>
            <w:tcW w:w="2178" w:type="dxa"/>
          </w:tcPr>
          <w:p w:rsidR="00CC4452" w:rsidRPr="00CC4452" w:rsidRDefault="00CC4452" w:rsidP="00722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Unemployment</w:t>
            </w:r>
          </w:p>
        </w:tc>
        <w:tc>
          <w:tcPr>
            <w:tcW w:w="2430" w:type="dxa"/>
          </w:tcPr>
          <w:p w:rsidR="00CC4452" w:rsidRPr="00CC4452" w:rsidRDefault="00CC4452" w:rsidP="00CC4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1990-2011 (4)</w:t>
            </w:r>
          </w:p>
        </w:tc>
        <w:tc>
          <w:tcPr>
            <w:tcW w:w="2430" w:type="dxa"/>
          </w:tcPr>
          <w:p w:rsidR="00CC4452" w:rsidRPr="00CC4452" w:rsidRDefault="00CC4452" w:rsidP="00AA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1990-2007 (6)</w:t>
            </w:r>
          </w:p>
        </w:tc>
      </w:tr>
      <w:tr w:rsidR="00CC4452" w:rsidRPr="00CC4452" w:rsidTr="00CC4452">
        <w:tc>
          <w:tcPr>
            <w:tcW w:w="2178" w:type="dxa"/>
          </w:tcPr>
          <w:p w:rsidR="00CC4452" w:rsidRPr="00CC4452" w:rsidRDefault="00CC4452" w:rsidP="00722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Immigration</w:t>
            </w:r>
          </w:p>
        </w:tc>
        <w:tc>
          <w:tcPr>
            <w:tcW w:w="2430" w:type="dxa"/>
          </w:tcPr>
          <w:p w:rsidR="00CC4452" w:rsidRPr="00CC4452" w:rsidRDefault="00CC4452" w:rsidP="00722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1998-2011 (5)</w:t>
            </w:r>
          </w:p>
        </w:tc>
        <w:tc>
          <w:tcPr>
            <w:tcW w:w="2430" w:type="dxa"/>
          </w:tcPr>
          <w:p w:rsidR="00CC4452" w:rsidRPr="00CC4452" w:rsidRDefault="00CC4452" w:rsidP="00AA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1996-2013 (6)</w:t>
            </w:r>
          </w:p>
        </w:tc>
      </w:tr>
    </w:tbl>
    <w:p w:rsidR="00CC4452" w:rsidRPr="00CC4452" w:rsidRDefault="00CC4452" w:rsidP="00722B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452">
        <w:rPr>
          <w:rFonts w:ascii="Times New Roman" w:hAnsi="Times New Roman" w:cs="Times New Roman"/>
          <w:sz w:val="24"/>
          <w:szCs w:val="24"/>
          <w:lang w:val="en-US"/>
        </w:rPr>
        <w:t>Note: Cell entries are the time interval in which data are available for the country on that issue. The parentheses report a count of the time points for analysis.</w:t>
      </w:r>
      <w:r w:rsidR="00812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2B0F" w:rsidRPr="00CC4452" w:rsidRDefault="00722B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45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72D16" w:rsidRPr="00C417F3" w:rsidRDefault="00F72D16" w:rsidP="00F72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7F3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</w:t>
      </w:r>
      <w:r w:rsidR="00722B0F" w:rsidRPr="00C417F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E087F" w:rsidRPr="00C417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17F3" w:rsidRPr="00C417F3">
        <w:rPr>
          <w:rFonts w:ascii="Times New Roman" w:hAnsi="Times New Roman" w:cs="Times New Roman"/>
          <w:sz w:val="24"/>
          <w:szCs w:val="24"/>
          <w:lang w:val="en-US"/>
        </w:rPr>
        <w:t xml:space="preserve"> The effect of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3751C5" w:rsidRPr="00C41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7F3" w:rsidRPr="00C417F3">
        <w:rPr>
          <w:rFonts w:ascii="Times New Roman" w:hAnsi="Times New Roman" w:cs="Times New Roman"/>
          <w:sz w:val="24"/>
          <w:szCs w:val="24"/>
          <w:lang w:val="en-US"/>
        </w:rPr>
        <w:t>problems and opposition criticism on voters’ government evaluations in Denmark and Australia on three issues.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405"/>
        <w:gridCol w:w="1405"/>
      </w:tblGrid>
      <w:tr w:rsidR="00CF61D0" w:rsidRPr="00E6748B" w:rsidTr="003A7BF8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D0" w:rsidRPr="00E6748B" w:rsidRDefault="00CF61D0" w:rsidP="002A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D0" w:rsidRPr="00E6748B" w:rsidRDefault="00CF61D0" w:rsidP="002A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D0" w:rsidRPr="00E6748B" w:rsidRDefault="00CF61D0" w:rsidP="002A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</w:tr>
      <w:tr w:rsidR="00CF61D0" w:rsidRPr="00E6748B" w:rsidTr="003A7BF8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D0" w:rsidRPr="00E6748B" w:rsidRDefault="00CF61D0" w:rsidP="003751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(A) </w:t>
            </w:r>
            <w:r w:rsidRPr="00E6748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3751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ocial</w:t>
            </w:r>
            <w:r w:rsidR="003751C5" w:rsidRPr="00E6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E674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i,t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(0.19)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(0.18)</w:t>
            </w:r>
          </w:p>
        </w:tc>
      </w:tr>
      <w:tr w:rsidR="00CF61D0" w:rsidRPr="00E6748B" w:rsidTr="003A7B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F61D0" w:rsidRPr="00E6748B" w:rsidRDefault="00CF61D0" w:rsidP="00B04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(B) </w:t>
            </w:r>
            <w:r w:rsidRPr="00E6748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E6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Opposition criticism</w:t>
            </w:r>
            <w:r w:rsidRPr="00E674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i,t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(0.10)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(0.10)</w:t>
            </w:r>
          </w:p>
        </w:tc>
      </w:tr>
      <w:tr w:rsidR="00CF61D0" w:rsidRPr="00E6748B" w:rsidTr="003A7B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F61D0" w:rsidRPr="00E6748B" w:rsidRDefault="00CF61D0" w:rsidP="002A0E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48B">
              <w:rPr>
                <w:rFonts w:ascii="Times New Roman" w:hAnsi="Times New Roman" w:cs="Times New Roman"/>
                <w:sz w:val="24"/>
                <w:szCs w:val="24"/>
              </w:rPr>
              <w:t>A x B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(0.01)</w:t>
            </w:r>
          </w:p>
        </w:tc>
      </w:tr>
      <w:tr w:rsidR="00CF61D0" w:rsidRPr="00E6748B" w:rsidTr="003A7B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F61D0" w:rsidRPr="00E6748B" w:rsidRDefault="00CF61D0" w:rsidP="00B04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B7D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i,t-1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(0.21)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(0.20)</w:t>
            </w:r>
          </w:p>
        </w:tc>
      </w:tr>
      <w:tr w:rsidR="00CF61D0" w:rsidRPr="00E6748B" w:rsidTr="003A7BF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D0" w:rsidRPr="00E6748B" w:rsidRDefault="00CF61D0" w:rsidP="002A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(10.86)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(10.19)</w:t>
            </w:r>
          </w:p>
        </w:tc>
      </w:tr>
      <w:tr w:rsidR="00CF61D0" w:rsidRPr="00E6748B" w:rsidTr="003A7BF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D0" w:rsidRPr="00E6748B" w:rsidRDefault="00CF61D0" w:rsidP="002A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D0" w:rsidRDefault="00CF61D0" w:rsidP="0077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417F3" w:rsidRDefault="00C417F3" w:rsidP="00F72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</w:t>
      </w:r>
      <w:r w:rsidR="00F72D16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Standard errors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72D16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in parentheses. </w:t>
      </w:r>
      <w:r w:rsidR="00F72D16" w:rsidRPr="00E674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F72D16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D16" w:rsidRPr="00E6748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F72D16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&lt; 0.10, </w:t>
      </w:r>
      <w:r w:rsidR="00F72D16" w:rsidRPr="00E674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="00F72D16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D16" w:rsidRPr="00E6748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F72D16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&lt; 0.05, </w:t>
      </w:r>
      <w:r w:rsidR="00F72D16" w:rsidRPr="00E674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="00F72D16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D16" w:rsidRPr="00E6748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F72D16" w:rsidRPr="00E6748B">
        <w:rPr>
          <w:rFonts w:ascii="Times New Roman" w:hAnsi="Times New Roman" w:cs="Times New Roman"/>
          <w:sz w:val="24"/>
          <w:szCs w:val="24"/>
          <w:lang w:val="en-US"/>
        </w:rPr>
        <w:t xml:space="preserve"> &lt; 0.01. </w:t>
      </w:r>
      <w:r w:rsidRPr="00E6748B">
        <w:rPr>
          <w:rFonts w:ascii="Times New Roman" w:hAnsi="Times New Roman" w:cs="Times New Roman"/>
          <w:sz w:val="24"/>
          <w:szCs w:val="24"/>
          <w:lang w:val="en-US"/>
        </w:rPr>
        <w:t>The estimation uses fixed effects with issues and countries as panels</w:t>
      </w:r>
      <w:r>
        <w:rPr>
          <w:rFonts w:ascii="Times New Roman" w:hAnsi="Times New Roman" w:cs="Times New Roman"/>
          <w:sz w:val="24"/>
          <w:szCs w:val="24"/>
          <w:lang w:val="en-US"/>
        </w:rPr>
        <w:t>. The dependent variable is voters’ government evaluations.</w:t>
      </w:r>
    </w:p>
    <w:p w:rsidR="00C417F3" w:rsidRDefault="00C417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72D16" w:rsidRPr="004854D4" w:rsidRDefault="00C417F3" w:rsidP="00F72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54D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S1. The marginal effect of </w:t>
      </w:r>
      <w:r w:rsidR="003751C5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3751C5" w:rsidRPr="00485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4D4">
        <w:rPr>
          <w:rFonts w:ascii="Times New Roman" w:hAnsi="Times New Roman" w:cs="Times New Roman"/>
          <w:sz w:val="24"/>
          <w:szCs w:val="24"/>
          <w:lang w:val="en-US"/>
        </w:rPr>
        <w:t>problems and opposition criticism on voters’ government evaluations in Denmark and Australia on three issues.</w:t>
      </w:r>
      <w:bookmarkStart w:id="0" w:name="_GoBack"/>
      <w:bookmarkEnd w:id="0"/>
    </w:p>
    <w:p w:rsidR="00F72D16" w:rsidRPr="004854D4" w:rsidRDefault="00F72D16" w:rsidP="00F72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7F3" w:rsidRPr="004854D4" w:rsidRDefault="008948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4D4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744370" cy="2744200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40" cy="276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30" w:rsidRDefault="00C417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4D4">
        <w:rPr>
          <w:rFonts w:ascii="Times New Roman" w:hAnsi="Times New Roman" w:cs="Times New Roman"/>
          <w:sz w:val="24"/>
          <w:szCs w:val="24"/>
          <w:lang w:val="en-US"/>
        </w:rPr>
        <w:t>Note: The Figure is based on the results in Table S1.</w:t>
      </w:r>
      <w:r w:rsidR="00FA573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07BFE" w:rsidRDefault="00FA5730" w:rsidP="00F72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573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Bibliography</w:t>
      </w:r>
    </w:p>
    <w:p w:rsidR="00FA5730" w:rsidRPr="00FA5730" w:rsidRDefault="00FA5730" w:rsidP="00FA5730">
      <w:pPr>
        <w:pStyle w:val="Bibliografi"/>
        <w:rPr>
          <w:rFonts w:ascii="Times New Roman" w:hAnsi="Times New Roman" w:cs="Times New Roman"/>
          <w:sz w:val="24"/>
          <w:lang w:val="en-US"/>
        </w:rPr>
      </w:pPr>
      <w:r w:rsidRPr="00FA5730">
        <w:rPr>
          <w:rFonts w:ascii="Times New Roman" w:hAnsi="Times New Roman" w:cs="Times New Roman"/>
          <w:sz w:val="24"/>
          <w:lang w:val="en-US"/>
        </w:rPr>
        <w:t xml:space="preserve">Dowding, Keith, and Aaron Martin (2017). </w:t>
      </w:r>
      <w:r w:rsidRPr="00FA5730">
        <w:rPr>
          <w:rFonts w:ascii="Times New Roman" w:hAnsi="Times New Roman" w:cs="Times New Roman"/>
          <w:i/>
          <w:iCs/>
          <w:sz w:val="24"/>
          <w:lang w:val="en-US"/>
        </w:rPr>
        <w:t>Policy Agendas in Australia</w:t>
      </w:r>
      <w:r>
        <w:rPr>
          <w:rFonts w:ascii="Times New Roman" w:hAnsi="Times New Roman" w:cs="Times New Roman"/>
          <w:i/>
          <w:iCs/>
          <w:sz w:val="24"/>
          <w:lang w:val="en-US"/>
        </w:rPr>
        <w:t xml:space="preserve">. </w:t>
      </w:r>
      <w:r w:rsidRPr="00FA5730">
        <w:rPr>
          <w:rFonts w:ascii="Times New Roman" w:hAnsi="Times New Roman" w:cs="Times New Roman"/>
          <w:iCs/>
          <w:sz w:val="24"/>
          <w:lang w:val="en-US"/>
        </w:rPr>
        <w:t>Palgrave Macmillan</w:t>
      </w:r>
      <w:r w:rsidRPr="00FA5730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Palgrave Macmillan</w:t>
      </w:r>
    </w:p>
    <w:p w:rsidR="00775820" w:rsidRDefault="00FA5730" w:rsidP="00775820">
      <w:pPr>
        <w:pStyle w:val="Bibliografi"/>
        <w:rPr>
          <w:rFonts w:ascii="Times New Roman" w:hAnsi="Times New Roman" w:cs="Times New Roman"/>
          <w:sz w:val="24"/>
          <w:lang w:val="en-US"/>
        </w:rPr>
      </w:pPr>
      <w:r w:rsidRPr="00FA5730">
        <w:rPr>
          <w:rFonts w:ascii="Times New Roman" w:hAnsi="Times New Roman" w:cs="Times New Roman"/>
          <w:sz w:val="24"/>
          <w:lang w:val="en-US"/>
        </w:rPr>
        <w:t>Green-Pedersen, C</w:t>
      </w:r>
      <w:r>
        <w:rPr>
          <w:rFonts w:ascii="Times New Roman" w:hAnsi="Times New Roman" w:cs="Times New Roman"/>
          <w:sz w:val="24"/>
          <w:lang w:val="en-US"/>
        </w:rPr>
        <w:t>hristoffer</w:t>
      </w:r>
      <w:r w:rsidRPr="00FA5730">
        <w:rPr>
          <w:rFonts w:ascii="Times New Roman" w:hAnsi="Times New Roman" w:cs="Times New Roman"/>
          <w:sz w:val="24"/>
          <w:lang w:val="en-US"/>
        </w:rPr>
        <w:t xml:space="preserve"> (2005). </w:t>
      </w:r>
      <w:r w:rsidRPr="00FA5730">
        <w:rPr>
          <w:rFonts w:ascii="Times New Roman" w:hAnsi="Times New Roman" w:cs="Times New Roman"/>
          <w:i/>
          <w:iCs/>
          <w:sz w:val="24"/>
          <w:lang w:val="en-US"/>
        </w:rPr>
        <w:t>The political Agenda in Denmark. Measurement and trends since 1953</w:t>
      </w:r>
      <w:r w:rsidRPr="00FA5730">
        <w:rPr>
          <w:rFonts w:ascii="Times New Roman" w:hAnsi="Times New Roman" w:cs="Times New Roman"/>
          <w:sz w:val="24"/>
          <w:lang w:val="en-US"/>
        </w:rPr>
        <w:t>. University of Aarhus.</w:t>
      </w:r>
    </w:p>
    <w:p w:rsidR="00775820" w:rsidRPr="00775820" w:rsidRDefault="00775820" w:rsidP="00775820">
      <w:pPr>
        <w:pStyle w:val="Bibliografi"/>
        <w:rPr>
          <w:rFonts w:ascii="Times New Roman" w:hAnsi="Times New Roman" w:cs="Times New Roman"/>
          <w:sz w:val="24"/>
          <w:lang w:val="en-US"/>
        </w:rPr>
      </w:pPr>
      <w:r w:rsidRPr="00775820">
        <w:rPr>
          <w:rFonts w:ascii="Times New Roman" w:hAnsi="Times New Roman" w:cs="Times New Roman"/>
          <w:sz w:val="24"/>
          <w:szCs w:val="24"/>
          <w:lang w:val="en-US"/>
        </w:rPr>
        <w:t>OECD (2016). Statistics accessed through http://stats.oecd.org/# (February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7582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949D7" w:rsidRPr="000949D7" w:rsidRDefault="000949D7" w:rsidP="000949D7">
      <w:pPr>
        <w:pStyle w:val="Bibliografi"/>
        <w:spacing w:after="120"/>
        <w:rPr>
          <w:rFonts w:ascii="Times New Roman" w:hAnsi="Times New Roman" w:cs="Times New Roman"/>
          <w:sz w:val="24"/>
          <w:lang w:val="en-US"/>
        </w:rPr>
      </w:pPr>
      <w:r w:rsidRPr="000949D7">
        <w:rPr>
          <w:rFonts w:ascii="Times New Roman" w:hAnsi="Times New Roman" w:cs="Times New Roman"/>
          <w:sz w:val="24"/>
          <w:lang w:val="en-US"/>
        </w:rPr>
        <w:t xml:space="preserve">Powell, Bingham, and Guy Whitten (1993). ‘A Cross-National Analysis of Economic Voting: Taking Account of the Political Context’, </w:t>
      </w:r>
      <w:r w:rsidRPr="000949D7">
        <w:rPr>
          <w:rFonts w:ascii="Times New Roman" w:hAnsi="Times New Roman" w:cs="Times New Roman"/>
          <w:i/>
          <w:iCs/>
          <w:sz w:val="24"/>
          <w:lang w:val="en-US"/>
        </w:rPr>
        <w:t>American Journal of Political Science</w:t>
      </w:r>
      <w:r w:rsidRPr="000949D7">
        <w:rPr>
          <w:rFonts w:ascii="Times New Roman" w:hAnsi="Times New Roman" w:cs="Times New Roman"/>
          <w:sz w:val="24"/>
          <w:lang w:val="en-US"/>
        </w:rPr>
        <w:t>, 37:2, 391–414.</w:t>
      </w:r>
    </w:p>
    <w:p w:rsidR="00FA5730" w:rsidRPr="009E6426" w:rsidRDefault="00FA5730" w:rsidP="00FA5730">
      <w:pPr>
        <w:pStyle w:val="Bibliografi"/>
        <w:rPr>
          <w:rFonts w:ascii="Times New Roman" w:hAnsi="Times New Roman" w:cs="Times New Roman"/>
          <w:sz w:val="24"/>
          <w:lang w:val="en-US"/>
        </w:rPr>
      </w:pPr>
    </w:p>
    <w:p w:rsidR="00FA5730" w:rsidRPr="00E6748B" w:rsidRDefault="00FA5730" w:rsidP="00F72D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A5730" w:rsidRPr="00E6748B" w:rsidSect="007D7941">
      <w:footerReference w:type="default" r:id="rId8"/>
      <w:pgSz w:w="11906" w:h="16838"/>
      <w:pgMar w:top="1701" w:right="1134" w:bottom="1701" w:left="1134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6D" w:rsidRDefault="009F306D" w:rsidP="00F07BFE">
      <w:pPr>
        <w:spacing w:after="0" w:line="240" w:lineRule="auto"/>
      </w:pPr>
      <w:r>
        <w:separator/>
      </w:r>
    </w:p>
  </w:endnote>
  <w:endnote w:type="continuationSeparator" w:id="0">
    <w:p w:rsidR="009F306D" w:rsidRDefault="009F306D" w:rsidP="00F0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65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7941" w:rsidRPr="007D7941" w:rsidRDefault="007D7941">
        <w:pPr>
          <w:pStyle w:val="Sidefod"/>
          <w:jc w:val="right"/>
          <w:rPr>
            <w:rFonts w:ascii="Times New Roman" w:hAnsi="Times New Roman" w:cs="Times New Roman"/>
          </w:rPr>
        </w:pPr>
        <w:r w:rsidRPr="007D7941">
          <w:rPr>
            <w:rFonts w:ascii="Times New Roman" w:hAnsi="Times New Roman" w:cs="Times New Roman"/>
          </w:rPr>
          <w:fldChar w:fldCharType="begin"/>
        </w:r>
        <w:r w:rsidRPr="007D7941">
          <w:rPr>
            <w:rFonts w:ascii="Times New Roman" w:hAnsi="Times New Roman" w:cs="Times New Roman"/>
          </w:rPr>
          <w:instrText>PAGE   \* MERGEFORMAT</w:instrText>
        </w:r>
        <w:r w:rsidRPr="007D7941">
          <w:rPr>
            <w:rFonts w:ascii="Times New Roman" w:hAnsi="Times New Roman" w:cs="Times New Roman"/>
          </w:rPr>
          <w:fldChar w:fldCharType="separate"/>
        </w:r>
        <w:r w:rsidR="003751C5">
          <w:rPr>
            <w:rFonts w:ascii="Times New Roman" w:hAnsi="Times New Roman" w:cs="Times New Roman"/>
            <w:noProof/>
          </w:rPr>
          <w:t>39</w:t>
        </w:r>
        <w:r w:rsidRPr="007D7941">
          <w:rPr>
            <w:rFonts w:ascii="Times New Roman" w:hAnsi="Times New Roman" w:cs="Times New Roman"/>
          </w:rPr>
          <w:fldChar w:fldCharType="end"/>
        </w:r>
      </w:p>
    </w:sdtContent>
  </w:sdt>
  <w:p w:rsidR="00F07BFE" w:rsidRDefault="00F07B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6D" w:rsidRDefault="009F306D" w:rsidP="00F07BFE">
      <w:pPr>
        <w:spacing w:after="0" w:line="240" w:lineRule="auto"/>
      </w:pPr>
      <w:r>
        <w:separator/>
      </w:r>
    </w:p>
  </w:footnote>
  <w:footnote w:type="continuationSeparator" w:id="0">
    <w:p w:rsidR="009F306D" w:rsidRDefault="009F306D" w:rsidP="00F07BFE">
      <w:pPr>
        <w:spacing w:after="0" w:line="240" w:lineRule="auto"/>
      </w:pPr>
      <w:r>
        <w:continuationSeparator/>
      </w:r>
    </w:p>
  </w:footnote>
  <w:footnote w:id="1">
    <w:p w:rsidR="00523ABE" w:rsidRPr="00523ABE" w:rsidRDefault="00523ABE" w:rsidP="00523ABE">
      <w:pPr>
        <w:pStyle w:val="Fodnoteteks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3ABE">
        <w:rPr>
          <w:rStyle w:val="Fodnotehenvisning"/>
          <w:rFonts w:ascii="Times New Roman" w:hAnsi="Times New Roman" w:cs="Times New Roman"/>
          <w:sz w:val="24"/>
          <w:szCs w:val="24"/>
        </w:rPr>
        <w:footnoteRef/>
      </w:r>
      <w:r w:rsidRPr="00523ABE">
        <w:rPr>
          <w:rFonts w:ascii="Times New Roman" w:hAnsi="Times New Roman" w:cs="Times New Roman"/>
          <w:sz w:val="24"/>
          <w:szCs w:val="24"/>
          <w:lang w:val="en-US"/>
        </w:rPr>
        <w:t xml:space="preserve"> Such data is also available for Belgium, but the lack of data on government evaluations prevent</w:t>
      </w:r>
      <w:r w:rsidR="007D79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3ABE">
        <w:rPr>
          <w:rFonts w:ascii="Times New Roman" w:hAnsi="Times New Roman" w:cs="Times New Roman"/>
          <w:sz w:val="24"/>
          <w:szCs w:val="24"/>
          <w:lang w:val="en-US"/>
        </w:rPr>
        <w:t xml:space="preserve"> further analysis.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BC"/>
    <w:rsid w:val="000272C2"/>
    <w:rsid w:val="000557E9"/>
    <w:rsid w:val="000949D7"/>
    <w:rsid w:val="000A0881"/>
    <w:rsid w:val="000A1176"/>
    <w:rsid w:val="0027267F"/>
    <w:rsid w:val="002F7C0C"/>
    <w:rsid w:val="003468AE"/>
    <w:rsid w:val="003739BC"/>
    <w:rsid w:val="003751C5"/>
    <w:rsid w:val="003E087F"/>
    <w:rsid w:val="00442216"/>
    <w:rsid w:val="004854D4"/>
    <w:rsid w:val="004C2053"/>
    <w:rsid w:val="004D4F73"/>
    <w:rsid w:val="00523ABE"/>
    <w:rsid w:val="00525C2E"/>
    <w:rsid w:val="005506AA"/>
    <w:rsid w:val="0058498D"/>
    <w:rsid w:val="00596E47"/>
    <w:rsid w:val="006B42AC"/>
    <w:rsid w:val="006D362F"/>
    <w:rsid w:val="007037E1"/>
    <w:rsid w:val="00722B0F"/>
    <w:rsid w:val="007532A0"/>
    <w:rsid w:val="00775820"/>
    <w:rsid w:val="007D7941"/>
    <w:rsid w:val="00812EEB"/>
    <w:rsid w:val="00814205"/>
    <w:rsid w:val="00820EDD"/>
    <w:rsid w:val="008243AE"/>
    <w:rsid w:val="0084591D"/>
    <w:rsid w:val="00860384"/>
    <w:rsid w:val="00870C4A"/>
    <w:rsid w:val="00877FE3"/>
    <w:rsid w:val="00893C17"/>
    <w:rsid w:val="0089486D"/>
    <w:rsid w:val="008A18D6"/>
    <w:rsid w:val="008A1C4B"/>
    <w:rsid w:val="0099050A"/>
    <w:rsid w:val="009E1EA4"/>
    <w:rsid w:val="009E6426"/>
    <w:rsid w:val="009F306D"/>
    <w:rsid w:val="00A6121E"/>
    <w:rsid w:val="00A638D0"/>
    <w:rsid w:val="00AE5F3B"/>
    <w:rsid w:val="00B04632"/>
    <w:rsid w:val="00BD3650"/>
    <w:rsid w:val="00C417F3"/>
    <w:rsid w:val="00CB5CB9"/>
    <w:rsid w:val="00CC4452"/>
    <w:rsid w:val="00CF61D0"/>
    <w:rsid w:val="00D92A24"/>
    <w:rsid w:val="00E46635"/>
    <w:rsid w:val="00E6748B"/>
    <w:rsid w:val="00EA61AE"/>
    <w:rsid w:val="00EC47C5"/>
    <w:rsid w:val="00ED137A"/>
    <w:rsid w:val="00F04F97"/>
    <w:rsid w:val="00F07BFE"/>
    <w:rsid w:val="00F66131"/>
    <w:rsid w:val="00F72D16"/>
    <w:rsid w:val="00FA5730"/>
    <w:rsid w:val="00FD2841"/>
    <w:rsid w:val="00FE2453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C8B7"/>
  <w15:docId w15:val="{5FCC5C69-65FB-401E-8585-28097D92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07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BFE"/>
  </w:style>
  <w:style w:type="paragraph" w:styleId="Sidefod">
    <w:name w:val="footer"/>
    <w:basedOn w:val="Normal"/>
    <w:link w:val="SidefodTegn"/>
    <w:uiPriority w:val="99"/>
    <w:unhideWhenUsed/>
    <w:rsid w:val="00F07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BFE"/>
  </w:style>
  <w:style w:type="paragraph" w:styleId="Fodnotetekst">
    <w:name w:val="footnote text"/>
    <w:basedOn w:val="Normal"/>
    <w:link w:val="FodnotetekstTegn"/>
    <w:uiPriority w:val="99"/>
    <w:semiHidden/>
    <w:unhideWhenUsed/>
    <w:rsid w:val="00523AB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23AB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23ABE"/>
    <w:rPr>
      <w:vertAlign w:val="superscript"/>
    </w:rPr>
  </w:style>
  <w:style w:type="paragraph" w:styleId="Bibliografi">
    <w:name w:val="Bibliography"/>
    <w:basedOn w:val="Normal"/>
    <w:next w:val="Normal"/>
    <w:uiPriority w:val="37"/>
    <w:unhideWhenUsed/>
    <w:rsid w:val="00FA5730"/>
    <w:pPr>
      <w:spacing w:after="240" w:line="240" w:lineRule="auto"/>
      <w:ind w:left="720" w:hanging="720"/>
    </w:pPr>
  </w:style>
  <w:style w:type="table" w:styleId="Tabel-Gitter">
    <w:name w:val="Table Grid"/>
    <w:basedOn w:val="Tabel-Normal"/>
    <w:uiPriority w:val="39"/>
    <w:rsid w:val="00CC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9E6426"/>
  </w:style>
  <w:style w:type="character" w:styleId="Hyperlink">
    <w:name w:val="Hyperlink"/>
    <w:basedOn w:val="Standardskrifttypeiafsnit"/>
    <w:uiPriority w:val="99"/>
    <w:semiHidden/>
    <w:unhideWhenUsed/>
    <w:rsid w:val="009E6426"/>
    <w:rPr>
      <w:color w:val="0000FF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75820"/>
    <w:pPr>
      <w:spacing w:after="0" w:line="240" w:lineRule="auto"/>
    </w:pPr>
    <w:rPr>
      <w:sz w:val="20"/>
      <w:szCs w:val="20"/>
      <w:lang w:val="en-US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75820"/>
    <w:rPr>
      <w:sz w:val="20"/>
      <w:szCs w:val="20"/>
      <w:lang w:val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75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9069-7D16-4331-8FC0-30766A93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928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Bech Seeberg</dc:creator>
  <cp:lastModifiedBy>Henrik Bech Seeberg</cp:lastModifiedBy>
  <cp:revision>10</cp:revision>
  <dcterms:created xsi:type="dcterms:W3CDTF">2017-04-03T18:31:00Z</dcterms:created>
  <dcterms:modified xsi:type="dcterms:W3CDTF">2018-07-01T12:32:00Z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ZOTERO_PREF_1">
    <vt:lpwstr>&lt;data data-version="3" zotero-version="4.0.29.10"&gt;&lt;session id="aeMrX3F1"/&gt;&lt;style id="http://www.zotero.org/styles/west-european-politics" hasBibliography="1" bibliographyStyleHasBeenSet="1"/&gt;&lt;prefs&gt;&lt;pref name="fieldType" value="Field"/&gt;&lt;pref name="storeRe</vt:lpwstr>
  </property>
  <property fmtid="{D5CDD505-2E9C-101B-9397-08002B2CF9AE}" pid="5" name="ZOTERO_PREF_2">
    <vt:lpwstr>ferences" value="true"/&gt;&lt;pref name="automaticJournalAbbreviations" value="true"/&gt;&lt;pref name="noteType" value=""/&gt;&lt;/prefs&gt;&lt;/data&gt;</vt:lpwstr>
  </property>
</Properties>
</file>