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7D81D" w14:textId="740F4D63" w:rsidR="00B75711" w:rsidRPr="000A5869" w:rsidRDefault="000A5869" w:rsidP="00C908D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69">
        <w:rPr>
          <w:rFonts w:ascii="Times New Roman" w:hAnsi="Times New Roman" w:cs="Times New Roman"/>
          <w:b/>
          <w:sz w:val="24"/>
          <w:szCs w:val="24"/>
        </w:rPr>
        <w:t>ONLINE SUPPLEMENT</w:t>
      </w:r>
    </w:p>
    <w:p w14:paraId="1D91ECA4" w14:textId="1451B523" w:rsidR="00D40D4D" w:rsidRDefault="00D40D4D" w:rsidP="00C908D8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Hypothesis 2 predicted that boomerang managers whose initial turnover was voluntary would demonstrate better post-rehire performance than boomerang managers whose initial turnover was involuntary. Table 1 presents results from the multivariate regression model, which indicated that reason for initial turnover was not a significant predictor when controlling for other factors (</w:t>
      </w:r>
      <w:r w:rsidRPr="004F5F2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β</w:t>
      </w:r>
      <w:r w:rsidRPr="004F5F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.07, </w:t>
      </w:r>
      <w:r w:rsidRPr="004F5F2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t </w:t>
      </w:r>
      <w:r w:rsidRPr="004F5F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= .92, </w:t>
      </w:r>
      <w:r w:rsidRPr="004F5F2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p </w:t>
      </w:r>
      <w:r w:rsidRPr="004F5F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= .36). This analysis confirms the findings in our main analysis, such that although there was a bivariate relationship between turnover reason and rehire performance, these variables were not related when controlling for other factors in our model.</w:t>
      </w:r>
    </w:p>
    <w:p w14:paraId="0AFEA3EC" w14:textId="3F83B768" w:rsidR="001D0276" w:rsidRDefault="001D0276" w:rsidP="00C908D8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 w:rsidR="00D40D4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54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presents the organization’s turnover reasons and our coding </w:t>
      </w:r>
      <w:r w:rsidR="00761EA5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54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reason’s valence to the organization. In addition to assessing intercoder agreement to evaluate the validity of these categorizations, we </w:t>
      </w:r>
      <w:bookmarkStart w:id="0" w:name="_Hlk30000451"/>
      <w:r w:rsidR="00761EA5"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considered whether they predicted likelihood of rehire. If the categorizations capture the valence of the turnover reasons, then </w:t>
      </w:r>
      <w:r w:rsidR="00761EA5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="00761EA5"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initially turned over for more </w:t>
      </w:r>
      <w:proofErr w:type="gramStart"/>
      <w:r w:rsidR="00761EA5"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>negatively-valanced</w:t>
      </w:r>
      <w:proofErr w:type="gramEnd"/>
      <w:r w:rsidR="00761EA5"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reasons should be less likely to be rehired than </w:t>
      </w:r>
      <w:r w:rsidR="00761EA5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="00761EA5"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initially turned over for more positively-</w:t>
      </w:r>
      <w:proofErr w:type="spellStart"/>
      <w:r w:rsidR="00761EA5"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>valenced</w:t>
      </w:r>
      <w:proofErr w:type="spellEnd"/>
      <w:r w:rsidR="00761EA5"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reasons. To evaluate this, we first summed the performance- and turnover-related valences to form an overall valence that represented 15 </w:t>
      </w:r>
      <w:proofErr w:type="gramStart"/>
      <w:r w:rsidR="00761EA5"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>negative</w:t>
      </w:r>
      <w:proofErr w:type="gramEnd"/>
      <w:r w:rsidR="00761EA5"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61EA5" w:rsidRPr="00816D7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 </w:t>
      </w:r>
      <w:r w:rsidR="00761EA5"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>= 3,464), 1 somewhat negative (</w:t>
      </w:r>
      <w:r w:rsidR="00761EA5" w:rsidRPr="00816D7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 </w:t>
      </w:r>
      <w:r w:rsidR="00761EA5"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>= 99), 11 neutral (</w:t>
      </w:r>
      <w:r w:rsidR="00761EA5" w:rsidRPr="00816D7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 </w:t>
      </w:r>
      <w:r w:rsidR="00761EA5"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>= 5,190), and 3 somewhat positive (</w:t>
      </w:r>
      <w:r w:rsidR="00761EA5" w:rsidRPr="00816D7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 </w:t>
      </w:r>
      <w:r w:rsidR="00761EA5"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671) turnover reasons. We then used survival analysis to examine the likelihood of rehire for these overall categories. </w:t>
      </w:r>
    </w:p>
    <w:p w14:paraId="1F0396A6" w14:textId="53B604FB" w:rsidR="00761EA5" w:rsidRDefault="00D40D4D" w:rsidP="00C908D8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Table 3</w:t>
      </w:r>
      <w:r w:rsidR="00761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shows that results</w:t>
      </w:r>
      <w:r w:rsidR="00761EA5"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consistent with the theoretical categorizations. When compared to negative reasons, employees who turned over for somewhat negative reasons were 1.59 times more likely to be rehired (</w:t>
      </w:r>
      <w:r w:rsidR="00761EA5" w:rsidRPr="00816D7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 </w:t>
      </w:r>
      <w:r w:rsidR="00761EA5"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>= .14), for neutral reasons were 2.38 times more likely to be rehired (</w:t>
      </w:r>
      <w:r w:rsidR="00761EA5" w:rsidRPr="00816D7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 </w:t>
      </w:r>
      <w:r w:rsidR="00761EA5"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>&lt; .01), and for positive reasons were 5.53 times more likely to be rehired (</w:t>
      </w:r>
      <w:r w:rsidR="00761EA5" w:rsidRPr="00816D7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 </w:t>
      </w:r>
      <w:r w:rsidR="00761EA5"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>&lt; .01). This resulted in rehiring 4% (</w:t>
      </w:r>
      <w:r w:rsidR="00761EA5" w:rsidRPr="00816D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 </w:t>
      </w:r>
      <w:r w:rsidR="00761EA5"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>= 152) of managers who turned over for negative reasons, 11% (</w:t>
      </w:r>
      <w:r w:rsidR="00761EA5" w:rsidRPr="00816D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 </w:t>
      </w:r>
      <w:r w:rsidR="00761EA5" w:rsidRPr="00816D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= </w:t>
      </w:r>
      <w:r w:rsidR="00761EA5"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>11) who turned over for somewhat negative reasons, 12% (</w:t>
      </w:r>
      <w:r w:rsidR="00761EA5" w:rsidRPr="00816D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 = </w:t>
      </w:r>
      <w:r w:rsidR="00761EA5"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>620) who turned over for neutral reasons, and 30% (</w:t>
      </w:r>
      <w:r w:rsidR="00761EA5" w:rsidRPr="00816D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 = </w:t>
      </w:r>
      <w:r w:rsidR="00761EA5"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>200) who turned over for positive reasons. Overall, these results provide additional support for the valence categories identified in our coding.</w:t>
      </w:r>
      <w:bookmarkEnd w:id="0"/>
    </w:p>
    <w:p w14:paraId="7FBF1F56" w14:textId="231E3A81" w:rsidR="00D40D4D" w:rsidRDefault="00D40D4D" w:rsidP="001D0276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Finally, Table 4</w:t>
      </w:r>
      <w:r w:rsidR="001D0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presents details of the</w:t>
      </w:r>
      <w:r w:rsidR="00F11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latent growth model, including</w:t>
      </w:r>
      <w:r w:rsidR="001D0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parameters that were fixed </w:t>
      </w:r>
      <w:r w:rsidR="00AA4952">
        <w:rPr>
          <w:rFonts w:ascii="Times New Roman" w:hAnsi="Times New Roman" w:cs="Times New Roman"/>
          <w:color w:val="000000" w:themeColor="text1"/>
          <w:sz w:val="24"/>
          <w:szCs w:val="24"/>
        </w:rPr>
        <w:t>and the results of those that were</w:t>
      </w:r>
      <w:r w:rsidR="001D0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estimated.</w:t>
      </w:r>
      <w:r w:rsidR="00F11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4FA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F11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included </w:t>
      </w:r>
      <w:r w:rsidR="00F544FA">
        <w:rPr>
          <w:rFonts w:ascii="Times New Roman" w:hAnsi="Times New Roman" w:cs="Times New Roman"/>
          <w:color w:val="000000" w:themeColor="text1"/>
          <w:sz w:val="24"/>
          <w:szCs w:val="24"/>
        </w:rPr>
        <w:t>six</w:t>
      </w:r>
      <w:r w:rsidR="00F11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</w:t>
      </w:r>
      <w:r w:rsidR="00F54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erved variables, resulting in </w:t>
      </w:r>
      <w:r w:rsidR="004F5F2E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11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observations in the variance-covariance matrix and </w:t>
      </w:r>
      <w:r w:rsidR="00F544FA">
        <w:rPr>
          <w:rFonts w:ascii="Times New Roman" w:hAnsi="Times New Roman" w:cs="Times New Roman"/>
          <w:color w:val="000000" w:themeColor="text1"/>
          <w:sz w:val="24"/>
          <w:szCs w:val="24"/>
        </w:rPr>
        <w:t>six</w:t>
      </w:r>
      <w:r w:rsidR="00F11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observations of means. In comparison, the table shows that there were </w:t>
      </w:r>
      <w:r w:rsidR="004F5F2E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F11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parameters estimated, which resulted in </w:t>
      </w:r>
      <w:r w:rsidR="004F5F2E">
        <w:rPr>
          <w:rFonts w:ascii="Times New Roman" w:hAnsi="Times New Roman" w:cs="Times New Roman"/>
          <w:color w:val="000000" w:themeColor="text1"/>
          <w:sz w:val="24"/>
          <w:szCs w:val="24"/>
        </w:rPr>
        <w:t>three</w:t>
      </w:r>
      <w:r w:rsidR="00F11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degrees of freedom.</w:t>
      </w:r>
      <w:r w:rsidR="001D0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table also illustrates the coding of time for </w:t>
      </w:r>
      <w:r w:rsidR="002D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paths from </w:t>
      </w:r>
      <w:r w:rsidR="00140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latent slope and curve to the performance ratings. Centering the models on each year </w:t>
      </w:r>
      <w:r w:rsidR="004E23C4">
        <w:rPr>
          <w:rFonts w:ascii="Times New Roman" w:hAnsi="Times New Roman" w:cs="Times New Roman"/>
          <w:color w:val="000000" w:themeColor="text1"/>
          <w:sz w:val="24"/>
          <w:szCs w:val="24"/>
        </w:rPr>
        <w:t>enabled us to assess</w:t>
      </w:r>
      <w:r w:rsidR="00140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dynamic relationships that hire type had with the latent intercepts and the latent slopes. </w:t>
      </w:r>
    </w:p>
    <w:p w14:paraId="73BA3416" w14:textId="77777777" w:rsidR="00D40D4D" w:rsidRDefault="00D40D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DE54AE9" w14:textId="7AB6D8BD" w:rsidR="007548E0" w:rsidRDefault="00D40D4D" w:rsidP="00D40D4D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Table 1</w:t>
      </w:r>
    </w:p>
    <w:p w14:paraId="756CA4B2" w14:textId="77777777" w:rsidR="00D40D4D" w:rsidRDefault="00D40D4D" w:rsidP="00D40D4D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A5C2FE" w14:textId="77777777" w:rsidR="00D40D4D" w:rsidRDefault="00D40D4D" w:rsidP="00D40D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F5F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Multiple Regression Analysis of Mean Rehire Performance</w:t>
      </w:r>
    </w:p>
    <w:p w14:paraId="63F733FA" w14:textId="77777777" w:rsidR="00D40D4D" w:rsidRPr="00AB4FBD" w:rsidRDefault="00D40D4D" w:rsidP="00D40D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</w:pPr>
    </w:p>
    <w:tbl>
      <w:tblPr>
        <w:tblW w:w="9265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3120"/>
        <w:gridCol w:w="1224"/>
        <w:gridCol w:w="1224"/>
        <w:gridCol w:w="1224"/>
        <w:gridCol w:w="1224"/>
        <w:gridCol w:w="1224"/>
      </w:tblGrid>
      <w:tr w:rsidR="00D40D4D" w:rsidRPr="00AB4FBD" w14:paraId="606277C9" w14:textId="77777777" w:rsidTr="00F544FA">
        <w:trPr>
          <w:cantSplit/>
        </w:trPr>
        <w:tc>
          <w:tcPr>
            <w:tcW w:w="3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9367FB0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4FB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Variable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ACD4E9D" w14:textId="77777777" w:rsidR="00D40D4D" w:rsidRPr="006B201E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14DC869" w14:textId="77777777" w:rsidR="00D40D4D" w:rsidRPr="006C56EB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SE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700E22C8" w14:textId="77777777" w:rsidR="00D40D4D" w:rsidRPr="006B201E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bookmarkStart w:id="1" w:name="_Hlk15655198"/>
            <w:r w:rsidRPr="006B201E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β</w:t>
            </w:r>
            <w:bookmarkEnd w:id="1"/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9594D29" w14:textId="77777777" w:rsidR="00D40D4D" w:rsidRPr="00A51E2B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21F21D80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p</w:t>
            </w:r>
          </w:p>
        </w:tc>
      </w:tr>
      <w:tr w:rsidR="00D40D4D" w:rsidRPr="00AB4FBD" w14:paraId="532A7B14" w14:textId="77777777" w:rsidTr="00F544FA">
        <w:trPr>
          <w:cantSplit/>
        </w:trPr>
        <w:tc>
          <w:tcPr>
            <w:tcW w:w="2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C9A5461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A3D878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4FB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Mean initial performance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B43528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.36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6816E6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.08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434773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.33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F18F513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4.46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7E9BC4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.00 </w:t>
            </w:r>
          </w:p>
        </w:tc>
      </w:tr>
      <w:tr w:rsidR="00D40D4D" w:rsidRPr="00AB4FBD" w14:paraId="489F5051" w14:textId="77777777" w:rsidTr="00F544FA">
        <w:trPr>
          <w:cantSplit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0960B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48ED6D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4FB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Initial tenure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C948BD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F841D8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02C45F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34669A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1.29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50DF9C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.20</w:t>
            </w:r>
          </w:p>
        </w:tc>
      </w:tr>
      <w:tr w:rsidR="00D40D4D" w:rsidRPr="00AB4FBD" w14:paraId="1F582270" w14:textId="77777777" w:rsidTr="00F544FA">
        <w:trPr>
          <w:cantSplit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D91BCE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0C6248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4FB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Time away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236A0E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-.04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A86557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4494AC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-.08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84AB3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-1.15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26820E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.25</w:t>
            </w:r>
          </w:p>
        </w:tc>
      </w:tr>
      <w:tr w:rsidR="00D40D4D" w:rsidRPr="00AB4FBD" w14:paraId="08FE51C8" w14:textId="77777777" w:rsidTr="00F544FA">
        <w:trPr>
          <w:cantSplit/>
        </w:trPr>
        <w:tc>
          <w:tcPr>
            <w:tcW w:w="2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14:paraId="132DE3E1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28BE343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4FB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Reason for initial turnover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B9A67D8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D8E8F86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1250183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3B7E5C4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0F66E9E" w14:textId="77777777" w:rsidR="00D40D4D" w:rsidRPr="00AB4FBD" w:rsidRDefault="00D40D4D" w:rsidP="00F544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.36</w:t>
            </w:r>
          </w:p>
        </w:tc>
      </w:tr>
    </w:tbl>
    <w:p w14:paraId="1F9429D8" w14:textId="77777777" w:rsidR="00D40D4D" w:rsidRPr="00AB4FBD" w:rsidRDefault="00D40D4D" w:rsidP="00D40D4D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4FBD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Note.</w:t>
      </w:r>
      <w:r w:rsidRPr="00AB4F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B4FBD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N</w:t>
      </w:r>
      <w:r w:rsidRPr="00AB4F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188.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Multiple </w:t>
      </w: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= .38. </w:t>
      </w: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F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= 7.82 (</w:t>
      </w: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p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&lt; .001). </w:t>
      </w:r>
      <w:r w:rsidRPr="00AB4FBD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B</w:t>
      </w:r>
      <w:r w:rsidRPr="00AB4F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unstandardized coefficient. </w:t>
      </w:r>
      <w:r w:rsidRPr="00AB4FBD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SE</w:t>
      </w:r>
      <w:r w:rsidRPr="00AB4F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standard error of the unstandardized coefficient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6B201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β</w:t>
      </w: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= </w:t>
      </w:r>
      <w:r w:rsidRPr="00BC48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standardized coefficient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AB4F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Initial tenure was measured as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years</w:t>
      </w:r>
      <w:r w:rsidRPr="00AB4F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from the hire date to the initial turnover date. Time away was measured as years from initial turnover to the rehire date. Reason for initial turnover was coded 0 = involuntary and 1 = voluntary. Using pairwise deletion did not change the conclusions of this analysis, although the effect size associated with mean initial performance was larger (</w:t>
      </w:r>
      <w:r w:rsidRPr="00AB4FBD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β </w:t>
      </w:r>
      <w:r w:rsidRPr="00AB4FBD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= .4</w:t>
      </w:r>
      <w:r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2</w:t>
      </w:r>
      <w:r w:rsidRPr="00AB4FBD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).</w:t>
      </w:r>
    </w:p>
    <w:p w14:paraId="496D21CF" w14:textId="77777777" w:rsidR="00D40D4D" w:rsidRDefault="00D40D4D" w:rsidP="00D40D4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43BF82" w14:textId="77777777" w:rsidR="007548E0" w:rsidRPr="00816D72" w:rsidRDefault="007548E0" w:rsidP="007548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B425C0" w14:textId="77777777" w:rsidR="00761EA5" w:rsidRDefault="00761E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5BAA2F6" w14:textId="566AD58A" w:rsidR="00B75711" w:rsidRDefault="00D40D4D" w:rsidP="00B757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Table 2</w:t>
      </w:r>
    </w:p>
    <w:p w14:paraId="63CD56F8" w14:textId="77777777" w:rsidR="00B75711" w:rsidRPr="00816D72" w:rsidRDefault="00B75711" w:rsidP="00B757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0A635A" w14:textId="0880D18F" w:rsidR="00B75711" w:rsidRDefault="00B75711" w:rsidP="00B75711">
      <w:pPr>
        <w:spacing w:after="0" w:line="240" w:lineRule="auto"/>
        <w:ind w:right="-43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>Turnover Reasons</w:t>
      </w:r>
      <w:r w:rsidR="0015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Codes of their Valence</w:t>
      </w:r>
      <w:r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Organization</w:t>
      </w:r>
    </w:p>
    <w:p w14:paraId="0C8365F3" w14:textId="77777777" w:rsidR="00B75711" w:rsidRPr="00816D72" w:rsidRDefault="00B75711" w:rsidP="00B75711">
      <w:pPr>
        <w:spacing w:after="0" w:line="240" w:lineRule="auto"/>
        <w:ind w:right="-43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45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3480"/>
        <w:gridCol w:w="1800"/>
        <w:gridCol w:w="1980"/>
        <w:gridCol w:w="2160"/>
      </w:tblGrid>
      <w:tr w:rsidR="00B75711" w:rsidRPr="00816D72" w14:paraId="60555C54" w14:textId="77777777" w:rsidTr="003F2CAE">
        <w:trPr>
          <w:cantSplit/>
          <w:tblHeader/>
        </w:trPr>
        <w:tc>
          <w:tcPr>
            <w:tcW w:w="3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0D923F14" w14:textId="77777777" w:rsidR="00B75711" w:rsidRPr="00971054" w:rsidRDefault="00B75711" w:rsidP="0047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Turnover reason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3E8A8B67" w14:textId="77777777" w:rsidR="00B75711" w:rsidRPr="00971054" w:rsidRDefault="00B75711" w:rsidP="00472F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7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Valence with performance as the criteria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6412BD8A" w14:textId="77777777" w:rsidR="00B75711" w:rsidRPr="00971054" w:rsidRDefault="00B75711" w:rsidP="00472F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7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Valence with turnover as the criteria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3DFE5024" w14:textId="44389404" w:rsidR="00B75711" w:rsidRPr="00971054" w:rsidRDefault="003F2CAE" w:rsidP="003F2CA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97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Overall </w:t>
            </w:r>
            <w:proofErr w:type="spellStart"/>
            <w:r w:rsidRPr="0097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valence</w:t>
            </w:r>
            <w:r w:rsidR="00B75711" w:rsidRPr="0097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B75711" w:rsidRPr="00816D72" w14:paraId="37E008D8" w14:textId="77777777" w:rsidTr="00472FB6">
        <w:trPr>
          <w:cantSplit/>
        </w:trPr>
        <w:tc>
          <w:tcPr>
            <w:tcW w:w="2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5C3E7E5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40CD1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Quit: for personal reasons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C727C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0E09B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8560D2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</w:tr>
      <w:tr w:rsidR="00B75711" w:rsidRPr="00816D72" w14:paraId="25349241" w14:textId="77777777" w:rsidTr="00472FB6">
        <w:trPr>
          <w:cantSplit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014EC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F5C07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Quit: for another job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A5E85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8F666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1177FA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</w:tr>
      <w:tr w:rsidR="00B75711" w:rsidRPr="00816D72" w14:paraId="0CA9598C" w14:textId="77777777" w:rsidTr="00472FB6">
        <w:trPr>
          <w:cantSplit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B98AF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D5FF2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Retired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68FD2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83B04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DCC61F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</w:tr>
      <w:tr w:rsidR="00B75711" w:rsidRPr="00816D72" w14:paraId="7B5DE78B" w14:textId="77777777" w:rsidTr="00472FB6">
        <w:trPr>
          <w:cantSplit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DD11DF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372D3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Quit: to attend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8E830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0439D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BED77E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Somewhat positive</w:t>
            </w:r>
          </w:p>
        </w:tc>
      </w:tr>
      <w:tr w:rsidR="00B75711" w:rsidRPr="00816D72" w14:paraId="09464AC4" w14:textId="77777777" w:rsidTr="00472FB6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88B98E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35262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Quit: without notice or explanation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C2C41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A8B5C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C128C8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</w:tr>
      <w:tr w:rsidR="00B75711" w:rsidRPr="00816D72" w14:paraId="7E2E6E35" w14:textId="77777777" w:rsidTr="00472FB6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EE6F7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F808D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Quit: moved to another city/neighborhood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36D80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C9DE5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621E39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</w:tr>
      <w:tr w:rsidR="00B75711" w:rsidRPr="00816D72" w14:paraId="6BCF477E" w14:textId="77777777" w:rsidTr="00472FB6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46F10C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A34B2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Resigned, don't hire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47A9E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0ACE1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351765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</w:tr>
      <w:tr w:rsidR="00B75711" w:rsidRPr="00816D72" w14:paraId="2080737A" w14:textId="77777777" w:rsidTr="00472FB6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6A9C2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B2A0D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Quit: dislike duties, schedule or work conditions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925DE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E73C3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8BEFEE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</w:tr>
      <w:tr w:rsidR="00B75711" w:rsidRPr="00816D72" w14:paraId="6BC43C27" w14:textId="77777777" w:rsidTr="00472FB6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AC617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E5818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Quit:  failure to return from approved leave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64E63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9F23F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FF4343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Somewhat negative</w:t>
            </w:r>
          </w:p>
        </w:tc>
      </w:tr>
      <w:tr w:rsidR="00B75711" w:rsidRPr="00816D72" w14:paraId="2C339CE6" w14:textId="77777777" w:rsidTr="00472FB6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4483B3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D5AA4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Quit: walk off job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B4601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97B18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43FC51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</w:tr>
      <w:tr w:rsidR="00B75711" w:rsidRPr="00816D72" w14:paraId="53F3585A" w14:textId="77777777" w:rsidTr="00472FB6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16E57E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EE69F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Quit: for self-employment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21F0E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E25E3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C07272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Somewhat positive</w:t>
            </w:r>
          </w:p>
        </w:tc>
      </w:tr>
      <w:tr w:rsidR="00B75711" w:rsidRPr="00816D72" w14:paraId="7CE78DBD" w14:textId="77777777" w:rsidTr="00472FB6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165D6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CA739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Quit: to stay home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7FF71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F3B57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942F4E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</w:tr>
      <w:tr w:rsidR="00B75711" w:rsidRPr="00816D72" w14:paraId="07D451D3" w14:textId="77777777" w:rsidTr="00472FB6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573A9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2F8BB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Quit: entered the armed services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CEBB6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B6D6C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81ACF1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Somewhat positive</w:t>
            </w:r>
          </w:p>
        </w:tc>
      </w:tr>
      <w:tr w:rsidR="00B75711" w:rsidRPr="00816D72" w14:paraId="4F439804" w14:textId="77777777" w:rsidTr="00472FB6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3CEEF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6AB5F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Quit: for lack of transportation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941C9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DB9E6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118C64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</w:tr>
      <w:tr w:rsidR="00B75711" w:rsidRPr="00816D72" w14:paraId="6185D294" w14:textId="77777777" w:rsidTr="00472FB6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2BBA6D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BD3CA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Employee not eligible for leave of absence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8F7AD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27519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B32456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</w:tr>
      <w:tr w:rsidR="00B75711" w:rsidRPr="00816D72" w14:paraId="654D8662" w14:textId="77777777" w:rsidTr="00472FB6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C61B6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D7D2D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Discharged: inattention to duties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7FD10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44739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0D2B94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</w:tr>
      <w:tr w:rsidR="00B75711" w:rsidRPr="00816D72" w14:paraId="7D727AF6" w14:textId="77777777" w:rsidTr="003F2CAE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95197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BEE96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Discharged: violation of company policy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CDD71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7EF93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2EA4BC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</w:tr>
      <w:tr w:rsidR="00B75711" w:rsidRPr="00816D72" w14:paraId="6985C7ED" w14:textId="77777777" w:rsidTr="003F2CAE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E43830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4C56FC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Discharged: failure to notify manager when absent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B201AD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F714B3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0E2027A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</w:tr>
      <w:tr w:rsidR="00B75711" w:rsidRPr="00816D72" w14:paraId="7A312E8B" w14:textId="77777777" w:rsidTr="003F2CAE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3C57C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BFF96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Discharged: confidential, not </w:t>
            </w:r>
            <w:proofErr w:type="spellStart"/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rehireable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8F9A7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E658B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FA523A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</w:tr>
      <w:tr w:rsidR="00B75711" w:rsidRPr="00816D72" w14:paraId="5C7002A7" w14:textId="77777777" w:rsidTr="00472FB6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38288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374F3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Discharged: discourteous to customer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A4414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276C7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D37D05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</w:tr>
      <w:tr w:rsidR="00B75711" w:rsidRPr="00816D72" w14:paraId="7633CAA6" w14:textId="77777777" w:rsidTr="00472FB6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2B8B4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4AAC7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Discharged: excessive tardiness or absenteeism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888E2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811DB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31CA8A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</w:tr>
      <w:tr w:rsidR="00B75711" w:rsidRPr="00816D72" w14:paraId="677A70FF" w14:textId="77777777" w:rsidTr="00472FB6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23D30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23014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Discharged: drug testing program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B60B5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9D9BE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832DA1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</w:tr>
      <w:tr w:rsidR="00B75711" w:rsidRPr="00816D72" w14:paraId="119CEB86" w14:textId="77777777" w:rsidTr="00472FB6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DDC0C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FAA66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Discharged: insubordination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8F66E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2989B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B52016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</w:tr>
      <w:tr w:rsidR="00B75711" w:rsidRPr="00816D72" w14:paraId="2F1A7D8D" w14:textId="77777777" w:rsidTr="00472FB6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42D26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4F0DB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Permanent reduction in force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8EA89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A4F9A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BCABE0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</w:tr>
      <w:tr w:rsidR="00B75711" w:rsidRPr="00816D72" w14:paraId="37975D97" w14:textId="77777777" w:rsidTr="00472FB6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4F6783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2C589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Discharged: under influence of drugs or alcohol while on duty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0F468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D193D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4E22BD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</w:tr>
      <w:tr w:rsidR="00B75711" w:rsidRPr="00816D72" w14:paraId="16DE9287" w14:textId="77777777" w:rsidTr="00472FB6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E34C9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BCF13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Discharged: substandard work performance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3CD64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B45BA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4ED218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</w:tr>
      <w:tr w:rsidR="00B75711" w:rsidRPr="00816D72" w14:paraId="12998B90" w14:textId="77777777" w:rsidTr="00472FB6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7F42C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F1F7E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Discharged: failure to complete immigration forms (i-9)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7E0A4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1D270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22EAE0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</w:tr>
      <w:tr w:rsidR="00B75711" w:rsidRPr="00816D72" w14:paraId="6EF2613F" w14:textId="77777777" w:rsidTr="00472FB6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BD447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B6DC7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Discharged: invalid i-9/</w:t>
            </w:r>
            <w:proofErr w:type="spellStart"/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ssn</w:t>
            </w:r>
            <w:proofErr w:type="spellEnd"/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not </w:t>
            </w:r>
            <w:proofErr w:type="spellStart"/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rehirable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F37CB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C520A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C44E07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</w:tr>
      <w:tr w:rsidR="00B75711" w:rsidRPr="00816D72" w14:paraId="245CF416" w14:textId="77777777" w:rsidTr="00472FB6">
        <w:trPr>
          <w:cantSplit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898DB8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EB1F9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Store or department closed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E6709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3AC58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079146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</w:t>
            </w:r>
          </w:p>
        </w:tc>
      </w:tr>
      <w:tr w:rsidR="00B75711" w:rsidRPr="00816D72" w14:paraId="26B7619F" w14:textId="77777777" w:rsidTr="00472FB6">
        <w:trPr>
          <w:cantSplit/>
        </w:trPr>
        <w:tc>
          <w:tcPr>
            <w:tcW w:w="2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14:paraId="1D0CB8AD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157FAB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327" w:right="60" w:hanging="3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Discharged: product quality issue, not </w:t>
            </w:r>
            <w:proofErr w:type="spellStart"/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rehirable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CF8D27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66D654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C392118" w14:textId="77777777" w:rsidR="00B75711" w:rsidRPr="00816D72" w:rsidRDefault="00B75711" w:rsidP="00B7571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</w:tr>
    </w:tbl>
    <w:p w14:paraId="6428EAAC" w14:textId="39E0B205" w:rsidR="00B75711" w:rsidRPr="00B75711" w:rsidRDefault="00B75711" w:rsidP="00B75711">
      <w:pPr>
        <w:spacing w:after="0" w:line="240" w:lineRule="auto"/>
        <w:ind w:right="-43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Overall valence to the organization was determined by summing </w:t>
      </w:r>
      <w:bookmarkStart w:id="2" w:name="_Hlk31119114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together the </w:t>
      </w:r>
      <w:r w:rsidR="00A513C9">
        <w:rPr>
          <w:rFonts w:ascii="Times New Roman" w:hAnsi="Times New Roman" w:cs="Times New Roman"/>
          <w:color w:val="000000" w:themeColor="text1"/>
          <w:sz w:val="24"/>
          <w:szCs w:val="24"/>
        </w:rPr>
        <w:t>performance- and turnover-related valences</w:t>
      </w:r>
      <w:bookmarkEnd w:id="2"/>
      <w:r w:rsidR="00A51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particular, negative, neutral, and positive </w:t>
      </w:r>
      <w:r w:rsidR="00511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valence with performance as the criteria and valence with turnover as the criteria </w:t>
      </w:r>
      <w:r w:rsidR="00A513C9">
        <w:rPr>
          <w:rFonts w:ascii="Times New Roman" w:hAnsi="Times New Roman" w:cs="Times New Roman"/>
          <w:color w:val="000000" w:themeColor="text1"/>
          <w:sz w:val="24"/>
          <w:szCs w:val="24"/>
        </w:rPr>
        <w:t>were coded as 1, 2, and 3, respectively. The</w:t>
      </w:r>
      <w:r w:rsidR="00054ADB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A51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summed to create a four-point scale</w:t>
      </w:r>
      <w:r w:rsidR="00054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overall valence</w:t>
      </w:r>
      <w:r w:rsidR="00A51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054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included </w:t>
      </w:r>
      <w:r w:rsidR="00A513C9">
        <w:rPr>
          <w:rFonts w:ascii="Times New Roman" w:hAnsi="Times New Roman" w:cs="Times New Roman"/>
          <w:color w:val="000000" w:themeColor="text1"/>
          <w:sz w:val="24"/>
          <w:szCs w:val="24"/>
        </w:rPr>
        <w:t>negative (2)</w:t>
      </w:r>
      <w:r w:rsidR="00054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somewhat negative (3), neutral (4), and </w:t>
      </w:r>
      <w:r w:rsidR="00A513C9">
        <w:rPr>
          <w:rFonts w:ascii="Times New Roman" w:hAnsi="Times New Roman" w:cs="Times New Roman"/>
          <w:color w:val="000000" w:themeColor="text1"/>
          <w:sz w:val="24"/>
          <w:szCs w:val="24"/>
        </w:rPr>
        <w:t>somewhat positive (5).</w:t>
      </w:r>
      <w:r w:rsidR="00754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1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A747D5" w14:textId="547844F1" w:rsidR="006E0CD9" w:rsidRDefault="006E0CD9"/>
    <w:p w14:paraId="24F9BA4D" w14:textId="1B6CF344" w:rsidR="00B75711" w:rsidRDefault="00B75711"/>
    <w:p w14:paraId="47749221" w14:textId="77777777" w:rsidR="00B75711" w:rsidRDefault="00B757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E2CB516" w14:textId="18E7B7F4" w:rsidR="00073FEB" w:rsidRDefault="00D40D4D" w:rsidP="00073F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Table 3</w:t>
      </w:r>
    </w:p>
    <w:p w14:paraId="72A97466" w14:textId="77777777" w:rsidR="00B75711" w:rsidRPr="00816D72" w:rsidRDefault="00B75711" w:rsidP="00B757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A5E1C4" w14:textId="69E36576" w:rsidR="00B75711" w:rsidRDefault="00B75711" w:rsidP="00B757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>Results of Survival Analysis Using Turnover Reason Valence to Predict Rehire</w:t>
      </w:r>
    </w:p>
    <w:p w14:paraId="53B85C2C" w14:textId="77777777" w:rsidR="00B75711" w:rsidRPr="00816D72" w:rsidRDefault="00B75711" w:rsidP="00B757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PlainTable41"/>
        <w:tblW w:w="9540" w:type="dxa"/>
        <w:tblLayout w:type="fixed"/>
        <w:tblLook w:val="04A0" w:firstRow="1" w:lastRow="0" w:firstColumn="1" w:lastColumn="0" w:noHBand="0" w:noVBand="1"/>
      </w:tblPr>
      <w:tblGrid>
        <w:gridCol w:w="3600"/>
        <w:gridCol w:w="1170"/>
        <w:gridCol w:w="450"/>
        <w:gridCol w:w="810"/>
        <w:gridCol w:w="720"/>
        <w:gridCol w:w="630"/>
        <w:gridCol w:w="1170"/>
        <w:gridCol w:w="990"/>
      </w:tblGrid>
      <w:tr w:rsidR="00761EA5" w:rsidRPr="00816D72" w14:paraId="18C4463F" w14:textId="77777777" w:rsidTr="00761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312F8" w14:textId="77777777" w:rsidR="00B75711" w:rsidRPr="00816D72" w:rsidRDefault="00B75711" w:rsidP="00472FB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Turnover Reason Valence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B63C0" w14:textId="55486C4D" w:rsidR="00B75711" w:rsidRPr="00361CDE" w:rsidRDefault="00A57758" w:rsidP="00472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χ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E844E" w14:textId="77777777" w:rsidR="00B75711" w:rsidRPr="00816D72" w:rsidRDefault="00B75711" w:rsidP="00472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df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69014" w14:textId="77777777" w:rsidR="00B75711" w:rsidRPr="00816D72" w:rsidRDefault="00B75711" w:rsidP="00472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25744" w14:textId="77777777" w:rsidR="00B75711" w:rsidRPr="00816D72" w:rsidRDefault="00B75711" w:rsidP="00472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A72E4" w14:textId="77777777" w:rsidR="00B75711" w:rsidRPr="00816D72" w:rsidRDefault="00B75711" w:rsidP="00472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66E97" w14:textId="77777777" w:rsidR="00B75711" w:rsidRPr="00816D72" w:rsidRDefault="00B75711" w:rsidP="00472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Wald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D87ED" w14:textId="77777777" w:rsidR="00B75711" w:rsidRPr="00816D72" w:rsidRDefault="00B75711" w:rsidP="00472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Exp(</w:t>
            </w:r>
            <w:r w:rsidRPr="00816D72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B</w:t>
            </w:r>
            <w:r w:rsidRPr="00816D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761EA5" w:rsidRPr="00816D72" w14:paraId="336991F4" w14:textId="77777777" w:rsidTr="00761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3CC7ACBD" w14:textId="77777777" w:rsidR="00B75711" w:rsidRPr="00816D72" w:rsidRDefault="00B75711" w:rsidP="00761EA5">
            <w:pPr>
              <w:spacing w:before="24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33A9DEF" w14:textId="77777777" w:rsidR="00B75711" w:rsidRPr="00816D72" w:rsidRDefault="00B75711" w:rsidP="00761EA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279.04**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14:paraId="0AC9BA69" w14:textId="77777777" w:rsidR="00B75711" w:rsidRPr="00816D72" w:rsidRDefault="00B75711" w:rsidP="00761EA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780106CA" w14:textId="77777777" w:rsidR="00B75711" w:rsidRPr="00816D72" w:rsidRDefault="00B75711" w:rsidP="00761EA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9,423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5A6E5982" w14:textId="77777777" w:rsidR="00B75711" w:rsidRPr="00816D72" w:rsidRDefault="00B75711" w:rsidP="00761EA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566CC03E" w14:textId="77777777" w:rsidR="00B75711" w:rsidRPr="00816D72" w:rsidRDefault="00B75711" w:rsidP="00761EA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2517F992" w14:textId="77777777" w:rsidR="00B75711" w:rsidRPr="00816D72" w:rsidRDefault="00B75711" w:rsidP="00761EA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3CE10DC" w14:textId="77777777" w:rsidR="00B75711" w:rsidRPr="00816D72" w:rsidRDefault="00B75711" w:rsidP="00761EA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1EA5" w:rsidRPr="00816D72" w14:paraId="195F110A" w14:textId="77777777" w:rsidTr="00761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14:paraId="741102CC" w14:textId="77777777" w:rsidR="00B75711" w:rsidRPr="00816D72" w:rsidRDefault="00B75711" w:rsidP="00761EA5">
            <w:pPr>
              <w:spacing w:before="24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Negative v. somewhat negative</w:t>
            </w:r>
          </w:p>
        </w:tc>
        <w:tc>
          <w:tcPr>
            <w:tcW w:w="1170" w:type="dxa"/>
            <w:shd w:val="clear" w:color="auto" w:fill="auto"/>
          </w:tcPr>
          <w:p w14:paraId="4BA53F0D" w14:textId="77777777" w:rsidR="00B75711" w:rsidRPr="00816D72" w:rsidRDefault="00B75711" w:rsidP="00761EA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D70A1C7" w14:textId="77777777" w:rsidR="00B75711" w:rsidRPr="00816D72" w:rsidRDefault="00B75711" w:rsidP="00761EA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4FB10C9" w14:textId="77777777" w:rsidR="00B75711" w:rsidRPr="00816D72" w:rsidRDefault="00B75711" w:rsidP="00761EA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EBF990E" w14:textId="77777777" w:rsidR="00B75711" w:rsidRPr="00816D72" w:rsidRDefault="00B75711" w:rsidP="00761EA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.46</w:t>
            </w:r>
          </w:p>
        </w:tc>
        <w:tc>
          <w:tcPr>
            <w:tcW w:w="630" w:type="dxa"/>
            <w:shd w:val="clear" w:color="auto" w:fill="auto"/>
          </w:tcPr>
          <w:p w14:paraId="075F841B" w14:textId="77777777" w:rsidR="00B75711" w:rsidRPr="00816D72" w:rsidRDefault="00B75711" w:rsidP="00761EA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.31</w:t>
            </w:r>
          </w:p>
        </w:tc>
        <w:tc>
          <w:tcPr>
            <w:tcW w:w="1170" w:type="dxa"/>
            <w:shd w:val="clear" w:color="auto" w:fill="auto"/>
          </w:tcPr>
          <w:p w14:paraId="765BC75D" w14:textId="77777777" w:rsidR="00B75711" w:rsidRPr="00816D72" w:rsidRDefault="00B75711" w:rsidP="00761EA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2.17</w:t>
            </w:r>
          </w:p>
        </w:tc>
        <w:tc>
          <w:tcPr>
            <w:tcW w:w="990" w:type="dxa"/>
            <w:shd w:val="clear" w:color="auto" w:fill="auto"/>
          </w:tcPr>
          <w:p w14:paraId="39FC2688" w14:textId="77777777" w:rsidR="00B75711" w:rsidRPr="00816D72" w:rsidRDefault="00B75711" w:rsidP="00761EA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1.59</w:t>
            </w: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761EA5" w:rsidRPr="00816D72" w14:paraId="6AA4624F" w14:textId="77777777" w:rsidTr="00761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14:paraId="6F1D7A1B" w14:textId="77777777" w:rsidR="00B75711" w:rsidRPr="00816D72" w:rsidRDefault="00B75711" w:rsidP="00761EA5">
            <w:pPr>
              <w:spacing w:before="24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Negative v. neutral</w:t>
            </w:r>
          </w:p>
        </w:tc>
        <w:tc>
          <w:tcPr>
            <w:tcW w:w="1170" w:type="dxa"/>
            <w:shd w:val="clear" w:color="auto" w:fill="auto"/>
          </w:tcPr>
          <w:p w14:paraId="58E256F7" w14:textId="77777777" w:rsidR="00B75711" w:rsidRPr="00816D72" w:rsidRDefault="00B75711" w:rsidP="00761EA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E2F36FD" w14:textId="77777777" w:rsidR="00B75711" w:rsidRPr="00816D72" w:rsidRDefault="00B75711" w:rsidP="00761EA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45D9260" w14:textId="77777777" w:rsidR="00B75711" w:rsidRPr="00816D72" w:rsidRDefault="00B75711" w:rsidP="00761EA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4C5607D" w14:textId="77777777" w:rsidR="00B75711" w:rsidRPr="00816D72" w:rsidRDefault="00B75711" w:rsidP="00761EA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.87</w:t>
            </w:r>
          </w:p>
        </w:tc>
        <w:tc>
          <w:tcPr>
            <w:tcW w:w="630" w:type="dxa"/>
            <w:shd w:val="clear" w:color="auto" w:fill="auto"/>
          </w:tcPr>
          <w:p w14:paraId="63137FBD" w14:textId="77777777" w:rsidR="00B75711" w:rsidRPr="00816D72" w:rsidRDefault="00B75711" w:rsidP="00761EA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170" w:type="dxa"/>
            <w:shd w:val="clear" w:color="auto" w:fill="auto"/>
          </w:tcPr>
          <w:p w14:paraId="7E1857D0" w14:textId="77777777" w:rsidR="00B75711" w:rsidRPr="00816D72" w:rsidRDefault="00B75711" w:rsidP="00761EA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91.27**</w:t>
            </w:r>
          </w:p>
        </w:tc>
        <w:tc>
          <w:tcPr>
            <w:tcW w:w="990" w:type="dxa"/>
            <w:shd w:val="clear" w:color="auto" w:fill="auto"/>
          </w:tcPr>
          <w:p w14:paraId="06EDC4D2" w14:textId="77777777" w:rsidR="00B75711" w:rsidRPr="00816D72" w:rsidRDefault="00B75711" w:rsidP="00761EA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2.38</w:t>
            </w: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761EA5" w:rsidRPr="00816D72" w14:paraId="30E05F49" w14:textId="77777777" w:rsidTr="00761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62EF4872" w14:textId="77777777" w:rsidR="00B75711" w:rsidRDefault="00B75711" w:rsidP="00761EA5">
            <w:pPr>
              <w:spacing w:before="24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Negative v. somewhat positive</w:t>
            </w:r>
          </w:p>
          <w:p w14:paraId="3F5C6F7A" w14:textId="1615F1F0" w:rsidR="00761EA5" w:rsidRPr="00816D72" w:rsidRDefault="00761EA5" w:rsidP="00761EA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82D820C" w14:textId="77777777" w:rsidR="00B75711" w:rsidRPr="00816D72" w:rsidRDefault="00B75711" w:rsidP="00761EA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4E2E152" w14:textId="77777777" w:rsidR="00B75711" w:rsidRPr="00816D72" w:rsidRDefault="00B75711" w:rsidP="00761EA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EEAF442" w14:textId="77777777" w:rsidR="00B75711" w:rsidRPr="00816D72" w:rsidRDefault="00B75711" w:rsidP="00761EA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6A97047" w14:textId="77777777" w:rsidR="00B75711" w:rsidRPr="00816D72" w:rsidRDefault="00B75711" w:rsidP="00761EA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D4527A3" w14:textId="77777777" w:rsidR="00B75711" w:rsidRPr="00816D72" w:rsidRDefault="00B75711" w:rsidP="00761EA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10E7BDF" w14:textId="77777777" w:rsidR="00B75711" w:rsidRPr="00816D72" w:rsidRDefault="00B75711" w:rsidP="00761EA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244.17**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3B2E3F7" w14:textId="77777777" w:rsidR="00B75711" w:rsidRPr="00816D72" w:rsidRDefault="00B75711" w:rsidP="00761EA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5.53</w:t>
            </w:r>
            <w:r w:rsidRPr="0081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ab</w:t>
            </w:r>
          </w:p>
        </w:tc>
      </w:tr>
    </w:tbl>
    <w:p w14:paraId="2AB4445E" w14:textId="77777777" w:rsidR="00B75711" w:rsidRPr="00816D72" w:rsidRDefault="00B75711" w:rsidP="00761E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6D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Note</w:t>
      </w:r>
      <w:r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</m:oMath>
      <w:r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chi-square statistic. </w:t>
      </w:r>
      <w:r w:rsidRPr="00816D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unstandardized coefficient. </w:t>
      </w:r>
      <w:r w:rsidRPr="00816D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</w:t>
      </w:r>
      <w:r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standard error of the unstandardized coefficient. Exp(</w:t>
      </w:r>
      <w:r w:rsidRPr="00816D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= odds ratio. </w:t>
      </w:r>
    </w:p>
    <w:p w14:paraId="60AFA39C" w14:textId="77777777" w:rsidR="00B75711" w:rsidRPr="00816D72" w:rsidRDefault="00B75711" w:rsidP="00B75711">
      <w:pPr>
        <w:spacing w:after="0" w:line="240" w:lineRule="auto"/>
        <w:ind w:right="-81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>**</w:t>
      </w:r>
      <w:r w:rsidRPr="00816D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.01. *</w:t>
      </w:r>
      <w:r w:rsidRPr="00816D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.05.</w:t>
      </w:r>
    </w:p>
    <w:p w14:paraId="4D24933A" w14:textId="77777777" w:rsidR="00B75711" w:rsidRPr="00816D72" w:rsidRDefault="00B75711" w:rsidP="00B75711">
      <w:pPr>
        <w:spacing w:after="0" w:line="240" w:lineRule="auto"/>
        <w:ind w:right="-4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D7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a, b</w:t>
      </w:r>
      <w:r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>indicate</w:t>
      </w:r>
      <w:proofErr w:type="gramEnd"/>
      <w:r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estimates that are significantly different from one another.</w:t>
      </w:r>
    </w:p>
    <w:p w14:paraId="0F310611" w14:textId="77777777" w:rsidR="00B75711" w:rsidRPr="00816D72" w:rsidRDefault="00B75711" w:rsidP="00B75711">
      <w:pPr>
        <w:spacing w:after="0" w:line="240" w:lineRule="auto"/>
        <w:ind w:right="-43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42635A" w14:textId="77777777" w:rsidR="00233990" w:rsidRDefault="00233990">
      <w:pPr>
        <w:sectPr w:rsidR="0023399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B4CD57" w14:textId="76DEDF22" w:rsidR="00A15D5B" w:rsidRPr="00073FEB" w:rsidRDefault="00D40D4D" w:rsidP="001D027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_Hlk31368474"/>
      <w:r>
        <w:rPr>
          <w:rFonts w:ascii="Times New Roman" w:hAnsi="Times New Roman" w:cs="Times New Roman"/>
          <w:color w:val="000000" w:themeColor="text1"/>
        </w:rPr>
        <w:lastRenderedPageBreak/>
        <w:t>Table 4</w:t>
      </w:r>
      <w:r w:rsidR="001D0276">
        <w:rPr>
          <w:rFonts w:ascii="Times New Roman" w:hAnsi="Times New Roman" w:cs="Times New Roman"/>
        </w:rPr>
        <w:t xml:space="preserve">   </w:t>
      </w:r>
    </w:p>
    <w:p w14:paraId="29EF758B" w14:textId="77777777" w:rsidR="001D0276" w:rsidRDefault="001D0276" w:rsidP="001D0276">
      <w:pPr>
        <w:spacing w:after="0"/>
        <w:jc w:val="center"/>
        <w:rPr>
          <w:rFonts w:ascii="Times New Roman" w:hAnsi="Times New Roman" w:cs="Times New Roman"/>
        </w:rPr>
      </w:pPr>
    </w:p>
    <w:p w14:paraId="3DBD42A2" w14:textId="1D439F3B" w:rsidR="00C815E7" w:rsidRDefault="001523C8" w:rsidP="001D027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Latent Growth Model Parameter</w:t>
      </w:r>
      <w:r w:rsidR="00C35C40" w:rsidRPr="00073FEB">
        <w:rPr>
          <w:rFonts w:ascii="Times New Roman" w:hAnsi="Times New Roman" w:cs="Times New Roman"/>
        </w:rPr>
        <w:t xml:space="preserve"> </w:t>
      </w:r>
      <w:r w:rsidR="00953A11" w:rsidRPr="00073FEB">
        <w:rPr>
          <w:rFonts w:ascii="Times New Roman" w:hAnsi="Times New Roman" w:cs="Times New Roman"/>
        </w:rPr>
        <w:t>Estimate</w:t>
      </w:r>
      <w:r w:rsidR="00B4021C">
        <w:rPr>
          <w:rFonts w:ascii="Times New Roman" w:hAnsi="Times New Roman" w:cs="Times New Roman"/>
        </w:rPr>
        <w:t>s</w:t>
      </w:r>
      <w:r w:rsidR="00953A11" w:rsidRPr="00073FEB">
        <w:rPr>
          <w:rFonts w:ascii="Times New Roman" w:hAnsi="Times New Roman" w:cs="Times New Roman"/>
        </w:rPr>
        <w:t xml:space="preserve"> </w:t>
      </w:r>
      <w:r w:rsidR="00C35C40" w:rsidRPr="00073FEB">
        <w:rPr>
          <w:rFonts w:ascii="Times New Roman" w:hAnsi="Times New Roman" w:cs="Times New Roman"/>
        </w:rPr>
        <w:t>with Standard Errors</w:t>
      </w:r>
    </w:p>
    <w:p w14:paraId="489FA032" w14:textId="77777777" w:rsidR="001E5CF1" w:rsidRPr="00073FEB" w:rsidRDefault="001E5CF1" w:rsidP="001D027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179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90"/>
        <w:gridCol w:w="1800"/>
        <w:gridCol w:w="1800"/>
        <w:gridCol w:w="1800"/>
        <w:gridCol w:w="1800"/>
      </w:tblGrid>
      <w:tr w:rsidR="00892F2C" w:rsidRPr="003F2CAE" w14:paraId="70460B5E" w14:textId="77777777" w:rsidTr="00892F2C"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1AEF56" w14:textId="6AD6CE00" w:rsidR="00892F2C" w:rsidRPr="003F2CAE" w:rsidRDefault="00892F2C" w:rsidP="00C815E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Variance, covariance, or mean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61B49" w14:textId="33DD222D" w:rsidR="00892F2C" w:rsidRPr="003F2CAE" w:rsidRDefault="00892F2C" w:rsidP="00892F2C">
            <w:pPr>
              <w:tabs>
                <w:tab w:val="left" w:pos="1006"/>
                <w:tab w:val="left" w:pos="2056"/>
                <w:tab w:val="left" w:pos="2986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 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Year 1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1AC8A" w14:textId="4574D57D" w:rsidR="00892F2C" w:rsidRPr="003F2CAE" w:rsidRDefault="00892F2C" w:rsidP="00180B9D">
            <w:pPr>
              <w:tabs>
                <w:tab w:val="left" w:pos="1006"/>
                <w:tab w:val="left" w:pos="2056"/>
                <w:tab w:val="left" w:pos="2986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 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Year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50F0F" w14:textId="2E2EFEA4" w:rsidR="00892F2C" w:rsidRPr="003F2CAE" w:rsidRDefault="00892F2C" w:rsidP="00180B9D">
            <w:pPr>
              <w:tabs>
                <w:tab w:val="left" w:pos="1006"/>
                <w:tab w:val="left" w:pos="2056"/>
                <w:tab w:val="left" w:pos="2986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 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Year 3       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CB2DA" w14:textId="5BEBB870" w:rsidR="00892F2C" w:rsidRPr="003F2CAE" w:rsidRDefault="00892F2C" w:rsidP="00180B9D">
            <w:pPr>
              <w:tabs>
                <w:tab w:val="left" w:pos="1006"/>
                <w:tab w:val="left" w:pos="2056"/>
                <w:tab w:val="left" w:pos="2986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 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Year 4</w:t>
            </w:r>
          </w:p>
        </w:tc>
      </w:tr>
      <w:tr w:rsidR="007F40AD" w:rsidRPr="003F2CAE" w14:paraId="5B737FE2" w14:textId="77777777" w:rsidTr="00892F2C"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1B9A0" w14:textId="750D8D97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Performance rating 1 </w:t>
            </w:r>
            <w:proofErr w:type="spell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variance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62AF8B4" w14:textId="0A4AA7F2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.16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02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)*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993F977" w14:textId="2F549545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.16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02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)*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CD62F9B" w14:textId="1675FD89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.16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02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)*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FED444B" w14:textId="778C0C5A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99324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.16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02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)*</w:t>
            </w:r>
            <w:proofErr w:type="gramEnd"/>
          </w:p>
        </w:tc>
      </w:tr>
      <w:tr w:rsidR="007F40AD" w:rsidRPr="003F2CAE" w14:paraId="49BB1B7E" w14:textId="77777777" w:rsidTr="00892F2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8FDDEAF" w14:textId="23FDD7E3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Performance rating 2 </w:t>
            </w:r>
            <w:proofErr w:type="spell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variance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E54DAC2" w14:textId="0916436C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.29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01)*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8590FA1" w14:textId="25CD9501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.29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01)*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BB97471" w14:textId="65DE9BFD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.29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01)*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4B514E7" w14:textId="7714E46C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99324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.29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01)*</w:t>
            </w:r>
            <w:proofErr w:type="gramEnd"/>
          </w:p>
        </w:tc>
      </w:tr>
      <w:tr w:rsidR="007F40AD" w:rsidRPr="003F2CAE" w14:paraId="33A5D722" w14:textId="77777777" w:rsidTr="00892F2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A1A7FE6" w14:textId="5C4FE705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Performance rating 3 </w:t>
            </w:r>
            <w:proofErr w:type="spell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variance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5A96D33" w14:textId="4BCADC4F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.30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01)*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FCF24C7" w14:textId="7AB1D6A8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.30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01)*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8C2CBAC" w14:textId="01A30052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.30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01)*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40C561B" w14:textId="46063465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99324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.30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01)*</w:t>
            </w:r>
            <w:proofErr w:type="gramEnd"/>
          </w:p>
        </w:tc>
      </w:tr>
      <w:tr w:rsidR="007F40AD" w:rsidRPr="003F2CAE" w14:paraId="7B893339" w14:textId="77777777" w:rsidTr="00892F2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C3B14C1" w14:textId="005E9691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Performance rating 4 </w:t>
            </w:r>
            <w:proofErr w:type="spell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variance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198356A" w14:textId="0739F3D4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.22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02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745DC61" w14:textId="6E2A03FE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.22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02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E2449E8" w14:textId="45C2CD42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.22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02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1343854" w14:textId="7ED4D542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99324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.22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02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)*</w:t>
            </w:r>
            <w:proofErr w:type="gramEnd"/>
          </w:p>
        </w:tc>
      </w:tr>
      <w:tr w:rsidR="007F40AD" w:rsidRPr="003F2CAE" w14:paraId="77D564E6" w14:textId="77777777" w:rsidTr="00892F2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38C459E" w14:textId="098800A6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Internal hire type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variance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757786E" w14:textId="554BB201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.21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00)*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1B3F4BB" w14:textId="5CE80C20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.21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00)*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FC08724" w14:textId="5D494760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.21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00)*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80D6EC9" w14:textId="54849F01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99324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.21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00)*</w:t>
            </w:r>
            <w:proofErr w:type="gramEnd"/>
          </w:p>
        </w:tc>
      </w:tr>
      <w:tr w:rsidR="007F40AD" w:rsidRPr="003F2CAE" w14:paraId="47785306" w14:textId="77777777" w:rsidTr="00892F2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97F120F" w14:textId="74DC699B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External h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ire type </w:t>
            </w:r>
            <w:proofErr w:type="spell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variance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AE4A921" w14:textId="12DFE826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.22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00)*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1395578" w14:textId="48E76350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.22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00)*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F90A772" w14:textId="4F814DCF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.22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00)*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B74ABDC" w14:textId="601659EC" w:rsidR="007F40AD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99324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.22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00)*</w:t>
            </w:r>
            <w:proofErr w:type="gramEnd"/>
          </w:p>
        </w:tc>
      </w:tr>
      <w:tr w:rsidR="00F10B30" w:rsidRPr="003F2CAE" w14:paraId="08AA0D39" w14:textId="77777777" w:rsidTr="00C4652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E15FA46" w14:textId="5791FADE" w:rsidR="00F10B30" w:rsidRPr="003F2CAE" w:rsidRDefault="00F10B30" w:rsidP="00B4021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Latent intercept variance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C2F3B40" w14:textId="1378841B" w:rsidR="00F10B30" w:rsidRPr="003F2CAE" w:rsidRDefault="00F10B30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.2</w:t>
            </w:r>
            <w:r w:rsidR="007F40AD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  <w:r w:rsidR="007F40AD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B00EEC7" w14:textId="51ADA969" w:rsidR="00F10B30" w:rsidRPr="003F2CAE" w:rsidRDefault="00F10B30" w:rsidP="00B4021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C73181">
              <w:rPr>
                <w:rFonts w:ascii="Times New Roman" w:hAnsi="Times New Roman" w:cs="Times New Roman"/>
                <w:color w:val="0D0D0D" w:themeColor="text1" w:themeTint="F2"/>
              </w:rPr>
              <w:t>.18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01)*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DD50AAF" w14:textId="03CC13AB" w:rsidR="00F10B30" w:rsidRPr="003F2CAE" w:rsidRDefault="00DF1061" w:rsidP="00B4021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.19</w:t>
            </w:r>
            <w:r w:rsidR="00F10B30"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="00F10B30" w:rsidRPr="003F2CAE">
              <w:rPr>
                <w:rFonts w:ascii="Times New Roman" w:hAnsi="Times New Roman" w:cs="Times New Roman"/>
                <w:color w:val="0D0D0D" w:themeColor="text1" w:themeTint="F2"/>
              </w:rPr>
              <w:t>01)*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1078C81" w14:textId="6A47D07E" w:rsidR="00F10B30" w:rsidRPr="003F2CAE" w:rsidRDefault="00C46528" w:rsidP="00B4021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99324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.28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02</w:t>
            </w:r>
            <w:r w:rsidR="00F10B30" w:rsidRPr="003F2CAE">
              <w:rPr>
                <w:rFonts w:ascii="Times New Roman" w:hAnsi="Times New Roman" w:cs="Times New Roman"/>
                <w:color w:val="0D0D0D" w:themeColor="text1" w:themeTint="F2"/>
              </w:rPr>
              <w:t>)*</w:t>
            </w:r>
            <w:proofErr w:type="gramEnd"/>
          </w:p>
        </w:tc>
      </w:tr>
      <w:tr w:rsidR="00F10B30" w:rsidRPr="003F2CAE" w14:paraId="061A9E78" w14:textId="77777777" w:rsidTr="00C4652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ECA0B43" w14:textId="4FDD98C3" w:rsidR="00F10B30" w:rsidRPr="003F2CAE" w:rsidRDefault="00F10B30" w:rsidP="00B4021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Latent slope variance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81F0097" w14:textId="71536857" w:rsidR="00F10B30" w:rsidRPr="003F2CAE" w:rsidRDefault="00F10B30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.2</w:t>
            </w:r>
            <w:r w:rsidR="007F40AD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  <w:r w:rsidR="007F40AD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8666AA9" w14:textId="258E415F" w:rsidR="00F10B30" w:rsidRPr="003F2CAE" w:rsidRDefault="00F10B30" w:rsidP="00B4021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.06 (.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01)*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C16AC04" w14:textId="7B13EC35" w:rsidR="00F10B30" w:rsidRPr="003F2CAE" w:rsidRDefault="00DF1061" w:rsidP="00B4021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.07</w:t>
            </w:r>
            <w:r w:rsidR="00F10B30"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="00F10B30" w:rsidRPr="003F2CAE">
              <w:rPr>
                <w:rFonts w:ascii="Times New Roman" w:hAnsi="Times New Roman" w:cs="Times New Roman"/>
                <w:color w:val="0D0D0D" w:themeColor="text1" w:themeTint="F2"/>
              </w:rPr>
              <w:t>01)*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CD1C808" w14:textId="5D4990E0" w:rsidR="00F10B30" w:rsidRPr="003F2CAE" w:rsidRDefault="00C46528" w:rsidP="00B4021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99324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.23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03</w:t>
            </w:r>
            <w:r w:rsidR="00F10B30" w:rsidRPr="003F2CAE">
              <w:rPr>
                <w:rFonts w:ascii="Times New Roman" w:hAnsi="Times New Roman" w:cs="Times New Roman"/>
                <w:color w:val="0D0D0D" w:themeColor="text1" w:themeTint="F2"/>
              </w:rPr>
              <w:t>)*</w:t>
            </w:r>
            <w:proofErr w:type="gramEnd"/>
          </w:p>
        </w:tc>
      </w:tr>
      <w:tr w:rsidR="00F10B30" w:rsidRPr="003F2CAE" w14:paraId="661D62CB" w14:textId="77777777" w:rsidTr="00C4652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358C488" w14:textId="4DA24E94" w:rsidR="00F10B30" w:rsidRPr="003F2CAE" w:rsidRDefault="00F10B30" w:rsidP="00B4021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Latent curve variance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F7865F4" w14:textId="525268B4" w:rsidR="00F10B30" w:rsidRPr="003F2CAE" w:rsidRDefault="00F10B30" w:rsidP="00B4021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.02 (.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00)*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8EC2598" w14:textId="5D6E9647" w:rsidR="00F10B30" w:rsidRPr="003F2CAE" w:rsidRDefault="00F10B30" w:rsidP="00B4021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.02 (.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00)*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66B1E0D" w14:textId="17C46F38" w:rsidR="00F10B30" w:rsidRPr="003F2CAE" w:rsidRDefault="00F10B30" w:rsidP="00B4021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.02 (.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00)*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66C8681" w14:textId="703FDE8C" w:rsidR="00F10B30" w:rsidRPr="003F2CAE" w:rsidRDefault="00F10B30" w:rsidP="00B4021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99324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.02 (.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00)*</w:t>
            </w:r>
            <w:proofErr w:type="gramEnd"/>
          </w:p>
        </w:tc>
      </w:tr>
      <w:tr w:rsidR="00F10B30" w:rsidRPr="003F2CAE" w14:paraId="77DD7CEB" w14:textId="77777777" w:rsidTr="00C4652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20A3CE3" w14:textId="6C20432C" w:rsidR="00F10B30" w:rsidRPr="003F2CAE" w:rsidRDefault="00F10B30" w:rsidP="00F544F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Internal h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ire type path to latent intercept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DCEAEBA" w14:textId="2C490EE0" w:rsidR="00F10B30" w:rsidRPr="003F2CAE" w:rsidRDefault="009369E4" w:rsidP="00F544F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-.02 (.03)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D11DC61" w14:textId="75ADBD9A" w:rsidR="00F10B30" w:rsidRPr="003F2CAE" w:rsidRDefault="0099324F" w:rsidP="00F544F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40AD">
              <w:rPr>
                <w:rFonts w:ascii="Times New Roman" w:hAnsi="Times New Roman" w:cs="Times New Roman"/>
                <w:color w:val="0D0D0D" w:themeColor="text1" w:themeTint="F2"/>
              </w:rPr>
              <w:t>.09 (.</w:t>
            </w:r>
            <w:proofErr w:type="gramStart"/>
            <w:r w:rsidR="007F40AD">
              <w:rPr>
                <w:rFonts w:ascii="Times New Roman" w:hAnsi="Times New Roman" w:cs="Times New Roman"/>
                <w:color w:val="0D0D0D" w:themeColor="text1" w:themeTint="F2"/>
              </w:rPr>
              <w:t>03)</w:t>
            </w:r>
            <w:r w:rsidR="009369E4">
              <w:rPr>
                <w:rFonts w:ascii="Times New Roman" w:hAnsi="Times New Roman" w:cs="Times New Roman"/>
                <w:color w:val="0D0D0D" w:themeColor="text1" w:themeTint="F2"/>
              </w:rPr>
              <w:t>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14041AA" w14:textId="698C8570" w:rsidR="00F10B30" w:rsidRPr="003F2CAE" w:rsidRDefault="0099324F" w:rsidP="00F544F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9369E4">
              <w:rPr>
                <w:rFonts w:ascii="Times New Roman" w:hAnsi="Times New Roman" w:cs="Times New Roman"/>
                <w:color w:val="0D0D0D" w:themeColor="text1" w:themeTint="F2"/>
              </w:rPr>
              <w:t>.14 (.</w:t>
            </w:r>
            <w:proofErr w:type="gramStart"/>
            <w:r w:rsidR="009369E4">
              <w:rPr>
                <w:rFonts w:ascii="Times New Roman" w:hAnsi="Times New Roman" w:cs="Times New Roman"/>
                <w:color w:val="0D0D0D" w:themeColor="text1" w:themeTint="F2"/>
              </w:rPr>
              <w:t>03</w:t>
            </w:r>
            <w:r w:rsidR="007F40AD"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  <w:r w:rsidR="009369E4">
              <w:rPr>
                <w:rFonts w:ascii="Times New Roman" w:hAnsi="Times New Roman" w:cs="Times New Roman"/>
                <w:color w:val="0D0D0D" w:themeColor="text1" w:themeTint="F2"/>
              </w:rPr>
              <w:t>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923FB16" w14:textId="0852EC4C" w:rsidR="00F10B30" w:rsidRPr="003F2CAE" w:rsidRDefault="0099324F" w:rsidP="00F544F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9369E4">
              <w:rPr>
                <w:rFonts w:ascii="Times New Roman" w:hAnsi="Times New Roman" w:cs="Times New Roman"/>
                <w:color w:val="0D0D0D" w:themeColor="text1" w:themeTint="F2"/>
              </w:rPr>
              <w:t>.13 (.</w:t>
            </w:r>
            <w:proofErr w:type="gramStart"/>
            <w:r w:rsidR="009369E4">
              <w:rPr>
                <w:rFonts w:ascii="Times New Roman" w:hAnsi="Times New Roman" w:cs="Times New Roman"/>
                <w:color w:val="0D0D0D" w:themeColor="text1" w:themeTint="F2"/>
              </w:rPr>
              <w:t>05)*</w:t>
            </w:r>
            <w:proofErr w:type="gramEnd"/>
          </w:p>
        </w:tc>
      </w:tr>
      <w:tr w:rsidR="00F10B30" w:rsidRPr="003F2CAE" w14:paraId="795AFDF2" w14:textId="77777777" w:rsidTr="00C4652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EC1764F" w14:textId="1580A66A" w:rsidR="00F10B30" w:rsidRPr="003F2CAE" w:rsidRDefault="00F10B30" w:rsidP="00F544F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Internal h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ire type path to latent slope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EE49C41" w14:textId="279FA1DB" w:rsidR="00F10B30" w:rsidRPr="0099324F" w:rsidRDefault="0099324F" w:rsidP="0099324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324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40AD" w:rsidRPr="0099324F">
              <w:rPr>
                <w:rFonts w:ascii="Times New Roman" w:hAnsi="Times New Roman" w:cs="Times New Roman"/>
                <w:color w:val="0D0D0D" w:themeColor="text1" w:themeTint="F2"/>
              </w:rPr>
              <w:t>.14 (.</w:t>
            </w:r>
            <w:proofErr w:type="gramStart"/>
            <w:r w:rsidR="007F40AD" w:rsidRPr="0099324F">
              <w:rPr>
                <w:rFonts w:ascii="Times New Roman" w:hAnsi="Times New Roman" w:cs="Times New Roman"/>
                <w:color w:val="0D0D0D" w:themeColor="text1" w:themeTint="F2"/>
              </w:rPr>
              <w:t>04)</w:t>
            </w:r>
            <w:r w:rsidR="009369E4" w:rsidRPr="0099324F">
              <w:rPr>
                <w:rFonts w:ascii="Times New Roman" w:hAnsi="Times New Roman" w:cs="Times New Roman"/>
                <w:color w:val="0D0D0D" w:themeColor="text1" w:themeTint="F2"/>
              </w:rPr>
              <w:t>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34B1E49" w14:textId="3388EFC2" w:rsidR="00F10B30" w:rsidRPr="003F2CAE" w:rsidRDefault="0099324F" w:rsidP="00F544F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40AD">
              <w:rPr>
                <w:rFonts w:ascii="Times New Roman" w:hAnsi="Times New Roman" w:cs="Times New Roman"/>
                <w:color w:val="0D0D0D" w:themeColor="text1" w:themeTint="F2"/>
              </w:rPr>
              <w:t>.08 (.</w:t>
            </w:r>
            <w:proofErr w:type="gramStart"/>
            <w:r w:rsidR="007F40AD">
              <w:rPr>
                <w:rFonts w:ascii="Times New Roman" w:hAnsi="Times New Roman" w:cs="Times New Roman"/>
                <w:color w:val="0D0D0D" w:themeColor="text1" w:themeTint="F2"/>
              </w:rPr>
              <w:t>02)</w:t>
            </w:r>
            <w:r w:rsidR="009369E4">
              <w:rPr>
                <w:rFonts w:ascii="Times New Roman" w:hAnsi="Times New Roman" w:cs="Times New Roman"/>
                <w:color w:val="0D0D0D" w:themeColor="text1" w:themeTint="F2"/>
              </w:rPr>
              <w:t>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3D5CAF6" w14:textId="2894A50C" w:rsidR="00F10B30" w:rsidRPr="003F2CAE" w:rsidRDefault="0099324F" w:rsidP="00F544F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9369E4">
              <w:rPr>
                <w:rFonts w:ascii="Times New Roman" w:hAnsi="Times New Roman" w:cs="Times New Roman"/>
                <w:color w:val="0D0D0D" w:themeColor="text1" w:themeTint="F2"/>
              </w:rPr>
              <w:t>.02 (.03)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BD7FD55" w14:textId="62DE6198" w:rsidR="00F10B30" w:rsidRPr="003F2CAE" w:rsidRDefault="0099324F" w:rsidP="00F544F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9369E4">
              <w:rPr>
                <w:rFonts w:ascii="Times New Roman" w:hAnsi="Times New Roman" w:cs="Times New Roman"/>
                <w:color w:val="0D0D0D" w:themeColor="text1" w:themeTint="F2"/>
              </w:rPr>
              <w:t>-.04 (.06)</w:t>
            </w:r>
          </w:p>
        </w:tc>
      </w:tr>
      <w:tr w:rsidR="009369E4" w:rsidRPr="003F2CAE" w14:paraId="411388B6" w14:textId="77777777" w:rsidTr="00C4652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09B6F35" w14:textId="6862D64E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Internal h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ire type path to latent curve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6061E65" w14:textId="1F16B131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-.03 (.02)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3C8CFDF" w14:textId="2155628D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-.03 (.02)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9DB8D47" w14:textId="60FEC33B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-.03 (.02)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6C7D2E1" w14:textId="702BFEE4" w:rsidR="009369E4" w:rsidRPr="003F2CAE" w:rsidRDefault="0099324F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9369E4">
              <w:rPr>
                <w:rFonts w:ascii="Times New Roman" w:hAnsi="Times New Roman" w:cs="Times New Roman"/>
                <w:color w:val="0D0D0D" w:themeColor="text1" w:themeTint="F2"/>
              </w:rPr>
              <w:t>-.03 (.02)</w:t>
            </w:r>
          </w:p>
        </w:tc>
      </w:tr>
      <w:tr w:rsidR="009369E4" w:rsidRPr="003F2CAE" w14:paraId="19CAB54E" w14:textId="77777777" w:rsidTr="00C4652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063E9B4" w14:textId="673FE2B7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External h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ire type</w:t>
            </w:r>
            <w:r>
              <w:rPr>
                <w:rStyle w:val="CommentReference"/>
              </w:rPr>
              <w:t xml:space="preserve"> 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path to latent intercept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4095DB4" w14:textId="32112208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-.039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(.02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65CAEE3" w14:textId="5D9B8D4F" w:rsidR="009369E4" w:rsidRPr="003F2CAE" w:rsidRDefault="0099324F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9369E4">
              <w:rPr>
                <w:rFonts w:ascii="Times New Roman" w:hAnsi="Times New Roman" w:cs="Times New Roman"/>
                <w:color w:val="0D0D0D" w:themeColor="text1" w:themeTint="F2"/>
              </w:rPr>
              <w:t>.07</w:t>
            </w:r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>03)*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CAE14E7" w14:textId="4CE86CF4" w:rsidR="009369E4" w:rsidRPr="003F2CAE" w:rsidRDefault="0099324F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9369E4">
              <w:rPr>
                <w:rFonts w:ascii="Times New Roman" w:hAnsi="Times New Roman" w:cs="Times New Roman"/>
                <w:color w:val="0D0D0D" w:themeColor="text1" w:themeTint="F2"/>
              </w:rPr>
              <w:t>.11</w:t>
            </w:r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>03)*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D64C4F8" w14:textId="223541DA" w:rsidR="009369E4" w:rsidRPr="003F2CAE" w:rsidRDefault="0099324F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9369E4">
              <w:rPr>
                <w:rFonts w:ascii="Times New Roman" w:hAnsi="Times New Roman" w:cs="Times New Roman"/>
                <w:color w:val="0D0D0D" w:themeColor="text1" w:themeTint="F2"/>
              </w:rPr>
              <w:t>.10</w:t>
            </w:r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>05)*</w:t>
            </w:r>
            <w:proofErr w:type="gramEnd"/>
          </w:p>
        </w:tc>
      </w:tr>
      <w:tr w:rsidR="009369E4" w:rsidRPr="003F2CAE" w14:paraId="05F0E8C3" w14:textId="77777777" w:rsidTr="00C4652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09A2890" w14:textId="2D0DDBCD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External h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ire type</w:t>
            </w:r>
            <w:r>
              <w:rPr>
                <w:rStyle w:val="CommentReference"/>
              </w:rPr>
              <w:t xml:space="preserve"> 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path to latent slope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512CAC6" w14:textId="56534DB8" w:rsidR="009369E4" w:rsidRPr="003F2CAE" w:rsidRDefault="0099324F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9369E4">
              <w:rPr>
                <w:rFonts w:ascii="Times New Roman" w:hAnsi="Times New Roman" w:cs="Times New Roman"/>
                <w:color w:val="0D0D0D" w:themeColor="text1" w:themeTint="F2"/>
              </w:rPr>
              <w:t>.14 (.</w:t>
            </w:r>
            <w:proofErr w:type="gramStart"/>
            <w:r w:rsidR="009369E4">
              <w:rPr>
                <w:rFonts w:ascii="Times New Roman" w:hAnsi="Times New Roman" w:cs="Times New Roman"/>
                <w:color w:val="0D0D0D" w:themeColor="text1" w:themeTint="F2"/>
              </w:rPr>
              <w:t>04</w:t>
            </w:r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>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CF9B2B8" w14:textId="676D0D13" w:rsidR="009369E4" w:rsidRPr="003F2CAE" w:rsidRDefault="0099324F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40AD">
              <w:rPr>
                <w:rFonts w:ascii="Times New Roman" w:hAnsi="Times New Roman" w:cs="Times New Roman"/>
                <w:color w:val="0D0D0D" w:themeColor="text1" w:themeTint="F2"/>
              </w:rPr>
              <w:t>.08 (.</w:t>
            </w:r>
            <w:proofErr w:type="gramStart"/>
            <w:r w:rsidR="007F40AD">
              <w:rPr>
                <w:rFonts w:ascii="Times New Roman" w:hAnsi="Times New Roman" w:cs="Times New Roman"/>
                <w:color w:val="0D0D0D" w:themeColor="text1" w:themeTint="F2"/>
              </w:rPr>
              <w:t>02)</w:t>
            </w:r>
            <w:r w:rsidR="009369E4">
              <w:rPr>
                <w:rFonts w:ascii="Times New Roman" w:hAnsi="Times New Roman" w:cs="Times New Roman"/>
                <w:color w:val="0D0D0D" w:themeColor="text1" w:themeTint="F2"/>
              </w:rPr>
              <w:t>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24A1DCD" w14:textId="419359CA" w:rsidR="009369E4" w:rsidRPr="003F2CAE" w:rsidRDefault="0099324F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>.02 (.03)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0661CF7" w14:textId="2C1E51CF" w:rsidR="009369E4" w:rsidRPr="003F2CAE" w:rsidRDefault="0099324F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9369E4">
              <w:rPr>
                <w:rFonts w:ascii="Times New Roman" w:hAnsi="Times New Roman" w:cs="Times New Roman"/>
                <w:color w:val="0D0D0D" w:themeColor="text1" w:themeTint="F2"/>
              </w:rPr>
              <w:t>-.04</w:t>
            </w:r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(.06)</w:t>
            </w:r>
          </w:p>
        </w:tc>
      </w:tr>
      <w:tr w:rsidR="009369E4" w:rsidRPr="003F2CAE" w14:paraId="461983AF" w14:textId="77777777" w:rsidTr="00C4652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61E312C" w14:textId="7111CCC4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External h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ire type</w:t>
            </w:r>
            <w:r>
              <w:rPr>
                <w:rStyle w:val="CommentReference"/>
              </w:rPr>
              <w:t xml:space="preserve"> 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path to latent curve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F511E87" w14:textId="7AE32123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-.03 (.02)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60D0E10" w14:textId="2DBF0838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-.03 (.02)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DE160AA" w14:textId="5EB785C2" w:rsidR="009369E4" w:rsidRPr="003F2CAE" w:rsidRDefault="0099324F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9369E4">
              <w:rPr>
                <w:rFonts w:ascii="Times New Roman" w:hAnsi="Times New Roman" w:cs="Times New Roman"/>
                <w:color w:val="0D0D0D" w:themeColor="text1" w:themeTint="F2"/>
              </w:rPr>
              <w:t>-.03 (.02)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A46467A" w14:textId="74B0579F" w:rsidR="009369E4" w:rsidRPr="003F2CAE" w:rsidRDefault="0099324F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9369E4">
              <w:rPr>
                <w:rFonts w:ascii="Times New Roman" w:hAnsi="Times New Roman" w:cs="Times New Roman"/>
                <w:color w:val="0D0D0D" w:themeColor="text1" w:themeTint="F2"/>
              </w:rPr>
              <w:t>-.03 (.02)</w:t>
            </w:r>
          </w:p>
        </w:tc>
      </w:tr>
      <w:tr w:rsidR="009369E4" w:rsidRPr="003F2CAE" w14:paraId="0DC666E2" w14:textId="77777777" w:rsidTr="00C4652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BDDB354" w14:textId="5B3DD660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Latent intercept with latent slope covariance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33586CA" w14:textId="7F853E47" w:rsidR="009369E4" w:rsidRPr="003F2CAE" w:rsidRDefault="007F40AD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-.09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02</w:t>
            </w:r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>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780D518" w14:textId="4D351166" w:rsidR="009369E4" w:rsidRPr="003F2CAE" w:rsidRDefault="00C73181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.01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00</w:t>
            </w:r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47BA7CD" w14:textId="652BC226" w:rsidR="009369E4" w:rsidRPr="003F2CAE" w:rsidRDefault="009369E4" w:rsidP="00DF106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 .0</w:t>
            </w:r>
            <w:r w:rsidR="00DF1061">
              <w:rPr>
                <w:rFonts w:ascii="Times New Roman" w:hAnsi="Times New Roman" w:cs="Times New Roman"/>
                <w:color w:val="0D0D0D" w:themeColor="text1" w:themeTint="F2"/>
              </w:rPr>
              <w:t>0 (.00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6E13225" w14:textId="048B7266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99324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C46528">
              <w:rPr>
                <w:rFonts w:ascii="Times New Roman" w:hAnsi="Times New Roman" w:cs="Times New Roman"/>
                <w:color w:val="0D0D0D" w:themeColor="text1" w:themeTint="F2"/>
              </w:rPr>
              <w:t>.13 (.</w:t>
            </w:r>
            <w:proofErr w:type="gramStart"/>
            <w:r w:rsidR="00C46528">
              <w:rPr>
                <w:rFonts w:ascii="Times New Roman" w:hAnsi="Times New Roman" w:cs="Times New Roman"/>
                <w:color w:val="0D0D0D" w:themeColor="text1" w:themeTint="F2"/>
              </w:rPr>
              <w:t>02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)*</w:t>
            </w:r>
            <w:proofErr w:type="gramEnd"/>
          </w:p>
        </w:tc>
      </w:tr>
      <w:tr w:rsidR="009369E4" w:rsidRPr="003F2CAE" w14:paraId="3D589727" w14:textId="77777777" w:rsidTr="00C4652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F6597F0" w14:textId="069ECCF1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Latent intercept with latent curve covariance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7828FA1" w14:textId="72880377" w:rsidR="009369E4" w:rsidRPr="003F2CAE" w:rsidRDefault="007F40AD" w:rsidP="007F40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.01</w:t>
            </w:r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05</w:t>
            </w:r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>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6CCEB3A" w14:textId="22490C64" w:rsidR="009369E4" w:rsidRPr="003F2CAE" w:rsidRDefault="0099324F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  <w:r w:rsidR="00C73181">
              <w:rPr>
                <w:rFonts w:ascii="Times New Roman" w:hAnsi="Times New Roman" w:cs="Times New Roman"/>
                <w:color w:val="0D0D0D" w:themeColor="text1" w:themeTint="F2"/>
              </w:rPr>
              <w:t>.03 (.</w:t>
            </w:r>
            <w:proofErr w:type="gramStart"/>
            <w:r w:rsidR="00C73181">
              <w:rPr>
                <w:rFonts w:ascii="Times New Roman" w:hAnsi="Times New Roman" w:cs="Times New Roman"/>
                <w:color w:val="0D0D0D" w:themeColor="text1" w:themeTint="F2"/>
              </w:rPr>
              <w:t>00</w:t>
            </w:r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>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E6904CF" w14:textId="6B3EAE74" w:rsidR="009369E4" w:rsidRPr="003F2CAE" w:rsidRDefault="0099324F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DF1061">
              <w:rPr>
                <w:rFonts w:ascii="Times New Roman" w:hAnsi="Times New Roman" w:cs="Times New Roman"/>
                <w:color w:val="0D0D0D" w:themeColor="text1" w:themeTint="F2"/>
              </w:rPr>
              <w:t>-.02 (.</w:t>
            </w:r>
            <w:proofErr w:type="gramStart"/>
            <w:r w:rsidR="00DF1061">
              <w:rPr>
                <w:rFonts w:ascii="Times New Roman" w:hAnsi="Times New Roman" w:cs="Times New Roman"/>
                <w:color w:val="0D0D0D" w:themeColor="text1" w:themeTint="F2"/>
              </w:rPr>
              <w:t>00</w:t>
            </w:r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>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DEA530B" w14:textId="01E9E1E3" w:rsidR="009369E4" w:rsidRPr="003F2CAE" w:rsidRDefault="00C46528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99324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.02</w:t>
            </w:r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>01)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*</w:t>
            </w:r>
            <w:proofErr w:type="gramEnd"/>
          </w:p>
        </w:tc>
      </w:tr>
      <w:tr w:rsidR="009369E4" w:rsidRPr="003F2CAE" w14:paraId="603171B7" w14:textId="77777777" w:rsidTr="00C4652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AAB946E" w14:textId="10691057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Latent slope with latent curve covariance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369EA98" w14:textId="1E1282F0" w:rsidR="009369E4" w:rsidRPr="003F2CAE" w:rsidRDefault="007F40AD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-.06</w:t>
            </w:r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>01)*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159B09F" w14:textId="03EFD19C" w:rsidR="009369E4" w:rsidRPr="003F2CAE" w:rsidRDefault="0099324F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>-.02 (.</w:t>
            </w:r>
            <w:proofErr w:type="gramStart"/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  <w:r w:rsidR="00C73181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>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8D990B7" w14:textId="1D459EAA" w:rsidR="009369E4" w:rsidRPr="003F2CAE" w:rsidRDefault="00DF1061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.02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00</w:t>
            </w:r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>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D9184DD" w14:textId="316EC78B" w:rsidR="009369E4" w:rsidRPr="003F2CAE" w:rsidRDefault="00C46528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99324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.06</w:t>
            </w:r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>01)*</w:t>
            </w:r>
            <w:proofErr w:type="gramEnd"/>
          </w:p>
        </w:tc>
      </w:tr>
      <w:tr w:rsidR="009369E4" w:rsidRPr="003F2CAE" w14:paraId="2065F375" w14:textId="77777777" w:rsidTr="00C4652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E814E90" w14:textId="02398D66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Internal to external hire type covariance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1AFD396" w14:textId="4D5C506B" w:rsidR="009369E4" w:rsidRPr="003F2CAE" w:rsidRDefault="007F40AD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-.20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00)*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1550332" w14:textId="77777777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5688FF9" w14:textId="77777777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7681221" w14:textId="77777777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73181" w:rsidRPr="003F2CAE" w14:paraId="7A45B10D" w14:textId="77777777" w:rsidTr="00C4652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3E47243" w14:textId="64276EC9" w:rsidR="00C73181" w:rsidRPr="003F2CAE" w:rsidRDefault="00C73181" w:rsidP="00C731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Internal h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ire mean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E006D0C" w14:textId="54D96A41" w:rsidR="00C73181" w:rsidRPr="003F2CAE" w:rsidRDefault="00C73181" w:rsidP="0099324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.30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00)*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164571B" w14:textId="6316A7BE" w:rsidR="00C73181" w:rsidRPr="003F2CAE" w:rsidRDefault="00C73181" w:rsidP="00C731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.30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00)*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16E4FF3" w14:textId="25101B5C" w:rsidR="00C73181" w:rsidRPr="003F2CAE" w:rsidRDefault="00C73181" w:rsidP="00C731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.30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00)*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FFDC609" w14:textId="74E5AE1D" w:rsidR="00C73181" w:rsidRPr="003F2CAE" w:rsidRDefault="00C73181" w:rsidP="00C731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.30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(.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00)*</w:t>
            </w:r>
            <w:proofErr w:type="gramEnd"/>
          </w:p>
        </w:tc>
      </w:tr>
      <w:tr w:rsidR="00C73181" w:rsidRPr="003F2CAE" w14:paraId="1BDE642D" w14:textId="77777777" w:rsidTr="00C4652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098EFEE" w14:textId="02DCECBD" w:rsidR="00C73181" w:rsidRPr="003F2CAE" w:rsidRDefault="00C73181" w:rsidP="00C731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External h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ire mean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6397066" w14:textId="33CE145C" w:rsidR="00C73181" w:rsidRPr="003F2CAE" w:rsidRDefault="00C73181" w:rsidP="0099324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.67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00)*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499EB52" w14:textId="772E1948" w:rsidR="00C73181" w:rsidRPr="003F2CAE" w:rsidRDefault="00C73181" w:rsidP="00C731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.67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00)*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FE582B4" w14:textId="75F66D63" w:rsidR="00C73181" w:rsidRPr="003F2CAE" w:rsidRDefault="00C73181" w:rsidP="00C731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.67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00)*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2D40C09" w14:textId="2A5594CF" w:rsidR="00C73181" w:rsidRPr="003F2CAE" w:rsidRDefault="00C73181" w:rsidP="00C731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.67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00)*</w:t>
            </w:r>
            <w:proofErr w:type="gramEnd"/>
          </w:p>
        </w:tc>
      </w:tr>
      <w:tr w:rsidR="009369E4" w:rsidRPr="003F2CAE" w14:paraId="01789D6F" w14:textId="77777777" w:rsidTr="00C4652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BAB43CF" w14:textId="4DD0D25E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Latent intercept 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mean</w:t>
            </w:r>
            <w:proofErr w:type="gramEnd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(intercept)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4553212" w14:textId="13F65F80" w:rsidR="009369E4" w:rsidRPr="003F2CAE" w:rsidRDefault="007F40AD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3.17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02</w:t>
            </w:r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36E9628" w14:textId="0F78BE3A" w:rsidR="009369E4" w:rsidRPr="003F2CAE" w:rsidRDefault="00C73181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3.</w:t>
            </w:r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3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03</w:t>
            </w:r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  <w:r w:rsidR="007F40AD">
              <w:rPr>
                <w:rFonts w:ascii="Times New Roman" w:hAnsi="Times New Roman" w:cs="Times New Roman"/>
                <w:color w:val="0D0D0D" w:themeColor="text1" w:themeTint="F2"/>
              </w:rPr>
              <w:t>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4837085" w14:textId="5545E47E" w:rsidR="009369E4" w:rsidRPr="003F2CAE" w:rsidRDefault="009369E4" w:rsidP="00DF106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3.</w:t>
            </w:r>
            <w:r w:rsidR="00DF1061">
              <w:rPr>
                <w:rFonts w:ascii="Times New Roman" w:hAnsi="Times New Roman" w:cs="Times New Roman"/>
                <w:color w:val="0D0D0D" w:themeColor="text1" w:themeTint="F2"/>
              </w:rPr>
              <w:t>25 (.</w:t>
            </w:r>
            <w:proofErr w:type="gramStart"/>
            <w:r w:rsidR="00DF1061">
              <w:rPr>
                <w:rFonts w:ascii="Times New Roman" w:hAnsi="Times New Roman" w:cs="Times New Roman"/>
                <w:color w:val="0D0D0D" w:themeColor="text1" w:themeTint="F2"/>
              </w:rPr>
              <w:t>03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1807F0C" w14:textId="5D8C6480" w:rsidR="009369E4" w:rsidRPr="003F2CAE" w:rsidRDefault="009369E4" w:rsidP="00C4652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  <w:r w:rsidR="00C46528">
              <w:rPr>
                <w:rFonts w:ascii="Times New Roman" w:hAnsi="Times New Roman" w:cs="Times New Roman"/>
                <w:color w:val="0D0D0D" w:themeColor="text1" w:themeTint="F2"/>
              </w:rPr>
              <w:t>.21 (.</w:t>
            </w:r>
            <w:proofErr w:type="gramStart"/>
            <w:r w:rsidR="00C46528">
              <w:rPr>
                <w:rFonts w:ascii="Times New Roman" w:hAnsi="Times New Roman" w:cs="Times New Roman"/>
                <w:color w:val="0D0D0D" w:themeColor="text1" w:themeTint="F2"/>
              </w:rPr>
              <w:t>05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)*</w:t>
            </w:r>
            <w:proofErr w:type="gramEnd"/>
          </w:p>
        </w:tc>
      </w:tr>
      <w:tr w:rsidR="009369E4" w:rsidRPr="003F2CAE" w14:paraId="7A041100" w14:textId="77777777" w:rsidTr="00C4652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B3C525E" w14:textId="0E5FE65E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Latent slope 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mean</w:t>
            </w:r>
            <w:proofErr w:type="gramEnd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(intercept)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430859E" w14:textId="44C055FD" w:rsidR="009369E4" w:rsidRPr="003F2CAE" w:rsidRDefault="007F40AD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.09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04</w:t>
            </w:r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>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482B67B" w14:textId="645926A3" w:rsidR="009369E4" w:rsidRPr="003F2CAE" w:rsidRDefault="00C73181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.04 (.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02</w:t>
            </w:r>
            <w:r w:rsidR="009369E4" w:rsidRPr="003F2CAE">
              <w:rPr>
                <w:rFonts w:ascii="Times New Roman" w:hAnsi="Times New Roman" w:cs="Times New Roman"/>
                <w:color w:val="0D0D0D" w:themeColor="text1" w:themeTint="F2"/>
              </w:rPr>
              <w:t>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59F7818" w14:textId="254FBC8D" w:rsidR="009369E4" w:rsidRPr="003F2CAE" w:rsidRDefault="009369E4" w:rsidP="0099324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DF1061">
              <w:rPr>
                <w:rFonts w:ascii="Times New Roman" w:hAnsi="Times New Roman" w:cs="Times New Roman"/>
                <w:color w:val="0D0D0D" w:themeColor="text1" w:themeTint="F2"/>
              </w:rPr>
              <w:t>-.01 (.03</w:t>
            </w: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1CF060F" w14:textId="37B4E2D5" w:rsidR="009369E4" w:rsidRPr="003F2CAE" w:rsidRDefault="0099324F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C46528">
              <w:rPr>
                <w:rFonts w:ascii="Times New Roman" w:hAnsi="Times New Roman" w:cs="Times New Roman"/>
                <w:color w:val="0D0D0D" w:themeColor="text1" w:themeTint="F2"/>
              </w:rPr>
              <w:t>-.06 (.05)</w:t>
            </w:r>
          </w:p>
        </w:tc>
      </w:tr>
      <w:tr w:rsidR="009369E4" w:rsidRPr="003F2CAE" w14:paraId="269DE28A" w14:textId="77777777" w:rsidTr="00DF1061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90D36F2" w14:textId="1AAE6A43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Latent curve </w:t>
            </w:r>
            <w:proofErr w:type="gramStart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mean</w:t>
            </w:r>
            <w:proofErr w:type="gramEnd"/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(intercept)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B01A4D3" w14:textId="062ECCEA" w:rsidR="009369E4" w:rsidRPr="003F2CAE" w:rsidRDefault="007F40AD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-.02 (.02)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91D145B" w14:textId="64EBD916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40AD">
              <w:rPr>
                <w:rFonts w:ascii="Times New Roman" w:hAnsi="Times New Roman" w:cs="Times New Roman"/>
                <w:color w:val="0D0D0D" w:themeColor="text1" w:themeTint="F2"/>
              </w:rPr>
              <w:t>-.02 (.02)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BA2E1DE" w14:textId="1E20530C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40AD">
              <w:rPr>
                <w:rFonts w:ascii="Times New Roman" w:hAnsi="Times New Roman" w:cs="Times New Roman"/>
                <w:color w:val="0D0D0D" w:themeColor="text1" w:themeTint="F2"/>
              </w:rPr>
              <w:t>-.02 (.02)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2BFD053" w14:textId="4EE80FD9" w:rsidR="009369E4" w:rsidRPr="003F2CAE" w:rsidRDefault="0099324F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40AD">
              <w:rPr>
                <w:rFonts w:ascii="Times New Roman" w:hAnsi="Times New Roman" w:cs="Times New Roman"/>
                <w:color w:val="0D0D0D" w:themeColor="text1" w:themeTint="F2"/>
              </w:rPr>
              <w:t>-.02 (.02)</w:t>
            </w:r>
          </w:p>
        </w:tc>
      </w:tr>
      <w:tr w:rsidR="009369E4" w:rsidRPr="003F2CAE" w14:paraId="3123A20D" w14:textId="77777777" w:rsidTr="00DF1061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91102AC" w14:textId="5DD17A6A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Latent intercept path to performance rating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A06364" w14:textId="70CA31C2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11C42E" w14:textId="7C73FEEA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FCBCF" w14:textId="3866DE7F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5ABFC1" w14:textId="6284E424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</w:tr>
      <w:tr w:rsidR="009369E4" w:rsidRPr="003F2CAE" w14:paraId="26CCFA01" w14:textId="77777777" w:rsidTr="00892F2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FDCB90A" w14:textId="2A22E2E8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Latent intercept path to performance rating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B3AE3F" w14:textId="17E3C049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3052DE" w14:textId="090751BE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E80065" w14:textId="5D7285CD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63E2D5" w14:textId="1F313084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</w:tr>
      <w:tr w:rsidR="009369E4" w:rsidRPr="003F2CAE" w14:paraId="4EC497E9" w14:textId="77777777" w:rsidTr="00892F2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FE7D3F3" w14:textId="7E85AC28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Latent intercept path to performance rating 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BB172D" w14:textId="17547E13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74E39A" w14:textId="78D7ADE0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4C6502" w14:textId="0D83F73F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CBE44D" w14:textId="3D1EFFF6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</w:tr>
      <w:tr w:rsidR="009369E4" w:rsidRPr="003F2CAE" w14:paraId="52C81907" w14:textId="77777777" w:rsidTr="00892F2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588E6D7" w14:textId="1F3A3E75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Latent intercept path to performance rating 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0CA259" w14:textId="1F75524E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BCD472" w14:textId="05367200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2F0863" w14:textId="1AB0E356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617F87" w14:textId="694E4932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</w:tr>
      <w:tr w:rsidR="009369E4" w:rsidRPr="003F2CAE" w14:paraId="3853CB0C" w14:textId="77777777" w:rsidTr="00892F2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4445EA9" w14:textId="6BB7C064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Latent slope path to performance rating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F05602" w14:textId="0F47B4FF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2051AF" w14:textId="4381F477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EA80EF" w14:textId="73E8820E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615346" w14:textId="1E74030B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-3</w:t>
            </w:r>
          </w:p>
        </w:tc>
      </w:tr>
      <w:tr w:rsidR="009369E4" w:rsidRPr="003F2CAE" w14:paraId="0A20D897" w14:textId="77777777" w:rsidTr="00892F2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BD697D7" w14:textId="59A9713B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Latent slope path to performance rating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8BEC1F" w14:textId="4CF75335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EE3302" w14:textId="6B8C577D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27B416" w14:textId="5339E1FE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347A19" w14:textId="6B9A731B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-2</w:t>
            </w:r>
          </w:p>
        </w:tc>
      </w:tr>
      <w:tr w:rsidR="009369E4" w:rsidRPr="003F2CAE" w14:paraId="6D539B24" w14:textId="77777777" w:rsidTr="00892F2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2089A7B" w14:textId="057396E6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Latent slope path to performance rating 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1B2C0F" w14:textId="473FF76A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763151" w14:textId="02054396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4E9943" w14:textId="6E9FB75F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5A78F4" w14:textId="1F3EB797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-1</w:t>
            </w:r>
          </w:p>
        </w:tc>
      </w:tr>
      <w:tr w:rsidR="009369E4" w:rsidRPr="003F2CAE" w14:paraId="11F21767" w14:textId="77777777" w:rsidTr="00892F2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B73AD9D" w14:textId="02621179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Latent slope path to performance rating 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D82B7D" w14:textId="7C036B35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0930E2" w14:textId="1EFE77A2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A4F2BF" w14:textId="004A9926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01360B" w14:textId="4415DB2C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</w:tr>
      <w:tr w:rsidR="009369E4" w:rsidRPr="003F2CAE" w14:paraId="2FF6E0B2" w14:textId="77777777" w:rsidTr="00892F2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FA98FC6" w14:textId="4E238769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Latent curve path to performance rating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FD8775" w14:textId="68C78D0A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4255E4" w14:textId="33463B8A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E5E31E" w14:textId="470565E0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46E731" w14:textId="16C09D11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</w:tr>
      <w:tr w:rsidR="009369E4" w:rsidRPr="003F2CAE" w14:paraId="5E01E5E2" w14:textId="77777777" w:rsidTr="00892F2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61018CC" w14:textId="7AD7AC63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Latent curve path to performance rating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94375B" w14:textId="4A7A9CA9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1C7174" w14:textId="2866FCAB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394F5A" w14:textId="35220F07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A5EBDD" w14:textId="76564786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</w:tr>
      <w:tr w:rsidR="009369E4" w:rsidRPr="003F2CAE" w14:paraId="0A421E86" w14:textId="77777777" w:rsidTr="00892F2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066FDF3" w14:textId="164E7C7B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Latent curve path to performance rating 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2947B7" w14:textId="5CD8EC0A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B11BA9" w14:textId="11F7F64E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7EF69D" w14:textId="76A75269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C7C52B" w14:textId="6702E247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</w:tr>
      <w:tr w:rsidR="009369E4" w:rsidRPr="003F2CAE" w14:paraId="79A833DF" w14:textId="77777777" w:rsidTr="00892F2C"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515C0" w14:textId="0FA1F529" w:rsidR="009369E4" w:rsidRPr="003F2CAE" w:rsidRDefault="009369E4" w:rsidP="009369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Latent curve path to performance rating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036C6" w14:textId="08E42403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22378" w14:textId="70B0BB11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78EC2" w14:textId="0C11824E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C6BFD" w14:textId="74AFAEB5" w:rsidR="009369E4" w:rsidRPr="003F2CAE" w:rsidRDefault="009369E4" w:rsidP="009369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F2CAE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</w:tr>
    </w:tbl>
    <w:p w14:paraId="5AA94410" w14:textId="7A85D86E" w:rsidR="00B75711" w:rsidRDefault="00472FB6" w:rsidP="001D0276">
      <w:pPr>
        <w:spacing w:after="0"/>
        <w:rPr>
          <w:rFonts w:ascii="Times New Roman" w:hAnsi="Times New Roman" w:cs="Times New Roman"/>
        </w:rPr>
      </w:pPr>
      <w:r w:rsidRPr="00C0459E">
        <w:rPr>
          <w:rFonts w:ascii="Times New Roman" w:hAnsi="Times New Roman" w:cs="Times New Roman"/>
          <w:i/>
        </w:rPr>
        <w:t>Note.</w:t>
      </w:r>
      <w:r w:rsidRPr="00C0459E">
        <w:rPr>
          <w:rFonts w:ascii="Times New Roman" w:hAnsi="Times New Roman" w:cs="Times New Roman"/>
        </w:rPr>
        <w:t xml:space="preserve"> </w:t>
      </w:r>
      <w:r w:rsidRPr="00C0459E">
        <w:rPr>
          <w:rFonts w:ascii="Times New Roman" w:hAnsi="Times New Roman" w:cs="Times New Roman"/>
          <w:i/>
        </w:rPr>
        <w:t>N</w:t>
      </w:r>
      <w:r w:rsidRPr="00C0459E">
        <w:rPr>
          <w:rFonts w:ascii="Times New Roman" w:hAnsi="Times New Roman" w:cs="Times New Roman"/>
        </w:rPr>
        <w:t>s for boomerang, internally hired, and externally hired managers were 732, 6,015, and 13,600, respectively.</w:t>
      </w:r>
      <w:r>
        <w:rPr>
          <w:rFonts w:ascii="Times New Roman" w:hAnsi="Times New Roman" w:cs="Times New Roman"/>
        </w:rPr>
        <w:t xml:space="preserve"> </w:t>
      </w:r>
      <w:r w:rsidRPr="00C0459E">
        <w:rPr>
          <w:rFonts w:ascii="Times New Roman" w:hAnsi="Times New Roman" w:cs="Times New Roman"/>
        </w:rPr>
        <w:t>The hire type predictor</w:t>
      </w:r>
      <w:r w:rsidR="00CE39E5">
        <w:rPr>
          <w:rFonts w:ascii="Times New Roman" w:hAnsi="Times New Roman" w:cs="Times New Roman"/>
        </w:rPr>
        <w:t>s</w:t>
      </w:r>
      <w:r w:rsidRPr="00C0459E">
        <w:rPr>
          <w:rFonts w:ascii="Times New Roman" w:hAnsi="Times New Roman" w:cs="Times New Roman"/>
        </w:rPr>
        <w:t xml:space="preserve"> w</w:t>
      </w:r>
      <w:r w:rsidR="00CE39E5">
        <w:rPr>
          <w:rFonts w:ascii="Times New Roman" w:hAnsi="Times New Roman" w:cs="Times New Roman"/>
        </w:rPr>
        <w:t>ere</w:t>
      </w:r>
      <w:r w:rsidRPr="00C0459E">
        <w:rPr>
          <w:rFonts w:ascii="Times New Roman" w:hAnsi="Times New Roman" w:cs="Times New Roman"/>
        </w:rPr>
        <w:t xml:space="preserve"> coded as boomerang managers </w:t>
      </w:r>
      <w:r w:rsidR="00CE39E5">
        <w:rPr>
          <w:rFonts w:ascii="Times New Roman" w:hAnsi="Times New Roman" w:cs="Times New Roman"/>
        </w:rPr>
        <w:t>= 0</w:t>
      </w:r>
      <w:r w:rsidRPr="00C0459E">
        <w:rPr>
          <w:rFonts w:ascii="Times New Roman" w:hAnsi="Times New Roman" w:cs="Times New Roman"/>
        </w:rPr>
        <w:t xml:space="preserve"> an</w:t>
      </w:r>
      <w:r w:rsidR="00CE39E5">
        <w:rPr>
          <w:rFonts w:ascii="Times New Roman" w:hAnsi="Times New Roman" w:cs="Times New Roman"/>
        </w:rPr>
        <w:t>d internal/external managers = 1</w:t>
      </w:r>
      <w:r w:rsidRPr="00C0459E">
        <w:rPr>
          <w:rFonts w:ascii="Times New Roman" w:hAnsi="Times New Roman" w:cs="Times New Roman"/>
        </w:rPr>
        <w:t>.</w:t>
      </w:r>
      <w:r w:rsidR="003F2CAE">
        <w:rPr>
          <w:rFonts w:ascii="Times New Roman" w:hAnsi="Times New Roman" w:cs="Times New Roman"/>
        </w:rPr>
        <w:t xml:space="preserve"> Whole digits (e.g., 1) in the lower half of the table are fixed regression weights.</w:t>
      </w:r>
    </w:p>
    <w:p w14:paraId="7A6001BA" w14:textId="6EBC993C" w:rsidR="004D129E" w:rsidRPr="004D129E" w:rsidRDefault="004D129E" w:rsidP="001D0276">
      <w:pPr>
        <w:spacing w:after="0"/>
      </w:pPr>
      <w:proofErr w:type="spellStart"/>
      <w:r>
        <w:rPr>
          <w:rFonts w:ascii="Times New Roman" w:hAnsi="Times New Roman" w:cs="Times New Roman"/>
          <w:vertAlign w:val="superscript"/>
        </w:rPr>
        <w:t>a</w:t>
      </w:r>
      <w:proofErr w:type="spellEnd"/>
      <w:r>
        <w:rPr>
          <w:rFonts w:ascii="Times New Roman" w:hAnsi="Times New Roman" w:cs="Times New Roman"/>
        </w:rPr>
        <w:t xml:space="preserve"> These </w:t>
      </w:r>
      <w:r w:rsidR="00892F2C">
        <w:rPr>
          <w:rFonts w:ascii="Times New Roman" w:hAnsi="Times New Roman" w:cs="Times New Roman"/>
        </w:rPr>
        <w:t>six</w:t>
      </w:r>
      <w:r>
        <w:rPr>
          <w:rFonts w:ascii="Times New Roman" w:hAnsi="Times New Roman" w:cs="Times New Roman"/>
        </w:rPr>
        <w:t xml:space="preserve"> variables were observed, </w:t>
      </w:r>
      <w:r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resulting in </w:t>
      </w:r>
      <w:r w:rsidR="004F5F2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observations in the </w:t>
      </w:r>
      <w:r w:rsidR="004F5F2E">
        <w:rPr>
          <w:rFonts w:ascii="Times New Roman" w:hAnsi="Times New Roman" w:cs="Times New Roman"/>
          <w:color w:val="000000" w:themeColor="text1"/>
          <w:sz w:val="24"/>
          <w:szCs w:val="24"/>
        </w:rPr>
        <w:t>variance-covariance matrix and 6</w:t>
      </w:r>
      <w:r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</w:t>
      </w:r>
      <w:r w:rsidR="004F5F2E">
        <w:rPr>
          <w:rFonts w:ascii="Times New Roman" w:hAnsi="Times New Roman" w:cs="Times New Roman"/>
          <w:color w:val="000000" w:themeColor="text1"/>
          <w:sz w:val="24"/>
          <w:szCs w:val="24"/>
        </w:rPr>
        <w:t>rvations of means for 27</w:t>
      </w:r>
      <w:r w:rsidRPr="0081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 observations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3"/>
    </w:p>
    <w:sectPr w:rsidR="004D129E" w:rsidRPr="004D129E" w:rsidSect="0023399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4F07E" w14:textId="77777777" w:rsidR="00A57758" w:rsidRDefault="00A57758" w:rsidP="001F6473">
      <w:pPr>
        <w:spacing w:after="0" w:line="240" w:lineRule="auto"/>
      </w:pPr>
      <w:r>
        <w:separator/>
      </w:r>
    </w:p>
  </w:endnote>
  <w:endnote w:type="continuationSeparator" w:id="0">
    <w:p w14:paraId="0AC766C9" w14:textId="77777777" w:rsidR="00A57758" w:rsidRDefault="00A57758" w:rsidP="001F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689F8" w14:textId="77777777" w:rsidR="00A57758" w:rsidRDefault="00A57758" w:rsidP="001F6473">
      <w:pPr>
        <w:spacing w:after="0" w:line="240" w:lineRule="auto"/>
      </w:pPr>
      <w:r>
        <w:separator/>
      </w:r>
    </w:p>
  </w:footnote>
  <w:footnote w:type="continuationSeparator" w:id="0">
    <w:p w14:paraId="0FDA4027" w14:textId="77777777" w:rsidR="00A57758" w:rsidRDefault="00A57758" w:rsidP="001F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4378776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B957A8" w14:textId="23AA58BB" w:rsidR="00F544FA" w:rsidRDefault="00F544FA" w:rsidP="001F6473">
        <w:pPr>
          <w:pStyle w:val="Header"/>
          <w:spacing w:line="480" w:lineRule="auto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BOOMERANG EMPLOYEES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7650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64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50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667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6508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1684057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992F72" w14:textId="6E0F50D0" w:rsidR="00F544FA" w:rsidRDefault="00F544FA" w:rsidP="003F2CAE">
        <w:pPr>
          <w:pStyle w:val="Header"/>
          <w:spacing w:line="480" w:lineRule="auto"/>
        </w:pPr>
        <w:r>
          <w:rPr>
            <w:rFonts w:ascii="Times New Roman" w:hAnsi="Times New Roman" w:cs="Times New Roman"/>
            <w:sz w:val="24"/>
            <w:szCs w:val="24"/>
          </w:rPr>
          <w:t>BOOMERANG EMPLOYEES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7650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64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50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667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6508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21188"/>
    <w:multiLevelType w:val="hybridMultilevel"/>
    <w:tmpl w:val="12A25294"/>
    <w:lvl w:ilvl="0" w:tplc="BB204CBA">
      <w:start w:val="3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11"/>
    <w:rsid w:val="00054ADB"/>
    <w:rsid w:val="00073FEB"/>
    <w:rsid w:val="000A5869"/>
    <w:rsid w:val="001401B3"/>
    <w:rsid w:val="001523C8"/>
    <w:rsid w:val="00180B9D"/>
    <w:rsid w:val="001C55CD"/>
    <w:rsid w:val="001D0276"/>
    <w:rsid w:val="001E5CF1"/>
    <w:rsid w:val="001F6473"/>
    <w:rsid w:val="00233990"/>
    <w:rsid w:val="0026163F"/>
    <w:rsid w:val="00261A6B"/>
    <w:rsid w:val="00282771"/>
    <w:rsid w:val="002D3CCC"/>
    <w:rsid w:val="003309BD"/>
    <w:rsid w:val="00361CDE"/>
    <w:rsid w:val="00385186"/>
    <w:rsid w:val="003F2CAE"/>
    <w:rsid w:val="00446677"/>
    <w:rsid w:val="00472FB6"/>
    <w:rsid w:val="004D129E"/>
    <w:rsid w:val="004E23C4"/>
    <w:rsid w:val="004F5F2E"/>
    <w:rsid w:val="005115BE"/>
    <w:rsid w:val="00574B86"/>
    <w:rsid w:val="00584A33"/>
    <w:rsid w:val="005E1714"/>
    <w:rsid w:val="005F78CD"/>
    <w:rsid w:val="00604F9E"/>
    <w:rsid w:val="00612053"/>
    <w:rsid w:val="00622876"/>
    <w:rsid w:val="00657726"/>
    <w:rsid w:val="006640B6"/>
    <w:rsid w:val="006651FF"/>
    <w:rsid w:val="006E0CD9"/>
    <w:rsid w:val="00713814"/>
    <w:rsid w:val="007548E0"/>
    <w:rsid w:val="00761EA5"/>
    <w:rsid w:val="007727D6"/>
    <w:rsid w:val="007A7F1D"/>
    <w:rsid w:val="007F40AD"/>
    <w:rsid w:val="00892F2C"/>
    <w:rsid w:val="00893757"/>
    <w:rsid w:val="00900800"/>
    <w:rsid w:val="009369E4"/>
    <w:rsid w:val="009502C8"/>
    <w:rsid w:val="00953A11"/>
    <w:rsid w:val="00971054"/>
    <w:rsid w:val="0099324F"/>
    <w:rsid w:val="009B1B8D"/>
    <w:rsid w:val="00A15D5B"/>
    <w:rsid w:val="00A513C9"/>
    <w:rsid w:val="00A57758"/>
    <w:rsid w:val="00A6453C"/>
    <w:rsid w:val="00AA4952"/>
    <w:rsid w:val="00AD13DE"/>
    <w:rsid w:val="00B4021C"/>
    <w:rsid w:val="00B75711"/>
    <w:rsid w:val="00C35C40"/>
    <w:rsid w:val="00C46528"/>
    <w:rsid w:val="00C572FD"/>
    <w:rsid w:val="00C73181"/>
    <w:rsid w:val="00C815E7"/>
    <w:rsid w:val="00C908D8"/>
    <w:rsid w:val="00CE39E5"/>
    <w:rsid w:val="00D20857"/>
    <w:rsid w:val="00D40D4D"/>
    <w:rsid w:val="00DD1FAE"/>
    <w:rsid w:val="00DF1061"/>
    <w:rsid w:val="00E44F6E"/>
    <w:rsid w:val="00F10B30"/>
    <w:rsid w:val="00F11B29"/>
    <w:rsid w:val="00F53B7A"/>
    <w:rsid w:val="00F544FA"/>
    <w:rsid w:val="00F81CE5"/>
    <w:rsid w:val="00FC222C"/>
    <w:rsid w:val="00FD7AD9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8A5C"/>
  <w15:chartTrackingRefBased/>
  <w15:docId w15:val="{D148E925-E058-493C-A890-43F5E43A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11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711"/>
    <w:pPr>
      <w:spacing w:after="0" w:line="240" w:lineRule="auto"/>
    </w:pPr>
    <w:rPr>
      <w:rFonts w:ascii="Segoe UI" w:hAnsi="Segoe UI" w:cs="Segoe UI"/>
      <w:color w:val="22222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11"/>
    <w:rPr>
      <w:rFonts w:ascii="Segoe UI" w:hAnsi="Segoe UI" w:cs="Segoe UI"/>
      <w:sz w:val="18"/>
      <w:szCs w:val="18"/>
    </w:rPr>
  </w:style>
  <w:style w:type="table" w:customStyle="1" w:styleId="PlainTable41">
    <w:name w:val="Plain Table 41"/>
    <w:basedOn w:val="TableNormal"/>
    <w:uiPriority w:val="99"/>
    <w:rsid w:val="00B7571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C8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1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29E"/>
    <w:rPr>
      <w:rFonts w:asciiTheme="minorHAnsi" w:hAnsiTheme="minorHAnsi"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29E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6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73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6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73"/>
    <w:rPr>
      <w:rFonts w:asciiTheme="minorHAnsi" w:hAnsiTheme="minorHAnsi" w:cstheme="minorBidi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993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Arnold</dc:creator>
  <cp:keywords/>
  <dc:description/>
  <cp:lastModifiedBy>Chad Vaniddekinge</cp:lastModifiedBy>
  <cp:revision>5</cp:revision>
  <dcterms:created xsi:type="dcterms:W3CDTF">2020-05-20T19:51:00Z</dcterms:created>
  <dcterms:modified xsi:type="dcterms:W3CDTF">2020-05-20T20:02:00Z</dcterms:modified>
</cp:coreProperties>
</file>