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7C" w:rsidRPr="007207E1" w:rsidRDefault="007207E1" w:rsidP="00483003">
      <w:pPr>
        <w:widowControl/>
        <w:spacing w:line="480" w:lineRule="auto"/>
        <w:jc w:val="left"/>
        <w:rPr>
          <w:rFonts w:ascii="Times New Roman" w:eastAsiaTheme="minorEastAsia" w:hAnsi="Times New Roman" w:cs="Times New Roman"/>
          <w:iCs/>
          <w:color w:val="auto"/>
          <w:kern w:val="0"/>
          <w:lang w:val="pt-PT"/>
        </w:rPr>
      </w:pPr>
      <w:r w:rsidRPr="007207E1">
        <w:rPr>
          <w:rFonts w:ascii="Times New Roman" w:eastAsiaTheme="minorEastAsia" w:hAnsi="Times New Roman" w:cs="Times New Roman"/>
          <w:iCs/>
          <w:color w:val="auto"/>
          <w:kern w:val="0"/>
          <w:lang w:val="pt-PT"/>
        </w:rPr>
        <w:t xml:space="preserve">Supplemental Table 1. </w:t>
      </w:r>
      <w:r w:rsidR="00EB58F0" w:rsidRPr="007207E1">
        <w:rPr>
          <w:rFonts w:ascii="Times New Roman" w:eastAsiaTheme="minorEastAsia" w:hAnsi="Times New Roman" w:cs="Times New Roman"/>
          <w:iCs/>
          <w:color w:val="auto"/>
          <w:spacing w:val="-4"/>
          <w:kern w:val="0"/>
          <w:lang w:val="pt-PT"/>
        </w:rPr>
        <w:t>Extrapolation to clinical dose</w:t>
      </w:r>
      <w:r w:rsidR="00EB58F0" w:rsidRPr="007207E1">
        <w:rPr>
          <w:rFonts w:ascii="Times New Roman" w:hAnsi="Times New Roman" w:cs="Times New Roman"/>
          <w:spacing w:val="-4"/>
        </w:rPr>
        <w:t xml:space="preserve"> using t</w:t>
      </w:r>
      <w:r w:rsidR="00EB58F0" w:rsidRPr="007207E1">
        <w:rPr>
          <w:rFonts w:ascii="Times New Roman" w:eastAsiaTheme="minorEastAsia" w:hAnsi="Times New Roman" w:cs="Times New Roman"/>
          <w:iCs/>
          <w:color w:val="auto"/>
          <w:spacing w:val="-4"/>
          <w:kern w:val="0"/>
          <w:lang w:val="pt-PT"/>
        </w:rPr>
        <w:t xml:space="preserve">he MRI-measured </w:t>
      </w:r>
      <w:r>
        <w:rPr>
          <w:rFonts w:ascii="Times New Roman" w:eastAsiaTheme="minorEastAsia" w:hAnsi="Times New Roman" w:cs="Times New Roman"/>
          <w:iCs/>
          <w:color w:val="auto"/>
          <w:spacing w:val="-4"/>
          <w:kern w:val="0"/>
          <w:lang w:val="pt-PT"/>
        </w:rPr>
        <w:t>NP</w:t>
      </w:r>
      <w:r w:rsidR="00EB58F0" w:rsidRPr="007207E1">
        <w:rPr>
          <w:rFonts w:ascii="Times New Roman" w:eastAsiaTheme="minorEastAsia" w:hAnsi="Times New Roman" w:cs="Times New Roman"/>
          <w:iCs/>
          <w:color w:val="auto"/>
          <w:spacing w:val="-4"/>
          <w:kern w:val="0"/>
          <w:lang w:val="pt-PT"/>
        </w:rPr>
        <w:t xml:space="preserve"> volume</w:t>
      </w:r>
      <w:r w:rsidR="00E039D8" w:rsidRPr="007207E1">
        <w:rPr>
          <w:rFonts w:ascii="Times New Roman" w:eastAsiaTheme="minorEastAsia" w:hAnsi="Times New Roman" w:cs="Times New Roman"/>
          <w:iCs/>
          <w:color w:val="auto"/>
          <w:spacing w:val="-4"/>
          <w:kern w:val="0"/>
          <w:lang w:val="pt-PT"/>
        </w:rPr>
        <w:t xml:space="preserve"> ratio</w:t>
      </w:r>
    </w:p>
    <w:tbl>
      <w:tblPr>
        <w:tblStyle w:val="TableNormal"/>
        <w:tblW w:w="8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276"/>
        <w:gridCol w:w="2268"/>
        <w:gridCol w:w="2215"/>
      </w:tblGrid>
      <w:tr w:rsidR="00071A29" w:rsidRPr="005861AF" w:rsidTr="00741E3E">
        <w:trPr>
          <w:trHeight w:val="240"/>
          <w:tblHeader/>
          <w:jc w:val="center"/>
        </w:trPr>
        <w:tc>
          <w:tcPr>
            <w:tcW w:w="112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29" w:rsidRPr="005861AF" w:rsidRDefault="00071A29" w:rsidP="005070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61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Species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29" w:rsidRPr="005861AF" w:rsidRDefault="00071A29" w:rsidP="00507049">
            <w:pPr>
              <w:widowControl/>
              <w:tabs>
                <w:tab w:val="left" w:pos="1683"/>
              </w:tabs>
              <w:spacing w:line="240" w:lineRule="exact"/>
              <w:ind w:leftChars="-38" w:left="-80" w:rightChars="-38" w:right="-8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61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MRI-measured</w:t>
            </w:r>
            <w:r w:rsidRPr="005861A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mean </w:t>
            </w:r>
            <w:r w:rsidR="0048300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NP </w:t>
            </w:r>
            <w:r w:rsidRPr="005861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volume</w:t>
            </w:r>
            <w:r w:rsidRPr="005861A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5861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(mm</w:t>
            </w:r>
            <w:r w:rsidRPr="005861AF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3</w:t>
            </w:r>
            <w:r w:rsidRPr="005861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r w:rsidR="007E7E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7E7E6F" w:rsidRPr="007E7E6F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vMerge w:val="restart"/>
            <w:vAlign w:val="center"/>
          </w:tcPr>
          <w:p w:rsidR="00071A29" w:rsidRPr="005861AF" w:rsidRDefault="00483003" w:rsidP="005070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NP v</w:t>
            </w:r>
            <w:r w:rsidR="00071A29" w:rsidRPr="005861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olume ratio</w:t>
            </w:r>
          </w:p>
        </w:tc>
        <w:tc>
          <w:tcPr>
            <w:tcW w:w="448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29" w:rsidRPr="005861AF" w:rsidRDefault="00071A29" w:rsidP="005070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61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Dose</w:t>
            </w:r>
          </w:p>
        </w:tc>
      </w:tr>
      <w:tr w:rsidR="00071A29" w:rsidRPr="005861AF" w:rsidTr="00741E3E">
        <w:trPr>
          <w:trHeight w:val="240"/>
          <w:tblHeader/>
          <w:jc w:val="center"/>
        </w:trPr>
        <w:tc>
          <w:tcPr>
            <w:tcW w:w="112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29" w:rsidRPr="005861AF" w:rsidRDefault="00071A29" w:rsidP="005070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29" w:rsidRPr="005861AF" w:rsidRDefault="00071A29" w:rsidP="00507049">
            <w:pPr>
              <w:widowControl/>
              <w:tabs>
                <w:tab w:val="left" w:pos="1683"/>
              </w:tabs>
              <w:spacing w:line="240" w:lineRule="exact"/>
              <w:ind w:leftChars="-38" w:left="-80" w:rightChars="-38" w:right="-8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1A29" w:rsidRPr="005861AF" w:rsidRDefault="00071A29" w:rsidP="005070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29" w:rsidRPr="005861AF" w:rsidRDefault="005861AF" w:rsidP="00507049">
            <w:pPr>
              <w:widowControl/>
              <w:spacing w:line="24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861A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C</w:t>
            </w:r>
            <w:r w:rsidRPr="005861AF">
              <w:rPr>
                <w:rFonts w:ascii="Times New Roman" w:eastAsiaTheme="minorEastAsia" w:hAnsi="Times New Roman" w:cs="Times New Roman" w:hint="eastAsia"/>
                <w:color w:val="auto"/>
                <w:sz w:val="18"/>
                <w:szCs w:val="18"/>
              </w:rPr>
              <w:t>ondoliase</w:t>
            </w:r>
          </w:p>
        </w:tc>
        <w:tc>
          <w:tcPr>
            <w:tcW w:w="22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29" w:rsidRPr="005861AF" w:rsidRDefault="005861AF" w:rsidP="00507049">
            <w:pPr>
              <w:widowControl/>
              <w:spacing w:line="24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861AF">
              <w:rPr>
                <w:rFonts w:ascii="Times New Roman" w:eastAsiaTheme="minorEastAsia" w:hAnsi="Times New Roman" w:cs="Times New Roman" w:hint="eastAsia"/>
                <w:color w:val="auto"/>
                <w:sz w:val="18"/>
                <w:szCs w:val="18"/>
              </w:rPr>
              <w:t>Chymopapain</w:t>
            </w:r>
            <w:r w:rsidR="000724D4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0724D4" w:rsidRPr="007E7E6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vertAlign w:val="superscript"/>
              </w:rPr>
              <w:t>b</w:t>
            </w:r>
          </w:p>
        </w:tc>
      </w:tr>
      <w:tr w:rsidR="005861AF" w:rsidRPr="005861AF" w:rsidTr="00741E3E">
        <w:tblPrEx>
          <w:shd w:val="clear" w:color="auto" w:fill="CED7E7"/>
        </w:tblPrEx>
        <w:trPr>
          <w:trHeight w:val="559"/>
          <w:jc w:val="center"/>
        </w:trPr>
        <w:tc>
          <w:tcPr>
            <w:tcW w:w="11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1AF" w:rsidRPr="005861AF" w:rsidRDefault="005861AF" w:rsidP="005070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61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Cynomolgus monkey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1AF" w:rsidRPr="005861AF" w:rsidRDefault="005861AF" w:rsidP="005070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61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127.2</w:t>
            </w:r>
          </w:p>
        </w:tc>
        <w:tc>
          <w:tcPr>
            <w:tcW w:w="1276" w:type="dxa"/>
            <w:vAlign w:val="center"/>
          </w:tcPr>
          <w:p w:rsidR="005861AF" w:rsidRPr="005861AF" w:rsidRDefault="005861AF" w:rsidP="005070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61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1/61.7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1AF" w:rsidRPr="005861AF" w:rsidRDefault="005861AF" w:rsidP="00507049">
            <w:pPr>
              <w:widowControl/>
              <w:spacing w:line="24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861AF">
              <w:rPr>
                <w:rFonts w:ascii="Times New Roman" w:eastAsiaTheme="minorEastAsia" w:hAnsi="Times New Roman" w:cs="Times New Roman" w:hint="eastAsia"/>
                <w:color w:val="auto"/>
                <w:sz w:val="18"/>
                <w:szCs w:val="18"/>
              </w:rPr>
              <w:t xml:space="preserve">0.25, </w:t>
            </w:r>
            <w:r w:rsidRPr="005861AF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</w:t>
            </w:r>
            <w:r w:rsidR="005F30E2">
              <w:t xml:space="preserve"> </w:t>
            </w:r>
            <w:r w:rsidR="005F30E2" w:rsidRPr="005F30E2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U/disc</w:t>
            </w:r>
          </w:p>
        </w:tc>
        <w:tc>
          <w:tcPr>
            <w:tcW w:w="22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1AF" w:rsidRPr="005861AF" w:rsidRDefault="005861AF" w:rsidP="00507049">
            <w:pPr>
              <w:widowControl/>
              <w:spacing w:line="24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18"/>
                <w:szCs w:val="18"/>
              </w:rPr>
              <w:t>5.7</w:t>
            </w:r>
            <w:r w:rsidR="005F30E2">
              <w:t xml:space="preserve"> </w:t>
            </w:r>
            <w:r w:rsidR="005F30E2" w:rsidRPr="005F30E2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mg/disc</w:t>
            </w:r>
          </w:p>
        </w:tc>
      </w:tr>
      <w:tr w:rsidR="005861AF" w:rsidRPr="005861AF" w:rsidTr="00741E3E">
        <w:tblPrEx>
          <w:shd w:val="clear" w:color="auto" w:fill="CED7E7"/>
        </w:tblPrEx>
        <w:trPr>
          <w:trHeight w:val="151"/>
          <w:jc w:val="center"/>
        </w:trPr>
        <w:tc>
          <w:tcPr>
            <w:tcW w:w="11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1AF" w:rsidRPr="005861AF" w:rsidRDefault="005861AF" w:rsidP="005070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61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Human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1AF" w:rsidRPr="005861AF" w:rsidRDefault="005861AF" w:rsidP="005070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61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7852.2</w:t>
            </w:r>
          </w:p>
        </w:tc>
        <w:tc>
          <w:tcPr>
            <w:tcW w:w="1276" w:type="dxa"/>
            <w:vAlign w:val="center"/>
          </w:tcPr>
          <w:p w:rsidR="005861AF" w:rsidRPr="005861AF" w:rsidRDefault="005861AF" w:rsidP="005070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61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1AF" w:rsidRDefault="005861AF" w:rsidP="00507049">
            <w:pPr>
              <w:widowControl/>
              <w:spacing w:line="24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861AF">
              <w:rPr>
                <w:rFonts w:ascii="Times New Roman" w:eastAsiaTheme="minorEastAsia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5</w:t>
            </w:r>
            <w:r w:rsidRPr="005861AF">
              <w:rPr>
                <w:rFonts w:ascii="Times New Roman" w:eastAsiaTheme="minorEastAsia" w:hAnsi="Times New Roman" w:cs="Times New Roman" w:hint="eastAsia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617</w:t>
            </w:r>
            <w:r w:rsidR="005F30E2">
              <w:t xml:space="preserve"> </w:t>
            </w:r>
            <w:r w:rsidR="005F30E2" w:rsidRPr="005F30E2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U/disc</w:t>
            </w:r>
            <w:r w:rsidR="001D734A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1D734A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vertAlign w:val="superscript"/>
              </w:rPr>
              <w:t>c</w:t>
            </w:r>
          </w:p>
          <w:p w:rsidR="005861AF" w:rsidRPr="005861AF" w:rsidRDefault="005861AF" w:rsidP="00507049">
            <w:pPr>
              <w:widowControl/>
              <w:spacing w:line="24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(12, </w:t>
            </w:r>
            <w:r w:rsidRPr="005861AF">
              <w:rPr>
                <w:rFonts w:ascii="Times New Roman" w:eastAsiaTheme="minorEastAsia" w:hAnsi="Times New Roman" w:cs="Times New Roman" w:hint="eastAsia"/>
                <w:color w:val="auto"/>
                <w:sz w:val="18"/>
                <w:szCs w:val="18"/>
              </w:rPr>
              <w:t>494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-fold clinical dose)</w:t>
            </w:r>
            <w:r w:rsidR="005757E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CB49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22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1AF" w:rsidRDefault="000724D4" w:rsidP="005070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</w:t>
            </w:r>
            <w:r w:rsidR="005F30E2">
              <w:t xml:space="preserve"> </w:t>
            </w:r>
            <w:r w:rsidR="005F30E2" w:rsidRPr="005F30E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mg/disc</w:t>
            </w:r>
            <w:r w:rsidR="001D734A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1D734A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vertAlign w:val="superscript"/>
              </w:rPr>
              <w:t>c</w:t>
            </w:r>
          </w:p>
          <w:p w:rsidR="00EE0C6F" w:rsidRPr="005861AF" w:rsidRDefault="00EE0C6F" w:rsidP="0050704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(12-fold clinical dose)</w:t>
            </w:r>
            <w:r w:rsidR="005757E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CB49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vertAlign w:val="superscript"/>
              </w:rPr>
              <w:t>d</w:t>
            </w:r>
          </w:p>
        </w:tc>
      </w:tr>
    </w:tbl>
    <w:p w:rsidR="00483003" w:rsidRPr="00483003" w:rsidRDefault="00483003" w:rsidP="00D87483">
      <w:pPr>
        <w:widowControl/>
        <w:spacing w:line="240" w:lineRule="exact"/>
        <w:ind w:left="128" w:hangingChars="71" w:hanging="128"/>
        <w:jc w:val="left"/>
        <w:rPr>
          <w:rFonts w:ascii="Times New Roman" w:hAnsi="Times New Roman" w:cs="Times New Roman"/>
          <w:sz w:val="18"/>
          <w:szCs w:val="18"/>
        </w:rPr>
      </w:pPr>
      <w:r w:rsidRPr="00483003">
        <w:rPr>
          <w:rFonts w:ascii="Times New Roman" w:hAnsi="Times New Roman" w:cs="Times New Roman"/>
          <w:sz w:val="18"/>
          <w:szCs w:val="18"/>
        </w:rPr>
        <w:t>MRI, magnetic resonance image; NP, nucleus pulposus.</w:t>
      </w:r>
    </w:p>
    <w:p w:rsidR="00071A29" w:rsidRPr="00483003" w:rsidRDefault="007E7E6F" w:rsidP="00D87483">
      <w:pPr>
        <w:widowControl/>
        <w:spacing w:line="240" w:lineRule="exact"/>
        <w:ind w:left="128" w:hangingChars="71" w:hanging="128"/>
        <w:jc w:val="left"/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</w:pPr>
      <w:r w:rsidRPr="00483003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483003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071A29" w:rsidRPr="00483003"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  <w:t xml:space="preserve">Healthy adult volunteers (6 men and 3 women ranging </w:t>
      </w:r>
      <w:r w:rsidRPr="00483003">
        <w:rPr>
          <w:rFonts w:ascii="Times New Roman" w:hAnsi="Times New Roman" w:cs="Times New Roman"/>
          <w:sz w:val="18"/>
          <w:szCs w:val="18"/>
        </w:rPr>
        <w:sym w:font="Symbol" w:char="F0B3"/>
      </w:r>
      <w:r w:rsidR="00071A29" w:rsidRPr="00483003"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  <w:t xml:space="preserve">20 to &lt;50 years old) and cynomolgus monkeys (1 male and 2 females) were investigated to calculate the NP volume at the L4/L5 disc on MRI.  </w:t>
      </w:r>
      <w:r w:rsidRPr="00483003"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  <w:t>MRI for healthy volunteers was approved by the Institutional Review Boards of Seikagaku Corporation and Nagoya Central Hospital, and all volunteers provided written informed consent.</w:t>
      </w:r>
    </w:p>
    <w:p w:rsidR="000724D4" w:rsidRPr="00E039D8" w:rsidRDefault="000724D4" w:rsidP="00D87483">
      <w:pPr>
        <w:widowControl/>
        <w:spacing w:line="240" w:lineRule="exact"/>
        <w:ind w:left="128" w:hangingChars="71" w:hanging="128"/>
        <w:jc w:val="left"/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</w:pPr>
      <w:r w:rsidRPr="00483003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483003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4E3A0F" w:rsidRPr="00483003"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  <w:t>Chymopapain (</w:t>
      </w:r>
      <w:r w:rsidR="00E039D8" w:rsidRPr="00E039D8"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  <w:t>Sigma-Aldrich Corp., Tokyo, Japan</w:t>
      </w:r>
      <w:r w:rsidR="00E039D8"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  <w:t>,</w:t>
      </w:r>
      <w:r w:rsidR="00E039D8" w:rsidRPr="00E039D8"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  <w:t xml:space="preserve"> </w:t>
      </w:r>
      <w:r w:rsidR="00682382" w:rsidRPr="00483003"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  <w:t>approximally 102 pKat U/mg)</w:t>
      </w:r>
      <w:r w:rsidR="00483003"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  <w:t xml:space="preserve"> were </w:t>
      </w:r>
      <w:r w:rsidR="00E039D8"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  <w:t>used</w:t>
      </w:r>
      <w:r w:rsidR="00E039D8" w:rsidRPr="00E039D8">
        <w:rPr>
          <w:rFonts w:ascii="Times New Roman" w:hAnsi="Times New Roman"/>
          <w:sz w:val="18"/>
          <w:szCs w:val="18"/>
        </w:rPr>
        <w:t>.</w:t>
      </w:r>
    </w:p>
    <w:p w:rsidR="001D734A" w:rsidRPr="00483003" w:rsidRDefault="001D734A" w:rsidP="00D87483">
      <w:pPr>
        <w:widowControl/>
        <w:spacing w:line="240" w:lineRule="exact"/>
        <w:ind w:left="128" w:hangingChars="71" w:hanging="128"/>
        <w:jc w:val="left"/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</w:pPr>
      <w:r w:rsidRPr="00483003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Pr="00483003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83003"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  <w:t xml:space="preserve">Equivalent human dose calculated by dividing the dose in cynomolgus monkey by the </w:t>
      </w:r>
      <w:r w:rsidR="00483003" w:rsidRPr="00483003"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  <w:t>NP</w:t>
      </w:r>
      <w:r w:rsidRPr="00483003"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  <w:t xml:space="preserve"> </w:t>
      </w:r>
      <w:r w:rsidRPr="00483003">
        <w:rPr>
          <w:rFonts w:ascii="Times New Roman" w:eastAsiaTheme="minorEastAsia" w:hAnsi="Times New Roman" w:cs="Times New Roman"/>
          <w:color w:val="auto"/>
          <w:sz w:val="18"/>
          <w:szCs w:val="18"/>
        </w:rPr>
        <w:t>v</w:t>
      </w:r>
      <w:r w:rsidRPr="00483003">
        <w:rPr>
          <w:rFonts w:ascii="Times New Roman" w:hAnsi="Times New Roman" w:cs="Times New Roman"/>
          <w:color w:val="auto"/>
          <w:sz w:val="18"/>
          <w:szCs w:val="18"/>
        </w:rPr>
        <w:t>olume ratio</w:t>
      </w:r>
      <w:r w:rsidR="00483003" w:rsidRPr="00483003">
        <w:rPr>
          <w:rFonts w:ascii="Times New Roman" w:hAnsi="Times New Roman" w:cs="Times New Roman"/>
          <w:color w:val="auto"/>
          <w:sz w:val="18"/>
          <w:szCs w:val="18"/>
        </w:rPr>
        <w:t xml:space="preserve"> of </w:t>
      </w:r>
      <w:bookmarkStart w:id="0" w:name="_GoBack"/>
      <w:bookmarkEnd w:id="0"/>
      <w:r w:rsidR="00483003" w:rsidRPr="00483003">
        <w:rPr>
          <w:rFonts w:ascii="Times New Roman" w:hAnsi="Times New Roman" w:cs="Times New Roman"/>
          <w:color w:val="auto"/>
          <w:sz w:val="18"/>
          <w:szCs w:val="18"/>
        </w:rPr>
        <w:t>cynomolgus monkey</w:t>
      </w:r>
      <w:r w:rsidRPr="00483003"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  <w:t>.</w:t>
      </w:r>
    </w:p>
    <w:p w:rsidR="00071A29" w:rsidRPr="00483003" w:rsidRDefault="001D734A" w:rsidP="00D87483">
      <w:pPr>
        <w:widowControl/>
        <w:spacing w:line="240" w:lineRule="exact"/>
        <w:ind w:left="128" w:hangingChars="71" w:hanging="128"/>
        <w:jc w:val="left"/>
        <w:rPr>
          <w:rFonts w:ascii="Times New Roman" w:hAnsi="Times New Roman" w:cs="Times New Roman"/>
          <w:sz w:val="18"/>
          <w:szCs w:val="18"/>
        </w:rPr>
      </w:pPr>
      <w:r w:rsidRPr="00483003">
        <w:rPr>
          <w:rFonts w:ascii="Times New Roman" w:hAnsi="Times New Roman" w:cs="Times New Roman"/>
          <w:sz w:val="18"/>
          <w:szCs w:val="18"/>
          <w:vertAlign w:val="superscript"/>
        </w:rPr>
        <w:t>d</w:t>
      </w:r>
      <w:r w:rsidRPr="00483003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83003">
        <w:rPr>
          <w:rFonts w:ascii="Times New Roman" w:hAnsi="Times New Roman" w:cs="Times New Roman"/>
          <w:sz w:val="18"/>
          <w:szCs w:val="18"/>
        </w:rPr>
        <w:t xml:space="preserve">Ratio of the dose to the clinical dose </w:t>
      </w:r>
      <w:r w:rsidR="00483003" w:rsidRPr="00483003">
        <w:rPr>
          <w:rFonts w:ascii="Times New Roman" w:hAnsi="Times New Roman" w:cs="Times New Roman"/>
          <w:sz w:val="18"/>
          <w:szCs w:val="18"/>
        </w:rPr>
        <w:t>calculated</w:t>
      </w:r>
      <w:r w:rsidRPr="00483003">
        <w:rPr>
          <w:rFonts w:ascii="Times New Roman" w:hAnsi="Times New Roman" w:cs="Times New Roman"/>
          <w:sz w:val="18"/>
          <w:szCs w:val="18"/>
        </w:rPr>
        <w:t xml:space="preserve"> by</w:t>
      </w:r>
      <w:r w:rsidRPr="00483003"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  <w:t xml:space="preserve"> dividing the</w:t>
      </w:r>
      <w:r w:rsidRPr="00483003">
        <w:rPr>
          <w:rFonts w:ascii="Times New Roman" w:hAnsi="Times New Roman" w:cs="Times New Roman"/>
          <w:sz w:val="18"/>
          <w:szCs w:val="18"/>
        </w:rPr>
        <w:t xml:space="preserve"> e</w:t>
      </w:r>
      <w:r w:rsidRPr="00483003"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  <w:t xml:space="preserve">quivalent human dose </w:t>
      </w:r>
      <w:r w:rsidR="00431BB9" w:rsidRPr="00483003"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  <w:t xml:space="preserve">by </w:t>
      </w:r>
      <w:r w:rsidR="007E7E6F" w:rsidRPr="00483003"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  <w:t xml:space="preserve">the clinical dose of condoliase (1.25 U/disc) </w:t>
      </w:r>
      <w:r w:rsidR="00431BB9" w:rsidRPr="00483003"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  <w:t xml:space="preserve">or </w:t>
      </w:r>
      <w:r w:rsidR="007E7E6F" w:rsidRPr="00483003"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  <w:t>chymopapain (3000 pKat U/disc)</w:t>
      </w:r>
      <w:r w:rsidR="00431BB9" w:rsidRPr="00483003">
        <w:rPr>
          <w:rFonts w:ascii="Times New Roman" w:eastAsiaTheme="minorEastAsia" w:hAnsi="Times New Roman" w:cs="Times New Roman"/>
          <w:iCs/>
          <w:color w:val="auto"/>
          <w:kern w:val="0"/>
          <w:sz w:val="18"/>
          <w:szCs w:val="18"/>
          <w:lang w:val="pt-PT"/>
        </w:rPr>
        <w:t>.</w:t>
      </w:r>
    </w:p>
    <w:sectPr w:rsidR="00071A29" w:rsidRPr="00483003" w:rsidSect="00832C6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04" w:rsidRDefault="00DA0C04" w:rsidP="001E4A7C">
      <w:r>
        <w:separator/>
      </w:r>
    </w:p>
  </w:endnote>
  <w:endnote w:type="continuationSeparator" w:id="0">
    <w:p w:rsidR="00DA0C04" w:rsidRDefault="00DA0C04" w:rsidP="001E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04" w:rsidRDefault="00DA0C04" w:rsidP="001E4A7C">
      <w:r>
        <w:separator/>
      </w:r>
    </w:p>
  </w:footnote>
  <w:footnote w:type="continuationSeparator" w:id="0">
    <w:p w:rsidR="00DA0C04" w:rsidRDefault="00DA0C04" w:rsidP="001E4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67"/>
    <w:rsid w:val="00016834"/>
    <w:rsid w:val="00071A29"/>
    <w:rsid w:val="000724D4"/>
    <w:rsid w:val="000C04AC"/>
    <w:rsid w:val="00121FB3"/>
    <w:rsid w:val="001673A6"/>
    <w:rsid w:val="001D734A"/>
    <w:rsid w:val="001E4A7C"/>
    <w:rsid w:val="00431BB9"/>
    <w:rsid w:val="00483003"/>
    <w:rsid w:val="00483470"/>
    <w:rsid w:val="004971EE"/>
    <w:rsid w:val="004E3A0F"/>
    <w:rsid w:val="004F7B43"/>
    <w:rsid w:val="00507049"/>
    <w:rsid w:val="005757E7"/>
    <w:rsid w:val="005861AF"/>
    <w:rsid w:val="005F30E2"/>
    <w:rsid w:val="00682382"/>
    <w:rsid w:val="007207E1"/>
    <w:rsid w:val="00741E3E"/>
    <w:rsid w:val="007E7E6F"/>
    <w:rsid w:val="00812803"/>
    <w:rsid w:val="00827B20"/>
    <w:rsid w:val="00832C63"/>
    <w:rsid w:val="00984914"/>
    <w:rsid w:val="00997F67"/>
    <w:rsid w:val="00CB498D"/>
    <w:rsid w:val="00CC12F5"/>
    <w:rsid w:val="00D87483"/>
    <w:rsid w:val="00DA0C04"/>
    <w:rsid w:val="00E039D8"/>
    <w:rsid w:val="00EB58F0"/>
    <w:rsid w:val="00E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DFCA78-458C-4B84-9763-501BF979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4A7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sz w:val="21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color w:val="auto"/>
      <w:sz w:val="24"/>
      <w:szCs w:val="22"/>
      <w:bdr w:val="none" w:sz="0" w:space="0" w:color="auto"/>
    </w:rPr>
  </w:style>
  <w:style w:type="character" w:customStyle="1" w:styleId="a4">
    <w:name w:val="ヘッダー (文字)"/>
    <w:basedOn w:val="a0"/>
    <w:link w:val="a3"/>
    <w:uiPriority w:val="99"/>
    <w:rsid w:val="001E4A7C"/>
  </w:style>
  <w:style w:type="paragraph" w:styleId="a5">
    <w:name w:val="footer"/>
    <w:basedOn w:val="a"/>
    <w:link w:val="a6"/>
    <w:uiPriority w:val="99"/>
    <w:unhideWhenUsed/>
    <w:rsid w:val="001E4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color w:val="auto"/>
      <w:sz w:val="24"/>
      <w:szCs w:val="22"/>
      <w:bdr w:val="none" w:sz="0" w:space="0" w:color="auto"/>
    </w:rPr>
  </w:style>
  <w:style w:type="character" w:customStyle="1" w:styleId="a6">
    <w:name w:val="フッター (文字)"/>
    <w:basedOn w:val="a0"/>
    <w:link w:val="a5"/>
    <w:uiPriority w:val="99"/>
    <w:rsid w:val="001E4A7C"/>
  </w:style>
  <w:style w:type="table" w:customStyle="1" w:styleId="TableNormal">
    <w:name w:val="Table Normal"/>
    <w:rsid w:val="001E4A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rsid w:val="00071A29"/>
    <w:pPr>
      <w:spacing w:before="60" w:after="120"/>
      <w:ind w:firstLine="210"/>
    </w:pPr>
    <w:rPr>
      <w:rFonts w:ascii="Times New Roman" w:eastAsia="ＭＳ 明朝" w:hAnsi="Times New Roman" w:cs="Times New Roman"/>
      <w:kern w:val="0"/>
      <w:sz w:val="21"/>
      <w:szCs w:val="24"/>
    </w:rPr>
  </w:style>
  <w:style w:type="paragraph" w:customStyle="1" w:styleId="TableFooterText">
    <w:name w:val="Table Footer Text"/>
    <w:rsid w:val="00071A29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4A"/>
    <w:rPr>
      <w:rFonts w:asciiTheme="majorHAnsi" w:eastAsiaTheme="majorEastAsia" w:hAnsiTheme="majorHAnsi" w:cstheme="majorBid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809A-8D18-42D9-B3D6-BA1E9DDE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22</cp:revision>
  <cp:lastPrinted>2020-03-25T05:07:00Z</cp:lastPrinted>
  <dcterms:created xsi:type="dcterms:W3CDTF">2020-03-25T02:13:00Z</dcterms:created>
  <dcterms:modified xsi:type="dcterms:W3CDTF">2020-03-26T00:15:00Z</dcterms:modified>
</cp:coreProperties>
</file>