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0AF7" w14:textId="77777777" w:rsidR="00816B30" w:rsidRDefault="00816B30">
      <w:pPr>
        <w:pStyle w:val="BodyText"/>
        <w:rPr>
          <w:rFonts w:ascii="Times New Roman"/>
          <w:b w:val="0"/>
          <w:sz w:val="20"/>
        </w:rPr>
      </w:pPr>
    </w:p>
    <w:p w14:paraId="212762CD" w14:textId="77777777" w:rsidR="00816B30" w:rsidRDefault="00816B30">
      <w:pPr>
        <w:pStyle w:val="BodyText"/>
        <w:spacing w:before="2"/>
        <w:rPr>
          <w:rFonts w:ascii="Times New Roman"/>
          <w:b w:val="0"/>
          <w:sz w:val="19"/>
        </w:rPr>
      </w:pPr>
    </w:p>
    <w:p w14:paraId="7F06075E" w14:textId="77777777" w:rsidR="00816B30" w:rsidRDefault="00F705BF">
      <w:pPr>
        <w:pStyle w:val="BodyText"/>
        <w:spacing w:line="482" w:lineRule="auto"/>
        <w:ind w:left="220" w:right="2024"/>
      </w:pPr>
      <w:r>
        <w:t>Supplementary table 1: National (United Kingdom) criteria for treatment in patients with wet AMD.</w:t>
      </w:r>
    </w:p>
    <w:p w14:paraId="2555AA7E" w14:textId="77777777" w:rsidR="00816B30" w:rsidRDefault="00816B30">
      <w:pPr>
        <w:spacing w:before="4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4"/>
      </w:tblGrid>
      <w:tr w:rsidR="00816B30" w14:paraId="0FE70513" w14:textId="77777777">
        <w:trPr>
          <w:trHeight w:val="1125"/>
        </w:trPr>
        <w:tc>
          <w:tcPr>
            <w:tcW w:w="8524" w:type="dxa"/>
          </w:tcPr>
          <w:p w14:paraId="627A7BAA" w14:textId="77777777" w:rsidR="00816B30" w:rsidRDefault="00F705BF">
            <w:pPr>
              <w:pStyle w:val="TableParagraph"/>
              <w:spacing w:before="236" w:line="240" w:lineRule="auto"/>
              <w:ind w:left="2121" w:right="156" w:hanging="1940"/>
              <w:rPr>
                <w:sz w:val="28"/>
              </w:rPr>
            </w:pPr>
            <w:r>
              <w:rPr>
                <w:sz w:val="28"/>
              </w:rPr>
              <w:t>National Institute of Health and Care Excellence funding guidance for patients treated with aflibercept</w:t>
            </w:r>
          </w:p>
        </w:tc>
      </w:tr>
      <w:tr w:rsidR="00816B30" w14:paraId="0EA85E4A" w14:textId="77777777">
        <w:trPr>
          <w:trHeight w:val="3554"/>
        </w:trPr>
        <w:tc>
          <w:tcPr>
            <w:tcW w:w="8524" w:type="dxa"/>
          </w:tcPr>
          <w:p w14:paraId="2CBA54FD" w14:textId="77777777" w:rsidR="00816B30" w:rsidRDefault="00F705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16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Best-corrected visual acuity is between 6/12 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6/96</w:t>
            </w:r>
          </w:p>
          <w:p w14:paraId="035B3266" w14:textId="77777777" w:rsidR="00816B30" w:rsidRDefault="00F705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No permanent structural damage to the central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fovea</w:t>
            </w:r>
          </w:p>
          <w:p w14:paraId="5CA92747" w14:textId="77777777" w:rsidR="00816B30" w:rsidRDefault="00F705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Lesion size is less than or equal to 12 disc areas in greatest linear dimension</w:t>
            </w:r>
          </w:p>
          <w:p w14:paraId="6054BFC8" w14:textId="77777777" w:rsidR="00816B30" w:rsidRDefault="00F705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498"/>
              <w:rPr>
                <w:sz w:val="28"/>
              </w:rPr>
            </w:pPr>
            <w:r>
              <w:rPr>
                <w:sz w:val="28"/>
              </w:rPr>
              <w:t>Evidence of recent presumed disease progression (blood vessel growth, as indicated by fluorescein angiography,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or recent visual acuity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changes)</w:t>
            </w:r>
          </w:p>
          <w:p w14:paraId="2E4E5890" w14:textId="77777777" w:rsidR="00816B30" w:rsidRDefault="00F705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1055"/>
              <w:rPr>
                <w:sz w:val="28"/>
              </w:rPr>
            </w:pPr>
            <w:r>
              <w:rPr>
                <w:sz w:val="28"/>
              </w:rPr>
              <w:t>Best-corrected visual acuity is between 6/12 and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6/96 (approximate ETDRS letter score of 73 to 25 letters inclusive)</w:t>
            </w:r>
          </w:p>
        </w:tc>
      </w:tr>
    </w:tbl>
    <w:p w14:paraId="6C35E56B" w14:textId="77777777" w:rsidR="00816B30" w:rsidRDefault="00816B30">
      <w:pPr>
        <w:rPr>
          <w:sz w:val="28"/>
        </w:rPr>
        <w:sectPr w:rsidR="00816B30">
          <w:headerReference w:type="default" r:id="rId8"/>
          <w:type w:val="continuous"/>
          <w:pgSz w:w="11910" w:h="16840"/>
          <w:pgMar w:top="1680" w:right="340" w:bottom="280" w:left="1580" w:header="1444" w:footer="720" w:gutter="0"/>
          <w:cols w:space="720"/>
        </w:sectPr>
      </w:pPr>
    </w:p>
    <w:p w14:paraId="2CC2AEE7" w14:textId="6590C872" w:rsidR="00B03C68" w:rsidRDefault="00B03C68" w:rsidP="00B03C68">
      <w:pPr>
        <w:pStyle w:val="BodyText"/>
        <w:spacing w:line="482" w:lineRule="auto"/>
        <w:ind w:left="220" w:right="2024"/>
      </w:pPr>
      <w:r>
        <w:lastRenderedPageBreak/>
        <w:t>Supplementary table 2</w:t>
      </w:r>
      <w:r>
        <w:t xml:space="preserve">: </w:t>
      </w:r>
      <w:r>
        <w:t>Anatomi</w:t>
      </w:r>
      <w:bookmarkStart w:id="0" w:name="_GoBack"/>
      <w:bookmarkEnd w:id="0"/>
      <w:r>
        <w:t>cal and visual acuity outcomes of those who lost follow up</w:t>
      </w:r>
    </w:p>
    <w:p w14:paraId="6AAF1DF9" w14:textId="77777777" w:rsidR="00816B30" w:rsidRDefault="00816B30">
      <w:pPr>
        <w:pStyle w:val="BodyText"/>
        <w:rPr>
          <w:rFonts w:ascii="Times New Roman"/>
          <w:b w:val="0"/>
          <w:sz w:val="20"/>
        </w:rPr>
      </w:pPr>
    </w:p>
    <w:p w14:paraId="5B1DCD12" w14:textId="77777777" w:rsidR="00816B30" w:rsidRDefault="00816B30">
      <w:pPr>
        <w:pStyle w:val="BodyText"/>
        <w:spacing w:before="6"/>
        <w:rPr>
          <w:rFonts w:ascii="Times New Roman"/>
          <w:b w:val="0"/>
          <w:sz w:val="19"/>
        </w:rPr>
      </w:pPr>
    </w:p>
    <w:tbl>
      <w:tblPr>
        <w:tblW w:w="11512" w:type="dxa"/>
        <w:tblInd w:w="-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764"/>
        <w:gridCol w:w="82"/>
        <w:gridCol w:w="1702"/>
        <w:gridCol w:w="62"/>
        <w:gridCol w:w="1637"/>
        <w:gridCol w:w="1764"/>
        <w:gridCol w:w="1764"/>
        <w:gridCol w:w="1213"/>
      </w:tblGrid>
      <w:tr w:rsidR="00E157D9" w14:paraId="0E58AAAF" w14:textId="77777777" w:rsidTr="00B03C68">
        <w:trPr>
          <w:trHeight w:val="486"/>
        </w:trPr>
        <w:tc>
          <w:tcPr>
            <w:tcW w:w="1524" w:type="dxa"/>
          </w:tcPr>
          <w:p w14:paraId="21510FCC" w14:textId="77777777" w:rsidR="00E157D9" w:rsidRDefault="00E157D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64" w:type="dxa"/>
          </w:tcPr>
          <w:p w14:paraId="6E856C96" w14:textId="77777777" w:rsidR="00E157D9" w:rsidRDefault="00E157D9">
            <w:pPr>
              <w:pStyle w:val="TableParagraph"/>
              <w:ind w:left="996" w:right="991"/>
              <w:jc w:val="center"/>
              <w:rPr>
                <w:b/>
                <w:sz w:val="24"/>
              </w:rPr>
            </w:pPr>
          </w:p>
        </w:tc>
        <w:tc>
          <w:tcPr>
            <w:tcW w:w="7011" w:type="dxa"/>
            <w:gridSpan w:val="6"/>
          </w:tcPr>
          <w:p w14:paraId="3DD7B9EF" w14:textId="514C1318" w:rsidR="00E157D9" w:rsidRDefault="00E157D9">
            <w:pPr>
              <w:pStyle w:val="TableParagraph"/>
              <w:ind w:left="996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Demographic data of all eyes at baseline</w:t>
            </w:r>
          </w:p>
        </w:tc>
        <w:tc>
          <w:tcPr>
            <w:tcW w:w="1213" w:type="dxa"/>
          </w:tcPr>
          <w:p w14:paraId="1804E1D7" w14:textId="77777777" w:rsidR="00E157D9" w:rsidRDefault="00E157D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157D9" w14:paraId="04F92E39" w14:textId="77777777" w:rsidTr="00B03C68">
        <w:trPr>
          <w:trHeight w:val="827"/>
        </w:trPr>
        <w:tc>
          <w:tcPr>
            <w:tcW w:w="1524" w:type="dxa"/>
          </w:tcPr>
          <w:p w14:paraId="7A98AA2D" w14:textId="77777777" w:rsidR="00E157D9" w:rsidRDefault="00E157D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6" w:type="dxa"/>
            <w:gridSpan w:val="2"/>
          </w:tcPr>
          <w:p w14:paraId="4DC57FCD" w14:textId="77777777" w:rsidR="00E157D9" w:rsidRDefault="00E157D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64" w:type="dxa"/>
            <w:gridSpan w:val="2"/>
          </w:tcPr>
          <w:p w14:paraId="16348162" w14:textId="77777777" w:rsidR="00E157D9" w:rsidRDefault="00E157D9">
            <w:pPr>
              <w:pStyle w:val="TableParagraph"/>
              <w:spacing w:line="240" w:lineRule="auto"/>
              <w:ind w:left="1881" w:right="429" w:hanging="1429"/>
              <w:rPr>
                <w:b/>
                <w:sz w:val="24"/>
              </w:rPr>
            </w:pPr>
          </w:p>
        </w:tc>
        <w:tc>
          <w:tcPr>
            <w:tcW w:w="5165" w:type="dxa"/>
            <w:gridSpan w:val="3"/>
          </w:tcPr>
          <w:p w14:paraId="2CC4B444" w14:textId="0FA3B3C7" w:rsidR="00E157D9" w:rsidRDefault="00E157D9">
            <w:pPr>
              <w:pStyle w:val="TableParagraph"/>
              <w:spacing w:line="240" w:lineRule="auto"/>
              <w:ind w:left="1881" w:right="429" w:hanging="1429"/>
              <w:rPr>
                <w:b/>
                <w:sz w:val="24"/>
              </w:rPr>
            </w:pPr>
            <w:r>
              <w:rPr>
                <w:b/>
                <w:sz w:val="24"/>
              </w:rPr>
              <w:t>Total analysis of all eyes – 3 years follow up</w:t>
            </w:r>
          </w:p>
        </w:tc>
        <w:tc>
          <w:tcPr>
            <w:tcW w:w="1213" w:type="dxa"/>
          </w:tcPr>
          <w:p w14:paraId="1144518C" w14:textId="77777777" w:rsidR="00E157D9" w:rsidRDefault="00E157D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157D9" w14:paraId="241DBA91" w14:textId="77777777" w:rsidTr="00B03C68">
        <w:trPr>
          <w:trHeight w:val="1655"/>
        </w:trPr>
        <w:tc>
          <w:tcPr>
            <w:tcW w:w="1524" w:type="dxa"/>
          </w:tcPr>
          <w:p w14:paraId="666EE352" w14:textId="77777777" w:rsidR="00E157D9" w:rsidRDefault="00E157D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46" w:type="dxa"/>
            <w:gridSpan w:val="2"/>
          </w:tcPr>
          <w:p w14:paraId="4713BDD8" w14:textId="6105E878" w:rsidR="00E157D9" w:rsidRDefault="00E157D9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All eyes included in the analysis (completed 1 year of follow</w:t>
            </w:r>
          </w:p>
          <w:p w14:paraId="5B66E760" w14:textId="77777777" w:rsidR="00E157D9" w:rsidRDefault="00E157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up)</w:t>
            </w:r>
          </w:p>
        </w:tc>
        <w:tc>
          <w:tcPr>
            <w:tcW w:w="1702" w:type="dxa"/>
          </w:tcPr>
          <w:p w14:paraId="15C73AE6" w14:textId="77777777" w:rsidR="00E157D9" w:rsidRDefault="00E157D9">
            <w:pPr>
              <w:pStyle w:val="TableParagraph"/>
              <w:spacing w:line="240" w:lineRule="auto"/>
              <w:ind w:left="151" w:right="138"/>
              <w:jc w:val="center"/>
              <w:rPr>
                <w:sz w:val="24"/>
              </w:rPr>
            </w:pPr>
            <w:r>
              <w:rPr>
                <w:sz w:val="24"/>
              </w:rPr>
              <w:t>Lost to follow up between year 1 and 2</w:t>
            </w:r>
          </w:p>
        </w:tc>
        <w:tc>
          <w:tcPr>
            <w:tcW w:w="1699" w:type="dxa"/>
            <w:gridSpan w:val="2"/>
          </w:tcPr>
          <w:p w14:paraId="172B480C" w14:textId="77777777" w:rsidR="00E157D9" w:rsidRDefault="00E157D9">
            <w:pPr>
              <w:pStyle w:val="TableParagraph"/>
              <w:spacing w:line="240" w:lineRule="auto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Lost to follow up between year 2 and 3</w:t>
            </w:r>
          </w:p>
        </w:tc>
        <w:tc>
          <w:tcPr>
            <w:tcW w:w="1764" w:type="dxa"/>
          </w:tcPr>
          <w:p w14:paraId="7730A52A" w14:textId="34575896" w:rsidR="00E157D9" w:rsidRDefault="00E157D9">
            <w:pPr>
              <w:pStyle w:val="TableParagraph"/>
              <w:spacing w:line="240" w:lineRule="auto"/>
              <w:ind w:left="213" w:right="157" w:hanging="46"/>
              <w:jc w:val="both"/>
              <w:rPr>
                <w:sz w:val="24"/>
              </w:rPr>
            </w:pPr>
            <w:r>
              <w:rPr>
                <w:sz w:val="24"/>
              </w:rPr>
              <w:t>Lost</w:t>
            </w:r>
            <w:r w:rsidR="00484993">
              <w:rPr>
                <w:sz w:val="24"/>
              </w:rPr>
              <w:t xml:space="preserve"> </w:t>
            </w:r>
            <w:r>
              <w:rPr>
                <w:sz w:val="24"/>
              </w:rPr>
              <w:t>follow up between year 3 and 4</w:t>
            </w:r>
          </w:p>
        </w:tc>
        <w:tc>
          <w:tcPr>
            <w:tcW w:w="1764" w:type="dxa"/>
          </w:tcPr>
          <w:p w14:paraId="7277BA90" w14:textId="6FF0A1B3" w:rsidR="00E157D9" w:rsidRDefault="00E157D9">
            <w:pPr>
              <w:pStyle w:val="TableParagraph"/>
              <w:spacing w:line="240" w:lineRule="auto"/>
              <w:ind w:left="213" w:right="157" w:hanging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Completed </w:t>
            </w:r>
            <w:r w:rsidR="00484993">
              <w:rPr>
                <w:sz w:val="24"/>
              </w:rPr>
              <w:t>4</w:t>
            </w:r>
            <w:r>
              <w:rPr>
                <w:sz w:val="24"/>
              </w:rPr>
              <w:t xml:space="preserve"> years follow-up</w:t>
            </w:r>
          </w:p>
        </w:tc>
        <w:tc>
          <w:tcPr>
            <w:tcW w:w="1213" w:type="dxa"/>
          </w:tcPr>
          <w:p w14:paraId="763D2E14" w14:textId="77777777" w:rsidR="00E157D9" w:rsidRDefault="00E157D9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E157D9" w14:paraId="5080548C" w14:textId="77777777" w:rsidTr="00B03C68">
        <w:trPr>
          <w:trHeight w:val="277"/>
        </w:trPr>
        <w:tc>
          <w:tcPr>
            <w:tcW w:w="1524" w:type="dxa"/>
          </w:tcPr>
          <w:p w14:paraId="238B058C" w14:textId="77777777" w:rsidR="00E157D9" w:rsidRDefault="00E157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No. of eyes</w:t>
            </w:r>
          </w:p>
        </w:tc>
        <w:tc>
          <w:tcPr>
            <w:tcW w:w="1846" w:type="dxa"/>
            <w:gridSpan w:val="2"/>
          </w:tcPr>
          <w:p w14:paraId="2760A088" w14:textId="77777777" w:rsidR="00E157D9" w:rsidRDefault="00E157D9">
            <w:pPr>
              <w:pStyle w:val="TableParagraph"/>
              <w:spacing w:line="258" w:lineRule="exact"/>
              <w:ind w:left="233" w:right="22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02" w:type="dxa"/>
          </w:tcPr>
          <w:p w14:paraId="40FB3E9F" w14:textId="77777777" w:rsidR="00E157D9" w:rsidRDefault="00E157D9">
            <w:pPr>
              <w:pStyle w:val="TableParagraph"/>
              <w:spacing w:line="258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99" w:type="dxa"/>
            <w:gridSpan w:val="2"/>
          </w:tcPr>
          <w:p w14:paraId="019E42F7" w14:textId="77777777" w:rsidR="00E157D9" w:rsidRDefault="00E157D9">
            <w:pPr>
              <w:pStyle w:val="TableParagraph"/>
              <w:spacing w:line="258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64" w:type="dxa"/>
          </w:tcPr>
          <w:p w14:paraId="69817E63" w14:textId="77A17433" w:rsidR="00E157D9" w:rsidRDefault="00484993">
            <w:pPr>
              <w:pStyle w:val="TableParagraph"/>
              <w:spacing w:line="258" w:lineRule="exact"/>
              <w:ind w:left="487" w:right="4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4" w:type="dxa"/>
          </w:tcPr>
          <w:p w14:paraId="2F7BB21B" w14:textId="4D69F1FE" w:rsidR="00E157D9" w:rsidRDefault="00484993">
            <w:pPr>
              <w:pStyle w:val="TableParagraph"/>
              <w:spacing w:line="258" w:lineRule="exact"/>
              <w:ind w:left="487" w:right="48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13" w:type="dxa"/>
            <w:vMerge w:val="restart"/>
            <w:textDirection w:val="tbRl"/>
          </w:tcPr>
          <w:p w14:paraId="376C8E60" w14:textId="77777777" w:rsidR="00E157D9" w:rsidRDefault="00E157D9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  <w:p w14:paraId="5A9ED2AD" w14:textId="77777777" w:rsidR="00E157D9" w:rsidRDefault="00E157D9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8"/>
              </w:rPr>
            </w:pPr>
          </w:p>
          <w:p w14:paraId="1A051842" w14:textId="031E9631" w:rsidR="00E157D9" w:rsidRDefault="00E157D9">
            <w:pPr>
              <w:pStyle w:val="TableParagraph"/>
              <w:spacing w:line="240" w:lineRule="auto"/>
              <w:ind w:left="2496" w:right="2493"/>
              <w:jc w:val="center"/>
              <w:rPr>
                <w:sz w:val="24"/>
              </w:rPr>
            </w:pPr>
            <w:r>
              <w:rPr>
                <w:sz w:val="24"/>
              </w:rPr>
              <w:t>P &gt; 0.05</w:t>
            </w:r>
          </w:p>
        </w:tc>
      </w:tr>
      <w:tr w:rsidR="00E157D9" w14:paraId="396BD695" w14:textId="77777777" w:rsidTr="00B03C68">
        <w:trPr>
          <w:trHeight w:val="552"/>
        </w:trPr>
        <w:tc>
          <w:tcPr>
            <w:tcW w:w="1524" w:type="dxa"/>
          </w:tcPr>
          <w:p w14:paraId="66385E04" w14:textId="77777777" w:rsidR="00E157D9" w:rsidRDefault="00E157D9">
            <w:pPr>
              <w:pStyle w:val="TableParagraph"/>
              <w:spacing w:line="276" w:lineRule="exact"/>
              <w:ind w:right="546"/>
              <w:rPr>
                <w:sz w:val="24"/>
              </w:rPr>
            </w:pPr>
            <w:r>
              <w:rPr>
                <w:sz w:val="24"/>
              </w:rPr>
              <w:t>No. of patients</w:t>
            </w:r>
          </w:p>
        </w:tc>
        <w:tc>
          <w:tcPr>
            <w:tcW w:w="1846" w:type="dxa"/>
            <w:gridSpan w:val="2"/>
          </w:tcPr>
          <w:p w14:paraId="1B7BB385" w14:textId="77777777" w:rsidR="00E157D9" w:rsidRDefault="00E157D9">
            <w:pPr>
              <w:pStyle w:val="TableParagraph"/>
              <w:spacing w:line="272" w:lineRule="exact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02" w:type="dxa"/>
          </w:tcPr>
          <w:p w14:paraId="73A2B6A7" w14:textId="77777777" w:rsidR="00E157D9" w:rsidRDefault="00E157D9">
            <w:pPr>
              <w:pStyle w:val="TableParagraph"/>
              <w:spacing w:line="272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9" w:type="dxa"/>
            <w:gridSpan w:val="2"/>
          </w:tcPr>
          <w:p w14:paraId="44460D7E" w14:textId="77777777" w:rsidR="00E157D9" w:rsidRDefault="00E157D9">
            <w:pPr>
              <w:pStyle w:val="TableParagraph"/>
              <w:spacing w:line="272" w:lineRule="exact"/>
              <w:ind w:left="149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64" w:type="dxa"/>
          </w:tcPr>
          <w:p w14:paraId="04EE7A1B" w14:textId="2EBEBBCD" w:rsidR="00E157D9" w:rsidRDefault="00484993">
            <w:pPr>
              <w:pStyle w:val="TableParagraph"/>
              <w:spacing w:line="272" w:lineRule="exact"/>
              <w:ind w:left="486" w:right="4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64" w:type="dxa"/>
          </w:tcPr>
          <w:p w14:paraId="4E80791C" w14:textId="7A35DF52" w:rsidR="00E157D9" w:rsidRDefault="00484993">
            <w:pPr>
              <w:pStyle w:val="TableParagraph"/>
              <w:spacing w:line="272" w:lineRule="exact"/>
              <w:ind w:left="486" w:right="48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13" w:type="dxa"/>
            <w:vMerge/>
            <w:tcBorders>
              <w:top w:val="nil"/>
            </w:tcBorders>
            <w:textDirection w:val="tbRl"/>
          </w:tcPr>
          <w:p w14:paraId="31B2F4F3" w14:textId="77777777" w:rsidR="00E157D9" w:rsidRDefault="00E157D9">
            <w:pPr>
              <w:rPr>
                <w:sz w:val="2"/>
                <w:szCs w:val="2"/>
              </w:rPr>
            </w:pPr>
          </w:p>
        </w:tc>
      </w:tr>
      <w:tr w:rsidR="00E157D9" w14:paraId="00451504" w14:textId="77777777" w:rsidTr="00B03C68">
        <w:trPr>
          <w:trHeight w:val="275"/>
        </w:trPr>
        <w:tc>
          <w:tcPr>
            <w:tcW w:w="1524" w:type="dxa"/>
          </w:tcPr>
          <w:p w14:paraId="7913F6D4" w14:textId="77777777" w:rsidR="00E157D9" w:rsidRDefault="00E157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Female (%)</w:t>
            </w:r>
          </w:p>
        </w:tc>
        <w:tc>
          <w:tcPr>
            <w:tcW w:w="1846" w:type="dxa"/>
            <w:gridSpan w:val="2"/>
          </w:tcPr>
          <w:p w14:paraId="0DF12804" w14:textId="77777777" w:rsidR="00E157D9" w:rsidRDefault="00E157D9">
            <w:pPr>
              <w:pStyle w:val="TableParagraph"/>
              <w:spacing w:line="256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58.9%</w:t>
            </w:r>
          </w:p>
        </w:tc>
        <w:tc>
          <w:tcPr>
            <w:tcW w:w="1702" w:type="dxa"/>
          </w:tcPr>
          <w:p w14:paraId="7798E4D0" w14:textId="77777777" w:rsidR="00E157D9" w:rsidRDefault="00E157D9">
            <w:pPr>
              <w:pStyle w:val="TableParagraph"/>
              <w:spacing w:line="256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41.1%</w:t>
            </w:r>
          </w:p>
        </w:tc>
        <w:tc>
          <w:tcPr>
            <w:tcW w:w="1699" w:type="dxa"/>
            <w:gridSpan w:val="2"/>
          </w:tcPr>
          <w:p w14:paraId="3F8EE4B7" w14:textId="77777777" w:rsidR="00E157D9" w:rsidRDefault="00E157D9">
            <w:pPr>
              <w:pStyle w:val="TableParagraph"/>
              <w:spacing w:line="256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62.8%</w:t>
            </w:r>
          </w:p>
        </w:tc>
        <w:tc>
          <w:tcPr>
            <w:tcW w:w="1764" w:type="dxa"/>
          </w:tcPr>
          <w:p w14:paraId="5F392D53" w14:textId="07BB19DE" w:rsidR="00E157D9" w:rsidRDefault="00484993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71.4%</w:t>
            </w:r>
          </w:p>
        </w:tc>
        <w:tc>
          <w:tcPr>
            <w:tcW w:w="1764" w:type="dxa"/>
          </w:tcPr>
          <w:p w14:paraId="67E922B6" w14:textId="0D61B6F5" w:rsidR="00E157D9" w:rsidRDefault="00E157D9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5</w:t>
            </w:r>
            <w:r w:rsidR="0048499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484993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  <w:tc>
          <w:tcPr>
            <w:tcW w:w="1213" w:type="dxa"/>
            <w:vMerge/>
            <w:tcBorders>
              <w:top w:val="nil"/>
            </w:tcBorders>
            <w:textDirection w:val="tbRl"/>
          </w:tcPr>
          <w:p w14:paraId="75E57EF9" w14:textId="77777777" w:rsidR="00E157D9" w:rsidRDefault="00E157D9">
            <w:pPr>
              <w:rPr>
                <w:sz w:val="2"/>
                <w:szCs w:val="2"/>
              </w:rPr>
            </w:pPr>
          </w:p>
        </w:tc>
      </w:tr>
      <w:tr w:rsidR="00E157D9" w14:paraId="3C23B831" w14:textId="77777777" w:rsidTr="00B03C68">
        <w:trPr>
          <w:trHeight w:val="1103"/>
        </w:trPr>
        <w:tc>
          <w:tcPr>
            <w:tcW w:w="1524" w:type="dxa"/>
          </w:tcPr>
          <w:p w14:paraId="7543E5FC" w14:textId="77777777" w:rsidR="00E157D9" w:rsidRDefault="00E157D9">
            <w:pPr>
              <w:pStyle w:val="TableParagraph"/>
              <w:spacing w:line="240" w:lineRule="auto"/>
              <w:ind w:right="359"/>
              <w:rPr>
                <w:sz w:val="24"/>
              </w:rPr>
            </w:pPr>
            <w:r>
              <w:rPr>
                <w:sz w:val="24"/>
              </w:rPr>
              <w:t>Mean baseline age (SD),</w:t>
            </w:r>
          </w:p>
          <w:p w14:paraId="48DAE2D8" w14:textId="77777777" w:rsidR="00E157D9" w:rsidRDefault="00E157D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years</w:t>
            </w:r>
          </w:p>
        </w:tc>
        <w:tc>
          <w:tcPr>
            <w:tcW w:w="1846" w:type="dxa"/>
            <w:gridSpan w:val="2"/>
          </w:tcPr>
          <w:p w14:paraId="103D48B8" w14:textId="77777777" w:rsidR="00E157D9" w:rsidRDefault="00E157D9">
            <w:pPr>
              <w:pStyle w:val="TableParagraph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80.6±8.3</w:t>
            </w:r>
          </w:p>
        </w:tc>
        <w:tc>
          <w:tcPr>
            <w:tcW w:w="1702" w:type="dxa"/>
          </w:tcPr>
          <w:p w14:paraId="1A1B82ED" w14:textId="77777777" w:rsidR="00E157D9" w:rsidRDefault="00E157D9">
            <w:pPr>
              <w:pStyle w:val="TableParagraph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81.6±8.1</w:t>
            </w:r>
          </w:p>
        </w:tc>
        <w:tc>
          <w:tcPr>
            <w:tcW w:w="1699" w:type="dxa"/>
            <w:gridSpan w:val="2"/>
          </w:tcPr>
          <w:p w14:paraId="2C7A8DE6" w14:textId="77777777" w:rsidR="00E157D9" w:rsidRDefault="00E157D9">
            <w:pPr>
              <w:pStyle w:val="TableParagraph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81.4±10.2</w:t>
            </w:r>
          </w:p>
        </w:tc>
        <w:tc>
          <w:tcPr>
            <w:tcW w:w="1764" w:type="dxa"/>
          </w:tcPr>
          <w:p w14:paraId="416F9AC8" w14:textId="02B49802" w:rsidR="00E157D9" w:rsidRDefault="0048499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77±10.8</w:t>
            </w:r>
          </w:p>
        </w:tc>
        <w:tc>
          <w:tcPr>
            <w:tcW w:w="1764" w:type="dxa"/>
          </w:tcPr>
          <w:p w14:paraId="74A27530" w14:textId="016C40F6" w:rsidR="00E157D9" w:rsidRDefault="00484993">
            <w:pPr>
              <w:pStyle w:val="TableParagraph"/>
              <w:ind w:left="240"/>
              <w:rPr>
                <w:sz w:val="24"/>
              </w:rPr>
            </w:pPr>
            <w:r w:rsidRPr="003A10DC">
              <w:rPr>
                <w:w w:val="105"/>
                <w:sz w:val="24"/>
                <w:szCs w:val="24"/>
              </w:rPr>
              <w:t>80.6</w:t>
            </w:r>
            <w:r>
              <w:rPr>
                <w:sz w:val="24"/>
              </w:rPr>
              <w:t>±8.6</w:t>
            </w:r>
          </w:p>
        </w:tc>
        <w:tc>
          <w:tcPr>
            <w:tcW w:w="1213" w:type="dxa"/>
            <w:vMerge/>
            <w:tcBorders>
              <w:top w:val="nil"/>
            </w:tcBorders>
            <w:textDirection w:val="tbRl"/>
          </w:tcPr>
          <w:p w14:paraId="17769AF7" w14:textId="77777777" w:rsidR="00E157D9" w:rsidRDefault="00E157D9">
            <w:pPr>
              <w:rPr>
                <w:sz w:val="2"/>
                <w:szCs w:val="2"/>
              </w:rPr>
            </w:pPr>
          </w:p>
        </w:tc>
      </w:tr>
      <w:tr w:rsidR="00E157D9" w14:paraId="05D9421F" w14:textId="77777777" w:rsidTr="00B03C68">
        <w:trPr>
          <w:trHeight w:val="1103"/>
        </w:trPr>
        <w:tc>
          <w:tcPr>
            <w:tcW w:w="1524" w:type="dxa"/>
          </w:tcPr>
          <w:p w14:paraId="415E0E10" w14:textId="77777777" w:rsidR="00E157D9" w:rsidRDefault="00E157D9"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Mean baseline VA (Snellen; SD)</w:t>
            </w:r>
          </w:p>
        </w:tc>
        <w:tc>
          <w:tcPr>
            <w:tcW w:w="1846" w:type="dxa"/>
            <w:gridSpan w:val="2"/>
          </w:tcPr>
          <w:p w14:paraId="504E429E" w14:textId="77777777" w:rsidR="00E157D9" w:rsidRDefault="00E157D9">
            <w:pPr>
              <w:pStyle w:val="TableParagraph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54.4 ± 16</w:t>
            </w:r>
          </w:p>
        </w:tc>
        <w:tc>
          <w:tcPr>
            <w:tcW w:w="1702" w:type="dxa"/>
          </w:tcPr>
          <w:p w14:paraId="655E9A30" w14:textId="77777777" w:rsidR="00E157D9" w:rsidRDefault="00E157D9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49.2±18.4</w:t>
            </w:r>
          </w:p>
        </w:tc>
        <w:tc>
          <w:tcPr>
            <w:tcW w:w="1699" w:type="dxa"/>
            <w:gridSpan w:val="2"/>
          </w:tcPr>
          <w:p w14:paraId="794E07C3" w14:textId="77777777" w:rsidR="00E157D9" w:rsidRDefault="00E157D9">
            <w:pPr>
              <w:pStyle w:val="TableParagraph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56±17.9</w:t>
            </w:r>
          </w:p>
        </w:tc>
        <w:tc>
          <w:tcPr>
            <w:tcW w:w="1764" w:type="dxa"/>
          </w:tcPr>
          <w:p w14:paraId="004BAC64" w14:textId="5508B88C" w:rsidR="00E157D9" w:rsidRDefault="00484993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54.7±21.8</w:t>
            </w:r>
          </w:p>
        </w:tc>
        <w:tc>
          <w:tcPr>
            <w:tcW w:w="1764" w:type="dxa"/>
          </w:tcPr>
          <w:p w14:paraId="418CCC5C" w14:textId="41631079" w:rsidR="00E157D9" w:rsidRDefault="00484993">
            <w:pPr>
              <w:pStyle w:val="TableParagraph"/>
              <w:ind w:left="175"/>
              <w:rPr>
                <w:sz w:val="24"/>
              </w:rPr>
            </w:pPr>
            <w:r w:rsidRPr="003A10DC">
              <w:t>54.1</w:t>
            </w:r>
            <w:r w:rsidRPr="003A10DC">
              <w:rPr>
                <w:color w:val="000000"/>
                <w:lang w:eastAsia="en-GB"/>
              </w:rPr>
              <w:t xml:space="preserve"> </w:t>
            </w:r>
            <w:r w:rsidR="00E157D9">
              <w:rPr>
                <w:sz w:val="24"/>
              </w:rPr>
              <w:t>±15.</w:t>
            </w:r>
            <w:r>
              <w:rPr>
                <w:sz w:val="24"/>
              </w:rPr>
              <w:t>5</w:t>
            </w:r>
          </w:p>
        </w:tc>
        <w:tc>
          <w:tcPr>
            <w:tcW w:w="1213" w:type="dxa"/>
            <w:vMerge/>
            <w:tcBorders>
              <w:top w:val="nil"/>
            </w:tcBorders>
            <w:textDirection w:val="tbRl"/>
          </w:tcPr>
          <w:p w14:paraId="5188BD76" w14:textId="77777777" w:rsidR="00E157D9" w:rsidRDefault="00E157D9">
            <w:pPr>
              <w:rPr>
                <w:sz w:val="2"/>
                <w:szCs w:val="2"/>
              </w:rPr>
            </w:pPr>
          </w:p>
        </w:tc>
      </w:tr>
      <w:tr w:rsidR="00E157D9" w14:paraId="56429EBE" w14:textId="77777777" w:rsidTr="00B03C68">
        <w:trPr>
          <w:trHeight w:val="827"/>
        </w:trPr>
        <w:tc>
          <w:tcPr>
            <w:tcW w:w="1524" w:type="dxa"/>
          </w:tcPr>
          <w:p w14:paraId="7ACA421A" w14:textId="77777777" w:rsidR="00E157D9" w:rsidRDefault="00E157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Baseline VA</w:t>
            </w:r>
          </w:p>
          <w:p w14:paraId="3C56CB0B" w14:textId="77777777" w:rsidR="00E157D9" w:rsidRDefault="00E157D9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≥ 73 letters (20/40; %)</w:t>
            </w:r>
          </w:p>
        </w:tc>
        <w:tc>
          <w:tcPr>
            <w:tcW w:w="1846" w:type="dxa"/>
            <w:gridSpan w:val="2"/>
          </w:tcPr>
          <w:p w14:paraId="68B8388A" w14:textId="77777777" w:rsidR="00E157D9" w:rsidRDefault="00E157D9">
            <w:pPr>
              <w:pStyle w:val="TableParagraph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10.8%</w:t>
            </w:r>
          </w:p>
        </w:tc>
        <w:tc>
          <w:tcPr>
            <w:tcW w:w="1702" w:type="dxa"/>
          </w:tcPr>
          <w:p w14:paraId="7E5DF446" w14:textId="77777777" w:rsidR="00E157D9" w:rsidRDefault="00E157D9">
            <w:pPr>
              <w:pStyle w:val="TableParagraph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99" w:type="dxa"/>
            <w:gridSpan w:val="2"/>
          </w:tcPr>
          <w:p w14:paraId="75712214" w14:textId="77777777" w:rsidR="00E157D9" w:rsidRDefault="00E157D9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17.4%</w:t>
            </w:r>
          </w:p>
        </w:tc>
        <w:tc>
          <w:tcPr>
            <w:tcW w:w="1764" w:type="dxa"/>
          </w:tcPr>
          <w:p w14:paraId="7C809C2E" w14:textId="47A1F0A8" w:rsidR="00E157D9" w:rsidRDefault="00484993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7.4%</w:t>
            </w:r>
          </w:p>
        </w:tc>
        <w:tc>
          <w:tcPr>
            <w:tcW w:w="1764" w:type="dxa"/>
          </w:tcPr>
          <w:p w14:paraId="103554D3" w14:textId="38D44C59" w:rsidR="00E157D9" w:rsidRDefault="00B864AE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9</w:t>
            </w:r>
            <w:r w:rsidR="00E157D9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 w:rsidR="00E157D9">
              <w:rPr>
                <w:sz w:val="24"/>
              </w:rPr>
              <w:t>%</w:t>
            </w:r>
          </w:p>
        </w:tc>
        <w:tc>
          <w:tcPr>
            <w:tcW w:w="1213" w:type="dxa"/>
            <w:vMerge/>
            <w:tcBorders>
              <w:top w:val="nil"/>
            </w:tcBorders>
            <w:textDirection w:val="tbRl"/>
          </w:tcPr>
          <w:p w14:paraId="6903EA5B" w14:textId="77777777" w:rsidR="00E157D9" w:rsidRDefault="00E157D9">
            <w:pPr>
              <w:rPr>
                <w:sz w:val="2"/>
                <w:szCs w:val="2"/>
              </w:rPr>
            </w:pPr>
          </w:p>
        </w:tc>
      </w:tr>
      <w:tr w:rsidR="00E157D9" w14:paraId="331E2327" w14:textId="77777777" w:rsidTr="00B03C68">
        <w:trPr>
          <w:trHeight w:val="828"/>
        </w:trPr>
        <w:tc>
          <w:tcPr>
            <w:tcW w:w="1524" w:type="dxa"/>
          </w:tcPr>
          <w:p w14:paraId="54D0B843" w14:textId="77777777" w:rsidR="00E157D9" w:rsidRDefault="00E157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Baseline VA</w:t>
            </w:r>
          </w:p>
          <w:p w14:paraId="6639C8FD" w14:textId="77777777" w:rsidR="00E157D9" w:rsidRDefault="00E157D9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≤ 35 letters (20/200; %)</w:t>
            </w:r>
          </w:p>
        </w:tc>
        <w:tc>
          <w:tcPr>
            <w:tcW w:w="1846" w:type="dxa"/>
            <w:gridSpan w:val="2"/>
          </w:tcPr>
          <w:p w14:paraId="51E08C44" w14:textId="77777777" w:rsidR="00E157D9" w:rsidRDefault="00E157D9">
            <w:pPr>
              <w:pStyle w:val="TableParagraph"/>
              <w:spacing w:line="272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19.6%</w:t>
            </w:r>
          </w:p>
        </w:tc>
        <w:tc>
          <w:tcPr>
            <w:tcW w:w="1702" w:type="dxa"/>
          </w:tcPr>
          <w:p w14:paraId="2E71FE4C" w14:textId="77777777" w:rsidR="00E157D9" w:rsidRDefault="00E157D9">
            <w:pPr>
              <w:pStyle w:val="TableParagraph"/>
              <w:spacing w:line="272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29.4%</w:t>
            </w:r>
          </w:p>
        </w:tc>
        <w:tc>
          <w:tcPr>
            <w:tcW w:w="1699" w:type="dxa"/>
            <w:gridSpan w:val="2"/>
          </w:tcPr>
          <w:p w14:paraId="66356B2B" w14:textId="77777777" w:rsidR="00E157D9" w:rsidRDefault="00E157D9">
            <w:pPr>
              <w:pStyle w:val="TableParagraph"/>
              <w:spacing w:line="272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21.7%</w:t>
            </w:r>
          </w:p>
        </w:tc>
        <w:tc>
          <w:tcPr>
            <w:tcW w:w="1764" w:type="dxa"/>
          </w:tcPr>
          <w:p w14:paraId="7CC739FE" w14:textId="456F05AF" w:rsidR="00E157D9" w:rsidRDefault="00484993">
            <w:pPr>
              <w:pStyle w:val="TableParagraph"/>
              <w:spacing w:line="272" w:lineRule="exact"/>
              <w:ind w:left="367"/>
              <w:rPr>
                <w:sz w:val="24"/>
              </w:rPr>
            </w:pPr>
            <w:r>
              <w:rPr>
                <w:sz w:val="24"/>
              </w:rPr>
              <w:t>21.4%</w:t>
            </w:r>
          </w:p>
        </w:tc>
        <w:tc>
          <w:tcPr>
            <w:tcW w:w="1764" w:type="dxa"/>
          </w:tcPr>
          <w:p w14:paraId="2A5D4E5A" w14:textId="21314057" w:rsidR="00E157D9" w:rsidRDefault="00B864AE">
            <w:pPr>
              <w:pStyle w:val="TableParagraph"/>
              <w:spacing w:line="272" w:lineRule="exact"/>
              <w:ind w:left="367"/>
              <w:rPr>
                <w:sz w:val="24"/>
              </w:rPr>
            </w:pPr>
            <w:r>
              <w:rPr>
                <w:sz w:val="24"/>
              </w:rPr>
              <w:t>20</w:t>
            </w:r>
            <w:r w:rsidR="00E157D9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E157D9">
              <w:rPr>
                <w:sz w:val="24"/>
              </w:rPr>
              <w:t>%</w:t>
            </w:r>
          </w:p>
        </w:tc>
        <w:tc>
          <w:tcPr>
            <w:tcW w:w="1213" w:type="dxa"/>
            <w:vMerge/>
            <w:tcBorders>
              <w:top w:val="nil"/>
            </w:tcBorders>
            <w:textDirection w:val="tbRl"/>
          </w:tcPr>
          <w:p w14:paraId="5893A497" w14:textId="77777777" w:rsidR="00E157D9" w:rsidRDefault="00E157D9">
            <w:pPr>
              <w:rPr>
                <w:sz w:val="2"/>
                <w:szCs w:val="2"/>
              </w:rPr>
            </w:pPr>
          </w:p>
        </w:tc>
      </w:tr>
      <w:tr w:rsidR="00E157D9" w14:paraId="38A7B804" w14:textId="77777777" w:rsidTr="00B03C68">
        <w:trPr>
          <w:trHeight w:val="830"/>
        </w:trPr>
        <w:tc>
          <w:tcPr>
            <w:tcW w:w="1524" w:type="dxa"/>
          </w:tcPr>
          <w:p w14:paraId="26375108" w14:textId="28C31653" w:rsidR="00E157D9" w:rsidRDefault="00E157D9">
            <w:pPr>
              <w:pStyle w:val="TableParagraph"/>
              <w:spacing w:before="2" w:line="276" w:lineRule="exact"/>
              <w:ind w:right="386"/>
              <w:rPr>
                <w:sz w:val="24"/>
              </w:rPr>
            </w:pPr>
            <w:r>
              <w:rPr>
                <w:sz w:val="24"/>
              </w:rPr>
              <w:t xml:space="preserve">Central subfield macular thickness </w:t>
            </w:r>
          </w:p>
        </w:tc>
        <w:tc>
          <w:tcPr>
            <w:tcW w:w="1846" w:type="dxa"/>
            <w:gridSpan w:val="2"/>
          </w:tcPr>
          <w:p w14:paraId="332C6CC9" w14:textId="77777777" w:rsidR="00E157D9" w:rsidRDefault="00E157D9">
            <w:pPr>
              <w:pStyle w:val="TableParagraph"/>
              <w:spacing w:line="274" w:lineRule="exact"/>
              <w:ind w:left="233" w:right="229"/>
              <w:jc w:val="center"/>
              <w:rPr>
                <w:sz w:val="24"/>
              </w:rPr>
            </w:pPr>
            <w:r>
              <w:rPr>
                <w:sz w:val="24"/>
              </w:rPr>
              <w:t>300.3 ± 92.6</w:t>
            </w:r>
          </w:p>
        </w:tc>
        <w:tc>
          <w:tcPr>
            <w:tcW w:w="1702" w:type="dxa"/>
          </w:tcPr>
          <w:p w14:paraId="4A561C6E" w14:textId="77777777" w:rsidR="00E157D9" w:rsidRDefault="00E157D9">
            <w:pPr>
              <w:pStyle w:val="TableParagraph"/>
              <w:spacing w:line="27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318.8±119</w:t>
            </w:r>
          </w:p>
        </w:tc>
        <w:tc>
          <w:tcPr>
            <w:tcW w:w="1699" w:type="dxa"/>
            <w:gridSpan w:val="2"/>
          </w:tcPr>
          <w:p w14:paraId="648D97C1" w14:textId="77777777" w:rsidR="00E157D9" w:rsidRDefault="00E157D9">
            <w:pPr>
              <w:pStyle w:val="TableParagraph"/>
              <w:spacing w:line="274" w:lineRule="exact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299.2±84.6</w:t>
            </w:r>
          </w:p>
        </w:tc>
        <w:tc>
          <w:tcPr>
            <w:tcW w:w="1764" w:type="dxa"/>
          </w:tcPr>
          <w:p w14:paraId="26A09EA7" w14:textId="7D9ADD00" w:rsidR="00E157D9" w:rsidRDefault="0048499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292.83±120</w:t>
            </w:r>
          </w:p>
        </w:tc>
        <w:tc>
          <w:tcPr>
            <w:tcW w:w="1764" w:type="dxa"/>
          </w:tcPr>
          <w:p w14:paraId="2703A141" w14:textId="591A17E5" w:rsidR="00E157D9" w:rsidRDefault="0048499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3A10DC">
              <w:t>218</w:t>
            </w:r>
            <w:r w:rsidR="00E157D9">
              <w:rPr>
                <w:sz w:val="24"/>
              </w:rPr>
              <w:t>.4±8</w:t>
            </w:r>
            <w:r>
              <w:rPr>
                <w:sz w:val="24"/>
              </w:rPr>
              <w:t>1</w:t>
            </w:r>
          </w:p>
        </w:tc>
        <w:tc>
          <w:tcPr>
            <w:tcW w:w="1213" w:type="dxa"/>
            <w:vMerge/>
            <w:tcBorders>
              <w:top w:val="nil"/>
            </w:tcBorders>
            <w:textDirection w:val="tbRl"/>
          </w:tcPr>
          <w:p w14:paraId="514E01CB" w14:textId="77777777" w:rsidR="00E157D9" w:rsidRDefault="00E157D9">
            <w:pPr>
              <w:rPr>
                <w:sz w:val="2"/>
                <w:szCs w:val="2"/>
              </w:rPr>
            </w:pPr>
          </w:p>
        </w:tc>
      </w:tr>
    </w:tbl>
    <w:p w14:paraId="48260AB9" w14:textId="50F76665" w:rsidR="00F705BF" w:rsidRDefault="00F705BF"/>
    <w:p w14:paraId="3E2021C2" w14:textId="71BBECFC" w:rsidR="00A92F47" w:rsidRDefault="00A92F47"/>
    <w:p w14:paraId="1FD669E3" w14:textId="77777777" w:rsidR="00A92F47" w:rsidRDefault="00A92F47"/>
    <w:p w14:paraId="103BACAB" w14:textId="77777777" w:rsidR="00A92F47" w:rsidRDefault="00A92F47"/>
    <w:p w14:paraId="4B0F5D0B" w14:textId="77777777" w:rsidR="00A92F47" w:rsidRDefault="00A92F47"/>
    <w:p w14:paraId="422632D8" w14:textId="77777777" w:rsidR="00A92F47" w:rsidRDefault="00A92F47"/>
    <w:p w14:paraId="1F505E4F" w14:textId="77777777" w:rsidR="00A92F47" w:rsidRDefault="00A92F47"/>
    <w:p w14:paraId="26133359" w14:textId="77777777" w:rsidR="00A92F47" w:rsidRDefault="00A92F47"/>
    <w:p w14:paraId="72578859" w14:textId="77777777" w:rsidR="00A92F47" w:rsidRDefault="00A92F47"/>
    <w:p w14:paraId="3881B792" w14:textId="77777777" w:rsidR="00A92F47" w:rsidRDefault="00A92F47"/>
    <w:p w14:paraId="4A392074" w14:textId="77777777" w:rsidR="00A92F47" w:rsidRDefault="00A92F47"/>
    <w:p w14:paraId="43C9309C" w14:textId="77777777" w:rsidR="00A92F47" w:rsidRDefault="00A92F47"/>
    <w:p w14:paraId="66CB3219" w14:textId="77777777" w:rsidR="00A92F47" w:rsidRDefault="00A92F47"/>
    <w:p w14:paraId="73A80AF0" w14:textId="77777777" w:rsidR="00A92F47" w:rsidRDefault="00A92F47"/>
    <w:p w14:paraId="1579BC26" w14:textId="77777777" w:rsidR="00A92F47" w:rsidRDefault="00A92F47"/>
    <w:p w14:paraId="2DD6F54D" w14:textId="77777777" w:rsidR="00A92F47" w:rsidRDefault="00A92F47"/>
    <w:p w14:paraId="0C0E2080" w14:textId="77777777" w:rsidR="00A92F47" w:rsidRDefault="00A92F47"/>
    <w:p w14:paraId="73F5BBBC" w14:textId="77777777" w:rsidR="00A92F47" w:rsidRDefault="00A92F47"/>
    <w:p w14:paraId="0E8832AF" w14:textId="77777777" w:rsidR="00A92F47" w:rsidRDefault="00A92F47"/>
    <w:p w14:paraId="06B25770" w14:textId="77777777" w:rsidR="00A92F47" w:rsidRDefault="00A92F47"/>
    <w:p w14:paraId="2944A583" w14:textId="77777777" w:rsidR="00A92F47" w:rsidRDefault="00A92F47"/>
    <w:p w14:paraId="58EBE195" w14:textId="77777777" w:rsidR="00A92F47" w:rsidRDefault="00A92F47"/>
    <w:p w14:paraId="0698CB04" w14:textId="77777777" w:rsidR="00A92F47" w:rsidRDefault="00A92F47"/>
    <w:p w14:paraId="5B84DFB7" w14:textId="77777777" w:rsidR="00A92F47" w:rsidRDefault="00A92F47"/>
    <w:p w14:paraId="517F73C3" w14:textId="3B4649A2" w:rsidR="00A92F47" w:rsidRDefault="00AC4588">
      <w:r>
        <w:t>Supplementary figure 1</w:t>
      </w:r>
      <w:r w:rsidR="00A92F47">
        <w:t>. Median and interquartile range calculations</w:t>
      </w:r>
      <w:r w:rsidR="004901EF">
        <w:t xml:space="preserve"> </w:t>
      </w:r>
    </w:p>
    <w:p w14:paraId="440E34D1" w14:textId="700D1ADA" w:rsidR="00A92F47" w:rsidRDefault="00A92F47"/>
    <w:p w14:paraId="41CC10BC" w14:textId="4CAAD9BB" w:rsidR="00A92F47" w:rsidRDefault="00A92F47"/>
    <w:p w14:paraId="516FC82E" w14:textId="5EA50295" w:rsidR="00A92F47" w:rsidRDefault="00A92F47">
      <w:r>
        <w:rPr>
          <w:noProof/>
        </w:rPr>
        <w:drawing>
          <wp:inline distT="0" distB="0" distL="0" distR="0" wp14:anchorId="7B61087C" wp14:editId="548F6EA3">
            <wp:extent cx="4572000" cy="2743200"/>
            <wp:effectExtent l="0" t="0" r="1270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560201A-F2DA-964A-AF7D-B48974682F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92F47">
      <w:headerReference w:type="default" r:id="rId10"/>
      <w:pgSz w:w="11910" w:h="16840"/>
      <w:pgMar w:top="1680" w:right="340" w:bottom="280" w:left="1580" w:header="14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1A2C" w14:textId="77777777" w:rsidR="00153958" w:rsidRDefault="00153958">
      <w:r>
        <w:separator/>
      </w:r>
    </w:p>
  </w:endnote>
  <w:endnote w:type="continuationSeparator" w:id="0">
    <w:p w14:paraId="60FD7B9C" w14:textId="77777777" w:rsidR="00153958" w:rsidRDefault="001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2A43" w14:textId="77777777" w:rsidR="00153958" w:rsidRDefault="00153958">
      <w:r>
        <w:separator/>
      </w:r>
    </w:p>
  </w:footnote>
  <w:footnote w:type="continuationSeparator" w:id="0">
    <w:p w14:paraId="3EE0459E" w14:textId="77777777" w:rsidR="00153958" w:rsidRDefault="0015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CDCCF" w14:textId="77777777" w:rsidR="00816B30" w:rsidRDefault="00153958">
    <w:pPr>
      <w:pStyle w:val="BodyText"/>
      <w:spacing w:line="14" w:lineRule="auto"/>
      <w:rPr>
        <w:b w:val="0"/>
        <w:sz w:val="20"/>
      </w:rPr>
    </w:pPr>
    <w:r>
      <w:pict w14:anchorId="73E736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9pt;margin-top:71.2pt;width:147.45pt;height:14.3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45BF41" w14:textId="77777777" w:rsidR="00816B30" w:rsidRDefault="00F705BF">
                <w:pPr>
                  <w:pStyle w:val="BodyText"/>
                  <w:spacing w:before="13"/>
                  <w:ind w:left="20"/>
                </w:pPr>
                <w:r>
                  <w:t>SUPPLEMENTARY TABLES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982E" w14:textId="011418A2" w:rsidR="00816B30" w:rsidRDefault="00816B30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369"/>
    <w:multiLevelType w:val="hybridMultilevel"/>
    <w:tmpl w:val="50845948"/>
    <w:lvl w:ilvl="0" w:tplc="9E8032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756C4F0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en-US"/>
      </w:rPr>
    </w:lvl>
    <w:lvl w:ilvl="2" w:tplc="D178A320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3" w:tplc="AA44729C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4" w:tplc="48B47F26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5" w:tplc="5FD04870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en-US"/>
      </w:rPr>
    </w:lvl>
    <w:lvl w:ilvl="6" w:tplc="56D6A05E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7" w:tplc="CDACBBF2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en-US"/>
      </w:rPr>
    </w:lvl>
    <w:lvl w:ilvl="8" w:tplc="A20C2A68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B30"/>
    <w:rsid w:val="00153958"/>
    <w:rsid w:val="002D12AA"/>
    <w:rsid w:val="003B07E8"/>
    <w:rsid w:val="003D315C"/>
    <w:rsid w:val="00484993"/>
    <w:rsid w:val="004901EF"/>
    <w:rsid w:val="007042CC"/>
    <w:rsid w:val="00816B30"/>
    <w:rsid w:val="00831752"/>
    <w:rsid w:val="00935A34"/>
    <w:rsid w:val="00993723"/>
    <w:rsid w:val="00A92F47"/>
    <w:rsid w:val="00AC4588"/>
    <w:rsid w:val="00B03C68"/>
    <w:rsid w:val="00B864AE"/>
    <w:rsid w:val="00CA72AA"/>
    <w:rsid w:val="00CE5784"/>
    <w:rsid w:val="00E06EB8"/>
    <w:rsid w:val="00E157D9"/>
    <w:rsid w:val="00F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C19BAE"/>
  <w15:docId w15:val="{1B1D201D-9FCC-4E98-AD82-9A5344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CA7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2A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AA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AA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2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F4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rkolukic/Desktop/4%20years%20wetAMD%20manuscript/4%20years%20Eylea%20follow%20up%20wetAMD%20-%20clear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Median and Interquartile ranges in number</a:t>
            </a:r>
            <a:r>
              <a:rPr lang="en-US" baseline="0"/>
              <a:t> of intravitreal injections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'Bar chart'!$B$43</c:f>
              <c:strCache>
                <c:ptCount val="1"/>
                <c:pt idx="0">
                  <c:v>Median number of injections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'Bar chart'!$C$42:$F$42</c:f>
              <c:strCache>
                <c:ptCount val="4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</c:strCache>
            </c:strRef>
          </c:cat>
          <c:val>
            <c:numRef>
              <c:f>'Bar chart'!$C$43:$F$43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4.5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CA-5A4D-BBE9-4DF0094167B3}"/>
            </c:ext>
          </c:extLst>
        </c:ser>
        <c:ser>
          <c:idx val="1"/>
          <c:order val="1"/>
          <c:tx>
            <c:strRef>
              <c:f>'Bar chart'!$B$44</c:f>
              <c:strCache>
                <c:ptCount val="1"/>
                <c:pt idx="0">
                  <c:v>Interquartile ranges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'Bar chart'!$C$42:$F$42</c:f>
              <c:strCache>
                <c:ptCount val="4"/>
                <c:pt idx="0">
                  <c:v>Year 1</c:v>
                </c:pt>
                <c:pt idx="1">
                  <c:v>Year 2</c:v>
                </c:pt>
                <c:pt idx="2">
                  <c:v>Year 3</c:v>
                </c:pt>
                <c:pt idx="3">
                  <c:v>Year 4</c:v>
                </c:pt>
              </c:strCache>
            </c:strRef>
          </c:cat>
          <c:val>
            <c:numRef>
              <c:f>'Bar chart'!$C$44:$F$44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CA-5A4D-BBE9-4DF009416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6433919"/>
        <c:axId val="859782735"/>
      </c:barChart>
      <c:catAx>
        <c:axId val="856433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9782735"/>
        <c:crosses val="autoZero"/>
        <c:auto val="1"/>
        <c:lblAlgn val="ctr"/>
        <c:lblOffset val="100"/>
        <c:noMultiLvlLbl val="0"/>
      </c:catAx>
      <c:valAx>
        <c:axId val="8597827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6433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DC3BA-2D64-5B45-89EE-E45A1C02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Pickering, Laura, Springer Healthcare UK</dc:creator>
  <cp:lastModifiedBy>Microsoft Office User</cp:lastModifiedBy>
  <cp:revision>9</cp:revision>
  <dcterms:created xsi:type="dcterms:W3CDTF">2019-11-13T14:43:00Z</dcterms:created>
  <dcterms:modified xsi:type="dcterms:W3CDTF">2019-12-14T21:03:00Z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2019-06-28T00:00:00Z</vt:filetime>
  </property>
</Properties>
</file>