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A1BB" w14:textId="2B3DFE9B" w:rsidR="00A03B29" w:rsidRDefault="003F6EA8">
      <w:pPr>
        <w:spacing w:before="80" w:line="482" w:lineRule="auto"/>
        <w:ind w:left="200" w:right="161"/>
        <w:rPr>
          <w:rFonts w:ascii="Arial"/>
          <w:b/>
        </w:rPr>
      </w:pPr>
      <w:r>
        <w:rPr>
          <w:rFonts w:ascii="Arial"/>
          <w:b/>
        </w:rPr>
        <w:t xml:space="preserve">Supplementary figure 1. A Consolidated Standards Of Reporting Trials (CONSORT) style diagram showing the patients and eyes included in the </w:t>
      </w:r>
      <w:r w:rsidR="00A04621">
        <w:rPr>
          <w:rFonts w:ascii="Arial"/>
          <w:b/>
        </w:rPr>
        <w:t>analysis.</w:t>
      </w:r>
    </w:p>
    <w:p w14:paraId="298041CD" w14:textId="77777777" w:rsidR="00A03B29" w:rsidRDefault="00A03B29">
      <w:pPr>
        <w:pStyle w:val="BodyText"/>
        <w:rPr>
          <w:rFonts w:ascii="Arial"/>
          <w:b/>
        </w:rPr>
      </w:pPr>
    </w:p>
    <w:p w14:paraId="38691829" w14:textId="77777777" w:rsidR="00A03B29" w:rsidRDefault="00A03B29">
      <w:pPr>
        <w:pStyle w:val="BodyText"/>
        <w:rPr>
          <w:rFonts w:ascii="Arial"/>
          <w:b/>
        </w:rPr>
      </w:pPr>
    </w:p>
    <w:p w14:paraId="32D0A9B2" w14:textId="77777777" w:rsidR="00A03B29" w:rsidRDefault="00A03B29">
      <w:pPr>
        <w:pStyle w:val="BodyText"/>
        <w:spacing w:before="9"/>
        <w:rPr>
          <w:rFonts w:ascii="Arial"/>
          <w:b/>
          <w:sz w:val="28"/>
        </w:rPr>
      </w:pPr>
    </w:p>
    <w:p w14:paraId="0A0AF27A" w14:textId="77777777" w:rsidR="00A03B29" w:rsidRDefault="003F6EA8">
      <w:pPr>
        <w:pStyle w:val="BodyText"/>
        <w:spacing w:line="237" w:lineRule="auto"/>
        <w:ind w:left="100" w:right="377"/>
      </w:pPr>
      <w:r>
        <w:t>Total of 157 eyes of 148 patients received first aflibercept injection for neovascular age- related macular degeneration between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t>September 2013 and 28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of February 2014.</w:t>
      </w:r>
    </w:p>
    <w:p w14:paraId="6104D982" w14:textId="77777777" w:rsidR="00A03B29" w:rsidRDefault="00A03B29">
      <w:pPr>
        <w:pStyle w:val="BodyText"/>
        <w:rPr>
          <w:sz w:val="30"/>
        </w:rPr>
      </w:pPr>
    </w:p>
    <w:p w14:paraId="121929FE" w14:textId="77777777" w:rsidR="00A03B29" w:rsidRDefault="00093AB4">
      <w:pPr>
        <w:pStyle w:val="BodyText"/>
        <w:spacing w:before="219"/>
        <w:ind w:left="2644" w:right="88" w:firstLine="4"/>
      </w:pPr>
      <w:r>
        <w:pict w14:anchorId="51A3881A">
          <v:group id="_x0000_s1047" alt="" style="position:absolute;left:0;text-align:left;margin-left:83.75pt;margin-top:12.1pt;width:17.5pt;height:62.7pt;z-index:15728640;mso-position-horizontal-relative:page" coordorigin="1675,242" coordsize="350,1254">
            <v:shape id="_x0000_s1048" alt="" style="position:absolute;left:1685;top:251;width:330;height:1234" coordorigin="1685,252" coordsize="330,1234" path="m1932,252r-165,l1767,1321r-82,l1850,1486r164,-165l1932,1321r,-1069xe" fillcolor="#4472c4" stroked="f">
              <v:path arrowok="t"/>
            </v:shape>
            <v:shape id="_x0000_s1049" alt="" style="position:absolute;left:1685;top:251;width:330;height:1234" coordorigin="1685,252" coordsize="330,1234" path="m1685,1321r82,l1767,252r165,l1932,1321r82,l1850,1486,1685,1321xe" filled="f" strokecolor="#2f528f" strokeweight="1pt">
              <v:path arrowok="t"/>
            </v:shape>
            <w10:wrap anchorx="page"/>
          </v:group>
        </w:pict>
      </w:r>
      <w:r>
        <w:pict w14:anchorId="3C79C8FB">
          <v:group id="_x0000_s1044" alt="" style="position:absolute;left:0;text-align:left;margin-left:117.35pt;margin-top:26.15pt;width:62.7pt;height:17.5pt;z-index:15729152;mso-position-horizontal-relative:page" coordorigin="2347,523" coordsize="1254,350">
            <v:shape id="_x0000_s1045" alt="" style="position:absolute;left:2357;top:532;width:1234;height:330" coordorigin="2357,533" coordsize="1234,330" path="m3426,533r,82l2357,615r,165l3426,780r,82l3591,697,3426,533xe" fillcolor="#4472c4" stroked="f">
              <v:path arrowok="t"/>
            </v:shape>
            <v:shape id="_x0000_s1046" alt="" style="position:absolute;left:2357;top:532;width:1234;height:330" coordorigin="2357,533" coordsize="1234,330" path="m3426,862r,-82l2357,780r,-165l3426,615r,-82l3591,697,3426,862xe" filled="f" strokecolor="#2f528f" strokeweight="1pt">
              <v:path arrowok="t"/>
            </v:shape>
            <w10:wrap anchorx="page"/>
          </v:group>
        </w:pict>
      </w:r>
      <w:r w:rsidR="003F6EA8">
        <w:t>8 eyes of 8 patients excluded due to loss of follow-up (no OCT data available for additional 19 eyes of 18 patients at the time of analysis). 1 eye of 1 patient excluded due to recurrence of pre- exciting intraocular inflammation</w:t>
      </w:r>
    </w:p>
    <w:p w14:paraId="6A6CBFFA" w14:textId="77777777" w:rsidR="00A03B29" w:rsidRDefault="00A03B29">
      <w:pPr>
        <w:pStyle w:val="BodyText"/>
        <w:rPr>
          <w:sz w:val="28"/>
        </w:rPr>
      </w:pPr>
    </w:p>
    <w:p w14:paraId="690DB754" w14:textId="77777777" w:rsidR="00A03B29" w:rsidRDefault="00093AB4">
      <w:pPr>
        <w:pStyle w:val="BodyText"/>
        <w:spacing w:before="243"/>
        <w:ind w:left="100" w:right="144"/>
      </w:pPr>
      <w:r>
        <w:pict w14:anchorId="15CEC0CE">
          <v:group id="_x0000_s1041" alt="" style="position:absolute;left:0;text-align:left;margin-left:86.9pt;margin-top:52.65pt;width:17.5pt;height:62.7pt;z-index:15729664;mso-position-horizontal-relative:page" coordorigin="1738,1053" coordsize="350,1254">
            <v:shape id="_x0000_s1042" alt="" style="position:absolute;left:1748;top:1062;width:330;height:1234" coordorigin="1748,1063" coordsize="330,1234" path="m1995,1063r-165,l1830,2132r-82,l1913,2297r164,-165l1995,2132r,-1069xe" fillcolor="#4472c4" stroked="f">
              <v:path arrowok="t"/>
            </v:shape>
            <v:shape id="_x0000_s1043" alt="" style="position:absolute;left:1748;top:1062;width:330;height:1234" coordorigin="1748,1063" coordsize="330,1234" path="m1748,2132r82,l1830,1063r165,l1995,2132r82,l1913,2297,1748,2132xe" filled="f" strokecolor="#2f528f" strokeweight="1pt">
              <v:path arrowok="t"/>
            </v:shape>
            <w10:wrap anchorx="page"/>
          </v:group>
        </w:pict>
      </w:r>
      <w:r w:rsidR="003F6EA8">
        <w:t>Total of 148 eyes of 139 patients included in visual acuity analysis of year 1 outcomes with 138 eyes of 130 patients included in analysis of OCT imaging</w:t>
      </w:r>
    </w:p>
    <w:p w14:paraId="4E3F05BB" w14:textId="77777777" w:rsidR="00A03B29" w:rsidRDefault="00A03B29">
      <w:pPr>
        <w:pStyle w:val="BodyText"/>
        <w:rPr>
          <w:sz w:val="28"/>
        </w:rPr>
      </w:pPr>
    </w:p>
    <w:p w14:paraId="62CBA635" w14:textId="77777777" w:rsidR="00A03B29" w:rsidRDefault="00093AB4">
      <w:pPr>
        <w:pStyle w:val="BodyText"/>
        <w:spacing w:before="243"/>
        <w:ind w:left="2538" w:right="211"/>
        <w:jc w:val="both"/>
      </w:pPr>
      <w:r>
        <w:pict w14:anchorId="74461D63">
          <v:group id="_x0000_s1038" alt="" style="position:absolute;left:0;text-align:left;margin-left:117.8pt;margin-top:17.3pt;width:62.7pt;height:17.5pt;z-index:15730176;mso-position-horizontal-relative:page" coordorigin="2356,346" coordsize="1254,350">
            <v:shape id="_x0000_s1039" alt="" style="position:absolute;left:2366;top:355;width:1234;height:330" coordorigin="2366,356" coordsize="1234,330" path="m3435,356r,82l2366,438r,164l3435,602r,83l3600,520,3435,356xe" fillcolor="#4472c4" stroked="f">
              <v:path arrowok="t"/>
            </v:shape>
            <v:shape id="_x0000_s1040" alt="" style="position:absolute;left:2366;top:355;width:1234;height:330" coordorigin="2366,356" coordsize="1234,330" path="m3435,685r,-83l2366,602r,-164l3435,438r,-82l3600,520,3435,685xe" filled="f" strokecolor="#2f528f" strokeweight="1pt">
              <v:path arrowok="t"/>
            </v:shape>
            <w10:wrap anchorx="page"/>
          </v:group>
        </w:pict>
      </w:r>
      <w:r w:rsidR="003F6EA8">
        <w:t>17 eyes of 16 patients excluded due to loss of follow-up (no OCT data available for additional 14 eyes of 13 patients at the time of analysis)</w:t>
      </w:r>
    </w:p>
    <w:p w14:paraId="39B41FD6" w14:textId="77777777" w:rsidR="00A03B29" w:rsidRDefault="00A03B29">
      <w:pPr>
        <w:pStyle w:val="BodyText"/>
        <w:spacing w:before="12"/>
        <w:rPr>
          <w:sz w:val="23"/>
        </w:rPr>
      </w:pPr>
    </w:p>
    <w:p w14:paraId="4E3633C0" w14:textId="77777777" w:rsidR="00A03B29" w:rsidRDefault="003F6EA8">
      <w:pPr>
        <w:pStyle w:val="BodyText"/>
        <w:ind w:left="100" w:right="144"/>
      </w:pPr>
      <w:r>
        <w:t>Total of 131 eyes of 123 patients included in visual acuity analysis of year 2 outcomes with 124 eyes of 117 patients included in analysis of OCT imaging</w:t>
      </w:r>
    </w:p>
    <w:p w14:paraId="106C32E1" w14:textId="77777777" w:rsidR="00A03B29" w:rsidRDefault="00A03B29">
      <w:pPr>
        <w:pStyle w:val="BodyText"/>
        <w:rPr>
          <w:sz w:val="28"/>
        </w:rPr>
      </w:pPr>
    </w:p>
    <w:p w14:paraId="21E8AB52" w14:textId="02008608" w:rsidR="00A03B29" w:rsidRDefault="00093AB4">
      <w:pPr>
        <w:pStyle w:val="BodyText"/>
        <w:spacing w:before="248"/>
        <w:ind w:left="2644" w:right="101" w:firstLine="4"/>
        <w:jc w:val="both"/>
      </w:pPr>
      <w:r>
        <w:pict w14:anchorId="46950FF0">
          <v:group id="_x0000_s1035" alt="" style="position:absolute;left:0;text-align:left;margin-left:90pt;margin-top:-.9pt;width:17.5pt;height:62.7pt;z-index:15730688;mso-position-horizontal-relative:page" coordorigin="1800,-18" coordsize="350,1254">
            <v:shape id="_x0000_s1036" alt="" style="position:absolute;left:1810;top:-8;width:330;height:1234" coordorigin="1810,-8" coordsize="330,1234" path="m2057,-8r-165,l1892,1062r-82,l1975,1226r164,-164l2057,1062r,-1070xe" fillcolor="#4472c4" stroked="f">
              <v:path arrowok="t"/>
            </v:shape>
            <v:shape id="_x0000_s1037" alt="" style="position:absolute;left:1810;top:-8;width:330;height:1234" coordorigin="1810,-8" coordsize="330,1234" path="m1810,1062r82,l1892,-8r165,l2057,1062r82,l1975,1226,1810,1062xe" filled="f" strokecolor="#2f528f" strokeweight="1pt">
              <v:path arrowok="t"/>
            </v:shape>
            <w10:wrap anchorx="page"/>
          </v:group>
        </w:pict>
      </w:r>
      <w:r>
        <w:pict w14:anchorId="639AEA53">
          <v:group id="_x0000_s1032" alt="" style="position:absolute;left:0;text-align:left;margin-left:120.85pt;margin-top:20.7pt;width:62.7pt;height:17.5pt;z-index:15731200;mso-position-horizontal-relative:page" coordorigin="2417,414" coordsize="1254,350">
            <v:shape id="_x0000_s1033" alt="" style="position:absolute;left:2427;top:424;width:1234;height:330" coordorigin="2427,424" coordsize="1234,330" path="m3496,424r,82l2427,506r,165l3496,671r,82l3661,589,3496,424xe" fillcolor="#4472c4" stroked="f">
              <v:path arrowok="t"/>
            </v:shape>
            <v:shape id="_x0000_s1034" alt="" style="position:absolute;left:2427;top:424;width:1234;height:330" coordorigin="2427,424" coordsize="1234,330" path="m3496,753r,-82l2427,671r,-165l3496,506r,-82l3661,589,3496,753xe" filled="f" strokecolor="#2f528f" strokeweight="1pt">
              <v:path arrowok="t"/>
            </v:shape>
            <w10:wrap anchorx="page"/>
          </v:group>
        </w:pict>
      </w:r>
      <w:r w:rsidR="003F6EA8">
        <w:t xml:space="preserve">23 eyes of 21 patients excluded due to loss of follow up (no OCT data available for additional 24 eyes of 22 patients at the time of </w:t>
      </w:r>
      <w:r w:rsidR="00D9453E">
        <w:t>analysis</w:t>
      </w:r>
      <w:r w:rsidR="003F6EA8">
        <w:t>)</w:t>
      </w:r>
    </w:p>
    <w:p w14:paraId="76012A80" w14:textId="77777777" w:rsidR="00A03B29" w:rsidRDefault="00A03B29">
      <w:pPr>
        <w:pStyle w:val="BodyText"/>
        <w:spacing w:before="12"/>
        <w:rPr>
          <w:sz w:val="23"/>
        </w:rPr>
      </w:pPr>
    </w:p>
    <w:p w14:paraId="25C855CE" w14:textId="77777777" w:rsidR="00A03B29" w:rsidRDefault="003F6EA8">
      <w:pPr>
        <w:pStyle w:val="BodyText"/>
        <w:ind w:left="100" w:right="144"/>
      </w:pPr>
      <w:r>
        <w:t>Total of 108 eyes of 102 patients included in visual acuity analysis of year 3 outcomes with 100 eyes of 95 patients included in analysis of OCT imaging</w:t>
      </w:r>
    </w:p>
    <w:p w14:paraId="1190897E" w14:textId="77777777" w:rsidR="00A03B29" w:rsidRDefault="00A03B29">
      <w:pPr>
        <w:pStyle w:val="BodyText"/>
        <w:rPr>
          <w:sz w:val="28"/>
        </w:rPr>
      </w:pPr>
    </w:p>
    <w:p w14:paraId="70F76F74" w14:textId="77777777" w:rsidR="00A03B29" w:rsidRDefault="00093AB4">
      <w:pPr>
        <w:pStyle w:val="BodyText"/>
        <w:spacing w:before="243"/>
        <w:ind w:left="2696" w:right="95" w:firstLine="4"/>
      </w:pPr>
      <w:r>
        <w:pict w14:anchorId="601D241B">
          <v:group id="_x0000_s1029" alt="" style="position:absolute;left:0;text-align:left;margin-left:93.1pt;margin-top:.35pt;width:17.5pt;height:62.7pt;z-index:15731712;mso-position-horizontal-relative:page" coordorigin="1862,7" coordsize="350,1254">
            <v:shape id="_x0000_s1030" alt="" style="position:absolute;left:1872;top:17;width:330;height:1234" coordorigin="1872,17" coordsize="330,1234" path="m2119,17r-165,l1954,1087r-82,l2037,1251r164,-164l2119,1087r,-1070xe" fillcolor="#4472c4" stroked="f">
              <v:path arrowok="t"/>
            </v:shape>
            <v:shape id="_x0000_s1031" alt="" style="position:absolute;left:1872;top:17;width:330;height:1234" coordorigin="1872,17" coordsize="330,1234" path="m1872,1087r82,l1954,17r165,l2119,1087r82,l2037,1251,1872,1087xe" filled="f" strokecolor="#2f528f" strokeweight="1pt">
              <v:path arrowok="t"/>
            </v:shape>
            <w10:wrap anchorx="page"/>
          </v:group>
        </w:pict>
      </w:r>
      <w:r>
        <w:pict w14:anchorId="48ED04C7">
          <v:group id="_x0000_s1026" alt="" style="position:absolute;left:0;text-align:left;margin-left:121.9pt;margin-top:21.5pt;width:62.7pt;height:17.5pt;z-index:15732224;mso-position-horizontal-relative:page" coordorigin="2438,430" coordsize="1254,350">
            <v:shape id="_x0000_s1027" alt="" style="position:absolute;left:2448;top:440;width:1234;height:330" coordorigin="2448,440" coordsize="1234,330" path="m3517,440r,83l2448,523r,164l3517,687r,82l3682,605,3517,440xe" fillcolor="#4472c4" stroked="f">
              <v:path arrowok="t"/>
            </v:shape>
            <v:shape id="_x0000_s1028" alt="" style="position:absolute;left:2448;top:440;width:1234;height:330" coordorigin="2448,440" coordsize="1234,330" path="m3517,769r,-82l2448,687r,-164l3517,523r,-83l3682,605,3517,769xe" filled="f" strokecolor="#2f528f" strokeweight="1pt">
              <v:path arrowok="t"/>
            </v:shape>
            <w10:wrap anchorx="page"/>
          </v:group>
        </w:pict>
      </w:r>
      <w:r w:rsidR="003F6EA8">
        <w:t>14 eyes of 14 patients excluded due to loss of follow up (no OCT data available for additional 6 eyes of 6 patients at the time of analysis)</w:t>
      </w:r>
    </w:p>
    <w:p w14:paraId="5F7B9652" w14:textId="77777777" w:rsidR="00A03B29" w:rsidRDefault="00A03B29">
      <w:pPr>
        <w:pStyle w:val="BodyText"/>
        <w:rPr>
          <w:sz w:val="28"/>
        </w:rPr>
      </w:pPr>
    </w:p>
    <w:p w14:paraId="2342B842" w14:textId="77777777" w:rsidR="00A03B29" w:rsidRDefault="003F6EA8">
      <w:pPr>
        <w:pStyle w:val="BodyText"/>
        <w:spacing w:before="243"/>
        <w:ind w:left="100"/>
      </w:pPr>
      <w:r>
        <w:t>Total of 94 eyes of 89 patients included in visual acuity analysis of year 4 outcomes with 88 eyes of 83 patients included in analysis of OCT imaging</w:t>
      </w:r>
    </w:p>
    <w:sectPr w:rsidR="00A03B29">
      <w:type w:val="continuous"/>
      <w:pgSz w:w="11900" w:h="16840"/>
      <w:pgMar w:top="13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B29"/>
    <w:rsid w:val="00093AB4"/>
    <w:rsid w:val="003F6EA8"/>
    <w:rsid w:val="00955676"/>
    <w:rsid w:val="00A03B29"/>
    <w:rsid w:val="00A04621"/>
    <w:rsid w:val="00D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3AEF5DB7"/>
  <w15:docId w15:val="{9AA31685-9574-A84B-9B0A-081F57BF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21"/>
    <w:rPr>
      <w:rFonts w:ascii="Times New Roman" w:eastAsia="Calibri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E4BA25-14CA-4180-A15B-0A709CF1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Document4</dc:title>
  <cp:lastModifiedBy>Sameer Grover</cp:lastModifiedBy>
  <cp:revision>2</cp:revision>
  <cp:lastPrinted>2019-11-14T21:41:00Z</cp:lastPrinted>
  <dcterms:created xsi:type="dcterms:W3CDTF">2020-06-12T13:05:00Z</dcterms:created>
  <dcterms:modified xsi:type="dcterms:W3CDTF">2020-06-12T13:05:00Z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Creator">
    <vt:lpwstr>Word</vt:lpwstr>
  </property>
  <property fmtid="{D5CDD505-2E9C-101B-9397-08002B2CF9AE}" pid="4" name="LastSaved">
    <vt:filetime>2019-11-14T00:00:00Z</vt:filetime>
  </property>
</Properties>
</file>