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Industry Benchmarking Survey 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Blind vs. Non-Blind Histopathology Evaluation Practices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SURVEY OVERVIEW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Purpose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purpose of this survey is to obtain information regarding current institution decision-making practices for determining the use of “blind” and “non-blind” (or informed) histopathologic evaluations for GLP-compliant animal toxicity studies conducted at the institution or contracted externally by the institution.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</w:rPr>
        <w:t>How the Information Will Be Used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results of this survey will be summarized for publication in </w:t>
      </w:r>
      <w:r>
        <w:rPr>
          <w:rFonts w:ascii="Times New Roman" w:hAnsi="Times New Roman"/>
          <w:i/>
          <w:color w:val="000000" w:themeColor="text1"/>
        </w:rPr>
        <w:t>Toxicologic Pathology</w:t>
      </w:r>
      <w:r>
        <w:rPr>
          <w:rFonts w:ascii="Times New Roman" w:hAnsi="Times New Roman"/>
          <w:color w:val="000000" w:themeColor="text1"/>
        </w:rPr>
        <w:t xml:space="preserve"> as a Toxicologic Pathology Forum Opinion.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Survey Organization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There are two sections:</w:t>
      </w:r>
    </w:p>
    <w:p w:rsidR="00404456" w:rsidRDefault="00404456" w:rsidP="00404456">
      <w:pPr>
        <w:pStyle w:val="ListParagraph"/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Demographic Information</w:t>
      </w:r>
      <w:r>
        <w:rPr>
          <w:rFonts w:ascii="Times New Roman" w:hAnsi="Times New Roman"/>
          <w:color w:val="000000" w:themeColor="text1"/>
        </w:rPr>
        <w:t xml:space="preserve"> – 2 to 3 minutes</w:t>
      </w:r>
    </w:p>
    <w:p w:rsidR="00404456" w:rsidRDefault="00404456" w:rsidP="00404456">
      <w:pPr>
        <w:pStyle w:val="ListParagraph"/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Benchmarking Survey</w:t>
      </w:r>
      <w:r>
        <w:rPr>
          <w:rFonts w:ascii="Times New Roman" w:hAnsi="Times New Roman"/>
          <w:color w:val="000000" w:themeColor="text1"/>
        </w:rPr>
        <w:t xml:space="preserve"> – 12-20 minutes; a series of multiple-choice, check-box questions to determine how institutions make decisions regarding the use of “blind” vs. “non-blind” histopathologic evaluation.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Survey Completion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SRPC requests completion of this survey by coordinating group toxicologic pathologists through a designated toxicologic pathologist point of contact responder for each individual institution site location within any given multi-site corporate, non-profit or government institution.  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reasons for this direction are (1) to reduce the possibility of duplicate responses from a single site while (2) meeting the purpose of this survey to gain feedback and perspective specifically from working toxicologic pathologists, and (3) including as many toxicologic pathologists as possible.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PART 1 – DEMOGRAPHIC INFORMATION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u w:val="single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u w:val="single"/>
        </w:rPr>
        <w:t>Demographic Information –Secti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on A:  Pathology Experience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u w:val="single"/>
        </w:rPr>
        <w:t>(</w:t>
      </w:r>
      <w:r>
        <w:rPr>
          <w:rFonts w:ascii="Times New Roman" w:hAnsi="Times New Roman"/>
          <w:i/>
          <w:color w:val="000000" w:themeColor="text1"/>
        </w:rPr>
        <w:t>will not be included in any publication or presentation</w:t>
      </w:r>
      <w:r>
        <w:rPr>
          <w:rFonts w:ascii="Times New Roman" w:hAnsi="Times New Roman"/>
          <w:color w:val="000000" w:themeColor="text1"/>
        </w:rPr>
        <w:t xml:space="preserve">, the intent is to understand the extent of responder toxicologic pathology experience and to reduce the potential for double counting institution sites. 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 of responder _____________________________________________  [free text area]</w:t>
      </w: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Position / Title of responder: ______________________________________[free text area]</w:t>
      </w: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Years of experience as a toxicologic pathologist:</w:t>
      </w:r>
      <w:r>
        <w:rPr>
          <w:rFonts w:ascii="Times New Roman" w:hAnsi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/>
          <w:color w:val="000000" w:themeColor="text1"/>
        </w:rPr>
        <w:t>______________________[free text area]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b/>
          <w:color w:val="000000" w:themeColor="text1"/>
        </w:rPr>
      </w:pP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Pathology credentials: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Advanced training: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(select all that apply)</w:t>
      </w:r>
    </w:p>
    <w:p w:rsidR="00404456" w:rsidRDefault="00404456" w:rsidP="00404456">
      <w:pPr>
        <w:pStyle w:val="ListParagraph"/>
        <w:numPr>
          <w:ilvl w:val="1"/>
          <w:numId w:val="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</w:t>
      </w:r>
    </w:p>
    <w:p w:rsidR="00404456" w:rsidRDefault="00404456" w:rsidP="00404456">
      <w:pPr>
        <w:pStyle w:val="ListParagraph"/>
        <w:numPr>
          <w:ilvl w:val="1"/>
          <w:numId w:val="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PhD</w:t>
      </w:r>
    </w:p>
    <w:p w:rsidR="00404456" w:rsidRDefault="00404456" w:rsidP="00404456">
      <w:pPr>
        <w:pStyle w:val="ListParagraph"/>
        <w:numPr>
          <w:ilvl w:val="1"/>
          <w:numId w:val="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Formal residency</w:t>
      </w:r>
    </w:p>
    <w:p w:rsidR="00404456" w:rsidRDefault="00404456" w:rsidP="00404456">
      <w:pPr>
        <w:pStyle w:val="ListParagraph"/>
        <w:numPr>
          <w:ilvl w:val="1"/>
          <w:numId w:val="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None</w:t>
      </w:r>
    </w:p>
    <w:p w:rsidR="00404456" w:rsidRDefault="00404456" w:rsidP="00404456">
      <w:pPr>
        <w:pStyle w:val="ListParagraph"/>
        <w:numPr>
          <w:ilvl w:val="1"/>
          <w:numId w:val="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(Please specify):  ______________________________________ [free text area]</w:t>
      </w: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Certification in pathology / toxicologic pathology:  Specialty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(select all that apply)</w:t>
      </w:r>
    </w:p>
    <w:p w:rsidR="00404456" w:rsidRDefault="00404456" w:rsidP="00404456">
      <w:pPr>
        <w:pStyle w:val="ListParagraph"/>
        <w:numPr>
          <w:ilvl w:val="1"/>
          <w:numId w:val="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Anatomic pathology</w:t>
      </w:r>
    </w:p>
    <w:p w:rsidR="00404456" w:rsidRDefault="00404456" w:rsidP="00404456">
      <w:pPr>
        <w:pStyle w:val="ListParagraph"/>
        <w:numPr>
          <w:ilvl w:val="1"/>
          <w:numId w:val="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Clinical pathology</w:t>
      </w:r>
    </w:p>
    <w:p w:rsidR="00404456" w:rsidRDefault="00404456" w:rsidP="00404456">
      <w:pPr>
        <w:pStyle w:val="ListParagraph"/>
        <w:numPr>
          <w:ilvl w:val="1"/>
          <w:numId w:val="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Toxicologic pathology</w:t>
      </w:r>
    </w:p>
    <w:p w:rsidR="00404456" w:rsidRDefault="00404456" w:rsidP="00404456">
      <w:pPr>
        <w:pStyle w:val="ListParagraph"/>
        <w:numPr>
          <w:ilvl w:val="1"/>
          <w:numId w:val="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None</w:t>
      </w:r>
    </w:p>
    <w:p w:rsidR="00404456" w:rsidRDefault="00404456" w:rsidP="00404456">
      <w:pPr>
        <w:pStyle w:val="ListParagraph"/>
        <w:numPr>
          <w:ilvl w:val="1"/>
          <w:numId w:val="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(Please specify):  ______________________________________ [free text area]</w:t>
      </w: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Certification type:  Credential review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(select all that apply)</w:t>
      </w:r>
    </w:p>
    <w:p w:rsidR="00404456" w:rsidRDefault="00404456" w:rsidP="00404456">
      <w:pPr>
        <w:pStyle w:val="ListParagraph"/>
        <w:numPr>
          <w:ilvl w:val="1"/>
          <w:numId w:val="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FIATP</w:t>
      </w:r>
    </w:p>
    <w:p w:rsidR="00404456" w:rsidRDefault="00404456" w:rsidP="00404456">
      <w:pPr>
        <w:pStyle w:val="ListParagraph"/>
        <w:numPr>
          <w:ilvl w:val="1"/>
          <w:numId w:val="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None</w:t>
      </w:r>
    </w:p>
    <w:p w:rsidR="00404456" w:rsidRDefault="00404456" w:rsidP="00404456">
      <w:pPr>
        <w:pStyle w:val="ListParagraph"/>
        <w:numPr>
          <w:ilvl w:val="1"/>
          <w:numId w:val="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(Please specify): ______________________________________  [free text area]</w:t>
      </w:r>
    </w:p>
    <w:p w:rsidR="00404456" w:rsidRDefault="00404456" w:rsidP="00404456">
      <w:pPr>
        <w:pStyle w:val="ListParagraph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Certification type:  Examination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b/>
          <w:color w:val="000000" w:themeColor="text1"/>
        </w:rPr>
        <w:t>(select all that apply)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DABT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DABVT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DACVP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DECVP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DJSTP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ERT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MRCPath</w:t>
      </w:r>
      <w:proofErr w:type="spellEnd"/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None</w:t>
      </w:r>
    </w:p>
    <w:p w:rsidR="00404456" w:rsidRDefault="00404456" w:rsidP="00404456">
      <w:pPr>
        <w:pStyle w:val="ListParagraph"/>
        <w:numPr>
          <w:ilvl w:val="1"/>
          <w:numId w:val="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Other (Please specify): ______________________________________  [free text area]</w:t>
      </w:r>
    </w:p>
    <w:p w:rsidR="00404456" w:rsidRDefault="00404456" w:rsidP="00404456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Institution of responder:</w:t>
      </w:r>
      <w:r>
        <w:rPr>
          <w:rFonts w:ascii="Times New Roman" w:hAnsi="Times New Roman"/>
          <w:color w:val="000000" w:themeColor="text1"/>
        </w:rPr>
        <w:t>________________________________________[free text area]</w:t>
      </w:r>
    </w:p>
    <w:p w:rsidR="00404456" w:rsidRDefault="00404456" w:rsidP="00404456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Site location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of responder:</w:t>
      </w:r>
      <w:r>
        <w:rPr>
          <w:rFonts w:ascii="Times New Roman" w:hAnsi="Times New Roman"/>
          <w:color w:val="000000" w:themeColor="text1"/>
        </w:rPr>
        <w:t xml:space="preserve"> (for institutions with multiple sites)</w:t>
      </w:r>
      <w:r>
        <w:rPr>
          <w:rFonts w:ascii="Times New Roman" w:hAnsi="Times New Roman"/>
          <w:b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 ___________ [free text area]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Demographic Information – Section B:  Institution: </w:t>
      </w:r>
      <w:r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i/>
          <w:color w:val="000000" w:themeColor="text1"/>
          <w:szCs w:val="26"/>
        </w:rPr>
        <w:t>compiled results to be published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  <w:sz w:val="22"/>
        </w:rPr>
      </w:pPr>
    </w:p>
    <w:p w:rsidR="00404456" w:rsidRDefault="00404456" w:rsidP="00404456">
      <w:pPr>
        <w:pStyle w:val="ListParagraph"/>
        <w:numPr>
          <w:ilvl w:val="0"/>
          <w:numId w:val="10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Type of organization (select one)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Academic: research laboratory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Government: regulatory agency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Government: research laboratory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Industry: agrochemical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Industry: biopharmaceutical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Industry: contract research organization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Industry: medical device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Private consulting practice</w:t>
      </w:r>
    </w:p>
    <w:p w:rsidR="00404456" w:rsidRDefault="00404456" w:rsidP="00404456">
      <w:pPr>
        <w:pStyle w:val="ListParagraph"/>
        <w:numPr>
          <w:ilvl w:val="1"/>
          <w:numId w:val="1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Other: (Please indicate)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0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Organization size:</w:t>
      </w:r>
      <w:r>
        <w:rPr>
          <w:rFonts w:ascii="Times New Roman" w:hAnsi="Times New Roman"/>
          <w:color w:val="000000" w:themeColor="text1"/>
        </w:rPr>
        <w:t xml:space="preserve">  Number of all employees in organization at the responder’s site </w:t>
      </w:r>
      <w:r>
        <w:rPr>
          <w:rFonts w:ascii="Times New Roman" w:hAnsi="Times New Roman"/>
          <w:b/>
          <w:color w:val="000000" w:themeColor="text1"/>
        </w:rPr>
        <w:t xml:space="preserve"> (select one)</w:t>
      </w:r>
    </w:p>
    <w:p w:rsidR="00404456" w:rsidRDefault="00404456" w:rsidP="00404456">
      <w:pPr>
        <w:pStyle w:val="ListParagraph"/>
        <w:numPr>
          <w:ilvl w:val="1"/>
          <w:numId w:val="11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&lt; 50</w:t>
      </w:r>
    </w:p>
    <w:p w:rsidR="00404456" w:rsidRDefault="00404456" w:rsidP="00404456">
      <w:pPr>
        <w:pStyle w:val="ListParagraph"/>
        <w:numPr>
          <w:ilvl w:val="1"/>
          <w:numId w:val="11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50 to 500</w:t>
      </w:r>
    </w:p>
    <w:p w:rsidR="00404456" w:rsidRDefault="00404456" w:rsidP="00404456">
      <w:pPr>
        <w:pStyle w:val="ListParagraph"/>
        <w:numPr>
          <w:ilvl w:val="1"/>
          <w:numId w:val="11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501 to 5,000</w:t>
      </w:r>
    </w:p>
    <w:p w:rsidR="00404456" w:rsidRDefault="00404456" w:rsidP="00404456">
      <w:pPr>
        <w:pStyle w:val="ListParagraph"/>
        <w:numPr>
          <w:ilvl w:val="1"/>
          <w:numId w:val="11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5,001 to 20,000</w:t>
      </w:r>
    </w:p>
    <w:p w:rsidR="00404456" w:rsidRDefault="00404456" w:rsidP="00404456">
      <w:pPr>
        <w:pStyle w:val="ListParagraph"/>
        <w:numPr>
          <w:ilvl w:val="1"/>
          <w:numId w:val="11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&gt;20,000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b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0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Number of toxicologic pathologists at the responder’s site covered by the survey responses</w:t>
      </w:r>
      <w:r>
        <w:rPr>
          <w:rFonts w:ascii="Times New Roman" w:hAnsi="Times New Roman"/>
          <w:color w:val="000000" w:themeColor="text1"/>
        </w:rPr>
        <w:t xml:space="preserve">  _______________________________________________ [free text area] 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0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Institutional Location (select one)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Africa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Asia / India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Australia / New Zealand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Europe / Russia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North America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South / Central America only</w:t>
      </w:r>
    </w:p>
    <w:p w:rsidR="00404456" w:rsidRDefault="00404456" w:rsidP="00404456">
      <w:pPr>
        <w:pStyle w:val="ListParagraph"/>
        <w:numPr>
          <w:ilvl w:val="0"/>
          <w:numId w:val="12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Multi-national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3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Additional comments regarding Part 1: (optional)  ____________________________________________________ [free text area]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PART 2 – BENCHMARKING CURRENT STRATEGIES FOR APPLYING “BLIND” AND “NON-BLIND” HISTOPATHOLOGIC EVALUATION IN YOUR INSTITUTION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Section A:  Primary Pathology Read: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4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Does your institution perform histopathologic evaluation for evaluation for GLP-compliant animal studies using a “blind” histopathology evaluation strategy? </w:t>
      </w:r>
      <w:r>
        <w:rPr>
          <w:rFonts w:ascii="Times New Roman" w:hAnsi="Times New Roman"/>
          <w:b/>
          <w:color w:val="000000" w:themeColor="text1"/>
        </w:rPr>
        <w:t>(select one)</w:t>
      </w:r>
    </w:p>
    <w:p w:rsidR="00404456" w:rsidRDefault="00404456" w:rsidP="00404456">
      <w:pPr>
        <w:pStyle w:val="ListParagraph"/>
        <w:numPr>
          <w:ilvl w:val="1"/>
          <w:numId w:val="1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A)  </w:t>
      </w:r>
      <w:r>
        <w:rPr>
          <w:rFonts w:ascii="Times New Roman" w:hAnsi="Times New Roman"/>
          <w:b/>
          <w:color w:val="000000" w:themeColor="text1"/>
        </w:rPr>
        <w:t>Yes, all entire studies are always read “blind.”</w:t>
      </w:r>
    </w:p>
    <w:p w:rsidR="00404456" w:rsidRDefault="00404456" w:rsidP="00404456">
      <w:pPr>
        <w:pStyle w:val="ListParagraph"/>
        <w:numPr>
          <w:ilvl w:val="1"/>
          <w:numId w:val="1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B)  </w:t>
      </w:r>
      <w:r>
        <w:rPr>
          <w:rFonts w:ascii="Times New Roman" w:hAnsi="Times New Roman"/>
          <w:b/>
          <w:color w:val="000000" w:themeColor="text1"/>
        </w:rPr>
        <w:t>Yes, some entire studies are read “blind”</w:t>
      </w:r>
      <w:r>
        <w:rPr>
          <w:rFonts w:ascii="Times New Roman" w:hAnsi="Times New Roman"/>
          <w:color w:val="000000" w:themeColor="text1"/>
        </w:rPr>
        <w:t>, with the decision to do so dependent on the purpose and/or type of study.</w:t>
      </w:r>
    </w:p>
    <w:p w:rsidR="00404456" w:rsidRDefault="00404456" w:rsidP="00404456">
      <w:pPr>
        <w:pStyle w:val="ListParagraph"/>
        <w:numPr>
          <w:ilvl w:val="1"/>
          <w:numId w:val="1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C)  </w:t>
      </w:r>
      <w:r>
        <w:rPr>
          <w:rFonts w:ascii="Times New Roman" w:hAnsi="Times New Roman"/>
          <w:b/>
          <w:color w:val="000000" w:themeColor="text1"/>
        </w:rPr>
        <w:t>Yes, within-study ‘targeted’ “blind” evaluation</w:t>
      </w:r>
      <w:r>
        <w:rPr>
          <w:rFonts w:ascii="Times New Roman" w:hAnsi="Times New Roman"/>
          <w:color w:val="000000" w:themeColor="text1"/>
        </w:rPr>
        <w:t xml:space="preserve">, where blind evaluation of selected subsets of organs, tissues, and / or animal groups is conducted after an initial informed read. </w:t>
      </w:r>
    </w:p>
    <w:p w:rsidR="00404456" w:rsidRDefault="00404456" w:rsidP="00404456">
      <w:pPr>
        <w:pStyle w:val="ListParagraph"/>
        <w:numPr>
          <w:ilvl w:val="1"/>
          <w:numId w:val="1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D)  B and C</w:t>
      </w:r>
    </w:p>
    <w:p w:rsidR="00404456" w:rsidRDefault="00404456" w:rsidP="00404456">
      <w:pPr>
        <w:pStyle w:val="ListParagraph"/>
        <w:numPr>
          <w:ilvl w:val="1"/>
          <w:numId w:val="15"/>
        </w:numPr>
        <w:spacing w:after="120" w:line="24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</w:rPr>
        <w:t>E)  No, never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If you answered "A" please GO TO Question 18 (skip questions 16 &amp; 17).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If you answered "E" please GO TO Question 27, Peer Review (skip questions 16-26)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If you answered "B,” “C,” or "D" please GO TO Question 16 (the next question).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Reply only if your answer to Survey Question 15 was “B”, “C”, or “D”:</w:t>
      </w:r>
      <w:r>
        <w:rPr>
          <w:rFonts w:ascii="Times New Roman" w:hAnsi="Times New Roman"/>
          <w:color w:val="000000" w:themeColor="text1"/>
        </w:rPr>
        <w:t xml:space="preserve">  Out of a hypothetical 100 animal studies at your institution,</w:t>
      </w:r>
      <w:r>
        <w:rPr>
          <w:rFonts w:ascii="Times New Roman" w:hAnsi="Times New Roman"/>
          <w:b/>
          <w:color w:val="000000" w:themeColor="text1"/>
        </w:rPr>
        <w:t xml:space="preserve"> approximately what percent use “blind” histopathologic evaluation as a </w:t>
      </w:r>
      <w:r>
        <w:rPr>
          <w:rFonts w:ascii="Times New Roman" w:hAnsi="Times New Roman"/>
          <w:b/>
          <w:i/>
          <w:color w:val="000000" w:themeColor="text1"/>
          <w:u w:val="single"/>
        </w:rPr>
        <w:t>pre-determined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strategy</w:t>
      </w:r>
      <w:r>
        <w:rPr>
          <w:rFonts w:ascii="Times New Roman" w:hAnsi="Times New Roman"/>
          <w:color w:val="000000" w:themeColor="text1"/>
        </w:rPr>
        <w:t xml:space="preserve"> in the initial evaluation (i.e., prescriptive strategy defined in the study plan / protocol)? </w:t>
      </w:r>
      <w:r>
        <w:rPr>
          <w:rFonts w:ascii="Times New Roman" w:hAnsi="Times New Roman"/>
          <w:b/>
          <w:color w:val="000000" w:themeColor="text1"/>
        </w:rPr>
        <w:t xml:space="preserve"> (select one)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≤5% 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 to 10%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11% to 20%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 to 50%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51-75%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&gt;75%</w:t>
      </w:r>
    </w:p>
    <w:p w:rsidR="00404456" w:rsidRDefault="00404456" w:rsidP="00404456">
      <w:pPr>
        <w:pStyle w:val="ListParagraph"/>
        <w:numPr>
          <w:ilvl w:val="1"/>
          <w:numId w:val="1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Unknown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6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Reply only if your answer to Survey Question 15 included either “C” or “D”:</w:t>
      </w:r>
      <w:r>
        <w:rPr>
          <w:rFonts w:ascii="Times New Roman" w:hAnsi="Times New Roman"/>
          <w:color w:val="000000" w:themeColor="text1"/>
        </w:rPr>
        <w:t xml:space="preserve"> Out of a hypothetical 100 animal studies at your institution,</w:t>
      </w:r>
      <w:r>
        <w:rPr>
          <w:rFonts w:ascii="Times New Roman" w:hAnsi="Times New Roman"/>
          <w:b/>
          <w:color w:val="000000" w:themeColor="text1"/>
        </w:rPr>
        <w:t xml:space="preserve"> approximately what percent use ‘targeted’ “blind” histopathologic evaluation as a </w:t>
      </w:r>
      <w:r>
        <w:rPr>
          <w:rFonts w:ascii="Times New Roman" w:hAnsi="Times New Roman"/>
          <w:b/>
          <w:i/>
          <w:color w:val="000000" w:themeColor="text1"/>
          <w:u w:val="single"/>
        </w:rPr>
        <w:t>post-hoc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strategy</w:t>
      </w:r>
      <w:r>
        <w:rPr>
          <w:rFonts w:ascii="Times New Roman" w:hAnsi="Times New Roman"/>
          <w:color w:val="000000" w:themeColor="text1"/>
        </w:rPr>
        <w:t>?</w:t>
      </w:r>
      <w:r>
        <w:rPr>
          <w:rFonts w:ascii="Times New Roman" w:hAnsi="Times New Roman"/>
          <w:b/>
          <w:color w:val="000000" w:themeColor="text1"/>
        </w:rPr>
        <w:t xml:space="preserve"> (select one)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≤5% 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 to 10%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11% to 20%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 to 50%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50-75%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&gt;75%</w:t>
      </w:r>
    </w:p>
    <w:p w:rsidR="00404456" w:rsidRDefault="00404456" w:rsidP="00404456">
      <w:pPr>
        <w:pStyle w:val="ListParagraph"/>
        <w:numPr>
          <w:ilvl w:val="1"/>
          <w:numId w:val="1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Unknown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  <w:sz w:val="22"/>
          <w:szCs w:val="22"/>
        </w:rPr>
      </w:pPr>
    </w:p>
    <w:p w:rsidR="00404456" w:rsidRDefault="00404456" w:rsidP="00404456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Are there certain therapeutic modalities where your institution is more likely to consider including “blind” histopathologic evaluation? </w:t>
      </w:r>
      <w:r>
        <w:rPr>
          <w:rFonts w:ascii="Times New Roman" w:hAnsi="Times New Roman"/>
          <w:color w:val="000000" w:themeColor="text1"/>
        </w:rPr>
        <w:t xml:space="preserve"> (select all that apply)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Small molecules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Oligonucleotides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Therapeutic proteins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Therapeutic antibodies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Gene therapy 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Other(s) (describe):  ___________________________________ [free text area]</w:t>
      </w:r>
    </w:p>
    <w:p w:rsidR="00404456" w:rsidRDefault="00404456" w:rsidP="00404456">
      <w:pPr>
        <w:pStyle w:val="ListParagraph"/>
        <w:numPr>
          <w:ilvl w:val="0"/>
          <w:numId w:val="18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Modality type does not influence the decision to include a “blind” evaluation 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Rank order the top 5 reasons used in your institution when making a decision to perform a “blind” histopathologic evaluation (</w:t>
      </w:r>
      <w:r>
        <w:rPr>
          <w:rFonts w:ascii="Times New Roman" w:hAnsi="Times New Roman"/>
          <w:i/>
          <w:color w:val="000000" w:themeColor="text1"/>
        </w:rPr>
        <w:t>as either a predetermined strategy or a post hoc addition)</w:t>
      </w:r>
      <w:r>
        <w:rPr>
          <w:rFonts w:ascii="Times New Roman" w:hAnsi="Times New Roman"/>
          <w:color w:val="000000" w:themeColor="text1"/>
        </w:rPr>
        <w:t xml:space="preserve">.  Rank the order with “1” being the most important and “5” being the least important.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consider in making the decision to “blind” studies.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 generate anatomic pathology information as ordinal data for statistical analysis.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 minimize potential observational bias of data during interpretation (e.g., to test a hypothesis).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 determine a “no observed adverse effect level” (NOAEL) or “no observed effect level” (NOEL).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a tiered approach to reexamine selected or all treated groups following initial non-”blind” evaluation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 meet expectations or requests from non-pathologists that the anatomic pathology data is generated in an unbiased fashion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Studies employing quantitative analysis of microscopic features compared across treatment groups as end points on a continuous scale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Evaluation of well-characterized diseases or animal models a using predefined set of criteria to evaluate and score each characteristic of the finding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 confirm the incidence / severity of a finding in treatment groups relative to the background incidence / severity seen in control animals (i.e., to confirm the potential relationship of subtle changes to treatment)</w:t>
      </w:r>
    </w:p>
    <w:p w:rsidR="00404456" w:rsidRDefault="00404456" w:rsidP="00404456">
      <w:pPr>
        <w:pStyle w:val="ListParagraph"/>
        <w:numPr>
          <w:ilvl w:val="0"/>
          <w:numId w:val="19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Other(s)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Rank the order of how are “blind” histopathologic evaluations </w:t>
      </w:r>
      <w:r>
        <w:rPr>
          <w:rFonts w:ascii="Times New Roman" w:hAnsi="Times New Roman"/>
          <w:i/>
          <w:color w:val="000000" w:themeColor="text1"/>
        </w:rPr>
        <w:t>(as either a predetermined strategy or a post hoc addition)</w:t>
      </w:r>
      <w:r>
        <w:rPr>
          <w:rFonts w:ascii="Times New Roman" w:hAnsi="Times New Roman"/>
          <w:b/>
          <w:color w:val="000000" w:themeColor="text1"/>
        </w:rPr>
        <w:t xml:space="preserve"> performed in your institution</w:t>
      </w:r>
      <w:r>
        <w:rPr>
          <w:rFonts w:ascii="Times New Roman" w:hAnsi="Times New Roman"/>
          <w:color w:val="000000" w:themeColor="text1"/>
        </w:rPr>
        <w:t xml:space="preserve">?  Rank the order with “1” being the most common practice and “4” being the least common option.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</w:p>
    <w:p w:rsidR="00404456" w:rsidRDefault="00404456" w:rsidP="00404456">
      <w:pPr>
        <w:pStyle w:val="ListParagraph"/>
        <w:keepNext/>
        <w:numPr>
          <w:ilvl w:val="0"/>
          <w:numId w:val="20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Formal – Slides receive coded labels before being sent to the study pathologist</w:t>
      </w:r>
    </w:p>
    <w:p w:rsidR="00404456" w:rsidRDefault="00404456" w:rsidP="00404456">
      <w:pPr>
        <w:pStyle w:val="ListParagraph"/>
        <w:numPr>
          <w:ilvl w:val="0"/>
          <w:numId w:val="21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Formal – The study pathologist returns slides for coding (e.g., coded covering slide labels) before proceeding to the “blind” evaluation</w:t>
      </w:r>
    </w:p>
    <w:p w:rsidR="00404456" w:rsidRDefault="00404456" w:rsidP="00404456">
      <w:pPr>
        <w:pStyle w:val="ListParagraph"/>
        <w:numPr>
          <w:ilvl w:val="0"/>
          <w:numId w:val="21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Informal - The study pathologist randomizes the slides to be read, then does not read/ignores uncoded slide labels until all the slides have been graded.</w:t>
      </w:r>
    </w:p>
    <w:p w:rsidR="00404456" w:rsidRDefault="00404456" w:rsidP="00404456">
      <w:pPr>
        <w:pStyle w:val="ListParagraph"/>
        <w:numPr>
          <w:ilvl w:val="0"/>
          <w:numId w:val="21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Other(s) (describe):  ___________________________________ [free text area]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Rank order the top 5 specific types of information that are withheld from the study pathologist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when conducting “blind” histopathologic evaluations at your institution.  </w:t>
      </w:r>
      <w:r>
        <w:rPr>
          <w:rFonts w:ascii="Times New Roman" w:hAnsi="Times New Roman"/>
          <w:color w:val="000000" w:themeColor="text1"/>
        </w:rPr>
        <w:lastRenderedPageBreak/>
        <w:t>Rank the order with “1” being the most important and “5” being the least important.</w:t>
      </w: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  <w:u w:val="single"/>
        </w:rPr>
        <w:t xml:space="preserve">Do not rank options that you do not use.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404456" w:rsidRDefault="00404456" w:rsidP="00404456">
      <w:pPr>
        <w:spacing w:after="120" w:line="240" w:lineRule="auto"/>
        <w:ind w:left="72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For terminology reference, please the following definitions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“Test Article”</w:t>
      </w: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</w:p>
    <w:p w:rsidR="00404456" w:rsidRDefault="00404456" w:rsidP="00404456">
      <w:pPr>
        <w:pStyle w:val="ListParagraph"/>
        <w:numPr>
          <w:ilvl w:val="4"/>
          <w:numId w:val="1"/>
        </w:numPr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Characteristics: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Modality, mechanism of action, known activities of this class of compound and vehicle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“Target Tissues”</w:t>
      </w:r>
    </w:p>
    <w:p w:rsidR="00404456" w:rsidRDefault="00404456" w:rsidP="00404456">
      <w:pPr>
        <w:pStyle w:val="ListParagraph"/>
        <w:numPr>
          <w:ilvl w:val="0"/>
          <w:numId w:val="3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Knowledge of target organs/tissues, including the type of changes encountered in previous toxicity studies, preferred terminology / lexicon, etc.</w:t>
      </w:r>
    </w:p>
    <w:p w:rsidR="00404456" w:rsidRDefault="00404456" w:rsidP="00404456">
      <w:pPr>
        <w:pStyle w:val="ListParagraph"/>
        <w:tabs>
          <w:tab w:val="left" w:pos="7920"/>
        </w:tabs>
        <w:spacing w:after="12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Study Design</w:t>
      </w:r>
    </w:p>
    <w:p w:rsidR="00404456" w:rsidRDefault="00404456" w:rsidP="00404456">
      <w:pPr>
        <w:pStyle w:val="ListParagraph"/>
        <w:numPr>
          <w:ilvl w:val="0"/>
          <w:numId w:val="2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Route of Administration</w:t>
      </w:r>
      <w:r>
        <w:rPr>
          <w:rFonts w:ascii="Times New Roman" w:hAnsi="Times New Roman"/>
          <w:color w:val="000000" w:themeColor="text1"/>
          <w:sz w:val="20"/>
          <w:szCs w:val="20"/>
        </w:rPr>
        <w:t>:  Gavage, intravenous, intramuscular, etc.</w:t>
      </w:r>
    </w:p>
    <w:p w:rsidR="00404456" w:rsidRDefault="00404456" w:rsidP="00404456">
      <w:pPr>
        <w:pStyle w:val="ListParagraph"/>
        <w:numPr>
          <w:ilvl w:val="0"/>
          <w:numId w:val="2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Duration</w:t>
      </w:r>
      <w:r>
        <w:rPr>
          <w:rFonts w:ascii="Times New Roman" w:hAnsi="Times New Roman"/>
          <w:color w:val="000000" w:themeColor="text1"/>
          <w:sz w:val="20"/>
          <w:szCs w:val="20"/>
        </w:rPr>
        <w:t>:  Exposure and recovery times</w:t>
      </w:r>
    </w:p>
    <w:p w:rsidR="00404456" w:rsidRDefault="00404456" w:rsidP="00404456">
      <w:pPr>
        <w:pStyle w:val="ListParagraph"/>
        <w:numPr>
          <w:ilvl w:val="0"/>
          <w:numId w:val="2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Study Protocol, Amendments, Deviations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:  </w:t>
      </w:r>
    </w:p>
    <w:p w:rsidR="00404456" w:rsidRDefault="00404456" w:rsidP="00404456">
      <w:pPr>
        <w:pStyle w:val="ListParagraph"/>
        <w:numPr>
          <w:ilvl w:val="0"/>
          <w:numId w:val="2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Dose groups </w:t>
      </w:r>
    </w:p>
    <w:p w:rsidR="00404456" w:rsidRDefault="00404456" w:rsidP="00404456">
      <w:pPr>
        <w:pStyle w:val="ListParagraph"/>
        <w:numPr>
          <w:ilvl w:val="0"/>
          <w:numId w:val="2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Control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groups  -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Negative, wild-type, positive, vehicle, etc. </w:t>
      </w:r>
    </w:p>
    <w:p w:rsidR="00404456" w:rsidRDefault="00404456" w:rsidP="00404456">
      <w:pPr>
        <w:pStyle w:val="ListParagraph"/>
        <w:tabs>
          <w:tab w:val="left" w:pos="7920"/>
        </w:tabs>
        <w:spacing w:after="12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Animal Information</w:t>
      </w:r>
    </w:p>
    <w:p w:rsidR="00404456" w:rsidRDefault="00404456" w:rsidP="00404456">
      <w:pPr>
        <w:pStyle w:val="ListParagraph"/>
        <w:numPr>
          <w:ilvl w:val="0"/>
          <w:numId w:val="3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Population</w:t>
      </w:r>
      <w:r>
        <w:rPr>
          <w:rFonts w:ascii="Times New Roman" w:hAnsi="Times New Roman"/>
          <w:color w:val="000000" w:themeColor="text1"/>
          <w:sz w:val="20"/>
          <w:szCs w:val="20"/>
        </w:rPr>
        <w:t>: Age, sex, species, breed/strain</w:t>
      </w:r>
    </w:p>
    <w:p w:rsidR="00404456" w:rsidRDefault="00404456" w:rsidP="00404456">
      <w:pPr>
        <w:pStyle w:val="ListParagraph"/>
        <w:numPr>
          <w:ilvl w:val="0"/>
          <w:numId w:val="3"/>
        </w:numPr>
        <w:tabs>
          <w:tab w:val="left" w:pos="7920"/>
        </w:tabs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Animal Modeling Information</w:t>
      </w:r>
      <w:r>
        <w:rPr>
          <w:rFonts w:ascii="Times New Roman" w:hAnsi="Times New Roman"/>
          <w:color w:val="000000" w:themeColor="text1"/>
          <w:sz w:val="20"/>
          <w:szCs w:val="20"/>
        </w:rPr>
        <w:t>:  Infectious disease, surgical modifications, genetic modifications, etc.</w:t>
      </w:r>
    </w:p>
    <w:p w:rsidR="00404456" w:rsidRDefault="00404456" w:rsidP="00404456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In-Life Information</w:t>
      </w:r>
      <w:r>
        <w:rPr>
          <w:rFonts w:ascii="Times New Roman" w:hAnsi="Times New Roman"/>
          <w:color w:val="000000" w:themeColor="text1"/>
          <w:sz w:val="20"/>
          <w:szCs w:val="20"/>
        </w:rPr>
        <w:t>:  Clinical observations, body weights, food consumption, ophthalmology, etc.</w:t>
      </w:r>
    </w:p>
    <w:p w:rsidR="00404456" w:rsidRDefault="00404456" w:rsidP="00404456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Terminal Observations</w:t>
      </w:r>
      <w:r>
        <w:rPr>
          <w:rFonts w:ascii="Times New Roman" w:hAnsi="Times New Roman"/>
          <w:color w:val="000000" w:themeColor="text1"/>
          <w:sz w:val="20"/>
          <w:szCs w:val="20"/>
        </w:rPr>
        <w:t>:  Organ weights, macroscopic (gross) observations</w:t>
      </w:r>
    </w:p>
    <w:p w:rsidR="00404456" w:rsidRDefault="00404456" w:rsidP="00404456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Clinical Pathology &amp; Biomarkers</w:t>
      </w:r>
      <w:r>
        <w:rPr>
          <w:rFonts w:ascii="Times New Roman" w:hAnsi="Times New Roman"/>
          <w:color w:val="000000" w:themeColor="text1"/>
          <w:sz w:val="20"/>
          <w:szCs w:val="20"/>
        </w:rPr>
        <w:t>:  Hematology, biochemistry, urinalysis, hormone concentrations, etc.</w:t>
      </w:r>
    </w:p>
    <w:p w:rsidR="00404456" w:rsidRDefault="00404456" w:rsidP="00404456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Metabolic, pharmacokinetic, toxicokinetic:  </w:t>
      </w:r>
      <w:r>
        <w:rPr>
          <w:rFonts w:ascii="Times New Roman" w:hAnsi="Times New Roman"/>
          <w:color w:val="000000" w:themeColor="text1"/>
          <w:sz w:val="20"/>
          <w:szCs w:val="20"/>
        </w:rPr>
        <w:t>Exposure, enzyme induction, anti-drug antibodies, etc.</w:t>
      </w:r>
    </w:p>
    <w:p w:rsidR="00404456" w:rsidRDefault="00404456" w:rsidP="00404456">
      <w:pPr>
        <w:pStyle w:val="ListParagraph"/>
        <w:spacing w:after="120" w:line="240" w:lineRule="auto"/>
        <w:ind w:left="108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“Blind” to all  </w:t>
      </w:r>
      <w:r>
        <w:rPr>
          <w:rFonts w:ascii="Times New Roman" w:hAnsi="Times New Roman"/>
          <w:i/>
          <w:color w:val="000000" w:themeColor="text1"/>
        </w:rPr>
        <w:t xml:space="preserve">(Blind to the test article (or animal model), target tissues, study design, and animal information with the intent of providing a completely random evaluation)  </w:t>
      </w: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Known high-dose and control groups only </w:t>
      </w:r>
      <w:r>
        <w:rPr>
          <w:rFonts w:ascii="Times New Roman" w:hAnsi="Times New Roman"/>
          <w:i/>
          <w:color w:val="000000" w:themeColor="text1"/>
        </w:rPr>
        <w:t>(Blind to test article characteristics, target tissues, remaining dose groups, study design, and animal information</w:t>
      </w:r>
      <w:r>
        <w:rPr>
          <w:rFonts w:ascii="Times New Roman" w:hAnsi="Times New Roman"/>
          <w:color w:val="000000" w:themeColor="text1"/>
        </w:rPr>
        <w:t>)</w:t>
      </w: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Known test article characteristics only </w:t>
      </w:r>
      <w:r>
        <w:rPr>
          <w:rFonts w:ascii="Times New Roman" w:hAnsi="Times New Roman"/>
          <w:i/>
          <w:color w:val="000000" w:themeColor="text1"/>
        </w:rPr>
        <w:t>(Blind to all dose groups, target tissues, study design, and animal information)</w:t>
      </w: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Known test article characteristics as well as high-dose and control groups </w:t>
      </w:r>
      <w:r>
        <w:rPr>
          <w:rFonts w:ascii="Times New Roman" w:hAnsi="Times New Roman"/>
          <w:i/>
          <w:color w:val="000000" w:themeColor="text1"/>
        </w:rPr>
        <w:t>(Blind to target tissues, remaining dose groups, study design, and animal information)</w:t>
      </w: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Known test article characteristics, target tissues, and high-dose and control groups </w:t>
      </w:r>
      <w:r>
        <w:rPr>
          <w:rFonts w:ascii="Times New Roman" w:hAnsi="Times New Roman"/>
          <w:i/>
          <w:color w:val="000000" w:themeColor="text1"/>
        </w:rPr>
        <w:t xml:space="preserve">(Blind to remaining dose groups, study design, and animal information) </w:t>
      </w:r>
    </w:p>
    <w:p w:rsidR="00404456" w:rsidRDefault="00404456" w:rsidP="00404456">
      <w:pPr>
        <w:pStyle w:val="ListParagraph"/>
        <w:numPr>
          <w:ilvl w:val="0"/>
          <w:numId w:val="22"/>
        </w:numPr>
        <w:spacing w:after="120" w:line="240" w:lineRule="auto"/>
        <w:ind w:left="72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</w:rPr>
        <w:t>Other (please describe)  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3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Rank the order of what type of specimens are subjected to “blind” histopathologic evaluation as either a predetermined strategy or a </w:t>
      </w:r>
      <w:r>
        <w:rPr>
          <w:rFonts w:ascii="Times New Roman" w:hAnsi="Times New Roman"/>
          <w:b/>
          <w:i/>
          <w:color w:val="000000" w:themeColor="text1"/>
        </w:rPr>
        <w:t>post hoc</w:t>
      </w:r>
      <w:r>
        <w:rPr>
          <w:rFonts w:ascii="Times New Roman" w:hAnsi="Times New Roman"/>
          <w:b/>
          <w:color w:val="000000" w:themeColor="text1"/>
        </w:rPr>
        <w:t xml:space="preserve"> addition?</w:t>
      </w:r>
      <w:r>
        <w:rPr>
          <w:rFonts w:ascii="Times New Roman" w:hAnsi="Times New Roman"/>
          <w:color w:val="000000" w:themeColor="text1"/>
        </w:rPr>
        <w:t xml:space="preserve">  Rank the order with “1” being the most common practice and “5” being the least common option.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</w:p>
    <w:p w:rsidR="00404456" w:rsidRDefault="00404456" w:rsidP="00404456">
      <w:pPr>
        <w:pStyle w:val="ListParagraph"/>
        <w:numPr>
          <w:ilvl w:val="1"/>
          <w:numId w:val="2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All organs and tissues</w:t>
      </w:r>
    </w:p>
    <w:p w:rsidR="00404456" w:rsidRDefault="00404456" w:rsidP="00404456">
      <w:pPr>
        <w:pStyle w:val="ListParagraph"/>
        <w:numPr>
          <w:ilvl w:val="1"/>
          <w:numId w:val="2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Potential target organs identified by an initial “non-blind” evaluation during the current study.</w:t>
      </w:r>
    </w:p>
    <w:p w:rsidR="00404456" w:rsidRDefault="00404456" w:rsidP="00404456">
      <w:pPr>
        <w:pStyle w:val="ListParagraph"/>
        <w:numPr>
          <w:ilvl w:val="1"/>
          <w:numId w:val="2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Only known target organs as identified with the specific test article in either the current or a prior study.</w:t>
      </w:r>
    </w:p>
    <w:p w:rsidR="00404456" w:rsidRDefault="00404456" w:rsidP="00404456">
      <w:pPr>
        <w:pStyle w:val="ListParagraph"/>
        <w:numPr>
          <w:ilvl w:val="1"/>
          <w:numId w:val="2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Only anticipated target organs based on prior studies with chemically-related or platform test articles.</w:t>
      </w:r>
    </w:p>
    <w:p w:rsidR="00404456" w:rsidRDefault="00404456" w:rsidP="00404456">
      <w:pPr>
        <w:pStyle w:val="ListParagraph"/>
        <w:numPr>
          <w:ilvl w:val="1"/>
          <w:numId w:val="2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Other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3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Rank the order of who most often makes the decision regarding whether the histopathologic evaluation (as either a predetermined strategy or a </w:t>
      </w:r>
      <w:r>
        <w:rPr>
          <w:rFonts w:ascii="Times New Roman" w:hAnsi="Times New Roman"/>
          <w:b/>
          <w:i/>
          <w:color w:val="000000" w:themeColor="text1"/>
        </w:rPr>
        <w:t>post hoc</w:t>
      </w:r>
      <w:r>
        <w:rPr>
          <w:rFonts w:ascii="Times New Roman" w:hAnsi="Times New Roman"/>
          <w:b/>
          <w:color w:val="000000" w:themeColor="text1"/>
        </w:rPr>
        <w:t xml:space="preserve"> addition) will be performed using a “non-blind” vs. “blind” approach?</w:t>
      </w:r>
      <w:r>
        <w:rPr>
          <w:rFonts w:ascii="Times New Roman" w:hAnsi="Times New Roman"/>
          <w:color w:val="000000" w:themeColor="text1"/>
        </w:rPr>
        <w:t xml:space="preserve">  Rank the order regarding the decision makers, with “1” being the one who most often makes the decision and “5” the one who least often makes the decision.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</w:p>
    <w:p w:rsidR="00404456" w:rsidRDefault="00404456" w:rsidP="00404456">
      <w:pPr>
        <w:pStyle w:val="ListParagraph"/>
        <w:numPr>
          <w:ilvl w:val="1"/>
          <w:numId w:val="2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study pathologist</w:t>
      </w:r>
    </w:p>
    <w:p w:rsidR="00404456" w:rsidRDefault="00404456" w:rsidP="00404456">
      <w:pPr>
        <w:pStyle w:val="ListParagraph"/>
        <w:numPr>
          <w:ilvl w:val="1"/>
          <w:numId w:val="2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study director / principal investigator</w:t>
      </w:r>
    </w:p>
    <w:p w:rsidR="00404456" w:rsidRDefault="00404456" w:rsidP="00404456">
      <w:pPr>
        <w:pStyle w:val="ListParagraph"/>
        <w:numPr>
          <w:ilvl w:val="1"/>
          <w:numId w:val="2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Institutional management (departmental managers, team leaders, etc.)</w:t>
      </w:r>
    </w:p>
    <w:p w:rsidR="00404456" w:rsidRDefault="00404456" w:rsidP="00404456">
      <w:pPr>
        <w:pStyle w:val="ListParagraph"/>
        <w:numPr>
          <w:ilvl w:val="1"/>
          <w:numId w:val="2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Standard operating procedures</w:t>
      </w:r>
    </w:p>
    <w:p w:rsidR="00404456" w:rsidRDefault="00404456" w:rsidP="00404456">
      <w:pPr>
        <w:pStyle w:val="ListParagraph"/>
        <w:numPr>
          <w:ilvl w:val="1"/>
          <w:numId w:val="25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3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Rank the order of where the use of a “blind” histopathologic evaluation is documented </w:t>
      </w:r>
      <w:r>
        <w:rPr>
          <w:rFonts w:ascii="Times New Roman" w:hAnsi="Times New Roman"/>
          <w:i/>
          <w:color w:val="000000" w:themeColor="text1"/>
        </w:rPr>
        <w:t>(question includes both as a predetermined strategy or a post hoc addition)</w:t>
      </w:r>
      <w:r>
        <w:rPr>
          <w:rFonts w:ascii="Times New Roman" w:hAnsi="Times New Roman"/>
          <w:color w:val="000000" w:themeColor="text1"/>
        </w:rPr>
        <w:t xml:space="preserve">.  Rank the order with “1” being the document used most often and “5” the one used least often.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the original study plan / protocol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an amendment to the study plan / protocol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the pathology sub-report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an institutional standard operating procedure (SOP)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decision is documented for formal (i.e., slides have coded labels) but not for informal (i.e., uncoded slide labels are ignored by pathologist) “blind” evaluations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decision is not documented for either formal or informal “blind” evaluations</w:t>
      </w:r>
    </w:p>
    <w:p w:rsidR="00404456" w:rsidRDefault="00404456" w:rsidP="00404456">
      <w:pPr>
        <w:pStyle w:val="ListParagraph"/>
        <w:numPr>
          <w:ilvl w:val="1"/>
          <w:numId w:val="26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3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Rank the order of where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the use of a “blind” histopathologic evaluation is documented within the pathology report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(question includes both as a predetermined strategy or a post hoc addition)</w:t>
      </w:r>
      <w:r>
        <w:rPr>
          <w:rFonts w:ascii="Times New Roman" w:hAnsi="Times New Roman"/>
          <w:color w:val="000000" w:themeColor="text1"/>
        </w:rPr>
        <w:t xml:space="preserve">.  Rank the order with “1” being the location used most often and “5” the one used least often.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i/>
          <w:color w:val="000000" w:themeColor="text1"/>
        </w:rPr>
        <w:t xml:space="preserve">  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 mention of the “blind” evaluation is included in the report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simple mention that a “blind” evaluation was conducted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more detailed description that a “blind” evaluation was performed, indicating whether it was formal or informal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more detailed description that a “blind” evaluation was performed, indicating whether it was formal or informal AND why it was undertaken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more detailed description that a “blind” evaluation was performed, indicating whether it was formal or informal AND who made the decision to undertake the “blind” evaluation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more detailed description that a “blind” evaluation was performed, indicating whether it was formal or informal AND why it was undertaken AND who made the decision to undertake the “blind” evaluation</w:t>
      </w:r>
    </w:p>
    <w:p w:rsidR="00404456" w:rsidRDefault="00404456" w:rsidP="00404456">
      <w:pPr>
        <w:pStyle w:val="ListParagraph"/>
        <w:numPr>
          <w:ilvl w:val="1"/>
          <w:numId w:val="27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Additional comments regarding </w:t>
      </w:r>
      <w:r>
        <w:rPr>
          <w:rFonts w:ascii="Times New Roman" w:hAnsi="Times New Roman"/>
          <w:b/>
          <w:color w:val="000000" w:themeColor="text1"/>
        </w:rPr>
        <w:t>Part 2, Section  A:  Primary Pathology Read: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(Optional) __________________________________________________ [free text area]</w:t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br w:type="page"/>
      </w: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PART 2 (Continued) – BENCHMARKING CURRENT STRATEGIES FOR APPLYING “BLIND” AND “NON-BLIND” HISTOPATHOLOGIC EVALUATION IN YOUR INSTITUTION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  <w:sz w:val="28"/>
        </w:rPr>
      </w:pPr>
    </w:p>
    <w:p w:rsidR="00404456" w:rsidRDefault="00404456" w:rsidP="00404456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Section B:  Pathology Peer Review Read: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29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Does your institution use a “blind” histopathology evaluation strategy for</w:t>
      </w:r>
      <w:r>
        <w:rPr>
          <w:rFonts w:ascii="Times New Roman" w:hAnsi="Times New Roman"/>
          <w:color w:val="000000" w:themeColor="text1"/>
          <w:u w:val="single"/>
        </w:rPr>
        <w:t xml:space="preserve"> pathology peer review</w:t>
      </w:r>
      <w:r>
        <w:rPr>
          <w:rFonts w:ascii="Times New Roman" w:hAnsi="Times New Roman"/>
          <w:color w:val="000000" w:themeColor="text1"/>
        </w:rPr>
        <w:t xml:space="preserve"> of GLP-compliant animal toxicity studies?</w:t>
      </w:r>
      <w:r>
        <w:rPr>
          <w:rFonts w:ascii="Times New Roman" w:hAnsi="Times New Roman"/>
          <w:b/>
          <w:color w:val="000000" w:themeColor="text1"/>
        </w:rPr>
        <w:t xml:space="preserve"> (select one)</w:t>
      </w:r>
    </w:p>
    <w:p w:rsidR="00404456" w:rsidRDefault="00404456" w:rsidP="00404456">
      <w:pPr>
        <w:pStyle w:val="ListParagraph"/>
        <w:numPr>
          <w:ilvl w:val="1"/>
          <w:numId w:val="3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A.  Yes, always</w:t>
      </w:r>
    </w:p>
    <w:p w:rsidR="00404456" w:rsidRDefault="00404456" w:rsidP="00404456">
      <w:pPr>
        <w:pStyle w:val="ListParagraph"/>
        <w:numPr>
          <w:ilvl w:val="1"/>
          <w:numId w:val="3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B.  Yes, targeted “blind” evaluation (as needed) </w:t>
      </w:r>
    </w:p>
    <w:p w:rsidR="00404456" w:rsidRDefault="00404456" w:rsidP="00404456">
      <w:pPr>
        <w:pStyle w:val="ListParagraph"/>
        <w:numPr>
          <w:ilvl w:val="1"/>
          <w:numId w:val="3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C.  No, never</w:t>
      </w:r>
    </w:p>
    <w:p w:rsidR="00404456" w:rsidRDefault="00404456" w:rsidP="00404456">
      <w:pPr>
        <w:pStyle w:val="ListParagraph"/>
        <w:numPr>
          <w:ilvl w:val="1"/>
          <w:numId w:val="30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D.  It depends on the purpose and/or type of study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  <w:sz w:val="16"/>
          <w:szCs w:val="16"/>
        </w:rPr>
      </w:pP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</w:rPr>
        <w:t>If you answered “D” proceed to Question 28 (next question).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If you answered either “A”, “B” or C” please GO TO Question 31 (skip questions 28-30)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i/>
          <w:color w:val="000000" w:themeColor="text1"/>
        </w:rPr>
      </w:pPr>
      <w:proofErr w:type="gramStart"/>
      <w:r>
        <w:rPr>
          <w:rFonts w:ascii="Times New Roman" w:hAnsi="Times New Roman"/>
          <w:i/>
          <w:color w:val="000000" w:themeColor="text1"/>
        </w:rPr>
        <w:t>you</w:t>
      </w:r>
      <w:proofErr w:type="gramEnd"/>
      <w:r>
        <w:rPr>
          <w:rFonts w:ascii="Times New Roman" w:hAnsi="Times New Roman"/>
          <w:i/>
          <w:color w:val="000000" w:themeColor="text1"/>
        </w:rPr>
        <w:t xml:space="preserve"> are done with the survey. Thank you (please submit)!</w:t>
      </w:r>
    </w:p>
    <w:p w:rsidR="00404456" w:rsidRDefault="00404456" w:rsidP="00404456">
      <w:pPr>
        <w:pStyle w:val="ListParagraph"/>
        <w:spacing w:after="120" w:line="240" w:lineRule="auto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3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If your answer to Survey Question 27 was </w:t>
      </w:r>
      <w:r>
        <w:rPr>
          <w:rFonts w:ascii="Times New Roman" w:hAnsi="Times New Roman"/>
          <w:b/>
          <w:i/>
          <w:color w:val="000000" w:themeColor="text1"/>
        </w:rPr>
        <w:t>“D”</w:t>
      </w:r>
      <w:r>
        <w:rPr>
          <w:rFonts w:ascii="Times New Roman" w:hAnsi="Times New Roman"/>
          <w:b/>
          <w:color w:val="000000" w:themeColor="text1"/>
        </w:rPr>
        <w:t xml:space="preserve">, for which study purposes is the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pathology peer review </w:t>
      </w:r>
      <w:r>
        <w:rPr>
          <w:rFonts w:ascii="Times New Roman" w:hAnsi="Times New Roman"/>
          <w:b/>
          <w:color w:val="000000" w:themeColor="text1"/>
        </w:rPr>
        <w:t>at your institution performed using a “blind” histopathology evaluation strategy?</w:t>
      </w:r>
      <w:r>
        <w:rPr>
          <w:rFonts w:ascii="Times New Roman" w:hAnsi="Times New Roman"/>
          <w:color w:val="000000" w:themeColor="text1"/>
        </w:rPr>
        <w:t xml:space="preserve"> Rank the order, with “1” being the most common practice and “5” being the least common option.  </w:t>
      </w:r>
      <w:r>
        <w:rPr>
          <w:rFonts w:ascii="Times New Roman" w:hAnsi="Times New Roman"/>
          <w:color w:val="000000" w:themeColor="text1"/>
          <w:u w:val="single"/>
        </w:rPr>
        <w:t>Do not rank options that you do not use</w:t>
      </w:r>
      <w:r>
        <w:rPr>
          <w:rFonts w:ascii="Times New Roman" w:hAnsi="Times New Roman"/>
          <w:color w:val="000000" w:themeColor="text1"/>
        </w:rPr>
        <w:t>.</w:t>
      </w:r>
    </w:p>
    <w:p w:rsidR="00404456" w:rsidRDefault="00404456" w:rsidP="00404456">
      <w:pPr>
        <w:pStyle w:val="ListParagraph"/>
        <w:numPr>
          <w:ilvl w:val="1"/>
          <w:numId w:val="3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Toxicity studies of 1 month duration or less</w:t>
      </w:r>
    </w:p>
    <w:p w:rsidR="00404456" w:rsidRDefault="00404456" w:rsidP="00404456">
      <w:pPr>
        <w:pStyle w:val="ListParagraph"/>
        <w:numPr>
          <w:ilvl w:val="1"/>
          <w:numId w:val="3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Toxicity studies of duration longer than one month</w:t>
      </w:r>
    </w:p>
    <w:p w:rsidR="00404456" w:rsidRDefault="00404456" w:rsidP="00404456">
      <w:pPr>
        <w:pStyle w:val="ListParagraph"/>
        <w:numPr>
          <w:ilvl w:val="1"/>
          <w:numId w:val="3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Carcinogenicity studies</w:t>
      </w:r>
    </w:p>
    <w:p w:rsidR="00404456" w:rsidRDefault="00404456" w:rsidP="00404456">
      <w:pPr>
        <w:pStyle w:val="ListParagraph"/>
        <w:numPr>
          <w:ilvl w:val="1"/>
          <w:numId w:val="32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Other (describe):  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3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</w:t>
      </w:r>
      <w:r>
        <w:rPr>
          <w:rFonts w:ascii="Times New Roman" w:hAnsi="Times New Roman"/>
          <w:b/>
          <w:color w:val="000000" w:themeColor="text1"/>
        </w:rPr>
        <w:t xml:space="preserve">f your answer to Survey Question 27 was “D” out of a hypothetical 100 </w:t>
      </w:r>
      <w:r>
        <w:rPr>
          <w:rFonts w:ascii="Times New Roman" w:hAnsi="Times New Roman"/>
          <w:b/>
          <w:color w:val="000000" w:themeColor="text1"/>
          <w:u w:val="single"/>
        </w:rPr>
        <w:t>pathology peer reviews</w:t>
      </w:r>
      <w:r>
        <w:rPr>
          <w:rFonts w:ascii="Times New Roman" w:hAnsi="Times New Roman"/>
          <w:b/>
          <w:color w:val="000000" w:themeColor="text1"/>
        </w:rPr>
        <w:t xml:space="preserve"> at your institution, what percent would use “blind” histopathologic evaluation as a </w:t>
      </w:r>
      <w:r>
        <w:rPr>
          <w:rFonts w:ascii="Times New Roman" w:hAnsi="Times New Roman"/>
          <w:b/>
          <w:color w:val="000000" w:themeColor="text1"/>
          <w:u w:val="single"/>
        </w:rPr>
        <w:t>pre-determined strategy</w:t>
      </w:r>
      <w:r>
        <w:rPr>
          <w:rFonts w:ascii="Times New Roman" w:hAnsi="Times New Roman"/>
          <w:color w:val="000000" w:themeColor="text1"/>
        </w:rPr>
        <w:t xml:space="preserve">? (e.g. prescriptive strategy defined in the study plan / protocol)  </w:t>
      </w:r>
      <w:r>
        <w:rPr>
          <w:rFonts w:ascii="Times New Roman" w:hAnsi="Times New Roman"/>
          <w:b/>
          <w:color w:val="000000" w:themeColor="text1"/>
        </w:rPr>
        <w:t>(select one)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≤5% 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 to 10%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11% to 20%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 to 50%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51-75%</w:t>
      </w:r>
    </w:p>
    <w:p w:rsidR="00404456" w:rsidRDefault="00404456" w:rsidP="00404456">
      <w:pPr>
        <w:pStyle w:val="ListParagraph"/>
        <w:numPr>
          <w:ilvl w:val="1"/>
          <w:numId w:val="33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&gt;75%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3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If your answer to Survey Question 28 was “D,”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out of a hypothetical 100 </w:t>
      </w:r>
      <w:r>
        <w:rPr>
          <w:rFonts w:ascii="Times New Roman" w:hAnsi="Times New Roman"/>
          <w:b/>
          <w:color w:val="000000" w:themeColor="text1"/>
          <w:u w:val="single"/>
        </w:rPr>
        <w:t>pathology peer reviews</w:t>
      </w:r>
      <w:r>
        <w:rPr>
          <w:rFonts w:ascii="Times New Roman" w:hAnsi="Times New Roman"/>
          <w:b/>
          <w:color w:val="000000" w:themeColor="text1"/>
        </w:rPr>
        <w:t xml:space="preserve"> at your institution, what percent would use “blind” histopathologic evaluation as a </w:t>
      </w:r>
      <w:r>
        <w:rPr>
          <w:rFonts w:ascii="Times New Roman" w:hAnsi="Times New Roman"/>
          <w:b/>
          <w:i/>
          <w:color w:val="000000" w:themeColor="text1"/>
          <w:u w:val="single"/>
        </w:rPr>
        <w:t>post hoc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strategy</w:t>
      </w:r>
      <w:r>
        <w:rPr>
          <w:rFonts w:ascii="Times New Roman" w:hAnsi="Times New Roman"/>
          <w:color w:val="000000" w:themeColor="text1"/>
        </w:rPr>
        <w:t xml:space="preserve"> (i.e., follow-up “blind” peer review of all organs or potential target organs)?  (</w:t>
      </w:r>
      <w:r>
        <w:rPr>
          <w:rFonts w:ascii="Times New Roman" w:hAnsi="Times New Roman"/>
          <w:b/>
          <w:color w:val="000000" w:themeColor="text1"/>
        </w:rPr>
        <w:t>select one)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≤5% 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6 to 10%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11% to 20%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 to 50%</w:t>
      </w:r>
    </w:p>
    <w:p w:rsidR="00404456" w:rsidRDefault="00404456" w:rsidP="00404456">
      <w:pPr>
        <w:pStyle w:val="ListParagraph"/>
        <w:numPr>
          <w:ilvl w:val="1"/>
          <w:numId w:val="34"/>
        </w:numPr>
        <w:spacing w:after="120" w:line="240" w:lineRule="auto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51-75%</w:t>
      </w:r>
    </w:p>
    <w:p w:rsidR="00404456" w:rsidRDefault="00404456" w:rsidP="00404456">
      <w:pPr>
        <w:pStyle w:val="ListParagraph"/>
        <w:numPr>
          <w:ilvl w:val="1"/>
          <w:numId w:val="3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&gt;75%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b/>
          <w:color w:val="000000" w:themeColor="text1"/>
        </w:rPr>
      </w:pPr>
    </w:p>
    <w:p w:rsidR="00404456" w:rsidRDefault="00404456" w:rsidP="00404456">
      <w:pPr>
        <w:pStyle w:val="ListParagraph"/>
        <w:numPr>
          <w:ilvl w:val="0"/>
          <w:numId w:val="31"/>
        </w:numPr>
        <w:spacing w:after="120" w:line="240" w:lineRule="auto"/>
        <w:contextualSpacing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Additional comments regarding Part 2: Benchmarking Current Strategies - Section B:  Pathology Peer Review Read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(Optional) __________________________________________________ [free text area]</w:t>
      </w:r>
    </w:p>
    <w:p w:rsidR="00404456" w:rsidRDefault="00404456" w:rsidP="00404456">
      <w:pPr>
        <w:pStyle w:val="ListParagraph"/>
        <w:spacing w:after="120" w:line="240" w:lineRule="auto"/>
        <w:ind w:left="360"/>
        <w:rPr>
          <w:rFonts w:ascii="Times New Roman" w:hAnsi="Times New Roman"/>
          <w:b/>
          <w:color w:val="000000" w:themeColor="text1"/>
        </w:rPr>
      </w:pPr>
    </w:p>
    <w:p w:rsidR="00404456" w:rsidRDefault="00404456" w:rsidP="00404456">
      <w:pPr>
        <w:numPr>
          <w:ilvl w:val="0"/>
          <w:numId w:val="31"/>
        </w:num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Are you interested in a follow-up discussion with the SRPC Working Group regarding the outcome of this survey?</w:t>
      </w:r>
    </w:p>
    <w:p w:rsidR="00404456" w:rsidRDefault="00404456" w:rsidP="00404456">
      <w:pPr>
        <w:numPr>
          <w:ilvl w:val="1"/>
          <w:numId w:val="31"/>
        </w:num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Yes</w:t>
      </w:r>
    </w:p>
    <w:p w:rsidR="00404456" w:rsidRDefault="00404456" w:rsidP="00404456">
      <w:pPr>
        <w:numPr>
          <w:ilvl w:val="1"/>
          <w:numId w:val="31"/>
        </w:numPr>
        <w:spacing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</w:t>
      </w:r>
    </w:p>
    <w:p w:rsidR="00404456" w:rsidRDefault="00404456" w:rsidP="00404456">
      <w:pPr>
        <w:spacing w:after="120" w:line="240" w:lineRule="auto"/>
        <w:ind w:left="72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numPr>
          <w:ilvl w:val="0"/>
          <w:numId w:val="31"/>
        </w:numPr>
        <w:spacing w:after="12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SRPC Working Group will be reviewing “blind” histopathologic evaluation practices in </w:t>
      </w:r>
      <w:r>
        <w:rPr>
          <w:rFonts w:ascii="Times New Roman" w:hAnsi="Times New Roman"/>
          <w:b/>
          <w:i/>
          <w:color w:val="000000" w:themeColor="text1"/>
        </w:rPr>
        <w:t>non-GLP-compliant and / or discovery-phase animal toxicity and efficacy studies</w:t>
      </w:r>
      <w:r>
        <w:rPr>
          <w:rFonts w:ascii="Times New Roman" w:hAnsi="Times New Roman"/>
          <w:color w:val="000000" w:themeColor="text1"/>
          <w:u w:val="single"/>
        </w:rPr>
        <w:t xml:space="preserve"> to better understand the use of this strategy in all aspects of toxicologic pathology practice</w:t>
      </w:r>
      <w:r>
        <w:rPr>
          <w:rFonts w:ascii="Times New Roman" w:hAnsi="Times New Roman"/>
          <w:color w:val="000000" w:themeColor="text1"/>
        </w:rPr>
        <w:t>.  Please indicate the most appropriate institutional site contact pathologist(s) to contact for a related short survey or phone call discussion on this topic: _______________________________________</w:t>
      </w:r>
      <w:proofErr w:type="gramStart"/>
      <w:r>
        <w:rPr>
          <w:rFonts w:ascii="Times New Roman" w:hAnsi="Times New Roman"/>
          <w:color w:val="000000" w:themeColor="text1"/>
        </w:rPr>
        <w:t>_[</w:t>
      </w:r>
      <w:proofErr w:type="gramEnd"/>
      <w:r>
        <w:rPr>
          <w:rFonts w:ascii="Times New Roman" w:hAnsi="Times New Roman"/>
          <w:color w:val="000000" w:themeColor="text1"/>
        </w:rPr>
        <w:t>free text area]</w:t>
      </w:r>
      <w:r>
        <w:rPr>
          <w:rFonts w:ascii="Times New Roman" w:hAnsi="Times New Roman"/>
          <w:b/>
          <w:color w:val="000000" w:themeColor="text1"/>
        </w:rPr>
        <w:t>.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404456" w:rsidRDefault="00404456" w:rsidP="00404456">
      <w:pPr>
        <w:pStyle w:val="ListParagraph"/>
        <w:spacing w:after="120" w:line="240" w:lineRule="auto"/>
        <w:jc w:val="center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/>
          <w:color w:val="000000" w:themeColor="text1"/>
        </w:rPr>
        <w:t>Congratulations - You are done with the survey</w:t>
      </w:r>
      <w:proofErr w:type="gramStart"/>
      <w:r>
        <w:rPr>
          <w:rFonts w:ascii="Times New Roman" w:hAnsi="Times New Roman"/>
          <w:b/>
          <w:i/>
          <w:color w:val="000000" w:themeColor="text1"/>
        </w:rPr>
        <w:t>!.</w:t>
      </w:r>
      <w:proofErr w:type="gramEnd"/>
    </w:p>
    <w:p w:rsidR="00404456" w:rsidRDefault="00404456" w:rsidP="00404456">
      <w:pPr>
        <w:pStyle w:val="ListParagraph"/>
        <w:spacing w:after="120" w:line="240" w:lineRule="auto"/>
        <w:jc w:val="center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Thank you (please submit)</w:t>
      </w:r>
    </w:p>
    <w:p w:rsidR="00404456" w:rsidRDefault="00404456" w:rsidP="00404456">
      <w:pPr>
        <w:pStyle w:val="ListParagraph"/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:rsidR="00630D86" w:rsidRDefault="00630D86">
      <w:bookmarkStart w:id="0" w:name="_GoBack"/>
      <w:bookmarkEnd w:id="0"/>
    </w:p>
    <w:sectPr w:rsidR="00630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68B"/>
    <w:multiLevelType w:val="multilevel"/>
    <w:tmpl w:val="1708DEE6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D7ED6"/>
    <w:multiLevelType w:val="hybridMultilevel"/>
    <w:tmpl w:val="59EAFA12"/>
    <w:lvl w:ilvl="0" w:tplc="81DEC2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CDA"/>
    <w:multiLevelType w:val="hybridMultilevel"/>
    <w:tmpl w:val="5144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4CA"/>
    <w:multiLevelType w:val="multilevel"/>
    <w:tmpl w:val="DC064E60"/>
    <w:lvl w:ilvl="0">
      <w:start w:val="28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C703BE"/>
    <w:multiLevelType w:val="hybridMultilevel"/>
    <w:tmpl w:val="74846C4A"/>
    <w:lvl w:ilvl="0" w:tplc="D51E87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CD4"/>
    <w:multiLevelType w:val="multilevel"/>
    <w:tmpl w:val="BC8E35AA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19169A"/>
    <w:multiLevelType w:val="hybridMultilevel"/>
    <w:tmpl w:val="A25C2084"/>
    <w:lvl w:ilvl="0" w:tplc="8C72712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3BC3"/>
    <w:multiLevelType w:val="multilevel"/>
    <w:tmpl w:val="E8A2199E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A573F3"/>
    <w:multiLevelType w:val="multilevel"/>
    <w:tmpl w:val="07D8535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20310"/>
    <w:multiLevelType w:val="multilevel"/>
    <w:tmpl w:val="37005CE6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9542BE"/>
    <w:multiLevelType w:val="hybridMultilevel"/>
    <w:tmpl w:val="7C4AAF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F16386"/>
    <w:multiLevelType w:val="multilevel"/>
    <w:tmpl w:val="BD7A65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1F22A8"/>
    <w:multiLevelType w:val="multilevel"/>
    <w:tmpl w:val="82F09D22"/>
    <w:lvl w:ilvl="0">
      <w:start w:val="22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DD08CF"/>
    <w:multiLevelType w:val="multilevel"/>
    <w:tmpl w:val="23CA8162"/>
    <w:lvl w:ilvl="0">
      <w:start w:val="2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0F27D1"/>
    <w:multiLevelType w:val="multilevel"/>
    <w:tmpl w:val="564050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D43017"/>
    <w:multiLevelType w:val="multilevel"/>
    <w:tmpl w:val="1A547670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E4741"/>
    <w:multiLevelType w:val="multilevel"/>
    <w:tmpl w:val="737E0B84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F306E5"/>
    <w:multiLevelType w:val="hybridMultilevel"/>
    <w:tmpl w:val="3CCCCD88"/>
    <w:lvl w:ilvl="0" w:tplc="D51E87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1E87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01ED"/>
    <w:multiLevelType w:val="multilevel"/>
    <w:tmpl w:val="DABE4D48"/>
    <w:lvl w:ilvl="0">
      <w:start w:val="22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344072"/>
    <w:multiLevelType w:val="hybridMultilevel"/>
    <w:tmpl w:val="2EEED9B2"/>
    <w:lvl w:ilvl="0" w:tplc="D51E87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9562D"/>
    <w:multiLevelType w:val="multilevel"/>
    <w:tmpl w:val="A2DEA382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B90E36"/>
    <w:multiLevelType w:val="multilevel"/>
    <w:tmpl w:val="D018E684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B22B68"/>
    <w:multiLevelType w:val="hybridMultilevel"/>
    <w:tmpl w:val="FBCE914C"/>
    <w:lvl w:ilvl="0" w:tplc="D51E8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1E87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C138E"/>
    <w:multiLevelType w:val="multilevel"/>
    <w:tmpl w:val="1D86E0F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647941"/>
    <w:multiLevelType w:val="multilevel"/>
    <w:tmpl w:val="FA6EDC0E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EA068A"/>
    <w:multiLevelType w:val="multilevel"/>
    <w:tmpl w:val="1D86E0F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585526"/>
    <w:multiLevelType w:val="multilevel"/>
    <w:tmpl w:val="5028A184"/>
    <w:lvl w:ilvl="0">
      <w:start w:val="26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1E77A5"/>
    <w:multiLevelType w:val="multilevel"/>
    <w:tmpl w:val="B44A2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556AE6"/>
    <w:multiLevelType w:val="multilevel"/>
    <w:tmpl w:val="5A747CB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BC0771"/>
    <w:multiLevelType w:val="multilevel"/>
    <w:tmpl w:val="E8B87298"/>
    <w:lvl w:ilvl="0">
      <w:start w:val="18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AF0108"/>
    <w:multiLevelType w:val="multilevel"/>
    <w:tmpl w:val="920C5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E53E92"/>
    <w:multiLevelType w:val="multilevel"/>
    <w:tmpl w:val="4CE2E4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2A291C"/>
    <w:multiLevelType w:val="multilevel"/>
    <w:tmpl w:val="A880BE5C"/>
    <w:lvl w:ilvl="0">
      <w:start w:val="19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E470F4"/>
    <w:multiLevelType w:val="hybridMultilevel"/>
    <w:tmpl w:val="1B6413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8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4"/>
  </w:num>
  <w:num w:numId="21">
    <w:abstractNumId w:val="17"/>
  </w:num>
  <w:num w:numId="22">
    <w:abstractNumId w:val="19"/>
  </w:num>
  <w:num w:numId="23">
    <w:abstractNumId w:val="18"/>
    <w:lvlOverride w:ilvl="0">
      <w:startOverride w:val="22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2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6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8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9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AZShubGRgYmpko6SsGpxcWZ+XkgBYa1AHh530IsAAAA"/>
  </w:docVars>
  <w:rsids>
    <w:rsidRoot w:val="00404456"/>
    <w:rsid w:val="00404456"/>
    <w:rsid w:val="00630D86"/>
    <w:rsid w:val="00A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C846-FB51-4C95-A867-F69687A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56"/>
    <w:pPr>
      <w:spacing w:after="0" w:line="36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404456"/>
    <w:pPr>
      <w:ind w:left="72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404456"/>
    <w:rPr>
      <w:rFonts w:ascii="Arial" w:eastAsia="SimSu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2489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 Ganesan</dc:creator>
  <cp:keywords/>
  <dc:description/>
  <cp:lastModifiedBy>Karthic Ganesan</cp:lastModifiedBy>
  <cp:revision>1</cp:revision>
  <dcterms:created xsi:type="dcterms:W3CDTF">2020-04-09T05:22:00Z</dcterms:created>
  <dcterms:modified xsi:type="dcterms:W3CDTF">2020-04-09T05:22:00Z</dcterms:modified>
</cp:coreProperties>
</file>