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C4258" w14:textId="77777777" w:rsidR="001F2ACA" w:rsidRPr="003F2574" w:rsidRDefault="001F2ACA" w:rsidP="001F2ACA">
      <w:pPr>
        <w:pStyle w:val="Heading2"/>
        <w:ind w:left="360"/>
        <w:jc w:val="center"/>
        <w:rPr>
          <w:rFonts w:ascii="Arial" w:hAnsi="Arial" w:cs="Arial"/>
          <w:sz w:val="24"/>
          <w:szCs w:val="24"/>
        </w:rPr>
      </w:pPr>
      <w:r w:rsidRPr="003F2574">
        <w:rPr>
          <w:rFonts w:ascii="Arial" w:hAnsi="Arial" w:cs="Arial"/>
          <w:sz w:val="24"/>
          <w:szCs w:val="24"/>
        </w:rPr>
        <w:t xml:space="preserve">APPENDIX </w:t>
      </w:r>
    </w:p>
    <w:p w14:paraId="7E1A1A35" w14:textId="397A9D07" w:rsidR="001F2ACA" w:rsidRPr="00574443" w:rsidRDefault="001F2ACA" w:rsidP="00574443">
      <w:pPr>
        <w:pStyle w:val="Default"/>
        <w:rPr>
          <w:b/>
        </w:rPr>
      </w:pPr>
      <w:r w:rsidRPr="00574443">
        <w:rPr>
          <w:b/>
        </w:rPr>
        <w:t>Variable description and additional material</w:t>
      </w:r>
    </w:p>
    <w:p w14:paraId="4A6C675A" w14:textId="77777777" w:rsidR="001F2ACA" w:rsidRPr="00574443" w:rsidRDefault="001F2ACA" w:rsidP="00574443">
      <w:pPr>
        <w:pStyle w:val="Default"/>
        <w:rPr>
          <w:b/>
        </w:rPr>
      </w:pPr>
    </w:p>
    <w:p w14:paraId="3BC5CA87" w14:textId="77777777" w:rsidR="001F2ACA" w:rsidRPr="00574443" w:rsidRDefault="001F2ACA" w:rsidP="00574443">
      <w:pPr>
        <w:pStyle w:val="Default"/>
        <w:rPr>
          <w:b/>
          <w:i/>
        </w:rPr>
      </w:pPr>
      <w:bookmarkStart w:id="0" w:name="_Toc507515301"/>
      <w:bookmarkEnd w:id="0"/>
      <w:r w:rsidRPr="00574443">
        <w:rPr>
          <w:b/>
          <w:i/>
        </w:rPr>
        <w:t>Labour market performance</w:t>
      </w:r>
    </w:p>
    <w:p w14:paraId="2DF766EC" w14:textId="77777777" w:rsidR="001F2ACA" w:rsidRPr="00574443" w:rsidRDefault="001F2ACA" w:rsidP="00574443">
      <w:pPr>
        <w:pStyle w:val="Default"/>
        <w:rPr>
          <w:b/>
        </w:rPr>
      </w:pPr>
    </w:p>
    <w:p w14:paraId="07344953" w14:textId="77777777" w:rsidR="001F2ACA" w:rsidRPr="00574443" w:rsidRDefault="001F2ACA" w:rsidP="00574443">
      <w:pPr>
        <w:pStyle w:val="BodyText"/>
        <w:ind w:firstLine="0"/>
        <w:jc w:val="left"/>
        <w:rPr>
          <w:szCs w:val="22"/>
        </w:rPr>
      </w:pPr>
      <w:r w:rsidRPr="00574443">
        <w:rPr>
          <w:b/>
          <w:szCs w:val="22"/>
        </w:rPr>
        <w:t xml:space="preserve">Employment rate: </w:t>
      </w:r>
      <w:r w:rsidRPr="00574443">
        <w:rPr>
          <w:szCs w:val="22"/>
        </w:rPr>
        <w:t xml:space="preserve">Employment-to-population ratio of persons aged 25-64. </w:t>
      </w:r>
    </w:p>
    <w:p w14:paraId="7BEDA39B" w14:textId="77777777" w:rsidR="001F2ACA" w:rsidRPr="00574443" w:rsidRDefault="001F2ACA" w:rsidP="00574443">
      <w:pPr>
        <w:pStyle w:val="BodyText"/>
        <w:ind w:firstLine="0"/>
        <w:jc w:val="left"/>
        <w:rPr>
          <w:szCs w:val="22"/>
        </w:rPr>
      </w:pPr>
      <w:r w:rsidRPr="00574443">
        <w:rPr>
          <w:b/>
          <w:szCs w:val="22"/>
        </w:rPr>
        <w:t xml:space="preserve">Incidence of temporary employment: </w:t>
      </w:r>
      <w:r w:rsidRPr="00574443">
        <w:rPr>
          <w:szCs w:val="22"/>
        </w:rPr>
        <w:t xml:space="preserve">Number of temporary employees as a percentage of total employees aged 25-64. Further details on country-specific definitions of temporary employees can be found at: </w:t>
      </w:r>
      <w:hyperlink r:id="rId7" w:history="1">
        <w:r w:rsidRPr="00574443">
          <w:rPr>
            <w:rStyle w:val="Hyperlink"/>
            <w:szCs w:val="22"/>
          </w:rPr>
          <w:t>www.oecd.org/els/emp/lfsnotes_sources.pdf</w:t>
        </w:r>
      </w:hyperlink>
      <w:r w:rsidRPr="00574443">
        <w:rPr>
          <w:szCs w:val="22"/>
        </w:rPr>
        <w:t>.</w:t>
      </w:r>
    </w:p>
    <w:p w14:paraId="66AA62D3" w14:textId="77777777" w:rsidR="001F2ACA" w:rsidRPr="00574443" w:rsidRDefault="001F2ACA" w:rsidP="00574443">
      <w:pPr>
        <w:pStyle w:val="BodyText"/>
        <w:ind w:firstLine="0"/>
        <w:jc w:val="left"/>
        <w:rPr>
          <w:szCs w:val="22"/>
        </w:rPr>
      </w:pPr>
      <w:r w:rsidRPr="00574443">
        <w:rPr>
          <w:b/>
          <w:szCs w:val="22"/>
        </w:rPr>
        <w:t xml:space="preserve">Incidence of part-time employment: </w:t>
      </w:r>
      <w:r w:rsidRPr="00574443">
        <w:rPr>
          <w:szCs w:val="22"/>
        </w:rPr>
        <w:t>Number of part-time workers (national definition) as a percentage of total employment of persons aged 25-64.</w:t>
      </w:r>
    </w:p>
    <w:p w14:paraId="319E19B0" w14:textId="77777777" w:rsidR="001F2ACA" w:rsidRPr="00574443" w:rsidRDefault="001F2ACA" w:rsidP="00574443">
      <w:pPr>
        <w:pStyle w:val="BodyText"/>
        <w:ind w:firstLine="0"/>
        <w:jc w:val="left"/>
        <w:rPr>
          <w:szCs w:val="22"/>
        </w:rPr>
      </w:pPr>
      <w:r w:rsidRPr="00574443">
        <w:rPr>
          <w:b/>
          <w:szCs w:val="22"/>
        </w:rPr>
        <w:t>Incidence of involuntary part-time employment</w:t>
      </w:r>
      <w:r w:rsidRPr="00574443">
        <w:rPr>
          <w:szCs w:val="22"/>
        </w:rPr>
        <w:t xml:space="preserve">: Number of involuntary part-time workers defined as part-time workers (based on national definition) who could not find full-time work as a percentage of total employment of persons aged 25-64. </w:t>
      </w:r>
    </w:p>
    <w:p w14:paraId="194C3108" w14:textId="77777777" w:rsidR="001F2ACA" w:rsidRPr="00574443" w:rsidRDefault="001F2ACA" w:rsidP="00574443">
      <w:pPr>
        <w:pStyle w:val="BodyText"/>
        <w:ind w:firstLine="0"/>
        <w:jc w:val="left"/>
        <w:rPr>
          <w:szCs w:val="22"/>
        </w:rPr>
      </w:pPr>
      <w:r w:rsidRPr="00574443">
        <w:rPr>
          <w:b/>
          <w:szCs w:val="22"/>
        </w:rPr>
        <w:t xml:space="preserve">Unemployment rate: </w:t>
      </w:r>
      <w:r w:rsidRPr="00574443">
        <w:rPr>
          <w:szCs w:val="22"/>
        </w:rPr>
        <w:t>Number of unemployed persons as a percentage of the labour force of persons aged 25-64.</w:t>
      </w:r>
    </w:p>
    <w:p w14:paraId="1B01CD4F" w14:textId="77777777" w:rsidR="001F2ACA" w:rsidRPr="00574443" w:rsidRDefault="001F2ACA" w:rsidP="00574443">
      <w:pPr>
        <w:pStyle w:val="BodyText"/>
        <w:ind w:firstLine="0"/>
        <w:jc w:val="left"/>
        <w:rPr>
          <w:szCs w:val="22"/>
        </w:rPr>
      </w:pPr>
      <w:r w:rsidRPr="00574443">
        <w:rPr>
          <w:b/>
          <w:szCs w:val="22"/>
        </w:rPr>
        <w:t>Female unemployment rate:</w:t>
      </w:r>
      <w:r w:rsidRPr="00574443">
        <w:rPr>
          <w:szCs w:val="22"/>
        </w:rPr>
        <w:t xml:space="preserve"> Number of unemployed persons as a percentage of the labour force of women aged 25-64.</w:t>
      </w:r>
    </w:p>
    <w:p w14:paraId="2F2E1B87" w14:textId="77777777" w:rsidR="001F2ACA" w:rsidRPr="00574443" w:rsidRDefault="001F2ACA" w:rsidP="00574443">
      <w:pPr>
        <w:pStyle w:val="Index1"/>
        <w:ind w:left="0" w:firstLine="0"/>
        <w:jc w:val="left"/>
        <w:rPr>
          <w:szCs w:val="22"/>
        </w:rPr>
      </w:pPr>
      <w:r w:rsidRPr="00574443">
        <w:rPr>
          <w:b/>
          <w:szCs w:val="22"/>
        </w:rPr>
        <w:t xml:space="preserve">Youth unemployment rate: </w:t>
      </w:r>
      <w:r w:rsidRPr="00574443">
        <w:rPr>
          <w:szCs w:val="22"/>
        </w:rPr>
        <w:t>Number of unemployed persons as a percentage of the labour force of persons aged 15-24</w:t>
      </w:r>
    </w:p>
    <w:p w14:paraId="16E2DCFE" w14:textId="77777777" w:rsidR="001F2ACA" w:rsidRPr="00574443" w:rsidRDefault="001F2ACA" w:rsidP="00574443">
      <w:pPr>
        <w:pStyle w:val="BodyText"/>
        <w:ind w:firstLine="0"/>
        <w:jc w:val="left"/>
        <w:rPr>
          <w:szCs w:val="22"/>
        </w:rPr>
      </w:pPr>
      <w:r w:rsidRPr="00574443">
        <w:rPr>
          <w:i/>
          <w:szCs w:val="22"/>
        </w:rPr>
        <w:t xml:space="preserve">Source: </w:t>
      </w:r>
      <w:r w:rsidRPr="00574443">
        <w:rPr>
          <w:szCs w:val="22"/>
        </w:rPr>
        <w:t xml:space="preserve">OECD Employment Database, </w:t>
      </w:r>
      <w:hyperlink r:id="rId8" w:history="1">
        <w:r w:rsidRPr="00574443">
          <w:rPr>
            <w:rStyle w:val="Hyperlink"/>
            <w:szCs w:val="22"/>
          </w:rPr>
          <w:t>http://www.oecd.org/employment/emp/onlineoecdemploymentdatabase.htm</w:t>
        </w:r>
      </w:hyperlink>
    </w:p>
    <w:p w14:paraId="1844B2AD" w14:textId="77777777" w:rsidR="001F2ACA" w:rsidRPr="00574443" w:rsidRDefault="001F2ACA" w:rsidP="00574443">
      <w:pPr>
        <w:pStyle w:val="Index1"/>
        <w:ind w:left="0" w:firstLine="0"/>
        <w:jc w:val="left"/>
        <w:rPr>
          <w:szCs w:val="22"/>
        </w:rPr>
      </w:pPr>
      <w:r w:rsidRPr="00574443">
        <w:rPr>
          <w:b/>
          <w:szCs w:val="22"/>
        </w:rPr>
        <w:t xml:space="preserve">Low-skilled unemployment rate: </w:t>
      </w:r>
      <w:r w:rsidRPr="00574443">
        <w:rPr>
          <w:szCs w:val="22"/>
        </w:rPr>
        <w:t>Number of unemployed persons as a percentage of the labour force of persons aged 25-64 having attained below upper secondary education.</w:t>
      </w:r>
    </w:p>
    <w:p w14:paraId="1E874561" w14:textId="77777777" w:rsidR="001F2ACA" w:rsidRPr="00574443" w:rsidRDefault="001F2ACA" w:rsidP="00574443">
      <w:pPr>
        <w:pStyle w:val="Para"/>
        <w:spacing w:before="0" w:after="0"/>
        <w:ind w:left="0"/>
        <w:jc w:val="left"/>
        <w:rPr>
          <w:i/>
          <w:szCs w:val="22"/>
        </w:rPr>
      </w:pPr>
      <w:r w:rsidRPr="00574443">
        <w:rPr>
          <w:i/>
          <w:szCs w:val="22"/>
        </w:rPr>
        <w:t>Source:</w:t>
      </w:r>
      <w:r w:rsidRPr="00574443">
        <w:rPr>
          <w:szCs w:val="22"/>
        </w:rPr>
        <w:t xml:space="preserve"> OECD (2018), "Education at a glance: Educational attainment and labour-force status", OECD Education Statistics (database), </w:t>
      </w:r>
      <w:hyperlink r:id="rId9" w:history="1">
        <w:r w:rsidRPr="00574443">
          <w:rPr>
            <w:rStyle w:val="Hyperlink"/>
            <w:szCs w:val="22"/>
          </w:rPr>
          <w:t>http://dx.doi.org/10.1787/889e8641-en</w:t>
        </w:r>
      </w:hyperlink>
    </w:p>
    <w:p w14:paraId="467D6C5C" w14:textId="77777777" w:rsidR="001F2ACA" w:rsidRPr="00574443" w:rsidRDefault="001F2ACA" w:rsidP="00574443">
      <w:pPr>
        <w:pStyle w:val="Index1"/>
        <w:ind w:left="0" w:firstLine="0"/>
        <w:jc w:val="left"/>
        <w:rPr>
          <w:szCs w:val="22"/>
        </w:rPr>
      </w:pPr>
      <w:r w:rsidRPr="00574443">
        <w:rPr>
          <w:b/>
          <w:szCs w:val="22"/>
        </w:rPr>
        <w:t xml:space="preserve">Earning dispersion indicator: </w:t>
      </w:r>
      <w:r w:rsidRPr="00574443">
        <w:rPr>
          <w:szCs w:val="22"/>
        </w:rPr>
        <w:t xml:space="preserve">Estimates of earnings used in the calculations refer to gross earnings of full-time wage and salary workers. However, this definition may slightly vary from one country to another. Further information on the national data sources and earnings concepts used in the calculations can be found at: </w:t>
      </w:r>
      <w:hyperlink r:id="rId10" w:history="1">
        <w:r w:rsidRPr="00574443">
          <w:rPr>
            <w:rStyle w:val="Hyperlink"/>
            <w:szCs w:val="22"/>
          </w:rPr>
          <w:t>www.oecd.org/employment/outlook</w:t>
        </w:r>
      </w:hyperlink>
      <w:r w:rsidRPr="00574443">
        <w:rPr>
          <w:szCs w:val="22"/>
        </w:rPr>
        <w:t>.</w:t>
      </w:r>
    </w:p>
    <w:p w14:paraId="54B2E242" w14:textId="77777777" w:rsidR="001F2ACA" w:rsidRPr="00574443" w:rsidRDefault="001F2ACA" w:rsidP="00574443">
      <w:pPr>
        <w:pStyle w:val="Para"/>
        <w:spacing w:before="0" w:after="0"/>
        <w:ind w:left="0"/>
        <w:jc w:val="left"/>
        <w:rPr>
          <w:szCs w:val="22"/>
        </w:rPr>
      </w:pPr>
      <w:r w:rsidRPr="00574443">
        <w:rPr>
          <w:i/>
          <w:szCs w:val="22"/>
        </w:rPr>
        <w:t xml:space="preserve">Source: </w:t>
      </w:r>
      <w:r w:rsidRPr="00574443">
        <w:rPr>
          <w:szCs w:val="22"/>
        </w:rPr>
        <w:t xml:space="preserve">OECD Earnings Distribution Database, </w:t>
      </w:r>
      <w:hyperlink r:id="rId11" w:history="1">
        <w:r w:rsidRPr="00574443">
          <w:rPr>
            <w:rStyle w:val="Hyperlink"/>
            <w:szCs w:val="22"/>
          </w:rPr>
          <w:t>www.oecd.org/employment/emp/employmentdatabase-earningsandwages.htm</w:t>
        </w:r>
      </w:hyperlink>
    </w:p>
    <w:p w14:paraId="6D9ED9D6" w14:textId="77777777" w:rsidR="001F2ACA" w:rsidRPr="00574443" w:rsidRDefault="001F2ACA" w:rsidP="00574443">
      <w:pPr>
        <w:pStyle w:val="Index1"/>
        <w:ind w:left="0" w:firstLine="0"/>
        <w:jc w:val="left"/>
        <w:rPr>
          <w:szCs w:val="22"/>
        </w:rPr>
      </w:pPr>
      <w:r w:rsidRPr="00574443">
        <w:rPr>
          <w:b/>
          <w:szCs w:val="22"/>
        </w:rPr>
        <w:t>Hourly labour productivity</w:t>
      </w:r>
      <w:r w:rsidRPr="00574443">
        <w:rPr>
          <w:szCs w:val="22"/>
        </w:rPr>
        <w:t xml:space="preserve">: Hourly labour productivity refers to the ratio of real GDP over total hours worked. </w:t>
      </w:r>
    </w:p>
    <w:p w14:paraId="0217DB1C" w14:textId="77777777" w:rsidR="001F2ACA" w:rsidRPr="00574443" w:rsidRDefault="001F2ACA" w:rsidP="00574443">
      <w:pPr>
        <w:pStyle w:val="Para"/>
        <w:spacing w:before="0" w:after="0"/>
        <w:ind w:left="0"/>
        <w:jc w:val="left"/>
        <w:rPr>
          <w:rStyle w:val="Hyperlink"/>
          <w:szCs w:val="22"/>
        </w:rPr>
      </w:pPr>
      <w:r w:rsidRPr="00574443">
        <w:rPr>
          <w:i/>
          <w:szCs w:val="22"/>
        </w:rPr>
        <w:t>Source:</w:t>
      </w:r>
      <w:r w:rsidRPr="00574443">
        <w:rPr>
          <w:szCs w:val="22"/>
        </w:rPr>
        <w:t xml:space="preserve"> OECD (2018), "GDP per capita and productivity growth", OECD Productivity Statistics (database), </w:t>
      </w:r>
      <w:hyperlink r:id="rId12" w:history="1">
        <w:r w:rsidRPr="00574443">
          <w:rPr>
            <w:rStyle w:val="Hyperlink"/>
            <w:szCs w:val="22"/>
          </w:rPr>
          <w:t>http://dx.doi.org/10.1787/data-00685-en</w:t>
        </w:r>
      </w:hyperlink>
    </w:p>
    <w:p w14:paraId="19351008" w14:textId="77777777" w:rsidR="001F2ACA" w:rsidRPr="00574443" w:rsidRDefault="001F2ACA" w:rsidP="00574443">
      <w:pPr>
        <w:pStyle w:val="Para"/>
        <w:spacing w:before="0" w:after="0"/>
        <w:ind w:left="0"/>
        <w:jc w:val="left"/>
        <w:rPr>
          <w:rStyle w:val="Hyperlink"/>
          <w:szCs w:val="22"/>
        </w:rPr>
      </w:pPr>
    </w:p>
    <w:p w14:paraId="23B4CF2F" w14:textId="77777777" w:rsidR="001F2ACA" w:rsidRPr="00574443" w:rsidRDefault="001F2ACA" w:rsidP="00574443">
      <w:pPr>
        <w:pStyle w:val="Default"/>
        <w:rPr>
          <w:b/>
          <w:i/>
        </w:rPr>
      </w:pPr>
      <w:r w:rsidRPr="00574443">
        <w:rPr>
          <w:b/>
          <w:i/>
        </w:rPr>
        <w:t>Collective bargaining system</w:t>
      </w:r>
    </w:p>
    <w:p w14:paraId="6A7D1477" w14:textId="77777777" w:rsidR="001F2ACA" w:rsidRPr="00574443" w:rsidRDefault="001F2ACA" w:rsidP="00574443">
      <w:pPr>
        <w:pStyle w:val="Default"/>
        <w:rPr>
          <w:b/>
          <w:i/>
        </w:rPr>
      </w:pPr>
    </w:p>
    <w:p w14:paraId="5B8703A1" w14:textId="77777777" w:rsidR="001F2ACA" w:rsidRPr="00574443" w:rsidRDefault="001F2ACA" w:rsidP="00574443">
      <w:pPr>
        <w:pStyle w:val="Index1"/>
        <w:ind w:left="0" w:firstLine="0"/>
        <w:jc w:val="left"/>
        <w:rPr>
          <w:szCs w:val="22"/>
        </w:rPr>
      </w:pPr>
      <w:r w:rsidRPr="00574443">
        <w:rPr>
          <w:b/>
          <w:szCs w:val="22"/>
        </w:rPr>
        <w:t xml:space="preserve">Collective bargaining coverage rate: </w:t>
      </w:r>
      <w:r w:rsidRPr="00574443">
        <w:rPr>
          <w:szCs w:val="22"/>
        </w:rPr>
        <w:t>Collective bargaining coverage rate corresponds to the ratio of employees covered by collective agreements, divided by all wage earners with the right to bargain.</w:t>
      </w:r>
    </w:p>
    <w:p w14:paraId="65A30EA1" w14:textId="77777777" w:rsidR="001F2ACA" w:rsidRPr="00574443" w:rsidRDefault="001F2ACA" w:rsidP="00574443">
      <w:pPr>
        <w:pStyle w:val="Para"/>
        <w:spacing w:before="0" w:after="0"/>
        <w:ind w:left="0"/>
        <w:jc w:val="left"/>
        <w:rPr>
          <w:szCs w:val="22"/>
        </w:rPr>
      </w:pPr>
      <w:r w:rsidRPr="00574443">
        <w:rPr>
          <w:i/>
          <w:szCs w:val="22"/>
        </w:rPr>
        <w:t>Source</w:t>
      </w:r>
      <w:r w:rsidRPr="00574443">
        <w:rPr>
          <w:szCs w:val="22"/>
        </w:rPr>
        <w:t xml:space="preserve">: OECD </w:t>
      </w:r>
      <w:hyperlink r:id="rId13" w:history="1">
        <w:r w:rsidRPr="00574443">
          <w:rPr>
            <w:rStyle w:val="Hyperlink"/>
            <w:szCs w:val="22"/>
          </w:rPr>
          <w:t>http://stats.oecd.org/Index.aspx?DataSetCode=CBC</w:t>
        </w:r>
      </w:hyperlink>
      <w:r w:rsidRPr="00574443">
        <w:rPr>
          <w:szCs w:val="22"/>
        </w:rPr>
        <w:t xml:space="preserve"> and ICTWSS database (Institutional Characteristics of Trade Unions, Wage Setting, State Intervention and Social Pacts), </w:t>
      </w:r>
      <w:hyperlink r:id="rId14" w:history="1">
        <w:r w:rsidRPr="00574443">
          <w:rPr>
            <w:rStyle w:val="Hyperlink"/>
            <w:szCs w:val="22"/>
          </w:rPr>
          <w:t>http://www.uva-aias.net/en/ictwss/</w:t>
        </w:r>
      </w:hyperlink>
      <w:r w:rsidRPr="00574443">
        <w:rPr>
          <w:szCs w:val="22"/>
        </w:rPr>
        <w:t xml:space="preserve"> </w:t>
      </w:r>
    </w:p>
    <w:p w14:paraId="166D47C4" w14:textId="77777777" w:rsidR="001F2ACA" w:rsidRPr="00574443" w:rsidRDefault="001F2ACA" w:rsidP="00574443">
      <w:pPr>
        <w:pStyle w:val="Para"/>
        <w:spacing w:before="0" w:after="0"/>
        <w:ind w:left="0"/>
        <w:jc w:val="left"/>
        <w:rPr>
          <w:szCs w:val="22"/>
        </w:rPr>
      </w:pPr>
    </w:p>
    <w:p w14:paraId="7966EAF0" w14:textId="77777777" w:rsidR="001F2ACA" w:rsidRPr="00574443" w:rsidRDefault="001F2ACA" w:rsidP="00574443">
      <w:pPr>
        <w:pStyle w:val="Default"/>
        <w:rPr>
          <w:b/>
          <w:i/>
        </w:rPr>
      </w:pPr>
      <w:r w:rsidRPr="00574443">
        <w:rPr>
          <w:b/>
          <w:i/>
        </w:rPr>
        <w:t>Institutional controls</w:t>
      </w:r>
    </w:p>
    <w:p w14:paraId="7C4FF6FD" w14:textId="77777777" w:rsidR="001F2ACA" w:rsidRPr="00574443" w:rsidRDefault="001F2ACA" w:rsidP="00574443">
      <w:pPr>
        <w:pStyle w:val="Default"/>
        <w:rPr>
          <w:b/>
          <w:i/>
        </w:rPr>
      </w:pPr>
    </w:p>
    <w:p w14:paraId="22C34737" w14:textId="77777777" w:rsidR="001F2ACA" w:rsidRPr="00574443" w:rsidRDefault="001F2ACA" w:rsidP="00574443">
      <w:pPr>
        <w:pStyle w:val="Index1"/>
        <w:ind w:left="0" w:firstLine="0"/>
        <w:jc w:val="left"/>
        <w:rPr>
          <w:szCs w:val="22"/>
        </w:rPr>
      </w:pPr>
      <w:r w:rsidRPr="00574443">
        <w:rPr>
          <w:b/>
          <w:szCs w:val="22"/>
        </w:rPr>
        <w:t>Tax wedge</w:t>
      </w:r>
      <w:r w:rsidRPr="00574443">
        <w:rPr>
          <w:szCs w:val="22"/>
        </w:rPr>
        <w:t xml:space="preserve">: The tax wedge considered in this chapter is the wedge between the labour cost for the employer and the corresponding net take-home pay of the employee for single-earner couples with two </w:t>
      </w:r>
      <w:r w:rsidRPr="00574443">
        <w:rPr>
          <w:szCs w:val="22"/>
        </w:rPr>
        <w:lastRenderedPageBreak/>
        <w:t xml:space="preserve">children earning 100% of average worker earnings. It is expressed as the sum of personal income tax and all social security contributions as a percentage of total labour cost. </w:t>
      </w:r>
    </w:p>
    <w:p w14:paraId="388FD3D6" w14:textId="77777777" w:rsidR="001F2ACA" w:rsidRPr="00574443" w:rsidRDefault="001F2ACA" w:rsidP="00574443">
      <w:pPr>
        <w:pStyle w:val="Index1"/>
        <w:ind w:left="0" w:firstLine="0"/>
        <w:jc w:val="left"/>
        <w:rPr>
          <w:szCs w:val="22"/>
        </w:rPr>
      </w:pPr>
      <w:r w:rsidRPr="00574443">
        <w:rPr>
          <w:i/>
          <w:szCs w:val="22"/>
        </w:rPr>
        <w:t>Source</w:t>
      </w:r>
      <w:r w:rsidRPr="00574443">
        <w:rPr>
          <w:szCs w:val="22"/>
        </w:rPr>
        <w:t xml:space="preserve">: OECD Taxing Wages Database. </w:t>
      </w:r>
    </w:p>
    <w:p w14:paraId="00BE7DD5" w14:textId="77777777" w:rsidR="001F2ACA" w:rsidRPr="00574443" w:rsidRDefault="001F2ACA" w:rsidP="00574443">
      <w:pPr>
        <w:pStyle w:val="Index1"/>
        <w:ind w:left="0" w:firstLine="0"/>
        <w:jc w:val="left"/>
        <w:rPr>
          <w:szCs w:val="22"/>
        </w:rPr>
      </w:pPr>
      <w:r w:rsidRPr="00574443">
        <w:rPr>
          <w:b/>
          <w:szCs w:val="22"/>
        </w:rPr>
        <w:t xml:space="preserve">Product market regulation (PMR): </w:t>
      </w:r>
      <w:r w:rsidRPr="00574443">
        <w:rPr>
          <w:szCs w:val="22"/>
        </w:rPr>
        <w:t>The aggregate indexes of anti-competitive product market regulation come from the OECD Regulatory Database. They vary from 0 to 6 from the least to the most restrictive.</w:t>
      </w:r>
    </w:p>
    <w:p w14:paraId="26EDF3A0" w14:textId="77777777" w:rsidR="001F2ACA" w:rsidRPr="00574443" w:rsidRDefault="001F2ACA" w:rsidP="00574443">
      <w:pPr>
        <w:pStyle w:val="Index1"/>
        <w:ind w:left="0" w:firstLine="0"/>
        <w:jc w:val="left"/>
        <w:rPr>
          <w:i/>
          <w:szCs w:val="22"/>
        </w:rPr>
      </w:pPr>
      <w:r w:rsidRPr="00574443">
        <w:rPr>
          <w:i/>
          <w:szCs w:val="22"/>
        </w:rPr>
        <w:t xml:space="preserve">Source: </w:t>
      </w:r>
      <w:r w:rsidRPr="00574443">
        <w:rPr>
          <w:szCs w:val="22"/>
        </w:rPr>
        <w:t xml:space="preserve">OECD Indicators of Product Market Regulation, </w:t>
      </w:r>
      <w:hyperlink r:id="rId15" w:history="1">
        <w:r w:rsidRPr="00574443">
          <w:rPr>
            <w:rStyle w:val="Hyperlink"/>
            <w:szCs w:val="22"/>
          </w:rPr>
          <w:t>http://www.oecd.org/eco/growth/indicatorsofproductmarketregulationhomepage.htm</w:t>
        </w:r>
      </w:hyperlink>
    </w:p>
    <w:p w14:paraId="11A81127" w14:textId="77777777" w:rsidR="001F2ACA" w:rsidRPr="00574443" w:rsidRDefault="001F2ACA" w:rsidP="00574443">
      <w:pPr>
        <w:pStyle w:val="Index1"/>
        <w:ind w:left="0" w:firstLine="0"/>
        <w:jc w:val="left"/>
        <w:rPr>
          <w:szCs w:val="22"/>
        </w:rPr>
      </w:pPr>
      <w:r w:rsidRPr="00574443">
        <w:rPr>
          <w:b/>
          <w:szCs w:val="22"/>
        </w:rPr>
        <w:t xml:space="preserve">Employment protection legislation (EPL): </w:t>
      </w:r>
      <w:r w:rsidRPr="00574443">
        <w:rPr>
          <w:szCs w:val="22"/>
        </w:rPr>
        <w:t>The aggregate indexes on regulations with respect to the dismissals of workers on open-ended contracts (including additional provisions for collective dismissals) and the use of temporary contracts Separate employment protection EP indicators come from the OECD Indicators of Employment Protection (</w:t>
      </w:r>
      <w:hyperlink r:id="rId16" w:history="1">
        <w:r w:rsidRPr="00574443">
          <w:rPr>
            <w:rStyle w:val="Hyperlink"/>
            <w:szCs w:val="22"/>
          </w:rPr>
          <w:t>www.oecd.org/employment/protection</w:t>
        </w:r>
      </w:hyperlink>
      <w:r w:rsidRPr="00574443">
        <w:rPr>
          <w:szCs w:val="22"/>
        </w:rPr>
        <w:t>). Both indicators vary from 0 to 6 from the least to the most stringent.</w:t>
      </w:r>
    </w:p>
    <w:p w14:paraId="77A6C3D8" w14:textId="77777777" w:rsidR="001F2ACA" w:rsidRPr="00574443" w:rsidRDefault="001F2ACA" w:rsidP="00574443">
      <w:pPr>
        <w:pStyle w:val="Para"/>
        <w:spacing w:before="0" w:after="0"/>
        <w:ind w:left="0"/>
        <w:jc w:val="left"/>
        <w:rPr>
          <w:szCs w:val="22"/>
        </w:rPr>
      </w:pPr>
      <w:r w:rsidRPr="00574443">
        <w:rPr>
          <w:i/>
          <w:szCs w:val="22"/>
        </w:rPr>
        <w:t xml:space="preserve">Source: </w:t>
      </w:r>
      <w:r w:rsidRPr="00574443">
        <w:rPr>
          <w:szCs w:val="22"/>
        </w:rPr>
        <w:t xml:space="preserve">OECD Employment Database, </w:t>
      </w:r>
      <w:hyperlink r:id="rId17" w:history="1">
        <w:r w:rsidRPr="00574443">
          <w:rPr>
            <w:rStyle w:val="Hyperlink"/>
            <w:szCs w:val="22"/>
          </w:rPr>
          <w:t>http://www.oecd.org/employment/emp/onlineoecdemploymentdatabase.htm</w:t>
        </w:r>
      </w:hyperlink>
    </w:p>
    <w:p w14:paraId="53B42047" w14:textId="77777777" w:rsidR="001F2ACA" w:rsidRPr="00574443" w:rsidRDefault="001F2ACA" w:rsidP="00574443">
      <w:pPr>
        <w:pStyle w:val="Index1"/>
        <w:ind w:left="0" w:firstLine="0"/>
        <w:jc w:val="left"/>
        <w:rPr>
          <w:szCs w:val="22"/>
        </w:rPr>
      </w:pPr>
      <w:r w:rsidRPr="00574443">
        <w:rPr>
          <w:b/>
          <w:szCs w:val="22"/>
        </w:rPr>
        <w:t xml:space="preserve">Minimum wage: </w:t>
      </w:r>
      <w:r w:rsidRPr="00574443">
        <w:rPr>
          <w:szCs w:val="22"/>
        </w:rPr>
        <w:t>Minimum wages are measured as the ratio of the statutory minimum wage to median wage of full-time workers, in percent.</w:t>
      </w:r>
    </w:p>
    <w:p w14:paraId="40472E1E" w14:textId="77777777" w:rsidR="001F2ACA" w:rsidRPr="00574443" w:rsidRDefault="001F2ACA" w:rsidP="00574443">
      <w:pPr>
        <w:pStyle w:val="Para"/>
        <w:spacing w:before="0" w:after="0"/>
        <w:ind w:left="0"/>
        <w:jc w:val="left"/>
        <w:rPr>
          <w:szCs w:val="22"/>
        </w:rPr>
      </w:pPr>
      <w:r w:rsidRPr="00574443">
        <w:rPr>
          <w:i/>
          <w:szCs w:val="22"/>
        </w:rPr>
        <w:t xml:space="preserve">Source: </w:t>
      </w:r>
      <w:r w:rsidRPr="00574443">
        <w:rPr>
          <w:szCs w:val="22"/>
        </w:rPr>
        <w:t xml:space="preserve">OECD Employment Database, </w:t>
      </w:r>
      <w:hyperlink r:id="rId18" w:history="1">
        <w:r w:rsidRPr="00574443">
          <w:rPr>
            <w:rStyle w:val="Hyperlink"/>
            <w:szCs w:val="22"/>
          </w:rPr>
          <w:t>http://www.oecd.org/employment/emp/onlineoecdemploymentdatabase.htm</w:t>
        </w:r>
      </w:hyperlink>
    </w:p>
    <w:p w14:paraId="05C10513" w14:textId="77777777" w:rsidR="001F2ACA" w:rsidRPr="00574443" w:rsidRDefault="001F2ACA" w:rsidP="00574443">
      <w:pPr>
        <w:pStyle w:val="Index1"/>
        <w:ind w:left="0" w:firstLine="0"/>
        <w:jc w:val="left"/>
        <w:rPr>
          <w:szCs w:val="22"/>
        </w:rPr>
      </w:pPr>
      <w:r w:rsidRPr="00574443">
        <w:rPr>
          <w:b/>
          <w:szCs w:val="22"/>
        </w:rPr>
        <w:t xml:space="preserve">Gross unemployment benefit (UB) replacement rate: </w:t>
      </w:r>
      <w:r w:rsidRPr="00574443">
        <w:rPr>
          <w:szCs w:val="22"/>
        </w:rPr>
        <w:t>UB generosity is measured on the basis of average replacement rates, defined as average unemployment benefit replacement rate across two income situations (100% and 67% of average worker earnings), three family situations (single, with dependent spouse, with spouse in work) and three different unemployment durations (first year, second and third years, and fourth and fifth years of unemployment).</w:t>
      </w:r>
    </w:p>
    <w:p w14:paraId="58EC6B04" w14:textId="77777777" w:rsidR="001F2ACA" w:rsidRPr="00574443" w:rsidRDefault="001F2ACA" w:rsidP="00574443">
      <w:pPr>
        <w:pStyle w:val="Para"/>
        <w:spacing w:before="0" w:after="0"/>
        <w:ind w:left="0"/>
        <w:jc w:val="left"/>
        <w:rPr>
          <w:rStyle w:val="Hyperlink"/>
          <w:szCs w:val="22"/>
        </w:rPr>
      </w:pPr>
      <w:r w:rsidRPr="00574443">
        <w:rPr>
          <w:i/>
          <w:szCs w:val="22"/>
        </w:rPr>
        <w:t xml:space="preserve">Source: </w:t>
      </w:r>
      <w:r w:rsidRPr="00574443">
        <w:rPr>
          <w:szCs w:val="22"/>
        </w:rPr>
        <w:t xml:space="preserve">OECD (2018), "Taxes and benefits", OECD Social and Welfare Statistics (database), </w:t>
      </w:r>
      <w:hyperlink r:id="rId19" w:history="1">
        <w:r w:rsidRPr="00574443">
          <w:rPr>
            <w:rStyle w:val="Hyperlink"/>
            <w:szCs w:val="22"/>
          </w:rPr>
          <w:t>http://dx.doi.org/10.1787/data-00201-en</w:t>
        </w:r>
      </w:hyperlink>
    </w:p>
    <w:p w14:paraId="1EC8C323" w14:textId="77777777" w:rsidR="001F2ACA" w:rsidRPr="00574443" w:rsidRDefault="001F2ACA" w:rsidP="00574443">
      <w:pPr>
        <w:pStyle w:val="Para"/>
        <w:spacing w:before="0" w:after="0"/>
        <w:ind w:left="0"/>
        <w:jc w:val="left"/>
        <w:rPr>
          <w:rStyle w:val="Hyperlink"/>
          <w:szCs w:val="22"/>
        </w:rPr>
      </w:pPr>
    </w:p>
    <w:p w14:paraId="16F2DB67" w14:textId="77777777" w:rsidR="001F2ACA" w:rsidRPr="00574443" w:rsidRDefault="001F2ACA" w:rsidP="00574443">
      <w:pPr>
        <w:pStyle w:val="Default"/>
        <w:rPr>
          <w:b/>
          <w:i/>
        </w:rPr>
      </w:pPr>
      <w:r w:rsidRPr="00574443">
        <w:rPr>
          <w:b/>
          <w:i/>
        </w:rPr>
        <w:t>Demographic controls</w:t>
      </w:r>
    </w:p>
    <w:p w14:paraId="7DD7BA8B" w14:textId="77777777" w:rsidR="001F2ACA" w:rsidRPr="00574443" w:rsidRDefault="001F2ACA" w:rsidP="00574443">
      <w:pPr>
        <w:pStyle w:val="Default"/>
        <w:rPr>
          <w:b/>
          <w:i/>
        </w:rPr>
      </w:pPr>
    </w:p>
    <w:p w14:paraId="581C70ED" w14:textId="77777777" w:rsidR="001F2ACA" w:rsidRPr="00574443" w:rsidRDefault="001F2ACA" w:rsidP="00574443">
      <w:pPr>
        <w:pStyle w:val="Index1"/>
        <w:jc w:val="left"/>
        <w:rPr>
          <w:szCs w:val="22"/>
        </w:rPr>
      </w:pPr>
      <w:r w:rsidRPr="00574443">
        <w:rPr>
          <w:b/>
          <w:szCs w:val="22"/>
        </w:rPr>
        <w:t xml:space="preserve">Share of female employment: </w:t>
      </w:r>
      <w:r w:rsidRPr="00574443">
        <w:rPr>
          <w:szCs w:val="22"/>
        </w:rPr>
        <w:t>Number of women employed as a percentage of total employment</w:t>
      </w:r>
    </w:p>
    <w:p w14:paraId="56251115" w14:textId="77777777" w:rsidR="001F2ACA" w:rsidRPr="00574443" w:rsidRDefault="001F2ACA" w:rsidP="00574443">
      <w:pPr>
        <w:pStyle w:val="Para"/>
        <w:spacing w:before="0" w:after="0"/>
        <w:ind w:left="0"/>
        <w:jc w:val="left"/>
        <w:rPr>
          <w:szCs w:val="22"/>
        </w:rPr>
      </w:pPr>
      <w:r w:rsidRPr="00574443">
        <w:rPr>
          <w:i/>
          <w:szCs w:val="22"/>
        </w:rPr>
        <w:t xml:space="preserve">Source: </w:t>
      </w:r>
      <w:r w:rsidRPr="00574443">
        <w:rPr>
          <w:szCs w:val="22"/>
        </w:rPr>
        <w:t xml:space="preserve">OECD Employment Database, </w:t>
      </w:r>
      <w:hyperlink r:id="rId20" w:history="1">
        <w:r w:rsidRPr="00574443">
          <w:rPr>
            <w:rStyle w:val="Hyperlink"/>
            <w:szCs w:val="22"/>
          </w:rPr>
          <w:t>http://www.oecd.org/employment/emp/onlineoecdemploymentdatabase.htm</w:t>
        </w:r>
      </w:hyperlink>
    </w:p>
    <w:p w14:paraId="670D3C6D" w14:textId="77777777" w:rsidR="001F2ACA" w:rsidRPr="00574443" w:rsidRDefault="001F2ACA" w:rsidP="00574443">
      <w:pPr>
        <w:pStyle w:val="Index1"/>
        <w:jc w:val="left"/>
        <w:rPr>
          <w:szCs w:val="22"/>
        </w:rPr>
      </w:pPr>
      <w:r w:rsidRPr="00574443">
        <w:rPr>
          <w:b/>
          <w:szCs w:val="22"/>
        </w:rPr>
        <w:t xml:space="preserve">Average years of education: </w:t>
      </w:r>
      <w:r w:rsidRPr="00574443">
        <w:rPr>
          <w:szCs w:val="22"/>
        </w:rPr>
        <w:t>Number of years spent in education of person aged 25-64.</w:t>
      </w:r>
    </w:p>
    <w:p w14:paraId="01D40DB9" w14:textId="77777777" w:rsidR="001F2ACA" w:rsidRPr="00574443" w:rsidRDefault="001F2ACA" w:rsidP="00574443">
      <w:pPr>
        <w:pStyle w:val="Para"/>
        <w:spacing w:before="0" w:after="0"/>
        <w:ind w:left="0"/>
        <w:jc w:val="left"/>
        <w:rPr>
          <w:szCs w:val="22"/>
        </w:rPr>
      </w:pPr>
      <w:r w:rsidRPr="00574443">
        <w:rPr>
          <w:i/>
          <w:szCs w:val="22"/>
        </w:rPr>
        <w:t xml:space="preserve">Source: </w:t>
      </w:r>
      <w:r w:rsidRPr="00574443">
        <w:rPr>
          <w:szCs w:val="22"/>
        </w:rPr>
        <w:t>D.</w:t>
      </w:r>
      <w:r w:rsidRPr="00574443">
        <w:rPr>
          <w:i/>
          <w:szCs w:val="22"/>
        </w:rPr>
        <w:t xml:space="preserve"> </w:t>
      </w:r>
      <w:r w:rsidRPr="00574443">
        <w:rPr>
          <w:szCs w:val="22"/>
        </w:rPr>
        <w:t xml:space="preserve">Cohen and M. Soto, Growth and human capital: good data, good results, completed with Barro-Lee Educational Attainment Data (2013 update); </w:t>
      </w:r>
      <w:hyperlink r:id="rId21" w:history="1">
        <w:r w:rsidRPr="00574443">
          <w:rPr>
            <w:rStyle w:val="Hyperlink"/>
            <w:szCs w:val="22"/>
          </w:rPr>
          <w:t>http://www.barrolee.com/</w:t>
        </w:r>
      </w:hyperlink>
      <w:r w:rsidRPr="00574443">
        <w:rPr>
          <w:szCs w:val="22"/>
        </w:rPr>
        <w:t>.</w:t>
      </w:r>
    </w:p>
    <w:p w14:paraId="3F1F29CE" w14:textId="77777777" w:rsidR="001F2ACA" w:rsidRPr="00574443" w:rsidRDefault="001F2ACA" w:rsidP="00574443">
      <w:pPr>
        <w:pStyle w:val="Para"/>
        <w:spacing w:before="0" w:after="0"/>
        <w:ind w:left="0"/>
        <w:jc w:val="left"/>
        <w:rPr>
          <w:szCs w:val="22"/>
        </w:rPr>
      </w:pPr>
    </w:p>
    <w:p w14:paraId="29939523" w14:textId="77777777" w:rsidR="001F2ACA" w:rsidRPr="00574443" w:rsidRDefault="001F2ACA" w:rsidP="00574443">
      <w:pPr>
        <w:pStyle w:val="Para"/>
        <w:spacing w:before="0" w:after="0"/>
        <w:ind w:left="0"/>
        <w:jc w:val="left"/>
        <w:rPr>
          <w:szCs w:val="22"/>
        </w:rPr>
      </w:pPr>
    </w:p>
    <w:p w14:paraId="1DCD2D45" w14:textId="77777777" w:rsidR="001F2ACA" w:rsidRPr="00574443" w:rsidRDefault="001F2ACA" w:rsidP="00574443">
      <w:pPr>
        <w:pStyle w:val="Default"/>
        <w:rPr>
          <w:b/>
          <w:i/>
        </w:rPr>
      </w:pPr>
      <w:r w:rsidRPr="00574443">
        <w:rPr>
          <w:b/>
          <w:i/>
        </w:rPr>
        <w:t>Control for the business cycle</w:t>
      </w:r>
    </w:p>
    <w:p w14:paraId="634E6377" w14:textId="77777777" w:rsidR="001F2ACA" w:rsidRPr="00574443" w:rsidRDefault="001F2ACA" w:rsidP="00574443">
      <w:pPr>
        <w:pStyle w:val="Default"/>
        <w:rPr>
          <w:b/>
          <w:i/>
        </w:rPr>
      </w:pPr>
    </w:p>
    <w:p w14:paraId="514ABD4C" w14:textId="77777777" w:rsidR="001F2ACA" w:rsidRPr="00574443" w:rsidRDefault="001F2ACA" w:rsidP="00574443">
      <w:pPr>
        <w:pStyle w:val="Index1"/>
        <w:jc w:val="left"/>
        <w:rPr>
          <w:szCs w:val="22"/>
        </w:rPr>
      </w:pPr>
      <w:r w:rsidRPr="00574443">
        <w:rPr>
          <w:b/>
          <w:szCs w:val="22"/>
        </w:rPr>
        <w:t xml:space="preserve">Output gap: </w:t>
      </w:r>
      <w:r w:rsidRPr="00574443">
        <w:rPr>
          <w:szCs w:val="22"/>
        </w:rPr>
        <w:t>Deviations of actual GDP from potential GDP as percentage of potential GDP</w:t>
      </w:r>
    </w:p>
    <w:p w14:paraId="3B4CEA1F" w14:textId="77777777" w:rsidR="001F2ACA" w:rsidRPr="00574443" w:rsidRDefault="001F2ACA" w:rsidP="00574443">
      <w:pPr>
        <w:pStyle w:val="Para"/>
        <w:spacing w:before="0" w:after="0"/>
        <w:ind w:left="0"/>
        <w:jc w:val="left"/>
        <w:rPr>
          <w:szCs w:val="22"/>
        </w:rPr>
      </w:pPr>
      <w:r w:rsidRPr="00574443">
        <w:rPr>
          <w:i/>
          <w:szCs w:val="22"/>
        </w:rPr>
        <w:t>Source</w:t>
      </w:r>
      <w:r w:rsidRPr="00574443">
        <w:rPr>
          <w:szCs w:val="22"/>
        </w:rPr>
        <w:t>: OECD Economic Outlook,</w:t>
      </w:r>
      <w:r w:rsidRPr="00574443">
        <w:rPr>
          <w:b/>
          <w:szCs w:val="22"/>
        </w:rPr>
        <w:t xml:space="preserve"> </w:t>
      </w:r>
      <w:hyperlink r:id="rId22" w:history="1">
        <w:r w:rsidRPr="00574443">
          <w:rPr>
            <w:rStyle w:val="Hyperlink"/>
            <w:szCs w:val="22"/>
          </w:rPr>
          <w:t>https://stats.oecd.org/index.aspx?QueryId=51655</w:t>
        </w:r>
      </w:hyperlink>
      <w:r w:rsidRPr="00574443">
        <w:rPr>
          <w:szCs w:val="22"/>
        </w:rPr>
        <w:t xml:space="preserve"> </w:t>
      </w:r>
    </w:p>
    <w:p w14:paraId="4774EB8D" w14:textId="77777777" w:rsidR="00BA03A9" w:rsidRPr="00574443" w:rsidRDefault="00BA03A9" w:rsidP="00574443">
      <w:pPr>
        <w:pStyle w:val="Default"/>
        <w:rPr>
          <w:b/>
        </w:rPr>
      </w:pPr>
    </w:p>
    <w:p w14:paraId="44D21404" w14:textId="77777777" w:rsidR="00BA03A9" w:rsidRPr="00574443" w:rsidRDefault="00BA03A9" w:rsidP="00574443">
      <w:pPr>
        <w:pStyle w:val="Default"/>
        <w:rPr>
          <w:b/>
        </w:rPr>
      </w:pPr>
    </w:p>
    <w:p w14:paraId="759FA8CE" w14:textId="6B7D667F" w:rsidR="001F2ACA" w:rsidRPr="00574443" w:rsidRDefault="001F2ACA" w:rsidP="00574443">
      <w:pPr>
        <w:pStyle w:val="Default"/>
        <w:rPr>
          <w:b/>
        </w:rPr>
      </w:pPr>
      <w:r w:rsidRPr="00574443">
        <w:rPr>
          <w:b/>
        </w:rPr>
        <w:t>Robustness test using ICTWSS data</w:t>
      </w:r>
    </w:p>
    <w:p w14:paraId="091BEDC9" w14:textId="77777777" w:rsidR="001F2ACA" w:rsidRPr="00574443" w:rsidRDefault="001F2ACA" w:rsidP="00574443">
      <w:pPr>
        <w:pStyle w:val="Default"/>
        <w:rPr>
          <w:b/>
        </w:rPr>
      </w:pPr>
    </w:p>
    <w:p w14:paraId="0F7DF0BE" w14:textId="77777777" w:rsidR="001F2ACA" w:rsidRPr="00574443" w:rsidRDefault="001F2ACA" w:rsidP="00574443">
      <w:pPr>
        <w:pStyle w:val="BodyText"/>
        <w:ind w:firstLine="0"/>
        <w:jc w:val="left"/>
        <w:rPr>
          <w:szCs w:val="22"/>
        </w:rPr>
      </w:pPr>
      <w:r w:rsidRPr="00574443">
        <w:rPr>
          <w:szCs w:val="22"/>
        </w:rPr>
        <w:t>In order to test the robustness of our results with respect to the choices made to build the taxonomy, we run the same regressions in Tables 3 and 5 using more traditional collective bargaining indicators for centralisation and co-ordination from the ICTWSS database. In particular, we use the following two indicators of centralisation and co-ordination:</w:t>
      </w:r>
    </w:p>
    <w:p w14:paraId="6D896FC1" w14:textId="77777777" w:rsidR="001F2ACA" w:rsidRPr="00574443" w:rsidRDefault="001F2ACA" w:rsidP="00574443">
      <w:pPr>
        <w:pStyle w:val="BodyText"/>
        <w:numPr>
          <w:ilvl w:val="0"/>
          <w:numId w:val="1"/>
        </w:numPr>
        <w:jc w:val="left"/>
        <w:rPr>
          <w:szCs w:val="22"/>
        </w:rPr>
      </w:pPr>
      <w:r w:rsidRPr="00574443">
        <w:rPr>
          <w:i/>
          <w:szCs w:val="22"/>
        </w:rPr>
        <w:t>Centralisation</w:t>
      </w:r>
      <w:r w:rsidRPr="00574443">
        <w:rPr>
          <w:szCs w:val="22"/>
        </w:rPr>
        <w:t>: Actual level of centralisation (CWB in ICTWSS) computed as:</w:t>
      </w:r>
    </w:p>
    <w:p w14:paraId="4C912AEF" w14:textId="77777777" w:rsidR="001F2ACA" w:rsidRPr="00574443" w:rsidRDefault="001F2ACA" w:rsidP="00574443">
      <w:pPr>
        <w:pStyle w:val="FootnoteText"/>
        <w:spacing w:after="0"/>
        <w:ind w:left="0"/>
        <w:jc w:val="left"/>
        <w:rPr>
          <w:i/>
          <w:sz w:val="22"/>
          <w:szCs w:val="22"/>
        </w:rPr>
      </w:pPr>
      <w:r w:rsidRPr="00574443">
        <w:rPr>
          <w:i/>
          <w:sz w:val="22"/>
          <w:szCs w:val="22"/>
        </w:rPr>
        <w:t>LEVEL - (fAEB+OCG)/4 + (Art+DR-1)/5</w:t>
      </w:r>
    </w:p>
    <w:p w14:paraId="7828FB59" w14:textId="77777777" w:rsidR="001F2ACA" w:rsidRPr="00574443" w:rsidRDefault="001F2ACA" w:rsidP="00574443">
      <w:pPr>
        <w:pStyle w:val="BodyText"/>
        <w:ind w:left="1162" w:firstLine="0"/>
        <w:jc w:val="left"/>
        <w:rPr>
          <w:szCs w:val="22"/>
        </w:rPr>
      </w:pPr>
      <w:r w:rsidRPr="00574443">
        <w:rPr>
          <w:szCs w:val="22"/>
        </w:rPr>
        <w:lastRenderedPageBreak/>
        <w:t xml:space="preserve">where </w:t>
      </w:r>
      <w:r w:rsidRPr="00574443">
        <w:rPr>
          <w:i/>
          <w:szCs w:val="22"/>
        </w:rPr>
        <w:t>LEVEL</w:t>
      </w:r>
      <w:r w:rsidRPr="00574443">
        <w:rPr>
          <w:szCs w:val="22"/>
        </w:rPr>
        <w:t xml:space="preserve"> is the predominant level at which wage bargaining takes place (from 1 for company-level bargaining to 5 for central/cross-industry-level bargaining), </w:t>
      </w:r>
      <w:r w:rsidRPr="00574443">
        <w:rPr>
          <w:i/>
          <w:szCs w:val="22"/>
        </w:rPr>
        <w:t>fAEB</w:t>
      </w:r>
      <w:r w:rsidRPr="00574443">
        <w:rPr>
          <w:szCs w:val="22"/>
        </w:rPr>
        <w:t xml:space="preserve"> is the frequency or scope of additional enterprise bargaining (from 0 when not happening to 3 when frequent), Art is the articulation of enterprise bargaining (from 0 when absent to 3 when disarticulated) and DR is possibility of setting aside the favourability principle in higher-level agreements (from 0 when the favourability principle is inversed to 3 when the favourability is anchored in law and strictly applied without derogations.</w:t>
      </w:r>
    </w:p>
    <w:p w14:paraId="573F6E15" w14:textId="77777777" w:rsidR="001F2ACA" w:rsidRPr="00574443" w:rsidRDefault="001F2ACA" w:rsidP="00574443">
      <w:pPr>
        <w:pStyle w:val="BodyText"/>
        <w:numPr>
          <w:ilvl w:val="0"/>
          <w:numId w:val="1"/>
        </w:numPr>
        <w:jc w:val="left"/>
        <w:rPr>
          <w:szCs w:val="22"/>
        </w:rPr>
      </w:pPr>
      <w:r w:rsidRPr="00574443">
        <w:rPr>
          <w:i/>
          <w:szCs w:val="22"/>
        </w:rPr>
        <w:t>Co-ordination</w:t>
      </w:r>
      <w:r w:rsidRPr="00574443">
        <w:rPr>
          <w:szCs w:val="22"/>
        </w:rPr>
        <w:t>: Degree of co-ordination of wage-setting derived from the variable</w:t>
      </w:r>
      <w:r w:rsidRPr="00574443">
        <w:rPr>
          <w:i/>
          <w:szCs w:val="22"/>
        </w:rPr>
        <w:t xml:space="preserve"> coord</w:t>
      </w:r>
      <w:r w:rsidRPr="00574443">
        <w:rPr>
          <w:szCs w:val="22"/>
        </w:rPr>
        <w:t xml:space="preserve"> in ICTWSS and recoded as no co-ordination (for values 1 and 2 of the variable </w:t>
      </w:r>
      <w:r w:rsidRPr="00574443">
        <w:rPr>
          <w:i/>
          <w:szCs w:val="22"/>
        </w:rPr>
        <w:t>coord</w:t>
      </w:r>
      <w:r w:rsidRPr="00574443">
        <w:rPr>
          <w:szCs w:val="22"/>
        </w:rPr>
        <w:t xml:space="preserve">), low co-ordination (for value 3 of the variable </w:t>
      </w:r>
      <w:r w:rsidRPr="00574443">
        <w:rPr>
          <w:i/>
          <w:szCs w:val="22"/>
        </w:rPr>
        <w:t>coord</w:t>
      </w:r>
      <w:r w:rsidRPr="00574443">
        <w:rPr>
          <w:szCs w:val="22"/>
        </w:rPr>
        <w:t xml:space="preserve">) and high co-ordination (for values 4 and 5 of the variable </w:t>
      </w:r>
      <w:r w:rsidRPr="00574443">
        <w:rPr>
          <w:i/>
          <w:szCs w:val="22"/>
        </w:rPr>
        <w:t>coord</w:t>
      </w:r>
      <w:r w:rsidRPr="00574443">
        <w:rPr>
          <w:szCs w:val="22"/>
        </w:rPr>
        <w:t>).</w:t>
      </w:r>
    </w:p>
    <w:p w14:paraId="376EF312" w14:textId="0E460C2E" w:rsidR="00BA03A9" w:rsidRPr="00574443" w:rsidRDefault="001F2ACA" w:rsidP="00574443">
      <w:pPr>
        <w:pStyle w:val="BodyText"/>
        <w:jc w:val="left"/>
        <w:rPr>
          <w:szCs w:val="22"/>
        </w:rPr>
      </w:pPr>
      <w:r w:rsidRPr="00574443">
        <w:rPr>
          <w:szCs w:val="22"/>
        </w:rPr>
        <w:t>Descriptive statistics of the two variables are provided in Table A.1 while Tables A.2 and A.3 replicate the results in Tables 3 and 5. The results are qualitatively robust to the use of these more traditional collective bargaining indicators for centralisation and co-ordination. In particular, co-ordination is associated to higher employment rates and lower unemployment rates while the association between the degree of centralisation and the employment rate or earnings dispersion is not linear.</w:t>
      </w:r>
    </w:p>
    <w:p w14:paraId="304E06EC" w14:textId="77777777" w:rsidR="00BA03A9" w:rsidRDefault="00BA03A9">
      <w:pPr>
        <w:tabs>
          <w:tab w:val="clear" w:pos="850"/>
          <w:tab w:val="clear" w:pos="1191"/>
          <w:tab w:val="clear" w:pos="1531"/>
        </w:tabs>
        <w:spacing w:after="160" w:line="259" w:lineRule="auto"/>
        <w:jc w:val="left"/>
        <w:rPr>
          <w:rFonts w:eastAsia="SimSun"/>
          <w:szCs w:val="22"/>
        </w:rPr>
      </w:pPr>
      <w:r>
        <w:rPr>
          <w:szCs w:val="22"/>
        </w:rPr>
        <w:br w:type="page"/>
      </w:r>
    </w:p>
    <w:p w14:paraId="452639A2" w14:textId="7D9DB365" w:rsidR="00BA03A9" w:rsidRPr="003F2574" w:rsidRDefault="00BA03A9" w:rsidP="00BA03A9">
      <w:pPr>
        <w:pStyle w:val="BodyText"/>
        <w:ind w:firstLine="0"/>
        <w:jc w:val="left"/>
        <w:rPr>
          <w:rFonts w:ascii="Arial" w:hAnsi="Arial" w:cs="Arial"/>
        </w:rPr>
      </w:pPr>
      <w:r w:rsidRPr="00BA03A9">
        <w:rPr>
          <w:rFonts w:ascii="Arial" w:hAnsi="Arial" w:cs="Arial"/>
          <w:b/>
          <w:bCs/>
          <w:szCs w:val="22"/>
        </w:rPr>
        <w:lastRenderedPageBreak/>
        <w:t>Figure A</w:t>
      </w:r>
      <w:r>
        <w:rPr>
          <w:rFonts w:ascii="Arial" w:hAnsi="Arial" w:cs="Arial"/>
          <w:b/>
          <w:bCs/>
          <w:szCs w:val="22"/>
        </w:rPr>
        <w:t>1</w:t>
      </w:r>
      <w:r w:rsidRPr="003F2574">
        <w:rPr>
          <w:rFonts w:ascii="Arial" w:hAnsi="Arial" w:cs="Arial"/>
        </w:rPr>
        <w:t xml:space="preserve">: </w:t>
      </w:r>
      <w:r w:rsidRPr="00BA03A9">
        <w:rPr>
          <w:rFonts w:ascii="Arial" w:hAnsi="Arial" w:cs="Arial"/>
          <w:b/>
          <w:bCs/>
        </w:rPr>
        <w:t>A taxonomy of collective bargaining systems in OECD countries, 1980-2015</w:t>
      </w:r>
    </w:p>
    <w:p w14:paraId="667DDA8F" w14:textId="77777777" w:rsidR="00BA03A9" w:rsidRPr="003F2574" w:rsidRDefault="00BA03A9" w:rsidP="00BA03A9">
      <w:pPr>
        <w:pStyle w:val="Figure"/>
        <w:rPr>
          <w:rFonts w:ascii="Arial" w:hAnsi="Arial" w:cs="Arial"/>
        </w:rPr>
      </w:pPr>
      <w:r w:rsidRPr="003F2574">
        <w:rPr>
          <w:rFonts w:ascii="Arial" w:hAnsi="Arial" w:cs="Arial"/>
          <w:lang w:eastAsia="en-GB"/>
        </w:rPr>
        <w:drawing>
          <wp:inline distT="0" distB="0" distL="0" distR="0" wp14:anchorId="679AAF00" wp14:editId="34388CE9">
            <wp:extent cx="5588635" cy="66274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88635" cy="6627495"/>
                    </a:xfrm>
                    <a:prstGeom prst="rect">
                      <a:avLst/>
                    </a:prstGeom>
                    <a:noFill/>
                    <a:ln>
                      <a:noFill/>
                    </a:ln>
                  </pic:spPr>
                </pic:pic>
              </a:graphicData>
            </a:graphic>
          </wp:inline>
        </w:drawing>
      </w:r>
    </w:p>
    <w:p w14:paraId="05369092" w14:textId="77777777" w:rsidR="00BA03A9" w:rsidRPr="003F2574" w:rsidRDefault="00BA03A9" w:rsidP="00BA03A9">
      <w:pPr>
        <w:tabs>
          <w:tab w:val="clear" w:pos="850"/>
          <w:tab w:val="clear" w:pos="1191"/>
          <w:tab w:val="clear" w:pos="1531"/>
        </w:tabs>
        <w:jc w:val="left"/>
        <w:rPr>
          <w:rFonts w:ascii="Arial" w:eastAsia="SimSun" w:hAnsi="Arial" w:cs="Arial"/>
          <w:sz w:val="18"/>
          <w:szCs w:val="18"/>
        </w:rPr>
      </w:pPr>
      <w:r w:rsidRPr="003F2574">
        <w:rPr>
          <w:rFonts w:ascii="Arial" w:hAnsi="Arial" w:cs="Arial"/>
        </w:rPr>
        <w:br w:type="page"/>
      </w:r>
    </w:p>
    <w:p w14:paraId="1954E4BE" w14:textId="77777777" w:rsidR="00BA03A9" w:rsidRPr="003F2574" w:rsidRDefault="00BA03A9" w:rsidP="00BA03A9">
      <w:pPr>
        <w:keepNext/>
        <w:keepLines/>
        <w:jc w:val="center"/>
        <w:rPr>
          <w:rFonts w:ascii="Arial" w:hAnsi="Arial" w:cs="Arial"/>
          <w:noProof/>
          <w:lang w:eastAsia="ko-KR"/>
        </w:rPr>
      </w:pPr>
      <w:r w:rsidRPr="003F2574">
        <w:rPr>
          <w:rFonts w:ascii="Arial" w:hAnsi="Arial" w:cs="Arial"/>
          <w:noProof/>
          <w:lang w:eastAsia="en-GB"/>
        </w:rPr>
        <w:lastRenderedPageBreak/>
        <w:drawing>
          <wp:inline distT="0" distB="0" distL="0" distR="0" wp14:anchorId="78828E6C" wp14:editId="439EC5E3">
            <wp:extent cx="5640070" cy="52743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40070" cy="5274310"/>
                    </a:xfrm>
                    <a:prstGeom prst="rect">
                      <a:avLst/>
                    </a:prstGeom>
                    <a:noFill/>
                    <a:ln>
                      <a:noFill/>
                    </a:ln>
                  </pic:spPr>
                </pic:pic>
              </a:graphicData>
            </a:graphic>
          </wp:inline>
        </w:drawing>
      </w:r>
    </w:p>
    <w:p w14:paraId="68D80D3C" w14:textId="77777777" w:rsidR="00BA03A9" w:rsidRPr="003F2574" w:rsidRDefault="00BA03A9" w:rsidP="00BA03A9">
      <w:pPr>
        <w:pStyle w:val="Sourcenotes"/>
        <w:spacing w:before="0" w:after="0"/>
        <w:rPr>
          <w:rFonts w:ascii="Arial" w:hAnsi="Arial"/>
        </w:rPr>
      </w:pPr>
      <w:r w:rsidRPr="003F2574">
        <w:rPr>
          <w:rFonts w:ascii="Arial" w:hAnsi="Arial"/>
        </w:rPr>
        <w:t xml:space="preserve">RCW. Rather centralized and weakly </w:t>
      </w:r>
      <w:r>
        <w:rPr>
          <w:rFonts w:ascii="Arial" w:hAnsi="Arial"/>
        </w:rPr>
        <w:t>coord</w:t>
      </w:r>
      <w:r w:rsidRPr="003F2574">
        <w:rPr>
          <w:rFonts w:ascii="Arial" w:hAnsi="Arial"/>
        </w:rPr>
        <w:t>inated</w:t>
      </w:r>
    </w:p>
    <w:p w14:paraId="4380AA30" w14:textId="77777777" w:rsidR="00BA03A9" w:rsidRPr="003F2574" w:rsidRDefault="00BA03A9" w:rsidP="00BA03A9">
      <w:pPr>
        <w:pStyle w:val="Sourcenotes"/>
        <w:spacing w:before="0" w:after="0"/>
        <w:rPr>
          <w:rFonts w:ascii="Arial" w:hAnsi="Arial"/>
        </w:rPr>
      </w:pPr>
      <w:r w:rsidRPr="003F2574">
        <w:rPr>
          <w:rFonts w:ascii="Arial" w:hAnsi="Arial"/>
        </w:rPr>
        <w:t>PCC. Predominantly centralized and coordinated</w:t>
      </w:r>
    </w:p>
    <w:p w14:paraId="3A0DC2CA" w14:textId="77777777" w:rsidR="00BA03A9" w:rsidRPr="003F2574" w:rsidRDefault="00BA03A9" w:rsidP="00BA03A9">
      <w:pPr>
        <w:pStyle w:val="Sourcenotes"/>
        <w:spacing w:before="0" w:after="0"/>
        <w:rPr>
          <w:rFonts w:ascii="Arial" w:hAnsi="Arial"/>
        </w:rPr>
      </w:pPr>
      <w:r w:rsidRPr="003F2574">
        <w:rPr>
          <w:rFonts w:ascii="Arial" w:hAnsi="Arial"/>
        </w:rPr>
        <w:t>ODC. Organized decentralized and coordinated</w:t>
      </w:r>
    </w:p>
    <w:p w14:paraId="3CF68092" w14:textId="77777777" w:rsidR="00BA03A9" w:rsidRPr="003F2574" w:rsidRDefault="00BA03A9" w:rsidP="00BA03A9">
      <w:pPr>
        <w:pStyle w:val="Sourcenotes"/>
        <w:spacing w:before="0" w:after="0"/>
        <w:rPr>
          <w:rFonts w:ascii="Arial" w:hAnsi="Arial"/>
        </w:rPr>
      </w:pPr>
      <w:r w:rsidRPr="003F2574">
        <w:rPr>
          <w:rFonts w:ascii="Arial" w:hAnsi="Arial"/>
        </w:rPr>
        <w:t>LD. Largely decentralized</w:t>
      </w:r>
    </w:p>
    <w:p w14:paraId="57AF3BED" w14:textId="77777777" w:rsidR="00BA03A9" w:rsidRPr="003F2574" w:rsidRDefault="00BA03A9" w:rsidP="00BA03A9">
      <w:pPr>
        <w:pStyle w:val="Sourcenotes"/>
        <w:spacing w:before="0" w:after="0"/>
        <w:rPr>
          <w:rFonts w:ascii="Arial" w:hAnsi="Arial"/>
        </w:rPr>
      </w:pPr>
      <w:r w:rsidRPr="003F2574">
        <w:rPr>
          <w:rFonts w:ascii="Arial" w:hAnsi="Arial"/>
        </w:rPr>
        <w:t>FD. Fully decentralized</w:t>
      </w:r>
    </w:p>
    <w:p w14:paraId="789AD999" w14:textId="77777777" w:rsidR="00BA03A9" w:rsidRPr="003F2574" w:rsidRDefault="00BA03A9" w:rsidP="00BA03A9">
      <w:pPr>
        <w:pStyle w:val="Sourcenotes"/>
        <w:spacing w:before="0" w:after="0"/>
        <w:jc w:val="left"/>
        <w:rPr>
          <w:rFonts w:ascii="Arial" w:hAnsi="Arial"/>
          <w:b/>
        </w:rPr>
      </w:pPr>
      <w:r w:rsidRPr="003F2574">
        <w:rPr>
          <w:rFonts w:ascii="Arial" w:hAnsi="Arial"/>
          <w:i/>
        </w:rPr>
        <w:t>Source:</w:t>
      </w:r>
      <w:r w:rsidRPr="003F2574">
        <w:rPr>
          <w:rFonts w:ascii="Arial" w:hAnsi="Arial"/>
        </w:rPr>
        <w:t xml:space="preserve"> Author’s elaboration based on OECD (2017), ICTWSS, Eurofound, LABREF and related literature.</w:t>
      </w:r>
      <w:r w:rsidRPr="003F2574">
        <w:rPr>
          <w:rFonts w:ascii="Arial" w:hAnsi="Arial"/>
          <w:b/>
        </w:rPr>
        <w:br w:type="page"/>
      </w:r>
    </w:p>
    <w:p w14:paraId="366FD268" w14:textId="77777777" w:rsidR="001F2ACA" w:rsidRPr="003F2574" w:rsidRDefault="001F2ACA" w:rsidP="001F2ACA">
      <w:pPr>
        <w:pStyle w:val="Para"/>
        <w:jc w:val="center"/>
        <w:rPr>
          <w:rFonts w:ascii="Arial" w:hAnsi="Arial" w:cs="Arial"/>
          <w:sz w:val="24"/>
          <w:szCs w:val="24"/>
        </w:rPr>
      </w:pPr>
      <w:bookmarkStart w:id="1" w:name="_GoBack"/>
      <w:bookmarkEnd w:id="1"/>
      <w:r w:rsidRPr="003F2574">
        <w:rPr>
          <w:rFonts w:ascii="Arial" w:eastAsiaTheme="minorHAnsi" w:hAnsi="Arial" w:cs="Arial"/>
          <w:b/>
          <w:bCs/>
          <w:sz w:val="20"/>
        </w:rPr>
        <w:lastRenderedPageBreak/>
        <w:t>Table A.1: Collective bargaining systems and employment and unemployment rates using ICTWSS indicators</w:t>
      </w:r>
    </w:p>
    <w:tbl>
      <w:tblPr>
        <w:tblW w:w="7938" w:type="dxa"/>
        <w:jc w:val="center"/>
        <w:tblBorders>
          <w:top w:val="single" w:sz="12" w:space="0" w:color="4F81BD"/>
          <w:bottom w:val="single" w:sz="12" w:space="0" w:color="000000"/>
        </w:tblBorders>
        <w:tblCellMar>
          <w:left w:w="0" w:type="dxa"/>
          <w:right w:w="0" w:type="dxa"/>
        </w:tblCellMar>
        <w:tblLook w:val="04A0" w:firstRow="1" w:lastRow="0" w:firstColumn="1" w:lastColumn="0" w:noHBand="0" w:noVBand="1"/>
      </w:tblPr>
      <w:tblGrid>
        <w:gridCol w:w="4036"/>
        <w:gridCol w:w="967"/>
        <w:gridCol w:w="967"/>
        <w:gridCol w:w="967"/>
        <w:gridCol w:w="1001"/>
      </w:tblGrid>
      <w:tr w:rsidR="001F2ACA" w:rsidRPr="003F2574" w14:paraId="3D0E8B3C" w14:textId="77777777" w:rsidTr="0096518D">
        <w:trPr>
          <w:jc w:val="center"/>
        </w:trPr>
        <w:tc>
          <w:tcPr>
            <w:tcW w:w="0" w:type="auto"/>
            <w:tcBorders>
              <w:bottom w:val="single" w:sz="8" w:space="0" w:color="000000"/>
            </w:tcBorders>
            <w:shd w:val="clear" w:color="auto" w:fill="auto"/>
            <w:tcMar>
              <w:top w:w="0" w:type="dxa"/>
              <w:left w:w="108" w:type="dxa"/>
              <w:bottom w:w="0" w:type="dxa"/>
              <w:right w:w="108" w:type="dxa"/>
            </w:tcMar>
            <w:vAlign w:val="center"/>
            <w:hideMark/>
          </w:tcPr>
          <w:p w14:paraId="7AE7A397" w14:textId="77777777" w:rsidR="001F2ACA" w:rsidRPr="003F2574" w:rsidRDefault="001F2ACA" w:rsidP="0096518D">
            <w:pPr>
              <w:pStyle w:val="TableColumn"/>
              <w:rPr>
                <w:rFonts w:ascii="Arial" w:hAnsi="Arial"/>
                <w:b/>
                <w:sz w:val="16"/>
              </w:rPr>
            </w:pPr>
            <w:r w:rsidRPr="003F2574">
              <w:rPr>
                <w:rFonts w:ascii="Arial" w:hAnsi="Arial"/>
                <w:b/>
              </w:rPr>
              <w:t> </w:t>
            </w:r>
          </w:p>
        </w:tc>
        <w:tc>
          <w:tcPr>
            <w:tcW w:w="967" w:type="dxa"/>
            <w:tcBorders>
              <w:bottom w:val="single" w:sz="8" w:space="0" w:color="000000"/>
            </w:tcBorders>
            <w:shd w:val="clear" w:color="auto" w:fill="auto"/>
            <w:tcMar>
              <w:top w:w="0" w:type="dxa"/>
              <w:left w:w="108" w:type="dxa"/>
              <w:bottom w:w="0" w:type="dxa"/>
              <w:right w:w="108" w:type="dxa"/>
            </w:tcMar>
            <w:vAlign w:val="center"/>
            <w:hideMark/>
          </w:tcPr>
          <w:p w14:paraId="237BC075" w14:textId="77777777" w:rsidR="001F2ACA" w:rsidRPr="003F2574" w:rsidRDefault="001F2ACA" w:rsidP="0096518D">
            <w:pPr>
              <w:pStyle w:val="TableColumn"/>
              <w:rPr>
                <w:rFonts w:ascii="Arial" w:hAnsi="Arial"/>
                <w:b/>
              </w:rPr>
            </w:pPr>
            <w:r w:rsidRPr="003F2574">
              <w:rPr>
                <w:rFonts w:ascii="Arial" w:hAnsi="Arial"/>
                <w:b/>
              </w:rPr>
              <w:t>Mean</w:t>
            </w:r>
          </w:p>
        </w:tc>
        <w:tc>
          <w:tcPr>
            <w:tcW w:w="967" w:type="dxa"/>
            <w:tcBorders>
              <w:bottom w:val="single" w:sz="8" w:space="0" w:color="000000"/>
            </w:tcBorders>
            <w:shd w:val="clear" w:color="auto" w:fill="auto"/>
            <w:tcMar>
              <w:top w:w="0" w:type="dxa"/>
              <w:left w:w="108" w:type="dxa"/>
              <w:bottom w:w="0" w:type="dxa"/>
              <w:right w:w="108" w:type="dxa"/>
            </w:tcMar>
            <w:vAlign w:val="center"/>
            <w:hideMark/>
          </w:tcPr>
          <w:p w14:paraId="5D9311DB" w14:textId="77777777" w:rsidR="001F2ACA" w:rsidRPr="003F2574" w:rsidRDefault="001F2ACA" w:rsidP="0096518D">
            <w:pPr>
              <w:pStyle w:val="TableColumn"/>
              <w:rPr>
                <w:rFonts w:ascii="Arial" w:hAnsi="Arial"/>
                <w:b/>
              </w:rPr>
            </w:pPr>
            <w:r w:rsidRPr="003F2574">
              <w:rPr>
                <w:rFonts w:ascii="Arial" w:hAnsi="Arial"/>
                <w:b/>
              </w:rPr>
              <w:t>Standard</w:t>
            </w:r>
          </w:p>
          <w:p w14:paraId="6E20F817" w14:textId="77777777" w:rsidR="001F2ACA" w:rsidRPr="003F2574" w:rsidRDefault="001F2ACA" w:rsidP="0096518D">
            <w:pPr>
              <w:pStyle w:val="TableColumn"/>
              <w:rPr>
                <w:rFonts w:ascii="Arial" w:hAnsi="Arial"/>
                <w:b/>
              </w:rPr>
            </w:pPr>
            <w:r w:rsidRPr="003F2574">
              <w:rPr>
                <w:rFonts w:ascii="Arial" w:hAnsi="Arial"/>
                <w:b/>
              </w:rPr>
              <w:t>deviation</w:t>
            </w:r>
          </w:p>
        </w:tc>
        <w:tc>
          <w:tcPr>
            <w:tcW w:w="967" w:type="dxa"/>
            <w:tcBorders>
              <w:bottom w:val="single" w:sz="8" w:space="0" w:color="000000"/>
            </w:tcBorders>
            <w:shd w:val="clear" w:color="auto" w:fill="auto"/>
            <w:tcMar>
              <w:top w:w="0" w:type="dxa"/>
              <w:left w:w="108" w:type="dxa"/>
              <w:bottom w:w="0" w:type="dxa"/>
              <w:right w:w="108" w:type="dxa"/>
            </w:tcMar>
            <w:vAlign w:val="center"/>
            <w:hideMark/>
          </w:tcPr>
          <w:p w14:paraId="01DA7C07" w14:textId="77777777" w:rsidR="001F2ACA" w:rsidRPr="003F2574" w:rsidRDefault="001F2ACA" w:rsidP="0096518D">
            <w:pPr>
              <w:pStyle w:val="TableColumn"/>
              <w:rPr>
                <w:rFonts w:ascii="Arial" w:hAnsi="Arial"/>
                <w:b/>
              </w:rPr>
            </w:pPr>
            <w:r w:rsidRPr="003F2574">
              <w:rPr>
                <w:rFonts w:ascii="Arial" w:hAnsi="Arial"/>
                <w:b/>
              </w:rPr>
              <w:t>Minimum</w:t>
            </w:r>
          </w:p>
        </w:tc>
        <w:tc>
          <w:tcPr>
            <w:tcW w:w="972" w:type="dxa"/>
            <w:tcBorders>
              <w:bottom w:val="single" w:sz="8" w:space="0" w:color="000000"/>
            </w:tcBorders>
            <w:shd w:val="clear" w:color="auto" w:fill="auto"/>
            <w:tcMar>
              <w:top w:w="0" w:type="dxa"/>
              <w:left w:w="108" w:type="dxa"/>
              <w:bottom w:w="0" w:type="dxa"/>
              <w:right w:w="108" w:type="dxa"/>
            </w:tcMar>
            <w:vAlign w:val="center"/>
            <w:hideMark/>
          </w:tcPr>
          <w:p w14:paraId="35D4BAC9" w14:textId="77777777" w:rsidR="001F2ACA" w:rsidRPr="003F2574" w:rsidRDefault="001F2ACA" w:rsidP="0096518D">
            <w:pPr>
              <w:pStyle w:val="TableColumn"/>
              <w:rPr>
                <w:rFonts w:ascii="Arial" w:hAnsi="Arial"/>
                <w:b/>
              </w:rPr>
            </w:pPr>
            <w:r w:rsidRPr="003F2574">
              <w:rPr>
                <w:rFonts w:ascii="Arial" w:hAnsi="Arial"/>
                <w:b/>
              </w:rPr>
              <w:t>Maximum</w:t>
            </w:r>
          </w:p>
        </w:tc>
      </w:tr>
      <w:tr w:rsidR="001F2ACA" w:rsidRPr="003F2574" w14:paraId="24B3A4FC" w14:textId="77777777" w:rsidTr="0096518D">
        <w:trPr>
          <w:jc w:val="center"/>
        </w:trPr>
        <w:tc>
          <w:tcPr>
            <w:tcW w:w="0" w:type="auto"/>
            <w:shd w:val="clear" w:color="auto" w:fill="auto"/>
            <w:tcMar>
              <w:top w:w="0" w:type="dxa"/>
              <w:left w:w="108" w:type="dxa"/>
              <w:bottom w:w="0" w:type="dxa"/>
              <w:right w:w="108" w:type="dxa"/>
            </w:tcMar>
            <w:hideMark/>
          </w:tcPr>
          <w:p w14:paraId="720061F3" w14:textId="77777777" w:rsidR="001F2ACA" w:rsidRPr="003F2574" w:rsidRDefault="001F2ACA" w:rsidP="0096518D">
            <w:pPr>
              <w:pStyle w:val="TableRow"/>
              <w:ind w:left="180"/>
              <w:rPr>
                <w:rFonts w:ascii="Arial" w:hAnsi="Arial"/>
              </w:rPr>
            </w:pPr>
            <w:r w:rsidRPr="003F2574">
              <w:rPr>
                <w:rFonts w:ascii="Arial" w:hAnsi="Arial"/>
              </w:rPr>
              <w:t>Centralisation of wage bargaining</w:t>
            </w:r>
          </w:p>
        </w:tc>
        <w:tc>
          <w:tcPr>
            <w:tcW w:w="967" w:type="dxa"/>
            <w:shd w:val="clear" w:color="auto" w:fill="auto"/>
            <w:tcMar>
              <w:top w:w="0" w:type="dxa"/>
              <w:left w:w="108" w:type="dxa"/>
              <w:bottom w:w="0" w:type="dxa"/>
              <w:right w:w="108" w:type="dxa"/>
            </w:tcMar>
            <w:hideMark/>
          </w:tcPr>
          <w:p w14:paraId="13BA895D" w14:textId="77777777" w:rsidR="001F2ACA" w:rsidRPr="003F2574" w:rsidRDefault="001F2ACA" w:rsidP="0096518D">
            <w:pPr>
              <w:pStyle w:val="TableCell"/>
              <w:jc w:val="center"/>
              <w:rPr>
                <w:rFonts w:ascii="Arial" w:hAnsi="Arial"/>
              </w:rPr>
            </w:pPr>
            <w:r w:rsidRPr="003F2574">
              <w:rPr>
                <w:rFonts w:ascii="Arial" w:hAnsi="Arial"/>
              </w:rPr>
              <w:t>2.5</w:t>
            </w:r>
          </w:p>
        </w:tc>
        <w:tc>
          <w:tcPr>
            <w:tcW w:w="967" w:type="dxa"/>
            <w:shd w:val="clear" w:color="auto" w:fill="auto"/>
            <w:tcMar>
              <w:top w:w="0" w:type="dxa"/>
              <w:left w:w="108" w:type="dxa"/>
              <w:bottom w:w="0" w:type="dxa"/>
              <w:right w:w="108" w:type="dxa"/>
            </w:tcMar>
            <w:hideMark/>
          </w:tcPr>
          <w:p w14:paraId="76345F6B" w14:textId="77777777" w:rsidR="001F2ACA" w:rsidRPr="003F2574" w:rsidRDefault="001F2ACA" w:rsidP="0096518D">
            <w:pPr>
              <w:pStyle w:val="TableCell"/>
              <w:jc w:val="center"/>
              <w:rPr>
                <w:rFonts w:ascii="Arial" w:hAnsi="Arial"/>
              </w:rPr>
            </w:pPr>
            <w:r w:rsidRPr="003F2574">
              <w:rPr>
                <w:rFonts w:ascii="Arial" w:hAnsi="Arial"/>
              </w:rPr>
              <w:t>1.4</w:t>
            </w:r>
          </w:p>
        </w:tc>
        <w:tc>
          <w:tcPr>
            <w:tcW w:w="967" w:type="dxa"/>
            <w:shd w:val="clear" w:color="auto" w:fill="auto"/>
            <w:tcMar>
              <w:top w:w="0" w:type="dxa"/>
              <w:left w:w="108" w:type="dxa"/>
              <w:bottom w:w="0" w:type="dxa"/>
              <w:right w:w="108" w:type="dxa"/>
            </w:tcMar>
            <w:hideMark/>
          </w:tcPr>
          <w:p w14:paraId="523D7345" w14:textId="77777777" w:rsidR="001F2ACA" w:rsidRPr="003F2574" w:rsidRDefault="001F2ACA" w:rsidP="0096518D">
            <w:pPr>
              <w:pStyle w:val="TableCell"/>
              <w:jc w:val="center"/>
              <w:rPr>
                <w:rFonts w:ascii="Arial" w:hAnsi="Arial"/>
              </w:rPr>
            </w:pPr>
            <w:r w:rsidRPr="003F2574">
              <w:rPr>
                <w:rFonts w:ascii="Arial" w:hAnsi="Arial"/>
              </w:rPr>
              <w:t>1.0</w:t>
            </w:r>
          </w:p>
        </w:tc>
        <w:tc>
          <w:tcPr>
            <w:tcW w:w="972" w:type="dxa"/>
            <w:shd w:val="clear" w:color="auto" w:fill="auto"/>
            <w:tcMar>
              <w:top w:w="0" w:type="dxa"/>
              <w:left w:w="108" w:type="dxa"/>
              <w:bottom w:w="0" w:type="dxa"/>
              <w:right w:w="108" w:type="dxa"/>
            </w:tcMar>
            <w:hideMark/>
          </w:tcPr>
          <w:p w14:paraId="1A7C1162" w14:textId="77777777" w:rsidR="001F2ACA" w:rsidRPr="003F2574" w:rsidRDefault="001F2ACA" w:rsidP="0096518D">
            <w:pPr>
              <w:pStyle w:val="TableCell"/>
              <w:jc w:val="center"/>
              <w:rPr>
                <w:rFonts w:ascii="Arial" w:hAnsi="Arial"/>
              </w:rPr>
            </w:pPr>
            <w:r w:rsidRPr="003F2574">
              <w:rPr>
                <w:rFonts w:ascii="Arial" w:hAnsi="Arial"/>
              </w:rPr>
              <w:t>5.8</w:t>
            </w:r>
          </w:p>
        </w:tc>
      </w:tr>
      <w:tr w:rsidR="001F2ACA" w:rsidRPr="003F2574" w14:paraId="146DC55F" w14:textId="77777777" w:rsidTr="0096518D">
        <w:trPr>
          <w:jc w:val="center"/>
        </w:trPr>
        <w:tc>
          <w:tcPr>
            <w:tcW w:w="0" w:type="auto"/>
            <w:shd w:val="clear" w:color="auto" w:fill="auto"/>
            <w:tcMar>
              <w:top w:w="0" w:type="dxa"/>
              <w:left w:w="108" w:type="dxa"/>
              <w:bottom w:w="0" w:type="dxa"/>
              <w:right w:w="108" w:type="dxa"/>
            </w:tcMar>
            <w:hideMark/>
          </w:tcPr>
          <w:p w14:paraId="1ACD1CDC" w14:textId="77777777" w:rsidR="001F2ACA" w:rsidRPr="003F2574" w:rsidRDefault="001F2ACA" w:rsidP="0096518D">
            <w:pPr>
              <w:pStyle w:val="TableRow"/>
              <w:ind w:left="180"/>
              <w:rPr>
                <w:rFonts w:ascii="Arial" w:hAnsi="Arial"/>
              </w:rPr>
            </w:pPr>
            <w:r w:rsidRPr="003F2574">
              <w:rPr>
                <w:rFonts w:ascii="Arial" w:hAnsi="Arial"/>
              </w:rPr>
              <w:t>Centralisation of wage bargaining (squared)</w:t>
            </w:r>
          </w:p>
        </w:tc>
        <w:tc>
          <w:tcPr>
            <w:tcW w:w="967" w:type="dxa"/>
            <w:shd w:val="clear" w:color="auto" w:fill="auto"/>
            <w:tcMar>
              <w:top w:w="0" w:type="dxa"/>
              <w:left w:w="108" w:type="dxa"/>
              <w:bottom w:w="0" w:type="dxa"/>
              <w:right w:w="108" w:type="dxa"/>
            </w:tcMar>
            <w:hideMark/>
          </w:tcPr>
          <w:p w14:paraId="49D8D812" w14:textId="77777777" w:rsidR="001F2ACA" w:rsidRPr="003F2574" w:rsidRDefault="001F2ACA" w:rsidP="0096518D">
            <w:pPr>
              <w:pStyle w:val="TableCell"/>
              <w:jc w:val="center"/>
              <w:rPr>
                <w:rFonts w:ascii="Arial" w:hAnsi="Arial"/>
              </w:rPr>
            </w:pPr>
            <w:r w:rsidRPr="003F2574">
              <w:rPr>
                <w:rFonts w:ascii="Arial" w:hAnsi="Arial"/>
              </w:rPr>
              <w:t>8.3</w:t>
            </w:r>
          </w:p>
        </w:tc>
        <w:tc>
          <w:tcPr>
            <w:tcW w:w="967" w:type="dxa"/>
            <w:shd w:val="clear" w:color="auto" w:fill="auto"/>
            <w:tcMar>
              <w:top w:w="0" w:type="dxa"/>
              <w:left w:w="108" w:type="dxa"/>
              <w:bottom w:w="0" w:type="dxa"/>
              <w:right w:w="108" w:type="dxa"/>
            </w:tcMar>
            <w:hideMark/>
          </w:tcPr>
          <w:p w14:paraId="1EE61491" w14:textId="77777777" w:rsidR="001F2ACA" w:rsidRPr="003F2574" w:rsidRDefault="001F2ACA" w:rsidP="0096518D">
            <w:pPr>
              <w:pStyle w:val="TableCell"/>
              <w:jc w:val="center"/>
              <w:rPr>
                <w:rFonts w:ascii="Arial" w:hAnsi="Arial"/>
              </w:rPr>
            </w:pPr>
            <w:r w:rsidRPr="003F2574">
              <w:rPr>
                <w:rFonts w:ascii="Arial" w:hAnsi="Arial"/>
              </w:rPr>
              <w:t>7.9</w:t>
            </w:r>
          </w:p>
        </w:tc>
        <w:tc>
          <w:tcPr>
            <w:tcW w:w="967" w:type="dxa"/>
            <w:shd w:val="clear" w:color="auto" w:fill="auto"/>
            <w:tcMar>
              <w:top w:w="0" w:type="dxa"/>
              <w:left w:w="108" w:type="dxa"/>
              <w:bottom w:w="0" w:type="dxa"/>
              <w:right w:w="108" w:type="dxa"/>
            </w:tcMar>
            <w:hideMark/>
          </w:tcPr>
          <w:p w14:paraId="7BAFB2F9" w14:textId="77777777" w:rsidR="001F2ACA" w:rsidRPr="003F2574" w:rsidRDefault="001F2ACA" w:rsidP="0096518D">
            <w:pPr>
              <w:pStyle w:val="TableCell"/>
              <w:jc w:val="center"/>
              <w:rPr>
                <w:rFonts w:ascii="Arial" w:hAnsi="Arial"/>
              </w:rPr>
            </w:pPr>
            <w:r w:rsidRPr="003F2574">
              <w:rPr>
                <w:rFonts w:ascii="Arial" w:hAnsi="Arial"/>
              </w:rPr>
              <w:t>1.0</w:t>
            </w:r>
          </w:p>
        </w:tc>
        <w:tc>
          <w:tcPr>
            <w:tcW w:w="972" w:type="dxa"/>
            <w:shd w:val="clear" w:color="auto" w:fill="auto"/>
            <w:tcMar>
              <w:top w:w="0" w:type="dxa"/>
              <w:left w:w="108" w:type="dxa"/>
              <w:bottom w:w="0" w:type="dxa"/>
              <w:right w:w="108" w:type="dxa"/>
            </w:tcMar>
            <w:hideMark/>
          </w:tcPr>
          <w:p w14:paraId="1E71F26B" w14:textId="77777777" w:rsidR="001F2ACA" w:rsidRPr="003F2574" w:rsidRDefault="001F2ACA" w:rsidP="0096518D">
            <w:pPr>
              <w:pStyle w:val="TableCell"/>
              <w:jc w:val="center"/>
              <w:rPr>
                <w:rFonts w:ascii="Arial" w:hAnsi="Arial"/>
              </w:rPr>
            </w:pPr>
            <w:r w:rsidRPr="003F2574">
              <w:rPr>
                <w:rFonts w:ascii="Arial" w:hAnsi="Arial"/>
              </w:rPr>
              <w:t>33.1</w:t>
            </w:r>
          </w:p>
        </w:tc>
      </w:tr>
      <w:tr w:rsidR="001F2ACA" w:rsidRPr="003F2574" w14:paraId="28EEA140" w14:textId="77777777" w:rsidTr="0096518D">
        <w:trPr>
          <w:jc w:val="center"/>
        </w:trPr>
        <w:tc>
          <w:tcPr>
            <w:tcW w:w="0" w:type="auto"/>
            <w:shd w:val="clear" w:color="auto" w:fill="auto"/>
            <w:tcMar>
              <w:top w:w="0" w:type="dxa"/>
              <w:left w:w="108" w:type="dxa"/>
              <w:bottom w:w="0" w:type="dxa"/>
              <w:right w:w="108" w:type="dxa"/>
            </w:tcMar>
            <w:hideMark/>
          </w:tcPr>
          <w:p w14:paraId="52398076" w14:textId="77777777" w:rsidR="001F2ACA" w:rsidRPr="003F2574" w:rsidRDefault="001F2ACA" w:rsidP="0096518D">
            <w:pPr>
              <w:pStyle w:val="TableRow"/>
              <w:ind w:left="180"/>
              <w:rPr>
                <w:rFonts w:ascii="Arial" w:hAnsi="Arial"/>
              </w:rPr>
            </w:pPr>
            <w:r w:rsidRPr="003F2574">
              <w:rPr>
                <w:rFonts w:ascii="Arial" w:hAnsi="Arial"/>
              </w:rPr>
              <w:t>Co-ordination</w:t>
            </w:r>
          </w:p>
        </w:tc>
        <w:tc>
          <w:tcPr>
            <w:tcW w:w="967" w:type="dxa"/>
            <w:shd w:val="clear" w:color="auto" w:fill="auto"/>
            <w:tcMar>
              <w:top w:w="0" w:type="dxa"/>
              <w:left w:w="108" w:type="dxa"/>
              <w:bottom w:w="0" w:type="dxa"/>
              <w:right w:w="108" w:type="dxa"/>
            </w:tcMar>
            <w:hideMark/>
          </w:tcPr>
          <w:p w14:paraId="03021C7E" w14:textId="77777777" w:rsidR="001F2ACA" w:rsidRPr="003F2574" w:rsidRDefault="001F2ACA" w:rsidP="0096518D">
            <w:pPr>
              <w:pStyle w:val="TableCell"/>
              <w:jc w:val="center"/>
              <w:rPr>
                <w:rFonts w:ascii="Arial" w:hAnsi="Arial"/>
              </w:rPr>
            </w:pPr>
            <w:r w:rsidRPr="003F2574">
              <w:rPr>
                <w:rFonts w:ascii="Arial" w:hAnsi="Arial"/>
              </w:rPr>
              <w:t>1.9</w:t>
            </w:r>
          </w:p>
        </w:tc>
        <w:tc>
          <w:tcPr>
            <w:tcW w:w="967" w:type="dxa"/>
            <w:shd w:val="clear" w:color="auto" w:fill="auto"/>
            <w:tcMar>
              <w:top w:w="0" w:type="dxa"/>
              <w:left w:w="108" w:type="dxa"/>
              <w:bottom w:w="0" w:type="dxa"/>
              <w:right w:w="108" w:type="dxa"/>
            </w:tcMar>
            <w:hideMark/>
          </w:tcPr>
          <w:p w14:paraId="030BB74A" w14:textId="77777777" w:rsidR="001F2ACA" w:rsidRPr="003F2574" w:rsidRDefault="001F2ACA" w:rsidP="0096518D">
            <w:pPr>
              <w:pStyle w:val="TableCell"/>
              <w:jc w:val="center"/>
              <w:rPr>
                <w:rFonts w:ascii="Arial" w:hAnsi="Arial"/>
              </w:rPr>
            </w:pPr>
            <w:r w:rsidRPr="003F2574">
              <w:rPr>
                <w:rFonts w:ascii="Arial" w:hAnsi="Arial"/>
              </w:rPr>
              <w:t>0.9</w:t>
            </w:r>
          </w:p>
        </w:tc>
        <w:tc>
          <w:tcPr>
            <w:tcW w:w="967" w:type="dxa"/>
            <w:shd w:val="clear" w:color="auto" w:fill="auto"/>
            <w:tcMar>
              <w:top w:w="0" w:type="dxa"/>
              <w:left w:w="108" w:type="dxa"/>
              <w:bottom w:w="0" w:type="dxa"/>
              <w:right w:w="108" w:type="dxa"/>
            </w:tcMar>
            <w:hideMark/>
          </w:tcPr>
          <w:p w14:paraId="7383371F" w14:textId="77777777" w:rsidR="001F2ACA" w:rsidRPr="003F2574" w:rsidRDefault="001F2ACA" w:rsidP="0096518D">
            <w:pPr>
              <w:pStyle w:val="TableCell"/>
              <w:jc w:val="center"/>
              <w:rPr>
                <w:rFonts w:ascii="Arial" w:hAnsi="Arial"/>
              </w:rPr>
            </w:pPr>
            <w:r w:rsidRPr="003F2574">
              <w:rPr>
                <w:rFonts w:ascii="Arial" w:hAnsi="Arial"/>
              </w:rPr>
              <w:t>1.0</w:t>
            </w:r>
          </w:p>
        </w:tc>
        <w:tc>
          <w:tcPr>
            <w:tcW w:w="972" w:type="dxa"/>
            <w:shd w:val="clear" w:color="auto" w:fill="auto"/>
            <w:tcMar>
              <w:top w:w="0" w:type="dxa"/>
              <w:left w:w="108" w:type="dxa"/>
              <w:bottom w:w="0" w:type="dxa"/>
              <w:right w:w="108" w:type="dxa"/>
            </w:tcMar>
            <w:hideMark/>
          </w:tcPr>
          <w:p w14:paraId="0BE69BAB" w14:textId="77777777" w:rsidR="001F2ACA" w:rsidRPr="003F2574" w:rsidRDefault="001F2ACA" w:rsidP="0096518D">
            <w:pPr>
              <w:pStyle w:val="TableCell"/>
              <w:jc w:val="center"/>
              <w:rPr>
                <w:rFonts w:ascii="Arial" w:hAnsi="Arial"/>
              </w:rPr>
            </w:pPr>
            <w:r w:rsidRPr="003F2574">
              <w:rPr>
                <w:rFonts w:ascii="Arial" w:hAnsi="Arial"/>
              </w:rPr>
              <w:t>3.0</w:t>
            </w:r>
          </w:p>
        </w:tc>
      </w:tr>
    </w:tbl>
    <w:p w14:paraId="65ACDB94" w14:textId="77777777" w:rsidR="001F2ACA" w:rsidRPr="003F2574" w:rsidRDefault="001F2ACA" w:rsidP="001F2ACA">
      <w:pPr>
        <w:pStyle w:val="Para"/>
        <w:ind w:left="0"/>
        <w:rPr>
          <w:rFonts w:ascii="Arial" w:hAnsi="Arial" w:cs="Arial"/>
        </w:rPr>
      </w:pPr>
    </w:p>
    <w:p w14:paraId="3370B9F9" w14:textId="77777777" w:rsidR="001F2ACA" w:rsidRPr="003F2574" w:rsidRDefault="001F2ACA" w:rsidP="001F2ACA">
      <w:pPr>
        <w:pStyle w:val="Para"/>
        <w:jc w:val="center"/>
        <w:rPr>
          <w:rFonts w:ascii="Arial" w:eastAsiaTheme="minorHAnsi" w:hAnsi="Arial" w:cs="Arial"/>
          <w:b/>
          <w:bCs/>
          <w:sz w:val="20"/>
        </w:rPr>
      </w:pPr>
      <w:r w:rsidRPr="003F2574">
        <w:rPr>
          <w:rFonts w:ascii="Arial" w:eastAsiaTheme="minorHAnsi" w:hAnsi="Arial" w:cs="Arial"/>
          <w:b/>
          <w:bCs/>
          <w:sz w:val="20"/>
        </w:rPr>
        <w:t>Table A.2: Collective bargaining systems and employment and unemployment rates using ICTWSS indicators of centralisation and co-ordination</w:t>
      </w:r>
    </w:p>
    <w:p w14:paraId="069B4CF1" w14:textId="77777777" w:rsidR="001F2ACA" w:rsidRPr="003F2574" w:rsidRDefault="001F2ACA" w:rsidP="001F2ACA">
      <w:pPr>
        <w:pStyle w:val="CaptionSubtitle"/>
        <w:rPr>
          <w:rFonts w:ascii="Arial" w:hAnsi="Arial"/>
        </w:rPr>
      </w:pPr>
      <w:r w:rsidRPr="003F2574">
        <w:rPr>
          <w:rFonts w:ascii="Arial" w:hAnsi="Arial"/>
        </w:rPr>
        <w:t>OLS regressions using centralisation and co-ordination variables</w:t>
      </w:r>
    </w:p>
    <w:tbl>
      <w:tblPr>
        <w:tblW w:w="0" w:type="auto"/>
        <w:jc w:val="center"/>
        <w:tblLook w:val="04A0" w:firstRow="1" w:lastRow="0" w:firstColumn="1" w:lastColumn="0" w:noHBand="0" w:noVBand="1"/>
      </w:tblPr>
      <w:tblGrid>
        <w:gridCol w:w="3742"/>
        <w:gridCol w:w="1077"/>
        <w:gridCol w:w="1020"/>
        <w:gridCol w:w="1077"/>
        <w:gridCol w:w="1077"/>
      </w:tblGrid>
      <w:tr w:rsidR="001F2ACA" w:rsidRPr="003F2574" w14:paraId="60169257" w14:textId="77777777" w:rsidTr="0096518D">
        <w:trPr>
          <w:trHeight w:val="230"/>
          <w:jc w:val="center"/>
        </w:trPr>
        <w:tc>
          <w:tcPr>
            <w:tcW w:w="0" w:type="auto"/>
            <w:tcBorders>
              <w:top w:val="nil"/>
              <w:left w:val="nil"/>
              <w:bottom w:val="nil"/>
              <w:right w:val="nil"/>
            </w:tcBorders>
            <w:shd w:val="clear" w:color="auto" w:fill="FFFFFF" w:themeFill="background1"/>
            <w:noWrap/>
            <w:vAlign w:val="center"/>
            <w:hideMark/>
          </w:tcPr>
          <w:p w14:paraId="0EE377F8" w14:textId="77777777" w:rsidR="001F2ACA" w:rsidRPr="003F2574" w:rsidRDefault="001F2ACA" w:rsidP="0096518D">
            <w:pPr>
              <w:pStyle w:val="TableRow"/>
              <w:ind w:left="180"/>
              <w:rPr>
                <w:rFonts w:ascii="Arial" w:hAnsi="Arial"/>
              </w:rPr>
            </w:pPr>
          </w:p>
        </w:tc>
        <w:tc>
          <w:tcPr>
            <w:tcW w:w="0" w:type="auto"/>
            <w:gridSpan w:val="2"/>
            <w:tcBorders>
              <w:top w:val="nil"/>
              <w:left w:val="nil"/>
              <w:bottom w:val="single" w:sz="4" w:space="0" w:color="auto"/>
              <w:right w:val="nil"/>
            </w:tcBorders>
            <w:shd w:val="clear" w:color="auto" w:fill="FFFFFF" w:themeFill="background1"/>
            <w:noWrap/>
            <w:vAlign w:val="center"/>
            <w:hideMark/>
          </w:tcPr>
          <w:p w14:paraId="477E2455" w14:textId="77777777" w:rsidR="001F2ACA" w:rsidRPr="003F2574" w:rsidRDefault="001F2ACA" w:rsidP="0096518D">
            <w:pPr>
              <w:pStyle w:val="TableRow"/>
              <w:ind w:left="180"/>
              <w:jc w:val="center"/>
              <w:rPr>
                <w:rFonts w:ascii="Arial" w:hAnsi="Arial"/>
              </w:rPr>
            </w:pPr>
            <w:r w:rsidRPr="003F2574">
              <w:rPr>
                <w:rFonts w:ascii="Arial" w:hAnsi="Arial"/>
              </w:rPr>
              <w:t>Employment rate</w:t>
            </w:r>
          </w:p>
        </w:tc>
        <w:tc>
          <w:tcPr>
            <w:tcW w:w="0" w:type="auto"/>
            <w:gridSpan w:val="2"/>
            <w:tcBorders>
              <w:top w:val="nil"/>
              <w:left w:val="nil"/>
              <w:bottom w:val="single" w:sz="4" w:space="0" w:color="auto"/>
              <w:right w:val="nil"/>
            </w:tcBorders>
            <w:shd w:val="clear" w:color="auto" w:fill="FFFFFF" w:themeFill="background1"/>
            <w:noWrap/>
            <w:vAlign w:val="center"/>
            <w:hideMark/>
          </w:tcPr>
          <w:p w14:paraId="4D44B668" w14:textId="77777777" w:rsidR="001F2ACA" w:rsidRPr="003F2574" w:rsidRDefault="001F2ACA" w:rsidP="0096518D">
            <w:pPr>
              <w:pStyle w:val="TableRow"/>
              <w:ind w:left="180"/>
              <w:jc w:val="center"/>
              <w:rPr>
                <w:rFonts w:ascii="Arial" w:hAnsi="Arial"/>
              </w:rPr>
            </w:pPr>
            <w:r w:rsidRPr="003F2574">
              <w:rPr>
                <w:rFonts w:ascii="Arial" w:hAnsi="Arial"/>
              </w:rPr>
              <w:t>Unemployment rate</w:t>
            </w:r>
          </w:p>
        </w:tc>
      </w:tr>
      <w:tr w:rsidR="001F2ACA" w:rsidRPr="003F2574" w14:paraId="72CE5680" w14:textId="77777777" w:rsidTr="0096518D">
        <w:trPr>
          <w:trHeight w:val="230"/>
          <w:jc w:val="center"/>
        </w:trPr>
        <w:tc>
          <w:tcPr>
            <w:tcW w:w="0" w:type="auto"/>
            <w:tcBorders>
              <w:top w:val="nil"/>
              <w:left w:val="nil"/>
              <w:bottom w:val="single" w:sz="4" w:space="0" w:color="auto"/>
              <w:right w:val="nil"/>
            </w:tcBorders>
            <w:shd w:val="clear" w:color="auto" w:fill="FFFFFF" w:themeFill="background1"/>
            <w:noWrap/>
            <w:vAlign w:val="bottom"/>
            <w:hideMark/>
          </w:tcPr>
          <w:p w14:paraId="5CF8F649" w14:textId="77777777" w:rsidR="001F2ACA" w:rsidRPr="003F2574" w:rsidRDefault="001F2ACA" w:rsidP="0096518D">
            <w:pPr>
              <w:pStyle w:val="TableRow"/>
              <w:ind w:left="180"/>
              <w:rPr>
                <w:rFonts w:ascii="Arial" w:hAnsi="Arial"/>
              </w:rPr>
            </w:pPr>
            <w:r w:rsidRPr="003F2574">
              <w:rPr>
                <w:rFonts w:ascii="Arial" w:hAnsi="Arial"/>
              </w:rPr>
              <w:t> </w:t>
            </w:r>
          </w:p>
        </w:tc>
        <w:tc>
          <w:tcPr>
            <w:tcW w:w="0" w:type="auto"/>
            <w:tcBorders>
              <w:top w:val="nil"/>
              <w:left w:val="nil"/>
              <w:bottom w:val="single" w:sz="4" w:space="0" w:color="auto"/>
              <w:right w:val="nil"/>
            </w:tcBorders>
            <w:shd w:val="clear" w:color="auto" w:fill="FFFFFF" w:themeFill="background1"/>
            <w:noWrap/>
            <w:vAlign w:val="bottom"/>
            <w:hideMark/>
          </w:tcPr>
          <w:p w14:paraId="560D30D3" w14:textId="77777777" w:rsidR="001F2ACA" w:rsidRPr="003F2574" w:rsidRDefault="001F2ACA" w:rsidP="0096518D">
            <w:pPr>
              <w:pStyle w:val="TableRow"/>
              <w:ind w:left="180"/>
              <w:jc w:val="center"/>
              <w:rPr>
                <w:rFonts w:ascii="Arial" w:hAnsi="Arial"/>
              </w:rPr>
            </w:pPr>
            <w:r w:rsidRPr="003F2574">
              <w:rPr>
                <w:rFonts w:ascii="Arial" w:hAnsi="Arial"/>
              </w:rPr>
              <w:t>[1]</w:t>
            </w:r>
          </w:p>
        </w:tc>
        <w:tc>
          <w:tcPr>
            <w:tcW w:w="0" w:type="auto"/>
            <w:tcBorders>
              <w:top w:val="nil"/>
              <w:left w:val="nil"/>
              <w:bottom w:val="single" w:sz="4" w:space="0" w:color="auto"/>
              <w:right w:val="nil"/>
            </w:tcBorders>
            <w:shd w:val="clear" w:color="auto" w:fill="FFFFFF" w:themeFill="background1"/>
            <w:noWrap/>
            <w:vAlign w:val="bottom"/>
            <w:hideMark/>
          </w:tcPr>
          <w:p w14:paraId="5316F47B" w14:textId="77777777" w:rsidR="001F2ACA" w:rsidRPr="003F2574" w:rsidRDefault="001F2ACA" w:rsidP="0096518D">
            <w:pPr>
              <w:pStyle w:val="TableRow"/>
              <w:ind w:left="180"/>
              <w:jc w:val="center"/>
              <w:rPr>
                <w:rFonts w:ascii="Arial" w:hAnsi="Arial"/>
              </w:rPr>
            </w:pPr>
            <w:r w:rsidRPr="003F2574">
              <w:rPr>
                <w:rFonts w:ascii="Arial" w:hAnsi="Arial"/>
              </w:rPr>
              <w:t>[2]</w:t>
            </w:r>
          </w:p>
        </w:tc>
        <w:tc>
          <w:tcPr>
            <w:tcW w:w="0" w:type="auto"/>
            <w:tcBorders>
              <w:top w:val="nil"/>
              <w:left w:val="nil"/>
              <w:bottom w:val="single" w:sz="4" w:space="0" w:color="auto"/>
              <w:right w:val="nil"/>
            </w:tcBorders>
            <w:shd w:val="clear" w:color="auto" w:fill="FFFFFF" w:themeFill="background1"/>
            <w:noWrap/>
            <w:vAlign w:val="bottom"/>
            <w:hideMark/>
          </w:tcPr>
          <w:p w14:paraId="32ADE6C1" w14:textId="77777777" w:rsidR="001F2ACA" w:rsidRPr="003F2574" w:rsidRDefault="001F2ACA" w:rsidP="0096518D">
            <w:pPr>
              <w:pStyle w:val="TableRow"/>
              <w:ind w:left="180"/>
              <w:jc w:val="center"/>
              <w:rPr>
                <w:rFonts w:ascii="Arial" w:hAnsi="Arial"/>
              </w:rPr>
            </w:pPr>
            <w:r w:rsidRPr="003F2574">
              <w:rPr>
                <w:rFonts w:ascii="Arial" w:hAnsi="Arial"/>
              </w:rPr>
              <w:t>[1]</w:t>
            </w:r>
          </w:p>
        </w:tc>
        <w:tc>
          <w:tcPr>
            <w:tcW w:w="0" w:type="auto"/>
            <w:tcBorders>
              <w:top w:val="nil"/>
              <w:left w:val="nil"/>
              <w:bottom w:val="single" w:sz="4" w:space="0" w:color="auto"/>
              <w:right w:val="nil"/>
            </w:tcBorders>
            <w:shd w:val="clear" w:color="auto" w:fill="FFFFFF" w:themeFill="background1"/>
            <w:noWrap/>
            <w:vAlign w:val="bottom"/>
            <w:hideMark/>
          </w:tcPr>
          <w:p w14:paraId="547A4C4F" w14:textId="77777777" w:rsidR="001F2ACA" w:rsidRPr="003F2574" w:rsidRDefault="001F2ACA" w:rsidP="0096518D">
            <w:pPr>
              <w:pStyle w:val="TableRow"/>
              <w:ind w:left="180"/>
              <w:jc w:val="center"/>
              <w:rPr>
                <w:rFonts w:ascii="Arial" w:hAnsi="Arial"/>
              </w:rPr>
            </w:pPr>
            <w:r w:rsidRPr="003F2574">
              <w:rPr>
                <w:rFonts w:ascii="Arial" w:hAnsi="Arial"/>
              </w:rPr>
              <w:t>[2]</w:t>
            </w:r>
          </w:p>
        </w:tc>
      </w:tr>
      <w:tr w:rsidR="001F2ACA" w:rsidRPr="003F2574" w14:paraId="378F9DD7" w14:textId="77777777" w:rsidTr="0096518D">
        <w:trPr>
          <w:trHeight w:val="230"/>
          <w:jc w:val="center"/>
        </w:trPr>
        <w:tc>
          <w:tcPr>
            <w:tcW w:w="0" w:type="auto"/>
            <w:vMerge w:val="restart"/>
            <w:tcBorders>
              <w:top w:val="nil"/>
              <w:left w:val="nil"/>
              <w:bottom w:val="nil"/>
              <w:right w:val="nil"/>
            </w:tcBorders>
            <w:shd w:val="clear" w:color="auto" w:fill="FFFFFF" w:themeFill="background1"/>
            <w:vAlign w:val="center"/>
            <w:hideMark/>
          </w:tcPr>
          <w:p w14:paraId="70D96A9A" w14:textId="77777777" w:rsidR="001F2ACA" w:rsidRPr="003F2574" w:rsidRDefault="001F2ACA" w:rsidP="0096518D">
            <w:pPr>
              <w:pStyle w:val="TableRow"/>
              <w:ind w:left="180"/>
              <w:rPr>
                <w:rFonts w:ascii="Arial" w:hAnsi="Arial"/>
              </w:rPr>
            </w:pPr>
            <w:r w:rsidRPr="003F2574">
              <w:rPr>
                <w:rFonts w:ascii="Arial" w:hAnsi="Arial"/>
              </w:rPr>
              <w:t>Bargaining coverage rate </w:t>
            </w:r>
          </w:p>
        </w:tc>
        <w:tc>
          <w:tcPr>
            <w:tcW w:w="0" w:type="auto"/>
            <w:tcBorders>
              <w:top w:val="nil"/>
              <w:left w:val="nil"/>
              <w:bottom w:val="nil"/>
              <w:right w:val="nil"/>
            </w:tcBorders>
            <w:shd w:val="clear" w:color="auto" w:fill="FFFFFF" w:themeFill="background1"/>
            <w:vAlign w:val="center"/>
            <w:hideMark/>
          </w:tcPr>
          <w:p w14:paraId="5FDB8AC2" w14:textId="77777777" w:rsidR="001F2ACA" w:rsidRPr="003F2574" w:rsidRDefault="001F2ACA" w:rsidP="0096518D">
            <w:pPr>
              <w:pStyle w:val="TableRow"/>
              <w:ind w:left="180"/>
              <w:jc w:val="center"/>
              <w:rPr>
                <w:rFonts w:ascii="Arial" w:hAnsi="Arial"/>
              </w:rPr>
            </w:pPr>
            <w:r w:rsidRPr="003F2574">
              <w:rPr>
                <w:rFonts w:ascii="Arial" w:hAnsi="Arial"/>
              </w:rPr>
              <w:t>-0.077***</w:t>
            </w:r>
          </w:p>
        </w:tc>
        <w:tc>
          <w:tcPr>
            <w:tcW w:w="0" w:type="auto"/>
            <w:tcBorders>
              <w:top w:val="nil"/>
              <w:left w:val="nil"/>
              <w:bottom w:val="nil"/>
              <w:right w:val="nil"/>
            </w:tcBorders>
            <w:shd w:val="clear" w:color="auto" w:fill="FFFFFF" w:themeFill="background1"/>
            <w:vAlign w:val="center"/>
            <w:hideMark/>
          </w:tcPr>
          <w:p w14:paraId="04671537" w14:textId="77777777" w:rsidR="001F2ACA" w:rsidRPr="003F2574" w:rsidRDefault="001F2ACA" w:rsidP="0096518D">
            <w:pPr>
              <w:pStyle w:val="TableRow"/>
              <w:ind w:left="180"/>
              <w:jc w:val="center"/>
              <w:rPr>
                <w:rFonts w:ascii="Arial" w:hAnsi="Arial"/>
              </w:rPr>
            </w:pPr>
          </w:p>
        </w:tc>
        <w:tc>
          <w:tcPr>
            <w:tcW w:w="0" w:type="auto"/>
            <w:tcBorders>
              <w:top w:val="nil"/>
              <w:left w:val="nil"/>
              <w:bottom w:val="nil"/>
              <w:right w:val="nil"/>
            </w:tcBorders>
            <w:shd w:val="clear" w:color="auto" w:fill="FFFFFF" w:themeFill="background1"/>
            <w:vAlign w:val="center"/>
            <w:hideMark/>
          </w:tcPr>
          <w:p w14:paraId="01A57F34" w14:textId="77777777" w:rsidR="001F2ACA" w:rsidRPr="003F2574" w:rsidRDefault="001F2ACA" w:rsidP="0096518D">
            <w:pPr>
              <w:pStyle w:val="TableRow"/>
              <w:ind w:left="180"/>
              <w:jc w:val="center"/>
              <w:rPr>
                <w:rFonts w:ascii="Arial" w:hAnsi="Arial"/>
              </w:rPr>
            </w:pPr>
            <w:r w:rsidRPr="003F2574">
              <w:rPr>
                <w:rFonts w:ascii="Arial" w:hAnsi="Arial"/>
              </w:rPr>
              <w:t>0.018</w:t>
            </w:r>
          </w:p>
        </w:tc>
        <w:tc>
          <w:tcPr>
            <w:tcW w:w="0" w:type="auto"/>
            <w:tcBorders>
              <w:top w:val="nil"/>
              <w:left w:val="nil"/>
              <w:bottom w:val="nil"/>
              <w:right w:val="nil"/>
            </w:tcBorders>
            <w:shd w:val="clear" w:color="auto" w:fill="FFFFFF" w:themeFill="background1"/>
            <w:vAlign w:val="center"/>
            <w:hideMark/>
          </w:tcPr>
          <w:p w14:paraId="450DA56A" w14:textId="77777777" w:rsidR="001F2ACA" w:rsidRPr="003F2574" w:rsidRDefault="001F2ACA" w:rsidP="0096518D">
            <w:pPr>
              <w:pStyle w:val="TableRow"/>
              <w:ind w:left="180"/>
              <w:jc w:val="center"/>
              <w:rPr>
                <w:rFonts w:ascii="Arial" w:hAnsi="Arial"/>
              </w:rPr>
            </w:pPr>
          </w:p>
        </w:tc>
      </w:tr>
      <w:tr w:rsidR="001F2ACA" w:rsidRPr="003F2574" w14:paraId="6CD6964D" w14:textId="77777777" w:rsidTr="0096518D">
        <w:trPr>
          <w:trHeight w:val="230"/>
          <w:jc w:val="center"/>
        </w:trPr>
        <w:tc>
          <w:tcPr>
            <w:tcW w:w="0" w:type="auto"/>
            <w:vMerge/>
            <w:tcBorders>
              <w:top w:val="nil"/>
              <w:left w:val="nil"/>
              <w:bottom w:val="nil"/>
              <w:right w:val="nil"/>
            </w:tcBorders>
            <w:shd w:val="clear" w:color="auto" w:fill="FFFFFF" w:themeFill="background1"/>
            <w:vAlign w:val="center"/>
            <w:hideMark/>
          </w:tcPr>
          <w:p w14:paraId="1BA7073E" w14:textId="77777777" w:rsidR="001F2ACA" w:rsidRPr="003F2574" w:rsidRDefault="001F2ACA" w:rsidP="0096518D">
            <w:pPr>
              <w:pStyle w:val="TableRow"/>
              <w:ind w:left="180"/>
              <w:rPr>
                <w:rFonts w:ascii="Arial" w:hAnsi="Arial"/>
              </w:rPr>
            </w:pPr>
          </w:p>
        </w:tc>
        <w:tc>
          <w:tcPr>
            <w:tcW w:w="0" w:type="auto"/>
            <w:tcBorders>
              <w:top w:val="nil"/>
              <w:left w:val="nil"/>
              <w:bottom w:val="nil"/>
              <w:right w:val="nil"/>
            </w:tcBorders>
            <w:shd w:val="clear" w:color="auto" w:fill="FFFFFF" w:themeFill="background1"/>
            <w:vAlign w:val="center"/>
            <w:hideMark/>
          </w:tcPr>
          <w:p w14:paraId="71CD8999" w14:textId="77777777" w:rsidR="001F2ACA" w:rsidRPr="003F2574" w:rsidRDefault="001F2ACA" w:rsidP="0096518D">
            <w:pPr>
              <w:pStyle w:val="TableRow"/>
              <w:ind w:left="180"/>
              <w:jc w:val="center"/>
              <w:rPr>
                <w:rFonts w:ascii="Arial" w:hAnsi="Arial"/>
              </w:rPr>
            </w:pPr>
            <w:r w:rsidRPr="003F2574">
              <w:rPr>
                <w:rFonts w:ascii="Arial" w:hAnsi="Arial"/>
              </w:rPr>
              <w:t>(0.013)</w:t>
            </w:r>
          </w:p>
        </w:tc>
        <w:tc>
          <w:tcPr>
            <w:tcW w:w="0" w:type="auto"/>
            <w:tcBorders>
              <w:top w:val="nil"/>
              <w:left w:val="nil"/>
              <w:bottom w:val="nil"/>
              <w:right w:val="nil"/>
            </w:tcBorders>
            <w:shd w:val="clear" w:color="auto" w:fill="FFFFFF" w:themeFill="background1"/>
            <w:vAlign w:val="center"/>
            <w:hideMark/>
          </w:tcPr>
          <w:p w14:paraId="752495A2" w14:textId="77777777" w:rsidR="001F2ACA" w:rsidRPr="003F2574" w:rsidRDefault="001F2ACA" w:rsidP="0096518D">
            <w:pPr>
              <w:pStyle w:val="TableRow"/>
              <w:ind w:left="180"/>
              <w:jc w:val="center"/>
              <w:rPr>
                <w:rFonts w:ascii="Arial" w:hAnsi="Arial"/>
              </w:rPr>
            </w:pPr>
          </w:p>
        </w:tc>
        <w:tc>
          <w:tcPr>
            <w:tcW w:w="0" w:type="auto"/>
            <w:tcBorders>
              <w:top w:val="nil"/>
              <w:left w:val="nil"/>
              <w:bottom w:val="nil"/>
              <w:right w:val="nil"/>
            </w:tcBorders>
            <w:shd w:val="clear" w:color="auto" w:fill="FFFFFF" w:themeFill="background1"/>
            <w:vAlign w:val="center"/>
            <w:hideMark/>
          </w:tcPr>
          <w:p w14:paraId="178D6D27" w14:textId="77777777" w:rsidR="001F2ACA" w:rsidRPr="003F2574" w:rsidRDefault="001F2ACA" w:rsidP="0096518D">
            <w:pPr>
              <w:pStyle w:val="TableRow"/>
              <w:ind w:left="180"/>
              <w:jc w:val="center"/>
              <w:rPr>
                <w:rFonts w:ascii="Arial" w:hAnsi="Arial"/>
              </w:rPr>
            </w:pPr>
            <w:r w:rsidRPr="003F2574">
              <w:rPr>
                <w:rFonts w:ascii="Arial" w:hAnsi="Arial"/>
              </w:rPr>
              <w:t>(0.014)</w:t>
            </w:r>
          </w:p>
        </w:tc>
        <w:tc>
          <w:tcPr>
            <w:tcW w:w="0" w:type="auto"/>
            <w:tcBorders>
              <w:top w:val="nil"/>
              <w:left w:val="nil"/>
              <w:bottom w:val="nil"/>
              <w:right w:val="nil"/>
            </w:tcBorders>
            <w:shd w:val="clear" w:color="auto" w:fill="FFFFFF" w:themeFill="background1"/>
            <w:vAlign w:val="center"/>
            <w:hideMark/>
          </w:tcPr>
          <w:p w14:paraId="27A12A0A" w14:textId="77777777" w:rsidR="001F2ACA" w:rsidRPr="003F2574" w:rsidRDefault="001F2ACA" w:rsidP="0096518D">
            <w:pPr>
              <w:pStyle w:val="TableRow"/>
              <w:ind w:left="180"/>
              <w:jc w:val="center"/>
              <w:rPr>
                <w:rFonts w:ascii="Arial" w:hAnsi="Arial"/>
              </w:rPr>
            </w:pPr>
          </w:p>
        </w:tc>
      </w:tr>
      <w:tr w:rsidR="001F2ACA" w:rsidRPr="003F2574" w14:paraId="3A4CE40D" w14:textId="77777777" w:rsidTr="0096518D">
        <w:trPr>
          <w:trHeight w:val="230"/>
          <w:jc w:val="center"/>
        </w:trPr>
        <w:tc>
          <w:tcPr>
            <w:tcW w:w="0" w:type="auto"/>
            <w:vMerge w:val="restart"/>
            <w:tcBorders>
              <w:top w:val="nil"/>
              <w:left w:val="nil"/>
              <w:bottom w:val="nil"/>
              <w:right w:val="nil"/>
            </w:tcBorders>
            <w:shd w:val="clear" w:color="auto" w:fill="FFFFFF" w:themeFill="background1"/>
            <w:vAlign w:val="center"/>
            <w:hideMark/>
          </w:tcPr>
          <w:p w14:paraId="7F50EB8C" w14:textId="77777777" w:rsidR="001F2ACA" w:rsidRPr="003F2574" w:rsidRDefault="001F2ACA" w:rsidP="0096518D">
            <w:pPr>
              <w:pStyle w:val="TableRow"/>
              <w:ind w:left="180"/>
              <w:rPr>
                <w:rFonts w:ascii="Arial" w:hAnsi="Arial"/>
              </w:rPr>
            </w:pPr>
            <w:r w:rsidRPr="003F2574">
              <w:rPr>
                <w:rFonts w:ascii="Arial" w:hAnsi="Arial"/>
              </w:rPr>
              <w:t>Centralisation of wage bargaining </w:t>
            </w:r>
          </w:p>
        </w:tc>
        <w:tc>
          <w:tcPr>
            <w:tcW w:w="0" w:type="auto"/>
            <w:tcBorders>
              <w:top w:val="nil"/>
              <w:left w:val="nil"/>
              <w:bottom w:val="nil"/>
              <w:right w:val="nil"/>
            </w:tcBorders>
            <w:shd w:val="clear" w:color="auto" w:fill="FFFFFF" w:themeFill="background1"/>
            <w:vAlign w:val="center"/>
            <w:hideMark/>
          </w:tcPr>
          <w:p w14:paraId="5E69697F" w14:textId="77777777" w:rsidR="001F2ACA" w:rsidRPr="003F2574" w:rsidRDefault="001F2ACA" w:rsidP="0096518D">
            <w:pPr>
              <w:pStyle w:val="TableRow"/>
              <w:ind w:left="180"/>
              <w:jc w:val="center"/>
              <w:rPr>
                <w:rFonts w:ascii="Arial" w:hAnsi="Arial"/>
              </w:rPr>
            </w:pPr>
            <w:r w:rsidRPr="003F2574">
              <w:rPr>
                <w:rFonts w:ascii="Arial" w:hAnsi="Arial"/>
              </w:rPr>
              <w:t>3.015***</w:t>
            </w:r>
          </w:p>
        </w:tc>
        <w:tc>
          <w:tcPr>
            <w:tcW w:w="0" w:type="auto"/>
            <w:tcBorders>
              <w:top w:val="nil"/>
              <w:left w:val="nil"/>
              <w:bottom w:val="nil"/>
              <w:right w:val="nil"/>
            </w:tcBorders>
            <w:shd w:val="clear" w:color="auto" w:fill="FFFFFF" w:themeFill="background1"/>
            <w:vAlign w:val="center"/>
            <w:hideMark/>
          </w:tcPr>
          <w:p w14:paraId="0D010EEC" w14:textId="77777777" w:rsidR="001F2ACA" w:rsidRPr="003F2574" w:rsidRDefault="001F2ACA" w:rsidP="0096518D">
            <w:pPr>
              <w:pStyle w:val="TableRow"/>
              <w:ind w:left="180"/>
              <w:jc w:val="center"/>
              <w:rPr>
                <w:rFonts w:ascii="Arial" w:hAnsi="Arial"/>
              </w:rPr>
            </w:pPr>
            <w:r w:rsidRPr="003F2574">
              <w:rPr>
                <w:rFonts w:ascii="Arial" w:hAnsi="Arial"/>
              </w:rPr>
              <w:t>1.775***</w:t>
            </w:r>
          </w:p>
        </w:tc>
        <w:tc>
          <w:tcPr>
            <w:tcW w:w="0" w:type="auto"/>
            <w:tcBorders>
              <w:top w:val="nil"/>
              <w:left w:val="nil"/>
              <w:bottom w:val="nil"/>
              <w:right w:val="nil"/>
            </w:tcBorders>
            <w:shd w:val="clear" w:color="auto" w:fill="FFFFFF" w:themeFill="background1"/>
            <w:vAlign w:val="center"/>
            <w:hideMark/>
          </w:tcPr>
          <w:p w14:paraId="7CA628C8" w14:textId="77777777" w:rsidR="001F2ACA" w:rsidRPr="003F2574" w:rsidRDefault="001F2ACA" w:rsidP="0096518D">
            <w:pPr>
              <w:pStyle w:val="TableRow"/>
              <w:ind w:left="180"/>
              <w:jc w:val="center"/>
              <w:rPr>
                <w:rFonts w:ascii="Arial" w:hAnsi="Arial"/>
              </w:rPr>
            </w:pPr>
            <w:r w:rsidRPr="003F2574">
              <w:rPr>
                <w:rFonts w:ascii="Arial" w:hAnsi="Arial"/>
              </w:rPr>
              <w:t>-0.249</w:t>
            </w:r>
          </w:p>
        </w:tc>
        <w:tc>
          <w:tcPr>
            <w:tcW w:w="0" w:type="auto"/>
            <w:tcBorders>
              <w:top w:val="nil"/>
              <w:left w:val="nil"/>
              <w:bottom w:val="nil"/>
              <w:right w:val="nil"/>
            </w:tcBorders>
            <w:shd w:val="clear" w:color="auto" w:fill="FFFFFF" w:themeFill="background1"/>
            <w:vAlign w:val="center"/>
            <w:hideMark/>
          </w:tcPr>
          <w:p w14:paraId="0D777194" w14:textId="77777777" w:rsidR="001F2ACA" w:rsidRPr="003F2574" w:rsidRDefault="001F2ACA" w:rsidP="0096518D">
            <w:pPr>
              <w:pStyle w:val="TableRow"/>
              <w:ind w:left="180"/>
              <w:jc w:val="center"/>
              <w:rPr>
                <w:rFonts w:ascii="Arial" w:hAnsi="Arial"/>
              </w:rPr>
            </w:pPr>
            <w:r w:rsidRPr="003F2574">
              <w:rPr>
                <w:rFonts w:ascii="Arial" w:hAnsi="Arial"/>
              </w:rPr>
              <w:t>0.036</w:t>
            </w:r>
          </w:p>
        </w:tc>
      </w:tr>
      <w:tr w:rsidR="001F2ACA" w:rsidRPr="003F2574" w14:paraId="2A18974C" w14:textId="77777777" w:rsidTr="0096518D">
        <w:trPr>
          <w:trHeight w:val="230"/>
          <w:jc w:val="center"/>
        </w:trPr>
        <w:tc>
          <w:tcPr>
            <w:tcW w:w="0" w:type="auto"/>
            <w:vMerge/>
            <w:tcBorders>
              <w:top w:val="nil"/>
              <w:left w:val="nil"/>
              <w:bottom w:val="nil"/>
              <w:right w:val="nil"/>
            </w:tcBorders>
            <w:shd w:val="clear" w:color="auto" w:fill="FFFFFF" w:themeFill="background1"/>
            <w:vAlign w:val="center"/>
            <w:hideMark/>
          </w:tcPr>
          <w:p w14:paraId="32D5A3C9" w14:textId="77777777" w:rsidR="001F2ACA" w:rsidRPr="003F2574" w:rsidRDefault="001F2ACA" w:rsidP="0096518D">
            <w:pPr>
              <w:pStyle w:val="TableRow"/>
              <w:ind w:left="180"/>
              <w:rPr>
                <w:rFonts w:ascii="Arial" w:hAnsi="Arial"/>
              </w:rPr>
            </w:pPr>
          </w:p>
        </w:tc>
        <w:tc>
          <w:tcPr>
            <w:tcW w:w="0" w:type="auto"/>
            <w:tcBorders>
              <w:top w:val="nil"/>
              <w:left w:val="nil"/>
              <w:bottom w:val="nil"/>
              <w:right w:val="nil"/>
            </w:tcBorders>
            <w:shd w:val="clear" w:color="auto" w:fill="FFFFFF" w:themeFill="background1"/>
            <w:vAlign w:val="center"/>
            <w:hideMark/>
          </w:tcPr>
          <w:p w14:paraId="48F9206C" w14:textId="77777777" w:rsidR="001F2ACA" w:rsidRPr="003F2574" w:rsidRDefault="001F2ACA" w:rsidP="0096518D">
            <w:pPr>
              <w:pStyle w:val="TableRow"/>
              <w:ind w:left="180"/>
              <w:jc w:val="center"/>
              <w:rPr>
                <w:rFonts w:ascii="Arial" w:hAnsi="Arial"/>
              </w:rPr>
            </w:pPr>
            <w:r w:rsidRPr="003F2574">
              <w:rPr>
                <w:rFonts w:ascii="Arial" w:hAnsi="Arial"/>
              </w:rPr>
              <w:t>(0.489)</w:t>
            </w:r>
          </w:p>
        </w:tc>
        <w:tc>
          <w:tcPr>
            <w:tcW w:w="0" w:type="auto"/>
            <w:tcBorders>
              <w:top w:val="nil"/>
              <w:left w:val="nil"/>
              <w:bottom w:val="nil"/>
              <w:right w:val="nil"/>
            </w:tcBorders>
            <w:shd w:val="clear" w:color="auto" w:fill="FFFFFF" w:themeFill="background1"/>
            <w:vAlign w:val="center"/>
            <w:hideMark/>
          </w:tcPr>
          <w:p w14:paraId="185DB73D" w14:textId="77777777" w:rsidR="001F2ACA" w:rsidRPr="003F2574" w:rsidRDefault="001F2ACA" w:rsidP="0096518D">
            <w:pPr>
              <w:pStyle w:val="TableRow"/>
              <w:ind w:left="180"/>
              <w:jc w:val="center"/>
              <w:rPr>
                <w:rFonts w:ascii="Arial" w:hAnsi="Arial"/>
              </w:rPr>
            </w:pPr>
            <w:r w:rsidRPr="003F2574">
              <w:rPr>
                <w:rFonts w:ascii="Arial" w:hAnsi="Arial"/>
              </w:rPr>
              <w:t>(0.552)</w:t>
            </w:r>
          </w:p>
        </w:tc>
        <w:tc>
          <w:tcPr>
            <w:tcW w:w="0" w:type="auto"/>
            <w:tcBorders>
              <w:top w:val="nil"/>
              <w:left w:val="nil"/>
              <w:bottom w:val="nil"/>
              <w:right w:val="nil"/>
            </w:tcBorders>
            <w:shd w:val="clear" w:color="auto" w:fill="FFFFFF" w:themeFill="background1"/>
            <w:vAlign w:val="center"/>
            <w:hideMark/>
          </w:tcPr>
          <w:p w14:paraId="5E4B5721" w14:textId="77777777" w:rsidR="001F2ACA" w:rsidRPr="003F2574" w:rsidRDefault="001F2ACA" w:rsidP="0096518D">
            <w:pPr>
              <w:pStyle w:val="TableRow"/>
              <w:ind w:left="180"/>
              <w:jc w:val="center"/>
              <w:rPr>
                <w:rFonts w:ascii="Arial" w:hAnsi="Arial"/>
              </w:rPr>
            </w:pPr>
            <w:r w:rsidRPr="003F2574">
              <w:rPr>
                <w:rFonts w:ascii="Arial" w:hAnsi="Arial"/>
              </w:rPr>
              <w:t>(0.449)</w:t>
            </w:r>
          </w:p>
        </w:tc>
        <w:tc>
          <w:tcPr>
            <w:tcW w:w="0" w:type="auto"/>
            <w:tcBorders>
              <w:top w:val="nil"/>
              <w:left w:val="nil"/>
              <w:bottom w:val="nil"/>
              <w:right w:val="nil"/>
            </w:tcBorders>
            <w:shd w:val="clear" w:color="auto" w:fill="FFFFFF" w:themeFill="background1"/>
            <w:vAlign w:val="center"/>
            <w:hideMark/>
          </w:tcPr>
          <w:p w14:paraId="0B5A8121" w14:textId="77777777" w:rsidR="001F2ACA" w:rsidRPr="003F2574" w:rsidRDefault="001F2ACA" w:rsidP="0096518D">
            <w:pPr>
              <w:pStyle w:val="TableRow"/>
              <w:ind w:left="180"/>
              <w:jc w:val="center"/>
              <w:rPr>
                <w:rFonts w:ascii="Arial" w:hAnsi="Arial"/>
              </w:rPr>
            </w:pPr>
            <w:r w:rsidRPr="003F2574">
              <w:rPr>
                <w:rFonts w:ascii="Arial" w:hAnsi="Arial"/>
              </w:rPr>
              <w:t>(0.440)</w:t>
            </w:r>
          </w:p>
        </w:tc>
      </w:tr>
      <w:tr w:rsidR="001F2ACA" w:rsidRPr="003F2574" w14:paraId="769700AC" w14:textId="77777777" w:rsidTr="0096518D">
        <w:trPr>
          <w:trHeight w:val="230"/>
          <w:jc w:val="center"/>
        </w:trPr>
        <w:tc>
          <w:tcPr>
            <w:tcW w:w="0" w:type="auto"/>
            <w:vMerge w:val="restart"/>
            <w:tcBorders>
              <w:top w:val="nil"/>
              <w:left w:val="nil"/>
              <w:bottom w:val="nil"/>
              <w:right w:val="nil"/>
            </w:tcBorders>
            <w:shd w:val="clear" w:color="auto" w:fill="FFFFFF" w:themeFill="background1"/>
            <w:vAlign w:val="center"/>
            <w:hideMark/>
          </w:tcPr>
          <w:p w14:paraId="0C70FCF4" w14:textId="77777777" w:rsidR="001F2ACA" w:rsidRPr="003F2574" w:rsidRDefault="001F2ACA" w:rsidP="0096518D">
            <w:pPr>
              <w:pStyle w:val="TableRow"/>
              <w:ind w:left="180"/>
              <w:rPr>
                <w:rFonts w:ascii="Arial" w:hAnsi="Arial"/>
              </w:rPr>
            </w:pPr>
            <w:r w:rsidRPr="003F2574">
              <w:rPr>
                <w:rFonts w:ascii="Arial" w:hAnsi="Arial"/>
              </w:rPr>
              <w:t>Centralisation of wage bargaining (squared) </w:t>
            </w:r>
          </w:p>
        </w:tc>
        <w:tc>
          <w:tcPr>
            <w:tcW w:w="0" w:type="auto"/>
            <w:tcBorders>
              <w:top w:val="nil"/>
              <w:left w:val="nil"/>
              <w:bottom w:val="nil"/>
              <w:right w:val="nil"/>
            </w:tcBorders>
            <w:shd w:val="clear" w:color="auto" w:fill="FFFFFF" w:themeFill="background1"/>
            <w:vAlign w:val="center"/>
            <w:hideMark/>
          </w:tcPr>
          <w:p w14:paraId="65A4D4E9" w14:textId="77777777" w:rsidR="001F2ACA" w:rsidRPr="003F2574" w:rsidRDefault="001F2ACA" w:rsidP="0096518D">
            <w:pPr>
              <w:pStyle w:val="TableRow"/>
              <w:ind w:left="180"/>
              <w:jc w:val="center"/>
              <w:rPr>
                <w:rFonts w:ascii="Arial" w:hAnsi="Arial"/>
              </w:rPr>
            </w:pPr>
            <w:r w:rsidRPr="003F2574">
              <w:rPr>
                <w:rFonts w:ascii="Arial" w:hAnsi="Arial"/>
              </w:rPr>
              <w:t>-0.311***</w:t>
            </w:r>
          </w:p>
        </w:tc>
        <w:tc>
          <w:tcPr>
            <w:tcW w:w="0" w:type="auto"/>
            <w:tcBorders>
              <w:top w:val="nil"/>
              <w:left w:val="nil"/>
              <w:bottom w:val="nil"/>
              <w:right w:val="nil"/>
            </w:tcBorders>
            <w:shd w:val="clear" w:color="auto" w:fill="FFFFFF" w:themeFill="background1"/>
            <w:vAlign w:val="center"/>
            <w:hideMark/>
          </w:tcPr>
          <w:p w14:paraId="7F88D84A" w14:textId="77777777" w:rsidR="001F2ACA" w:rsidRPr="003F2574" w:rsidRDefault="001F2ACA" w:rsidP="0096518D">
            <w:pPr>
              <w:pStyle w:val="TableRow"/>
              <w:ind w:left="180"/>
              <w:jc w:val="center"/>
              <w:rPr>
                <w:rFonts w:ascii="Arial" w:hAnsi="Arial"/>
              </w:rPr>
            </w:pPr>
            <w:r w:rsidRPr="003F2574">
              <w:rPr>
                <w:rFonts w:ascii="Arial" w:hAnsi="Arial"/>
              </w:rPr>
              <w:t>-0.165**</w:t>
            </w:r>
          </w:p>
        </w:tc>
        <w:tc>
          <w:tcPr>
            <w:tcW w:w="0" w:type="auto"/>
            <w:tcBorders>
              <w:top w:val="nil"/>
              <w:left w:val="nil"/>
              <w:bottom w:val="nil"/>
              <w:right w:val="nil"/>
            </w:tcBorders>
            <w:shd w:val="clear" w:color="auto" w:fill="FFFFFF" w:themeFill="background1"/>
            <w:vAlign w:val="center"/>
            <w:hideMark/>
          </w:tcPr>
          <w:p w14:paraId="3FDE936E" w14:textId="77777777" w:rsidR="001F2ACA" w:rsidRPr="003F2574" w:rsidRDefault="001F2ACA" w:rsidP="0096518D">
            <w:pPr>
              <w:pStyle w:val="TableRow"/>
              <w:ind w:left="180"/>
              <w:jc w:val="center"/>
              <w:rPr>
                <w:rFonts w:ascii="Arial" w:hAnsi="Arial"/>
              </w:rPr>
            </w:pPr>
            <w:r w:rsidRPr="003F2574">
              <w:rPr>
                <w:rFonts w:ascii="Arial" w:hAnsi="Arial"/>
              </w:rPr>
              <w:t>-0.043</w:t>
            </w:r>
          </w:p>
        </w:tc>
        <w:tc>
          <w:tcPr>
            <w:tcW w:w="0" w:type="auto"/>
            <w:tcBorders>
              <w:top w:val="nil"/>
              <w:left w:val="nil"/>
              <w:bottom w:val="nil"/>
              <w:right w:val="nil"/>
            </w:tcBorders>
            <w:shd w:val="clear" w:color="auto" w:fill="FFFFFF" w:themeFill="background1"/>
            <w:vAlign w:val="center"/>
            <w:hideMark/>
          </w:tcPr>
          <w:p w14:paraId="58CAC93D" w14:textId="77777777" w:rsidR="001F2ACA" w:rsidRPr="003F2574" w:rsidRDefault="001F2ACA" w:rsidP="0096518D">
            <w:pPr>
              <w:pStyle w:val="TableRow"/>
              <w:ind w:left="180"/>
              <w:jc w:val="center"/>
              <w:rPr>
                <w:rFonts w:ascii="Arial" w:hAnsi="Arial"/>
              </w:rPr>
            </w:pPr>
            <w:r w:rsidRPr="003F2574">
              <w:rPr>
                <w:rFonts w:ascii="Arial" w:hAnsi="Arial"/>
              </w:rPr>
              <w:t>-0.076</w:t>
            </w:r>
          </w:p>
        </w:tc>
      </w:tr>
      <w:tr w:rsidR="001F2ACA" w:rsidRPr="003F2574" w14:paraId="211FE5D4" w14:textId="77777777" w:rsidTr="0096518D">
        <w:trPr>
          <w:trHeight w:val="230"/>
          <w:jc w:val="center"/>
        </w:trPr>
        <w:tc>
          <w:tcPr>
            <w:tcW w:w="0" w:type="auto"/>
            <w:vMerge/>
            <w:tcBorders>
              <w:top w:val="nil"/>
              <w:left w:val="nil"/>
              <w:bottom w:val="nil"/>
              <w:right w:val="nil"/>
            </w:tcBorders>
            <w:shd w:val="clear" w:color="auto" w:fill="FFFFFF" w:themeFill="background1"/>
            <w:vAlign w:val="center"/>
            <w:hideMark/>
          </w:tcPr>
          <w:p w14:paraId="1A01CCAF" w14:textId="77777777" w:rsidR="001F2ACA" w:rsidRPr="003F2574" w:rsidRDefault="001F2ACA" w:rsidP="0096518D">
            <w:pPr>
              <w:pStyle w:val="TableRow"/>
              <w:ind w:left="180"/>
              <w:rPr>
                <w:rFonts w:ascii="Arial" w:hAnsi="Arial"/>
              </w:rPr>
            </w:pPr>
          </w:p>
        </w:tc>
        <w:tc>
          <w:tcPr>
            <w:tcW w:w="0" w:type="auto"/>
            <w:tcBorders>
              <w:top w:val="nil"/>
              <w:left w:val="nil"/>
              <w:bottom w:val="nil"/>
              <w:right w:val="nil"/>
            </w:tcBorders>
            <w:shd w:val="clear" w:color="auto" w:fill="FFFFFF" w:themeFill="background1"/>
            <w:vAlign w:val="center"/>
            <w:hideMark/>
          </w:tcPr>
          <w:p w14:paraId="52161556" w14:textId="77777777" w:rsidR="001F2ACA" w:rsidRPr="003F2574" w:rsidRDefault="001F2ACA" w:rsidP="0096518D">
            <w:pPr>
              <w:pStyle w:val="TableRow"/>
              <w:ind w:left="180"/>
              <w:jc w:val="center"/>
              <w:rPr>
                <w:rFonts w:ascii="Arial" w:hAnsi="Arial"/>
              </w:rPr>
            </w:pPr>
            <w:r w:rsidRPr="003F2574">
              <w:rPr>
                <w:rFonts w:ascii="Arial" w:hAnsi="Arial"/>
              </w:rPr>
              <w:t>(0.066)</w:t>
            </w:r>
          </w:p>
        </w:tc>
        <w:tc>
          <w:tcPr>
            <w:tcW w:w="0" w:type="auto"/>
            <w:tcBorders>
              <w:top w:val="nil"/>
              <w:left w:val="nil"/>
              <w:bottom w:val="nil"/>
              <w:right w:val="nil"/>
            </w:tcBorders>
            <w:shd w:val="clear" w:color="auto" w:fill="FFFFFF" w:themeFill="background1"/>
            <w:vAlign w:val="center"/>
            <w:hideMark/>
          </w:tcPr>
          <w:p w14:paraId="343D7430" w14:textId="77777777" w:rsidR="001F2ACA" w:rsidRPr="003F2574" w:rsidRDefault="001F2ACA" w:rsidP="0096518D">
            <w:pPr>
              <w:pStyle w:val="TableRow"/>
              <w:ind w:left="180"/>
              <w:jc w:val="center"/>
              <w:rPr>
                <w:rFonts w:ascii="Arial" w:hAnsi="Arial"/>
              </w:rPr>
            </w:pPr>
            <w:r w:rsidRPr="003F2574">
              <w:rPr>
                <w:rFonts w:ascii="Arial" w:hAnsi="Arial"/>
              </w:rPr>
              <w:t>(0.074)</w:t>
            </w:r>
          </w:p>
        </w:tc>
        <w:tc>
          <w:tcPr>
            <w:tcW w:w="0" w:type="auto"/>
            <w:tcBorders>
              <w:top w:val="nil"/>
              <w:left w:val="nil"/>
              <w:bottom w:val="nil"/>
              <w:right w:val="nil"/>
            </w:tcBorders>
            <w:shd w:val="clear" w:color="auto" w:fill="FFFFFF" w:themeFill="background1"/>
            <w:vAlign w:val="center"/>
            <w:hideMark/>
          </w:tcPr>
          <w:p w14:paraId="349F1727" w14:textId="77777777" w:rsidR="001F2ACA" w:rsidRPr="003F2574" w:rsidRDefault="001F2ACA" w:rsidP="0096518D">
            <w:pPr>
              <w:pStyle w:val="TableRow"/>
              <w:ind w:left="180"/>
              <w:jc w:val="center"/>
              <w:rPr>
                <w:rFonts w:ascii="Arial" w:hAnsi="Arial"/>
              </w:rPr>
            </w:pPr>
            <w:r w:rsidRPr="003F2574">
              <w:rPr>
                <w:rFonts w:ascii="Arial" w:hAnsi="Arial"/>
              </w:rPr>
              <w:t>(0.064)</w:t>
            </w:r>
          </w:p>
        </w:tc>
        <w:tc>
          <w:tcPr>
            <w:tcW w:w="0" w:type="auto"/>
            <w:tcBorders>
              <w:top w:val="nil"/>
              <w:left w:val="nil"/>
              <w:bottom w:val="nil"/>
              <w:right w:val="nil"/>
            </w:tcBorders>
            <w:shd w:val="clear" w:color="auto" w:fill="FFFFFF" w:themeFill="background1"/>
            <w:vAlign w:val="center"/>
            <w:hideMark/>
          </w:tcPr>
          <w:p w14:paraId="5647F21B" w14:textId="77777777" w:rsidR="001F2ACA" w:rsidRPr="003F2574" w:rsidRDefault="001F2ACA" w:rsidP="0096518D">
            <w:pPr>
              <w:pStyle w:val="TableRow"/>
              <w:ind w:left="180"/>
              <w:jc w:val="center"/>
              <w:rPr>
                <w:rFonts w:ascii="Arial" w:hAnsi="Arial"/>
              </w:rPr>
            </w:pPr>
            <w:r w:rsidRPr="003F2574">
              <w:rPr>
                <w:rFonts w:ascii="Arial" w:hAnsi="Arial"/>
              </w:rPr>
              <w:t>(0.062)</w:t>
            </w:r>
          </w:p>
        </w:tc>
      </w:tr>
      <w:tr w:rsidR="001F2ACA" w:rsidRPr="003F2574" w14:paraId="3C088C79" w14:textId="77777777" w:rsidTr="0096518D">
        <w:trPr>
          <w:trHeight w:val="230"/>
          <w:jc w:val="center"/>
        </w:trPr>
        <w:tc>
          <w:tcPr>
            <w:tcW w:w="0" w:type="auto"/>
            <w:vMerge w:val="restart"/>
            <w:tcBorders>
              <w:top w:val="nil"/>
              <w:left w:val="nil"/>
              <w:bottom w:val="nil"/>
              <w:right w:val="nil"/>
            </w:tcBorders>
            <w:shd w:val="clear" w:color="auto" w:fill="FFFFFF" w:themeFill="background1"/>
            <w:vAlign w:val="center"/>
            <w:hideMark/>
          </w:tcPr>
          <w:p w14:paraId="5FC0BEB2" w14:textId="77777777" w:rsidR="001F2ACA" w:rsidRPr="003F2574" w:rsidRDefault="001F2ACA" w:rsidP="0096518D">
            <w:pPr>
              <w:pStyle w:val="TableRow"/>
              <w:ind w:left="180"/>
              <w:rPr>
                <w:rFonts w:ascii="Arial" w:hAnsi="Arial"/>
              </w:rPr>
            </w:pPr>
            <w:r w:rsidRPr="003F2574">
              <w:rPr>
                <w:rFonts w:ascii="Arial" w:hAnsi="Arial"/>
              </w:rPr>
              <w:t>Co-ordination </w:t>
            </w:r>
          </w:p>
        </w:tc>
        <w:tc>
          <w:tcPr>
            <w:tcW w:w="0" w:type="auto"/>
            <w:tcBorders>
              <w:top w:val="nil"/>
              <w:left w:val="nil"/>
              <w:bottom w:val="nil"/>
              <w:right w:val="nil"/>
            </w:tcBorders>
            <w:shd w:val="clear" w:color="auto" w:fill="FFFFFF" w:themeFill="background1"/>
            <w:vAlign w:val="center"/>
            <w:hideMark/>
          </w:tcPr>
          <w:p w14:paraId="006093DA" w14:textId="77777777" w:rsidR="001F2ACA" w:rsidRPr="003F2574" w:rsidRDefault="001F2ACA" w:rsidP="0096518D">
            <w:pPr>
              <w:pStyle w:val="TableRow"/>
              <w:ind w:left="180"/>
              <w:jc w:val="center"/>
              <w:rPr>
                <w:rFonts w:ascii="Arial" w:hAnsi="Arial"/>
              </w:rPr>
            </w:pPr>
            <w:r w:rsidRPr="003F2574">
              <w:rPr>
                <w:rFonts w:ascii="Arial" w:hAnsi="Arial"/>
              </w:rPr>
              <w:t>0.673***</w:t>
            </w:r>
          </w:p>
        </w:tc>
        <w:tc>
          <w:tcPr>
            <w:tcW w:w="0" w:type="auto"/>
            <w:tcBorders>
              <w:top w:val="nil"/>
              <w:left w:val="nil"/>
              <w:bottom w:val="nil"/>
              <w:right w:val="nil"/>
            </w:tcBorders>
            <w:shd w:val="clear" w:color="auto" w:fill="FFFFFF" w:themeFill="background1"/>
            <w:vAlign w:val="center"/>
            <w:hideMark/>
          </w:tcPr>
          <w:p w14:paraId="1414B5DD" w14:textId="77777777" w:rsidR="001F2ACA" w:rsidRPr="003F2574" w:rsidRDefault="001F2ACA" w:rsidP="0096518D">
            <w:pPr>
              <w:pStyle w:val="TableRow"/>
              <w:ind w:left="180"/>
              <w:jc w:val="center"/>
              <w:rPr>
                <w:rFonts w:ascii="Arial" w:hAnsi="Arial"/>
              </w:rPr>
            </w:pPr>
            <w:r w:rsidRPr="003F2574">
              <w:rPr>
                <w:rFonts w:ascii="Arial" w:hAnsi="Arial"/>
              </w:rPr>
              <w:t>0.495**</w:t>
            </w:r>
          </w:p>
        </w:tc>
        <w:tc>
          <w:tcPr>
            <w:tcW w:w="0" w:type="auto"/>
            <w:tcBorders>
              <w:top w:val="nil"/>
              <w:left w:val="nil"/>
              <w:bottom w:val="nil"/>
              <w:right w:val="nil"/>
            </w:tcBorders>
            <w:shd w:val="clear" w:color="auto" w:fill="FFFFFF" w:themeFill="background1"/>
            <w:vAlign w:val="center"/>
            <w:hideMark/>
          </w:tcPr>
          <w:p w14:paraId="7991A471" w14:textId="77777777" w:rsidR="001F2ACA" w:rsidRPr="003F2574" w:rsidRDefault="001F2ACA" w:rsidP="0096518D">
            <w:pPr>
              <w:pStyle w:val="TableRow"/>
              <w:ind w:left="180"/>
              <w:jc w:val="center"/>
              <w:rPr>
                <w:rFonts w:ascii="Arial" w:hAnsi="Arial"/>
              </w:rPr>
            </w:pPr>
            <w:r w:rsidRPr="003F2574">
              <w:rPr>
                <w:rFonts w:ascii="Arial" w:hAnsi="Arial"/>
              </w:rPr>
              <w:t>-1.149***</w:t>
            </w:r>
          </w:p>
        </w:tc>
        <w:tc>
          <w:tcPr>
            <w:tcW w:w="0" w:type="auto"/>
            <w:tcBorders>
              <w:top w:val="nil"/>
              <w:left w:val="nil"/>
              <w:bottom w:val="nil"/>
              <w:right w:val="nil"/>
            </w:tcBorders>
            <w:shd w:val="clear" w:color="auto" w:fill="FFFFFF" w:themeFill="background1"/>
            <w:vAlign w:val="center"/>
            <w:hideMark/>
          </w:tcPr>
          <w:p w14:paraId="635E845B" w14:textId="77777777" w:rsidR="001F2ACA" w:rsidRPr="003F2574" w:rsidRDefault="001F2ACA" w:rsidP="0096518D">
            <w:pPr>
              <w:pStyle w:val="TableRow"/>
              <w:ind w:left="180"/>
              <w:jc w:val="center"/>
              <w:rPr>
                <w:rFonts w:ascii="Arial" w:hAnsi="Arial"/>
              </w:rPr>
            </w:pPr>
            <w:r w:rsidRPr="003F2574">
              <w:rPr>
                <w:rFonts w:ascii="Arial" w:hAnsi="Arial"/>
              </w:rPr>
              <w:t>-1.108***</w:t>
            </w:r>
          </w:p>
        </w:tc>
      </w:tr>
      <w:tr w:rsidR="001F2ACA" w:rsidRPr="003F2574" w14:paraId="41B3278C" w14:textId="77777777" w:rsidTr="0096518D">
        <w:trPr>
          <w:trHeight w:val="230"/>
          <w:jc w:val="center"/>
        </w:trPr>
        <w:tc>
          <w:tcPr>
            <w:tcW w:w="0" w:type="auto"/>
            <w:vMerge/>
            <w:tcBorders>
              <w:top w:val="nil"/>
              <w:left w:val="nil"/>
              <w:bottom w:val="nil"/>
              <w:right w:val="nil"/>
            </w:tcBorders>
            <w:shd w:val="clear" w:color="auto" w:fill="FFFFFF" w:themeFill="background1"/>
            <w:vAlign w:val="center"/>
            <w:hideMark/>
          </w:tcPr>
          <w:p w14:paraId="2F01C9A3" w14:textId="77777777" w:rsidR="001F2ACA" w:rsidRPr="003F2574" w:rsidRDefault="001F2ACA" w:rsidP="0096518D">
            <w:pPr>
              <w:pStyle w:val="TableRow"/>
              <w:ind w:left="180"/>
              <w:rPr>
                <w:rFonts w:ascii="Arial" w:hAnsi="Arial"/>
              </w:rPr>
            </w:pPr>
          </w:p>
        </w:tc>
        <w:tc>
          <w:tcPr>
            <w:tcW w:w="0" w:type="auto"/>
            <w:tcBorders>
              <w:top w:val="nil"/>
              <w:left w:val="nil"/>
              <w:bottom w:val="nil"/>
              <w:right w:val="nil"/>
            </w:tcBorders>
            <w:shd w:val="clear" w:color="auto" w:fill="FFFFFF" w:themeFill="background1"/>
            <w:vAlign w:val="center"/>
            <w:hideMark/>
          </w:tcPr>
          <w:p w14:paraId="72A13739" w14:textId="77777777" w:rsidR="001F2ACA" w:rsidRPr="003F2574" w:rsidRDefault="001F2ACA" w:rsidP="0096518D">
            <w:pPr>
              <w:pStyle w:val="TableRow"/>
              <w:ind w:left="180"/>
              <w:jc w:val="center"/>
              <w:rPr>
                <w:rFonts w:ascii="Arial" w:hAnsi="Arial"/>
              </w:rPr>
            </w:pPr>
            <w:r w:rsidRPr="003F2574">
              <w:rPr>
                <w:rFonts w:ascii="Arial" w:hAnsi="Arial"/>
              </w:rPr>
              <w:t>(0.187)</w:t>
            </w:r>
          </w:p>
        </w:tc>
        <w:tc>
          <w:tcPr>
            <w:tcW w:w="0" w:type="auto"/>
            <w:tcBorders>
              <w:top w:val="nil"/>
              <w:left w:val="nil"/>
              <w:bottom w:val="nil"/>
              <w:right w:val="nil"/>
            </w:tcBorders>
            <w:shd w:val="clear" w:color="auto" w:fill="FFFFFF" w:themeFill="background1"/>
            <w:vAlign w:val="center"/>
            <w:hideMark/>
          </w:tcPr>
          <w:p w14:paraId="2DD06AB6" w14:textId="77777777" w:rsidR="001F2ACA" w:rsidRPr="003F2574" w:rsidRDefault="001F2ACA" w:rsidP="0096518D">
            <w:pPr>
              <w:pStyle w:val="TableRow"/>
              <w:ind w:left="180"/>
              <w:jc w:val="center"/>
              <w:rPr>
                <w:rFonts w:ascii="Arial" w:hAnsi="Arial"/>
              </w:rPr>
            </w:pPr>
            <w:r w:rsidRPr="003F2574">
              <w:rPr>
                <w:rFonts w:ascii="Arial" w:hAnsi="Arial"/>
              </w:rPr>
              <w:t>(0.194)</w:t>
            </w:r>
          </w:p>
        </w:tc>
        <w:tc>
          <w:tcPr>
            <w:tcW w:w="0" w:type="auto"/>
            <w:tcBorders>
              <w:top w:val="nil"/>
              <w:left w:val="nil"/>
              <w:bottom w:val="nil"/>
              <w:right w:val="nil"/>
            </w:tcBorders>
            <w:shd w:val="clear" w:color="auto" w:fill="FFFFFF" w:themeFill="background1"/>
            <w:vAlign w:val="center"/>
            <w:hideMark/>
          </w:tcPr>
          <w:p w14:paraId="2F9A9C43" w14:textId="77777777" w:rsidR="001F2ACA" w:rsidRPr="003F2574" w:rsidRDefault="001F2ACA" w:rsidP="0096518D">
            <w:pPr>
              <w:pStyle w:val="TableRow"/>
              <w:ind w:left="180"/>
              <w:jc w:val="center"/>
              <w:rPr>
                <w:rFonts w:ascii="Arial" w:hAnsi="Arial"/>
              </w:rPr>
            </w:pPr>
            <w:r w:rsidRPr="003F2574">
              <w:rPr>
                <w:rFonts w:ascii="Arial" w:hAnsi="Arial"/>
              </w:rPr>
              <w:t>(0.196)</w:t>
            </w:r>
          </w:p>
        </w:tc>
        <w:tc>
          <w:tcPr>
            <w:tcW w:w="0" w:type="auto"/>
            <w:tcBorders>
              <w:top w:val="nil"/>
              <w:left w:val="nil"/>
              <w:bottom w:val="nil"/>
              <w:right w:val="nil"/>
            </w:tcBorders>
            <w:shd w:val="clear" w:color="auto" w:fill="FFFFFF" w:themeFill="background1"/>
            <w:vAlign w:val="center"/>
            <w:hideMark/>
          </w:tcPr>
          <w:p w14:paraId="59698F81" w14:textId="77777777" w:rsidR="001F2ACA" w:rsidRPr="003F2574" w:rsidRDefault="001F2ACA" w:rsidP="0096518D">
            <w:pPr>
              <w:pStyle w:val="TableRow"/>
              <w:ind w:left="180"/>
              <w:jc w:val="center"/>
              <w:rPr>
                <w:rFonts w:ascii="Arial" w:hAnsi="Arial"/>
              </w:rPr>
            </w:pPr>
            <w:r w:rsidRPr="003F2574">
              <w:rPr>
                <w:rFonts w:ascii="Arial" w:hAnsi="Arial"/>
              </w:rPr>
              <w:t>(0.198)</w:t>
            </w:r>
          </w:p>
        </w:tc>
      </w:tr>
      <w:tr w:rsidR="001F2ACA" w:rsidRPr="003F2574" w14:paraId="7116F2A6" w14:textId="77777777" w:rsidTr="0096518D">
        <w:trPr>
          <w:trHeight w:val="230"/>
          <w:jc w:val="center"/>
        </w:trPr>
        <w:tc>
          <w:tcPr>
            <w:tcW w:w="0" w:type="auto"/>
            <w:tcBorders>
              <w:top w:val="nil"/>
              <w:left w:val="nil"/>
              <w:bottom w:val="nil"/>
              <w:right w:val="nil"/>
            </w:tcBorders>
            <w:shd w:val="clear" w:color="auto" w:fill="FFFFFF" w:themeFill="background1"/>
            <w:vAlign w:val="center"/>
            <w:hideMark/>
          </w:tcPr>
          <w:p w14:paraId="1100FDFA" w14:textId="77777777" w:rsidR="001F2ACA" w:rsidRPr="003F2574" w:rsidRDefault="001F2ACA" w:rsidP="0096518D">
            <w:pPr>
              <w:pStyle w:val="TableRow"/>
              <w:ind w:left="180"/>
              <w:rPr>
                <w:rFonts w:ascii="Arial" w:hAnsi="Arial"/>
              </w:rPr>
            </w:pPr>
            <w:r w:rsidRPr="003F2574">
              <w:rPr>
                <w:rFonts w:ascii="Arial" w:hAnsi="Arial"/>
              </w:rPr>
              <w:t>Observations</w:t>
            </w:r>
          </w:p>
        </w:tc>
        <w:tc>
          <w:tcPr>
            <w:tcW w:w="0" w:type="auto"/>
            <w:tcBorders>
              <w:top w:val="nil"/>
              <w:left w:val="nil"/>
              <w:bottom w:val="nil"/>
              <w:right w:val="nil"/>
            </w:tcBorders>
            <w:shd w:val="clear" w:color="auto" w:fill="FFFFFF" w:themeFill="background1"/>
            <w:vAlign w:val="center"/>
            <w:hideMark/>
          </w:tcPr>
          <w:p w14:paraId="6E1C2AAC" w14:textId="77777777" w:rsidR="001F2ACA" w:rsidRPr="003F2574" w:rsidRDefault="001F2ACA" w:rsidP="0096518D">
            <w:pPr>
              <w:pStyle w:val="TableRow"/>
              <w:ind w:left="180"/>
              <w:jc w:val="center"/>
              <w:rPr>
                <w:rFonts w:ascii="Arial" w:hAnsi="Arial"/>
              </w:rPr>
            </w:pPr>
            <w:r w:rsidRPr="003F2574">
              <w:rPr>
                <w:rFonts w:ascii="Arial" w:hAnsi="Arial"/>
              </w:rPr>
              <w:t>931</w:t>
            </w:r>
          </w:p>
        </w:tc>
        <w:tc>
          <w:tcPr>
            <w:tcW w:w="0" w:type="auto"/>
            <w:tcBorders>
              <w:top w:val="nil"/>
              <w:left w:val="nil"/>
              <w:bottom w:val="nil"/>
              <w:right w:val="nil"/>
            </w:tcBorders>
            <w:shd w:val="clear" w:color="auto" w:fill="FFFFFF" w:themeFill="background1"/>
            <w:vAlign w:val="center"/>
            <w:hideMark/>
          </w:tcPr>
          <w:p w14:paraId="499DF3EE" w14:textId="77777777" w:rsidR="001F2ACA" w:rsidRPr="003F2574" w:rsidRDefault="001F2ACA" w:rsidP="0096518D">
            <w:pPr>
              <w:pStyle w:val="TableRow"/>
              <w:ind w:left="180"/>
              <w:jc w:val="center"/>
              <w:rPr>
                <w:rFonts w:ascii="Arial" w:hAnsi="Arial"/>
              </w:rPr>
            </w:pPr>
            <w:r w:rsidRPr="003F2574">
              <w:rPr>
                <w:rFonts w:ascii="Arial" w:hAnsi="Arial"/>
              </w:rPr>
              <w:t>931</w:t>
            </w:r>
          </w:p>
        </w:tc>
        <w:tc>
          <w:tcPr>
            <w:tcW w:w="0" w:type="auto"/>
            <w:tcBorders>
              <w:top w:val="nil"/>
              <w:left w:val="nil"/>
              <w:bottom w:val="nil"/>
              <w:right w:val="nil"/>
            </w:tcBorders>
            <w:shd w:val="clear" w:color="auto" w:fill="FFFFFF" w:themeFill="background1"/>
            <w:vAlign w:val="center"/>
            <w:hideMark/>
          </w:tcPr>
          <w:p w14:paraId="4BA3DD95" w14:textId="77777777" w:rsidR="001F2ACA" w:rsidRPr="003F2574" w:rsidRDefault="001F2ACA" w:rsidP="0096518D">
            <w:pPr>
              <w:pStyle w:val="TableRow"/>
              <w:ind w:left="180"/>
              <w:jc w:val="center"/>
              <w:rPr>
                <w:rFonts w:ascii="Arial" w:hAnsi="Arial"/>
              </w:rPr>
            </w:pPr>
            <w:r w:rsidRPr="003F2574">
              <w:rPr>
                <w:rFonts w:ascii="Arial" w:hAnsi="Arial"/>
              </w:rPr>
              <w:t>931</w:t>
            </w:r>
          </w:p>
        </w:tc>
        <w:tc>
          <w:tcPr>
            <w:tcW w:w="0" w:type="auto"/>
            <w:tcBorders>
              <w:top w:val="nil"/>
              <w:left w:val="nil"/>
              <w:bottom w:val="nil"/>
              <w:right w:val="nil"/>
            </w:tcBorders>
            <w:shd w:val="clear" w:color="auto" w:fill="FFFFFF" w:themeFill="background1"/>
            <w:vAlign w:val="center"/>
            <w:hideMark/>
          </w:tcPr>
          <w:p w14:paraId="68787B16" w14:textId="77777777" w:rsidR="001F2ACA" w:rsidRPr="003F2574" w:rsidRDefault="001F2ACA" w:rsidP="0096518D">
            <w:pPr>
              <w:pStyle w:val="TableRow"/>
              <w:ind w:left="180"/>
              <w:jc w:val="center"/>
              <w:rPr>
                <w:rFonts w:ascii="Arial" w:hAnsi="Arial"/>
              </w:rPr>
            </w:pPr>
            <w:r w:rsidRPr="003F2574">
              <w:rPr>
                <w:rFonts w:ascii="Arial" w:hAnsi="Arial"/>
              </w:rPr>
              <w:t>931</w:t>
            </w:r>
          </w:p>
        </w:tc>
      </w:tr>
      <w:tr w:rsidR="001F2ACA" w:rsidRPr="003F2574" w14:paraId="6CE69E85" w14:textId="77777777" w:rsidTr="0096518D">
        <w:trPr>
          <w:trHeight w:val="240"/>
          <w:jc w:val="center"/>
        </w:trPr>
        <w:tc>
          <w:tcPr>
            <w:tcW w:w="0" w:type="auto"/>
            <w:tcBorders>
              <w:top w:val="nil"/>
              <w:left w:val="nil"/>
              <w:bottom w:val="single" w:sz="8" w:space="0" w:color="auto"/>
              <w:right w:val="nil"/>
            </w:tcBorders>
            <w:shd w:val="clear" w:color="auto" w:fill="FFFFFF" w:themeFill="background1"/>
            <w:vAlign w:val="center"/>
            <w:hideMark/>
          </w:tcPr>
          <w:p w14:paraId="1867CD95" w14:textId="77777777" w:rsidR="001F2ACA" w:rsidRPr="003F2574" w:rsidRDefault="001F2ACA" w:rsidP="0096518D">
            <w:pPr>
              <w:pStyle w:val="TableRow"/>
              <w:ind w:left="180"/>
              <w:rPr>
                <w:rFonts w:ascii="Arial" w:hAnsi="Arial"/>
              </w:rPr>
            </w:pPr>
            <w:r w:rsidRPr="003F2574">
              <w:rPr>
                <w:rFonts w:ascii="Arial" w:hAnsi="Arial"/>
              </w:rPr>
              <w:t>R-squared</w:t>
            </w:r>
          </w:p>
        </w:tc>
        <w:tc>
          <w:tcPr>
            <w:tcW w:w="0" w:type="auto"/>
            <w:tcBorders>
              <w:top w:val="nil"/>
              <w:left w:val="nil"/>
              <w:bottom w:val="single" w:sz="8" w:space="0" w:color="auto"/>
              <w:right w:val="nil"/>
            </w:tcBorders>
            <w:shd w:val="clear" w:color="auto" w:fill="FFFFFF" w:themeFill="background1"/>
            <w:vAlign w:val="center"/>
            <w:hideMark/>
          </w:tcPr>
          <w:p w14:paraId="61468998" w14:textId="77777777" w:rsidR="001F2ACA" w:rsidRPr="003F2574" w:rsidRDefault="001F2ACA" w:rsidP="0096518D">
            <w:pPr>
              <w:pStyle w:val="TableRow"/>
              <w:ind w:left="180"/>
              <w:jc w:val="center"/>
              <w:rPr>
                <w:rFonts w:ascii="Arial" w:hAnsi="Arial"/>
              </w:rPr>
            </w:pPr>
            <w:r w:rsidRPr="003F2574">
              <w:rPr>
                <w:rFonts w:ascii="Arial" w:hAnsi="Arial"/>
              </w:rPr>
              <w:t>0.947</w:t>
            </w:r>
          </w:p>
        </w:tc>
        <w:tc>
          <w:tcPr>
            <w:tcW w:w="0" w:type="auto"/>
            <w:tcBorders>
              <w:top w:val="nil"/>
              <w:left w:val="nil"/>
              <w:bottom w:val="single" w:sz="8" w:space="0" w:color="auto"/>
              <w:right w:val="nil"/>
            </w:tcBorders>
            <w:shd w:val="clear" w:color="auto" w:fill="FFFFFF" w:themeFill="background1"/>
            <w:vAlign w:val="center"/>
            <w:hideMark/>
          </w:tcPr>
          <w:p w14:paraId="6A197C76" w14:textId="77777777" w:rsidR="001F2ACA" w:rsidRPr="003F2574" w:rsidRDefault="001F2ACA" w:rsidP="0096518D">
            <w:pPr>
              <w:pStyle w:val="TableRow"/>
              <w:ind w:left="180"/>
              <w:jc w:val="center"/>
              <w:rPr>
                <w:rFonts w:ascii="Arial" w:hAnsi="Arial"/>
              </w:rPr>
            </w:pPr>
            <w:r w:rsidRPr="003F2574">
              <w:rPr>
                <w:rFonts w:ascii="Arial" w:hAnsi="Arial"/>
              </w:rPr>
              <w:t>0.944</w:t>
            </w:r>
          </w:p>
        </w:tc>
        <w:tc>
          <w:tcPr>
            <w:tcW w:w="0" w:type="auto"/>
            <w:tcBorders>
              <w:top w:val="nil"/>
              <w:left w:val="nil"/>
              <w:bottom w:val="single" w:sz="8" w:space="0" w:color="auto"/>
              <w:right w:val="nil"/>
            </w:tcBorders>
            <w:shd w:val="clear" w:color="auto" w:fill="FFFFFF" w:themeFill="background1"/>
            <w:vAlign w:val="center"/>
            <w:hideMark/>
          </w:tcPr>
          <w:p w14:paraId="6EC89873" w14:textId="77777777" w:rsidR="001F2ACA" w:rsidRPr="003F2574" w:rsidRDefault="001F2ACA" w:rsidP="0096518D">
            <w:pPr>
              <w:pStyle w:val="TableRow"/>
              <w:ind w:left="180"/>
              <w:jc w:val="center"/>
              <w:rPr>
                <w:rFonts w:ascii="Arial" w:hAnsi="Arial"/>
              </w:rPr>
            </w:pPr>
            <w:r w:rsidRPr="003F2574">
              <w:rPr>
                <w:rFonts w:ascii="Arial" w:hAnsi="Arial"/>
              </w:rPr>
              <w:t>0.827</w:t>
            </w:r>
          </w:p>
        </w:tc>
        <w:tc>
          <w:tcPr>
            <w:tcW w:w="0" w:type="auto"/>
            <w:tcBorders>
              <w:top w:val="nil"/>
              <w:left w:val="nil"/>
              <w:bottom w:val="single" w:sz="8" w:space="0" w:color="auto"/>
              <w:right w:val="nil"/>
            </w:tcBorders>
            <w:shd w:val="clear" w:color="auto" w:fill="FFFFFF" w:themeFill="background1"/>
            <w:vAlign w:val="center"/>
            <w:hideMark/>
          </w:tcPr>
          <w:p w14:paraId="208D6EF6" w14:textId="77777777" w:rsidR="001F2ACA" w:rsidRPr="003F2574" w:rsidRDefault="001F2ACA" w:rsidP="0096518D">
            <w:pPr>
              <w:pStyle w:val="TableRow"/>
              <w:ind w:left="180"/>
              <w:jc w:val="center"/>
              <w:rPr>
                <w:rFonts w:ascii="Arial" w:hAnsi="Arial"/>
              </w:rPr>
            </w:pPr>
            <w:r w:rsidRPr="003F2574">
              <w:rPr>
                <w:rFonts w:ascii="Arial" w:hAnsi="Arial"/>
              </w:rPr>
              <w:t>0.827</w:t>
            </w:r>
          </w:p>
        </w:tc>
      </w:tr>
    </w:tbl>
    <w:p w14:paraId="665C3546" w14:textId="77777777" w:rsidR="001F2ACA" w:rsidRPr="003F2574" w:rsidRDefault="001F2ACA" w:rsidP="001F2ACA">
      <w:pPr>
        <w:pStyle w:val="Sourcenotes"/>
        <w:jc w:val="left"/>
        <w:rPr>
          <w:rFonts w:ascii="Arial" w:hAnsi="Arial"/>
        </w:rPr>
      </w:pPr>
      <w:r w:rsidRPr="003F2574">
        <w:rPr>
          <w:rFonts w:ascii="Arial" w:hAnsi="Arial"/>
          <w:i/>
        </w:rPr>
        <w:t>Note</w:t>
      </w:r>
      <w:r w:rsidRPr="003F2574">
        <w:rPr>
          <w:rFonts w:ascii="Arial" w:hAnsi="Arial"/>
        </w:rPr>
        <w:t>: ***, **, *: statistically significant at the 1, 5 and 10% levels, respectively. Robust standard errors in parentheses. OLS regressions including country and time dummies, institutional variables (Tax wedges, PMR in seven sectors, EPL (both temporary and permanent), minimum wage/median wage and gross replacement rate) log of average years of education and female employment share.</w:t>
      </w:r>
    </w:p>
    <w:p w14:paraId="7A749A10" w14:textId="77777777" w:rsidR="001F2ACA" w:rsidRPr="003F2574" w:rsidRDefault="001F2ACA" w:rsidP="001F2ACA">
      <w:pPr>
        <w:pStyle w:val="Sourcenotes"/>
        <w:rPr>
          <w:rFonts w:ascii="Arial" w:hAnsi="Arial"/>
        </w:rPr>
      </w:pPr>
    </w:p>
    <w:p w14:paraId="66475DA2" w14:textId="77777777" w:rsidR="001F2ACA" w:rsidRPr="003F2574" w:rsidRDefault="001F2ACA" w:rsidP="001F2ACA">
      <w:pPr>
        <w:pStyle w:val="Para"/>
        <w:jc w:val="center"/>
        <w:rPr>
          <w:rFonts w:ascii="Arial" w:eastAsiaTheme="minorHAnsi" w:hAnsi="Arial" w:cs="Arial"/>
          <w:b/>
          <w:bCs/>
          <w:sz w:val="20"/>
        </w:rPr>
      </w:pPr>
      <w:r w:rsidRPr="003F2574">
        <w:rPr>
          <w:rFonts w:ascii="Arial" w:eastAsiaTheme="minorHAnsi" w:hAnsi="Arial" w:cs="Arial"/>
          <w:b/>
          <w:bCs/>
          <w:sz w:val="20"/>
        </w:rPr>
        <w:t>Table A.3: Collective bargaining systems and earnings inequality using ICTWSS indicators of centralisation and co-ordination</w:t>
      </w:r>
    </w:p>
    <w:p w14:paraId="5ADFF993" w14:textId="77777777" w:rsidR="001F2ACA" w:rsidRPr="003F2574" w:rsidRDefault="001F2ACA" w:rsidP="001F2ACA">
      <w:pPr>
        <w:pStyle w:val="CaptionSubtitle"/>
        <w:rPr>
          <w:rFonts w:ascii="Arial" w:hAnsi="Arial"/>
        </w:rPr>
      </w:pPr>
      <w:r w:rsidRPr="003F2574">
        <w:rPr>
          <w:rFonts w:ascii="Arial" w:hAnsi="Arial"/>
        </w:rPr>
        <w:t>OLS regressions using centralisation and co-ordination variables</w:t>
      </w:r>
    </w:p>
    <w:tbl>
      <w:tblPr>
        <w:tblW w:w="5000" w:type="pct"/>
        <w:jc w:val="center"/>
        <w:tblBorders>
          <w:top w:val="single" w:sz="12" w:space="0" w:color="4F81BD"/>
          <w:bottom w:val="single" w:sz="12" w:space="0" w:color="000000"/>
        </w:tblBorders>
        <w:tblCellMar>
          <w:left w:w="0" w:type="dxa"/>
          <w:right w:w="0" w:type="dxa"/>
        </w:tblCellMar>
        <w:tblLook w:val="04A0" w:firstRow="1" w:lastRow="0" w:firstColumn="1" w:lastColumn="0" w:noHBand="0" w:noVBand="1"/>
      </w:tblPr>
      <w:tblGrid>
        <w:gridCol w:w="2695"/>
        <w:gridCol w:w="1129"/>
        <w:gridCol w:w="1129"/>
        <w:gridCol w:w="1129"/>
        <w:gridCol w:w="1129"/>
        <w:gridCol w:w="1129"/>
        <w:gridCol w:w="1129"/>
      </w:tblGrid>
      <w:tr w:rsidR="001F2ACA" w:rsidRPr="003F2574" w14:paraId="2A42B209" w14:textId="77777777" w:rsidTr="0096518D">
        <w:trPr>
          <w:jc w:val="center"/>
        </w:trPr>
        <w:tc>
          <w:tcPr>
            <w:tcW w:w="1423" w:type="pct"/>
            <w:tcBorders>
              <w:bottom w:val="single" w:sz="8" w:space="0" w:color="000000"/>
            </w:tcBorders>
            <w:shd w:val="clear" w:color="auto" w:fill="auto"/>
            <w:tcMar>
              <w:top w:w="0" w:type="dxa"/>
              <w:left w:w="108" w:type="dxa"/>
              <w:bottom w:w="0" w:type="dxa"/>
              <w:right w:w="108" w:type="dxa"/>
            </w:tcMar>
            <w:vAlign w:val="center"/>
            <w:hideMark/>
          </w:tcPr>
          <w:p w14:paraId="5D76618E" w14:textId="77777777" w:rsidR="001F2ACA" w:rsidRPr="003F2574" w:rsidRDefault="001F2ACA" w:rsidP="0096518D">
            <w:pPr>
              <w:pStyle w:val="TableColumn"/>
              <w:rPr>
                <w:rFonts w:ascii="Arial" w:hAnsi="Arial"/>
                <w:sz w:val="16"/>
              </w:rPr>
            </w:pPr>
            <w:r w:rsidRPr="003F2574">
              <w:rPr>
                <w:rFonts w:ascii="Arial" w:hAnsi="Arial"/>
              </w:rPr>
              <w:t> </w:t>
            </w:r>
          </w:p>
        </w:tc>
        <w:tc>
          <w:tcPr>
            <w:tcW w:w="1192" w:type="pct"/>
            <w:gridSpan w:val="2"/>
            <w:tcBorders>
              <w:bottom w:val="single" w:sz="8" w:space="0" w:color="000000"/>
            </w:tcBorders>
            <w:shd w:val="clear" w:color="auto" w:fill="auto"/>
            <w:tcMar>
              <w:top w:w="0" w:type="dxa"/>
              <w:left w:w="108" w:type="dxa"/>
              <w:bottom w:w="0" w:type="dxa"/>
              <w:right w:w="108" w:type="dxa"/>
            </w:tcMar>
            <w:vAlign w:val="center"/>
            <w:hideMark/>
          </w:tcPr>
          <w:p w14:paraId="218966AB" w14:textId="77777777" w:rsidR="001F2ACA" w:rsidRPr="003F2574" w:rsidRDefault="001F2ACA" w:rsidP="0096518D">
            <w:pPr>
              <w:keepNext/>
              <w:keepLines/>
              <w:tabs>
                <w:tab w:val="clear" w:pos="850"/>
                <w:tab w:val="clear" w:pos="1191"/>
                <w:tab w:val="clear" w:pos="1531"/>
                <w:tab w:val="left" w:pos="340"/>
                <w:tab w:val="left" w:pos="680"/>
              </w:tabs>
              <w:spacing w:before="20" w:after="20"/>
              <w:jc w:val="center"/>
              <w:rPr>
                <w:rFonts w:ascii="Arial" w:eastAsia="SimSun" w:hAnsi="Arial" w:cs="Arial"/>
                <w:sz w:val="17"/>
                <w:szCs w:val="18"/>
              </w:rPr>
            </w:pPr>
            <w:r w:rsidRPr="003F2574">
              <w:rPr>
                <w:rFonts w:ascii="Arial" w:eastAsia="SimSun" w:hAnsi="Arial" w:cs="Arial"/>
                <w:sz w:val="17"/>
                <w:szCs w:val="18"/>
              </w:rPr>
              <w:t xml:space="preserve">Earnings inequality: D9/D1 </w:t>
            </w:r>
          </w:p>
        </w:tc>
        <w:tc>
          <w:tcPr>
            <w:tcW w:w="1192" w:type="pct"/>
            <w:gridSpan w:val="2"/>
            <w:tcBorders>
              <w:bottom w:val="single" w:sz="8" w:space="0" w:color="000000"/>
            </w:tcBorders>
            <w:shd w:val="clear" w:color="auto" w:fill="auto"/>
            <w:tcMar>
              <w:top w:w="0" w:type="dxa"/>
              <w:left w:w="108" w:type="dxa"/>
              <w:bottom w:w="0" w:type="dxa"/>
              <w:right w:w="108" w:type="dxa"/>
            </w:tcMar>
            <w:vAlign w:val="center"/>
            <w:hideMark/>
          </w:tcPr>
          <w:p w14:paraId="2F347F0C" w14:textId="77777777" w:rsidR="001F2ACA" w:rsidRPr="003F2574" w:rsidRDefault="001F2ACA" w:rsidP="0096518D">
            <w:pPr>
              <w:keepNext/>
              <w:keepLines/>
              <w:tabs>
                <w:tab w:val="clear" w:pos="850"/>
                <w:tab w:val="clear" w:pos="1191"/>
                <w:tab w:val="clear" w:pos="1531"/>
                <w:tab w:val="left" w:pos="340"/>
                <w:tab w:val="left" w:pos="680"/>
              </w:tabs>
              <w:spacing w:before="20" w:after="20"/>
              <w:jc w:val="center"/>
              <w:rPr>
                <w:rFonts w:ascii="Arial" w:eastAsia="SimSun" w:hAnsi="Arial" w:cs="Arial"/>
                <w:sz w:val="17"/>
                <w:szCs w:val="18"/>
              </w:rPr>
            </w:pPr>
            <w:r w:rsidRPr="003F2574">
              <w:rPr>
                <w:rFonts w:ascii="Arial" w:eastAsia="SimSun" w:hAnsi="Arial" w:cs="Arial"/>
                <w:sz w:val="17"/>
                <w:szCs w:val="18"/>
              </w:rPr>
              <w:t xml:space="preserve">Earnings inequality: D9/D5 </w:t>
            </w:r>
          </w:p>
        </w:tc>
        <w:tc>
          <w:tcPr>
            <w:tcW w:w="1192" w:type="pct"/>
            <w:gridSpan w:val="2"/>
            <w:tcBorders>
              <w:bottom w:val="single" w:sz="8" w:space="0" w:color="000000"/>
            </w:tcBorders>
            <w:shd w:val="clear" w:color="auto" w:fill="auto"/>
            <w:tcMar>
              <w:top w:w="0" w:type="dxa"/>
              <w:left w:w="108" w:type="dxa"/>
              <w:bottom w:w="0" w:type="dxa"/>
              <w:right w:w="108" w:type="dxa"/>
            </w:tcMar>
            <w:vAlign w:val="center"/>
            <w:hideMark/>
          </w:tcPr>
          <w:p w14:paraId="0BFAA96F" w14:textId="77777777" w:rsidR="001F2ACA" w:rsidRPr="003F2574" w:rsidRDefault="001F2ACA" w:rsidP="0096518D">
            <w:pPr>
              <w:keepNext/>
              <w:keepLines/>
              <w:tabs>
                <w:tab w:val="clear" w:pos="850"/>
                <w:tab w:val="clear" w:pos="1191"/>
                <w:tab w:val="clear" w:pos="1531"/>
                <w:tab w:val="left" w:pos="340"/>
                <w:tab w:val="left" w:pos="680"/>
              </w:tabs>
              <w:spacing w:before="20" w:after="20"/>
              <w:jc w:val="center"/>
              <w:rPr>
                <w:rFonts w:ascii="Arial" w:eastAsia="SimSun" w:hAnsi="Arial" w:cs="Arial"/>
                <w:sz w:val="17"/>
                <w:szCs w:val="18"/>
              </w:rPr>
            </w:pPr>
            <w:r w:rsidRPr="003F2574">
              <w:rPr>
                <w:rFonts w:ascii="Arial" w:eastAsia="SimSun" w:hAnsi="Arial" w:cs="Arial"/>
                <w:sz w:val="17"/>
                <w:szCs w:val="18"/>
              </w:rPr>
              <w:t>Earnings inequality: D5/D1</w:t>
            </w:r>
          </w:p>
        </w:tc>
      </w:tr>
      <w:tr w:rsidR="001F2ACA" w:rsidRPr="003F2574" w14:paraId="716F3100" w14:textId="77777777" w:rsidTr="0096518D">
        <w:trPr>
          <w:jc w:val="center"/>
        </w:trPr>
        <w:tc>
          <w:tcPr>
            <w:tcW w:w="1423" w:type="pct"/>
            <w:tcBorders>
              <w:bottom w:val="single" w:sz="8" w:space="0" w:color="000000"/>
            </w:tcBorders>
            <w:shd w:val="clear" w:color="auto" w:fill="auto"/>
            <w:tcMar>
              <w:top w:w="0" w:type="dxa"/>
              <w:left w:w="108" w:type="dxa"/>
              <w:bottom w:w="0" w:type="dxa"/>
              <w:right w:w="108" w:type="dxa"/>
            </w:tcMar>
            <w:vAlign w:val="center"/>
            <w:hideMark/>
          </w:tcPr>
          <w:p w14:paraId="5BB4CB46" w14:textId="77777777" w:rsidR="001F2ACA" w:rsidRPr="003F2574" w:rsidRDefault="001F2ACA" w:rsidP="0096518D">
            <w:pPr>
              <w:keepNext/>
              <w:keepLines/>
              <w:tabs>
                <w:tab w:val="clear" w:pos="850"/>
                <w:tab w:val="clear" w:pos="1191"/>
                <w:tab w:val="clear" w:pos="1531"/>
                <w:tab w:val="left" w:pos="340"/>
                <w:tab w:val="left" w:pos="680"/>
              </w:tabs>
              <w:spacing w:before="20" w:after="20"/>
              <w:jc w:val="center"/>
              <w:rPr>
                <w:rFonts w:ascii="Arial" w:eastAsia="SimSun" w:hAnsi="Arial" w:cs="Arial"/>
                <w:sz w:val="17"/>
                <w:szCs w:val="18"/>
              </w:rPr>
            </w:pPr>
            <w:r w:rsidRPr="003F2574">
              <w:rPr>
                <w:rFonts w:ascii="Arial" w:eastAsia="SimSun" w:hAnsi="Arial" w:cs="Arial"/>
                <w:sz w:val="17"/>
                <w:szCs w:val="18"/>
              </w:rPr>
              <w:t> </w:t>
            </w:r>
          </w:p>
        </w:tc>
        <w:tc>
          <w:tcPr>
            <w:tcW w:w="596" w:type="pct"/>
            <w:tcBorders>
              <w:bottom w:val="single" w:sz="8" w:space="0" w:color="000000"/>
            </w:tcBorders>
            <w:shd w:val="clear" w:color="auto" w:fill="auto"/>
            <w:tcMar>
              <w:top w:w="0" w:type="dxa"/>
              <w:left w:w="108" w:type="dxa"/>
              <w:bottom w:w="0" w:type="dxa"/>
              <w:right w:w="108" w:type="dxa"/>
            </w:tcMar>
            <w:vAlign w:val="center"/>
            <w:hideMark/>
          </w:tcPr>
          <w:p w14:paraId="41E72BA0" w14:textId="77777777" w:rsidR="001F2ACA" w:rsidRPr="003F2574" w:rsidRDefault="001F2ACA" w:rsidP="0096518D">
            <w:pPr>
              <w:keepNext/>
              <w:keepLines/>
              <w:tabs>
                <w:tab w:val="clear" w:pos="850"/>
                <w:tab w:val="clear" w:pos="1191"/>
                <w:tab w:val="clear" w:pos="1531"/>
                <w:tab w:val="left" w:pos="340"/>
                <w:tab w:val="left" w:pos="680"/>
              </w:tabs>
              <w:spacing w:before="20" w:after="20"/>
              <w:jc w:val="center"/>
              <w:rPr>
                <w:rFonts w:ascii="Arial" w:eastAsia="SimSun" w:hAnsi="Arial" w:cs="Arial"/>
                <w:sz w:val="17"/>
                <w:szCs w:val="18"/>
              </w:rPr>
            </w:pPr>
            <w:r w:rsidRPr="003F2574">
              <w:rPr>
                <w:rFonts w:ascii="Arial" w:eastAsia="SimSun" w:hAnsi="Arial" w:cs="Arial"/>
                <w:sz w:val="17"/>
                <w:szCs w:val="18"/>
              </w:rPr>
              <w:t>[1]</w:t>
            </w:r>
          </w:p>
        </w:tc>
        <w:tc>
          <w:tcPr>
            <w:tcW w:w="596" w:type="pct"/>
            <w:tcBorders>
              <w:bottom w:val="single" w:sz="8" w:space="0" w:color="000000"/>
            </w:tcBorders>
            <w:shd w:val="clear" w:color="auto" w:fill="auto"/>
            <w:tcMar>
              <w:top w:w="0" w:type="dxa"/>
              <w:left w:w="108" w:type="dxa"/>
              <w:bottom w:w="0" w:type="dxa"/>
              <w:right w:w="108" w:type="dxa"/>
            </w:tcMar>
            <w:vAlign w:val="center"/>
            <w:hideMark/>
          </w:tcPr>
          <w:p w14:paraId="5C8161E1" w14:textId="77777777" w:rsidR="001F2ACA" w:rsidRPr="003F2574" w:rsidRDefault="001F2ACA" w:rsidP="0096518D">
            <w:pPr>
              <w:keepNext/>
              <w:keepLines/>
              <w:tabs>
                <w:tab w:val="clear" w:pos="850"/>
                <w:tab w:val="clear" w:pos="1191"/>
                <w:tab w:val="clear" w:pos="1531"/>
                <w:tab w:val="left" w:pos="340"/>
                <w:tab w:val="left" w:pos="680"/>
              </w:tabs>
              <w:spacing w:before="20" w:after="20"/>
              <w:jc w:val="center"/>
              <w:rPr>
                <w:rFonts w:ascii="Arial" w:eastAsia="SimSun" w:hAnsi="Arial" w:cs="Arial"/>
                <w:sz w:val="17"/>
                <w:szCs w:val="18"/>
              </w:rPr>
            </w:pPr>
            <w:r w:rsidRPr="003F2574">
              <w:rPr>
                <w:rFonts w:ascii="Arial" w:eastAsia="SimSun" w:hAnsi="Arial" w:cs="Arial"/>
                <w:sz w:val="17"/>
                <w:szCs w:val="18"/>
              </w:rPr>
              <w:t>[2]</w:t>
            </w:r>
          </w:p>
        </w:tc>
        <w:tc>
          <w:tcPr>
            <w:tcW w:w="596" w:type="pct"/>
            <w:tcBorders>
              <w:bottom w:val="single" w:sz="8" w:space="0" w:color="000000"/>
            </w:tcBorders>
            <w:shd w:val="clear" w:color="auto" w:fill="auto"/>
            <w:tcMar>
              <w:top w:w="0" w:type="dxa"/>
              <w:left w:w="108" w:type="dxa"/>
              <w:bottom w:w="0" w:type="dxa"/>
              <w:right w:w="108" w:type="dxa"/>
            </w:tcMar>
            <w:vAlign w:val="center"/>
            <w:hideMark/>
          </w:tcPr>
          <w:p w14:paraId="6A94DCE3" w14:textId="77777777" w:rsidR="001F2ACA" w:rsidRPr="003F2574" w:rsidRDefault="001F2ACA" w:rsidP="0096518D">
            <w:pPr>
              <w:keepNext/>
              <w:keepLines/>
              <w:tabs>
                <w:tab w:val="clear" w:pos="850"/>
                <w:tab w:val="clear" w:pos="1191"/>
                <w:tab w:val="clear" w:pos="1531"/>
                <w:tab w:val="left" w:pos="340"/>
                <w:tab w:val="left" w:pos="680"/>
              </w:tabs>
              <w:spacing w:before="20" w:after="20"/>
              <w:jc w:val="center"/>
              <w:rPr>
                <w:rFonts w:ascii="Arial" w:eastAsia="SimSun" w:hAnsi="Arial" w:cs="Arial"/>
                <w:sz w:val="17"/>
                <w:szCs w:val="18"/>
              </w:rPr>
            </w:pPr>
            <w:r w:rsidRPr="003F2574">
              <w:rPr>
                <w:rFonts w:ascii="Arial" w:eastAsia="SimSun" w:hAnsi="Arial" w:cs="Arial"/>
                <w:sz w:val="17"/>
                <w:szCs w:val="18"/>
              </w:rPr>
              <w:t>[1]</w:t>
            </w:r>
          </w:p>
        </w:tc>
        <w:tc>
          <w:tcPr>
            <w:tcW w:w="596" w:type="pct"/>
            <w:tcBorders>
              <w:bottom w:val="single" w:sz="8" w:space="0" w:color="000000"/>
            </w:tcBorders>
            <w:shd w:val="clear" w:color="auto" w:fill="auto"/>
            <w:tcMar>
              <w:top w:w="0" w:type="dxa"/>
              <w:left w:w="108" w:type="dxa"/>
              <w:bottom w:w="0" w:type="dxa"/>
              <w:right w:w="108" w:type="dxa"/>
            </w:tcMar>
            <w:vAlign w:val="center"/>
            <w:hideMark/>
          </w:tcPr>
          <w:p w14:paraId="6BEADCBC" w14:textId="77777777" w:rsidR="001F2ACA" w:rsidRPr="003F2574" w:rsidRDefault="001F2ACA" w:rsidP="0096518D">
            <w:pPr>
              <w:keepNext/>
              <w:keepLines/>
              <w:tabs>
                <w:tab w:val="clear" w:pos="850"/>
                <w:tab w:val="clear" w:pos="1191"/>
                <w:tab w:val="clear" w:pos="1531"/>
                <w:tab w:val="left" w:pos="340"/>
                <w:tab w:val="left" w:pos="680"/>
              </w:tabs>
              <w:spacing w:before="20" w:after="20"/>
              <w:jc w:val="center"/>
              <w:rPr>
                <w:rFonts w:ascii="Arial" w:eastAsia="SimSun" w:hAnsi="Arial" w:cs="Arial"/>
                <w:sz w:val="17"/>
                <w:szCs w:val="18"/>
              </w:rPr>
            </w:pPr>
            <w:r w:rsidRPr="003F2574">
              <w:rPr>
                <w:rFonts w:ascii="Arial" w:eastAsia="SimSun" w:hAnsi="Arial" w:cs="Arial"/>
                <w:sz w:val="17"/>
                <w:szCs w:val="18"/>
              </w:rPr>
              <w:t>[1]</w:t>
            </w:r>
          </w:p>
        </w:tc>
        <w:tc>
          <w:tcPr>
            <w:tcW w:w="596" w:type="pct"/>
            <w:tcBorders>
              <w:bottom w:val="single" w:sz="8" w:space="0" w:color="000000"/>
            </w:tcBorders>
            <w:shd w:val="clear" w:color="auto" w:fill="auto"/>
            <w:tcMar>
              <w:top w:w="0" w:type="dxa"/>
              <w:left w:w="108" w:type="dxa"/>
              <w:bottom w:w="0" w:type="dxa"/>
              <w:right w:w="108" w:type="dxa"/>
            </w:tcMar>
            <w:vAlign w:val="center"/>
            <w:hideMark/>
          </w:tcPr>
          <w:p w14:paraId="2C230432" w14:textId="77777777" w:rsidR="001F2ACA" w:rsidRPr="003F2574" w:rsidRDefault="001F2ACA" w:rsidP="0096518D">
            <w:pPr>
              <w:keepNext/>
              <w:keepLines/>
              <w:tabs>
                <w:tab w:val="clear" w:pos="850"/>
                <w:tab w:val="clear" w:pos="1191"/>
                <w:tab w:val="clear" w:pos="1531"/>
                <w:tab w:val="left" w:pos="340"/>
                <w:tab w:val="left" w:pos="680"/>
              </w:tabs>
              <w:spacing w:before="20" w:after="20"/>
              <w:jc w:val="center"/>
              <w:rPr>
                <w:rFonts w:ascii="Arial" w:eastAsia="SimSun" w:hAnsi="Arial" w:cs="Arial"/>
                <w:sz w:val="17"/>
                <w:szCs w:val="18"/>
              </w:rPr>
            </w:pPr>
            <w:r w:rsidRPr="003F2574">
              <w:rPr>
                <w:rFonts w:ascii="Arial" w:eastAsia="SimSun" w:hAnsi="Arial" w:cs="Arial"/>
                <w:sz w:val="17"/>
                <w:szCs w:val="18"/>
              </w:rPr>
              <w:t>[2]</w:t>
            </w:r>
          </w:p>
        </w:tc>
        <w:tc>
          <w:tcPr>
            <w:tcW w:w="596" w:type="pct"/>
            <w:tcBorders>
              <w:bottom w:val="single" w:sz="8" w:space="0" w:color="000000"/>
            </w:tcBorders>
            <w:shd w:val="clear" w:color="auto" w:fill="auto"/>
            <w:tcMar>
              <w:top w:w="0" w:type="dxa"/>
              <w:left w:w="108" w:type="dxa"/>
              <w:bottom w:w="0" w:type="dxa"/>
              <w:right w:w="108" w:type="dxa"/>
            </w:tcMar>
            <w:vAlign w:val="center"/>
            <w:hideMark/>
          </w:tcPr>
          <w:p w14:paraId="5664BB38" w14:textId="77777777" w:rsidR="001F2ACA" w:rsidRPr="003F2574" w:rsidRDefault="001F2ACA" w:rsidP="0096518D">
            <w:pPr>
              <w:keepNext/>
              <w:keepLines/>
              <w:tabs>
                <w:tab w:val="clear" w:pos="850"/>
                <w:tab w:val="clear" w:pos="1191"/>
                <w:tab w:val="clear" w:pos="1531"/>
                <w:tab w:val="left" w:pos="340"/>
                <w:tab w:val="left" w:pos="680"/>
              </w:tabs>
              <w:spacing w:before="20" w:after="20"/>
              <w:jc w:val="center"/>
              <w:rPr>
                <w:rFonts w:ascii="Arial" w:eastAsia="SimSun" w:hAnsi="Arial" w:cs="Arial"/>
                <w:sz w:val="17"/>
                <w:szCs w:val="18"/>
              </w:rPr>
            </w:pPr>
            <w:r w:rsidRPr="003F2574">
              <w:rPr>
                <w:rFonts w:ascii="Arial" w:eastAsia="SimSun" w:hAnsi="Arial" w:cs="Arial"/>
                <w:sz w:val="17"/>
                <w:szCs w:val="18"/>
              </w:rPr>
              <w:t>[1]</w:t>
            </w:r>
          </w:p>
        </w:tc>
      </w:tr>
      <w:tr w:rsidR="001F2ACA" w:rsidRPr="003F2574" w14:paraId="0D745B43" w14:textId="77777777" w:rsidTr="0096518D">
        <w:trPr>
          <w:jc w:val="center"/>
        </w:trPr>
        <w:tc>
          <w:tcPr>
            <w:tcW w:w="1423" w:type="pct"/>
            <w:vMerge w:val="restart"/>
            <w:shd w:val="clear" w:color="auto" w:fill="auto"/>
            <w:tcMar>
              <w:top w:w="0" w:type="dxa"/>
              <w:left w:w="108" w:type="dxa"/>
              <w:bottom w:w="0" w:type="dxa"/>
              <w:right w:w="108" w:type="dxa"/>
            </w:tcMar>
            <w:hideMark/>
          </w:tcPr>
          <w:p w14:paraId="51B7CF26" w14:textId="77777777" w:rsidR="001F2ACA" w:rsidRPr="003F2574" w:rsidRDefault="001F2ACA" w:rsidP="0096518D">
            <w:pPr>
              <w:keepNext/>
              <w:keepLines/>
              <w:tabs>
                <w:tab w:val="clear" w:pos="850"/>
                <w:tab w:val="clear" w:pos="1191"/>
                <w:tab w:val="clear" w:pos="1531"/>
                <w:tab w:val="left" w:pos="340"/>
                <w:tab w:val="left" w:pos="680"/>
              </w:tabs>
              <w:spacing w:before="20" w:after="20"/>
              <w:jc w:val="left"/>
              <w:rPr>
                <w:rFonts w:ascii="Arial" w:eastAsia="SimSun" w:hAnsi="Arial" w:cs="Arial"/>
                <w:sz w:val="17"/>
                <w:szCs w:val="17"/>
              </w:rPr>
            </w:pPr>
            <w:r w:rsidRPr="003F2574">
              <w:rPr>
                <w:rFonts w:ascii="Arial" w:hAnsi="Arial" w:cs="Arial"/>
                <w:sz w:val="17"/>
                <w:szCs w:val="17"/>
              </w:rPr>
              <w:t>Bargaining coverage rate</w:t>
            </w:r>
          </w:p>
        </w:tc>
        <w:tc>
          <w:tcPr>
            <w:tcW w:w="596" w:type="pct"/>
            <w:shd w:val="clear" w:color="auto" w:fill="auto"/>
            <w:tcMar>
              <w:top w:w="0" w:type="dxa"/>
              <w:left w:w="108" w:type="dxa"/>
              <w:bottom w:w="0" w:type="dxa"/>
              <w:right w:w="108" w:type="dxa"/>
            </w:tcMar>
            <w:hideMark/>
          </w:tcPr>
          <w:p w14:paraId="1392D247" w14:textId="77777777" w:rsidR="001F2ACA" w:rsidRPr="003F2574" w:rsidRDefault="001F2ACA" w:rsidP="0096518D">
            <w:pPr>
              <w:keepNext/>
              <w:keepLines/>
              <w:tabs>
                <w:tab w:val="clear" w:pos="850"/>
                <w:tab w:val="clear" w:pos="1191"/>
                <w:tab w:val="clear" w:pos="1531"/>
                <w:tab w:val="left" w:pos="340"/>
                <w:tab w:val="left" w:pos="680"/>
              </w:tabs>
              <w:spacing w:before="20" w:after="20"/>
              <w:jc w:val="center"/>
              <w:rPr>
                <w:rFonts w:ascii="Arial" w:eastAsia="SimSun" w:hAnsi="Arial" w:cs="Arial"/>
                <w:sz w:val="17"/>
                <w:szCs w:val="18"/>
              </w:rPr>
            </w:pPr>
            <w:r w:rsidRPr="003F2574">
              <w:rPr>
                <w:rFonts w:ascii="Arial" w:eastAsia="SimSun" w:hAnsi="Arial" w:cs="Arial"/>
                <w:sz w:val="17"/>
                <w:szCs w:val="18"/>
              </w:rPr>
              <w:t>-0.004***</w:t>
            </w:r>
          </w:p>
        </w:tc>
        <w:tc>
          <w:tcPr>
            <w:tcW w:w="596" w:type="pct"/>
            <w:shd w:val="clear" w:color="auto" w:fill="auto"/>
            <w:tcMar>
              <w:top w:w="0" w:type="dxa"/>
              <w:left w:w="108" w:type="dxa"/>
              <w:bottom w:w="0" w:type="dxa"/>
              <w:right w:w="108" w:type="dxa"/>
            </w:tcMar>
            <w:hideMark/>
          </w:tcPr>
          <w:p w14:paraId="0299AFBC" w14:textId="77777777" w:rsidR="001F2ACA" w:rsidRPr="003F2574" w:rsidRDefault="001F2ACA" w:rsidP="0096518D">
            <w:pPr>
              <w:keepNext/>
              <w:keepLines/>
              <w:tabs>
                <w:tab w:val="clear" w:pos="850"/>
                <w:tab w:val="clear" w:pos="1191"/>
                <w:tab w:val="clear" w:pos="1531"/>
                <w:tab w:val="left" w:pos="340"/>
                <w:tab w:val="left" w:pos="680"/>
              </w:tabs>
              <w:spacing w:before="20" w:after="20"/>
              <w:jc w:val="center"/>
              <w:rPr>
                <w:rFonts w:ascii="Arial" w:eastAsia="SimSun" w:hAnsi="Arial" w:cs="Arial"/>
                <w:sz w:val="17"/>
                <w:szCs w:val="18"/>
              </w:rPr>
            </w:pPr>
            <w:r w:rsidRPr="003F2574">
              <w:rPr>
                <w:rFonts w:ascii="Arial" w:eastAsia="SimSun" w:hAnsi="Arial" w:cs="Arial"/>
                <w:sz w:val="17"/>
                <w:szCs w:val="18"/>
              </w:rPr>
              <w:t> </w:t>
            </w:r>
          </w:p>
        </w:tc>
        <w:tc>
          <w:tcPr>
            <w:tcW w:w="596" w:type="pct"/>
            <w:shd w:val="clear" w:color="auto" w:fill="auto"/>
            <w:tcMar>
              <w:top w:w="0" w:type="dxa"/>
              <w:left w:w="108" w:type="dxa"/>
              <w:bottom w:w="0" w:type="dxa"/>
              <w:right w:w="108" w:type="dxa"/>
            </w:tcMar>
            <w:hideMark/>
          </w:tcPr>
          <w:p w14:paraId="5CF76CC7" w14:textId="77777777" w:rsidR="001F2ACA" w:rsidRPr="003F2574" w:rsidRDefault="001F2ACA" w:rsidP="0096518D">
            <w:pPr>
              <w:keepNext/>
              <w:keepLines/>
              <w:tabs>
                <w:tab w:val="clear" w:pos="850"/>
                <w:tab w:val="clear" w:pos="1191"/>
                <w:tab w:val="clear" w:pos="1531"/>
                <w:tab w:val="left" w:pos="340"/>
                <w:tab w:val="left" w:pos="680"/>
              </w:tabs>
              <w:spacing w:before="20" w:after="20"/>
              <w:jc w:val="center"/>
              <w:rPr>
                <w:rFonts w:ascii="Arial" w:eastAsia="SimSun" w:hAnsi="Arial" w:cs="Arial"/>
                <w:sz w:val="17"/>
                <w:szCs w:val="18"/>
              </w:rPr>
            </w:pPr>
            <w:r w:rsidRPr="003F2574">
              <w:rPr>
                <w:rFonts w:ascii="Arial" w:eastAsia="SimSun" w:hAnsi="Arial" w:cs="Arial"/>
                <w:sz w:val="17"/>
                <w:szCs w:val="18"/>
              </w:rPr>
              <w:t>-0.002***</w:t>
            </w:r>
          </w:p>
        </w:tc>
        <w:tc>
          <w:tcPr>
            <w:tcW w:w="596" w:type="pct"/>
            <w:shd w:val="clear" w:color="auto" w:fill="auto"/>
            <w:tcMar>
              <w:top w:w="0" w:type="dxa"/>
              <w:left w:w="108" w:type="dxa"/>
              <w:bottom w:w="0" w:type="dxa"/>
              <w:right w:w="108" w:type="dxa"/>
            </w:tcMar>
            <w:hideMark/>
          </w:tcPr>
          <w:p w14:paraId="1B14F1F4" w14:textId="77777777" w:rsidR="001F2ACA" w:rsidRPr="003F2574" w:rsidRDefault="001F2ACA" w:rsidP="0096518D">
            <w:pPr>
              <w:keepNext/>
              <w:keepLines/>
              <w:tabs>
                <w:tab w:val="clear" w:pos="850"/>
                <w:tab w:val="clear" w:pos="1191"/>
                <w:tab w:val="clear" w:pos="1531"/>
                <w:tab w:val="left" w:pos="340"/>
                <w:tab w:val="left" w:pos="680"/>
              </w:tabs>
              <w:spacing w:before="20" w:after="20"/>
              <w:jc w:val="center"/>
              <w:rPr>
                <w:rFonts w:ascii="Arial" w:eastAsia="SimSun" w:hAnsi="Arial" w:cs="Arial"/>
                <w:sz w:val="17"/>
                <w:szCs w:val="18"/>
              </w:rPr>
            </w:pPr>
            <w:r w:rsidRPr="003F2574">
              <w:rPr>
                <w:rFonts w:ascii="Arial" w:eastAsia="SimSun" w:hAnsi="Arial" w:cs="Arial"/>
                <w:sz w:val="17"/>
                <w:szCs w:val="18"/>
              </w:rPr>
              <w:t>-0.004***</w:t>
            </w:r>
          </w:p>
        </w:tc>
        <w:tc>
          <w:tcPr>
            <w:tcW w:w="596" w:type="pct"/>
            <w:shd w:val="clear" w:color="auto" w:fill="auto"/>
            <w:tcMar>
              <w:top w:w="0" w:type="dxa"/>
              <w:left w:w="108" w:type="dxa"/>
              <w:bottom w:w="0" w:type="dxa"/>
              <w:right w:w="108" w:type="dxa"/>
            </w:tcMar>
            <w:hideMark/>
          </w:tcPr>
          <w:p w14:paraId="0D92D817" w14:textId="77777777" w:rsidR="001F2ACA" w:rsidRPr="003F2574" w:rsidRDefault="001F2ACA" w:rsidP="0096518D">
            <w:pPr>
              <w:keepNext/>
              <w:keepLines/>
              <w:tabs>
                <w:tab w:val="clear" w:pos="850"/>
                <w:tab w:val="clear" w:pos="1191"/>
                <w:tab w:val="clear" w:pos="1531"/>
                <w:tab w:val="left" w:pos="340"/>
                <w:tab w:val="left" w:pos="680"/>
              </w:tabs>
              <w:spacing w:before="20" w:after="20"/>
              <w:jc w:val="center"/>
              <w:rPr>
                <w:rFonts w:ascii="Arial" w:eastAsia="SimSun" w:hAnsi="Arial" w:cs="Arial"/>
                <w:sz w:val="17"/>
                <w:szCs w:val="18"/>
              </w:rPr>
            </w:pPr>
            <w:r w:rsidRPr="003F2574">
              <w:rPr>
                <w:rFonts w:ascii="Arial" w:eastAsia="SimSun" w:hAnsi="Arial" w:cs="Arial"/>
                <w:sz w:val="17"/>
                <w:szCs w:val="18"/>
              </w:rPr>
              <w:t> </w:t>
            </w:r>
          </w:p>
        </w:tc>
        <w:tc>
          <w:tcPr>
            <w:tcW w:w="596" w:type="pct"/>
            <w:shd w:val="clear" w:color="auto" w:fill="auto"/>
            <w:tcMar>
              <w:top w:w="0" w:type="dxa"/>
              <w:left w:w="108" w:type="dxa"/>
              <w:bottom w:w="0" w:type="dxa"/>
              <w:right w:w="108" w:type="dxa"/>
            </w:tcMar>
            <w:hideMark/>
          </w:tcPr>
          <w:p w14:paraId="5578918B" w14:textId="77777777" w:rsidR="001F2ACA" w:rsidRPr="003F2574" w:rsidRDefault="001F2ACA" w:rsidP="0096518D">
            <w:pPr>
              <w:keepNext/>
              <w:keepLines/>
              <w:tabs>
                <w:tab w:val="clear" w:pos="850"/>
                <w:tab w:val="clear" w:pos="1191"/>
                <w:tab w:val="clear" w:pos="1531"/>
                <w:tab w:val="left" w:pos="340"/>
                <w:tab w:val="left" w:pos="680"/>
              </w:tabs>
              <w:spacing w:before="20" w:after="20"/>
              <w:jc w:val="center"/>
              <w:rPr>
                <w:rFonts w:ascii="Arial" w:eastAsia="SimSun" w:hAnsi="Arial" w:cs="Arial"/>
                <w:sz w:val="17"/>
                <w:szCs w:val="18"/>
              </w:rPr>
            </w:pPr>
            <w:r w:rsidRPr="003F2574">
              <w:rPr>
                <w:rFonts w:ascii="Arial" w:eastAsia="SimSun" w:hAnsi="Arial" w:cs="Arial"/>
                <w:sz w:val="17"/>
                <w:szCs w:val="18"/>
              </w:rPr>
              <w:t>-0.002***</w:t>
            </w:r>
          </w:p>
        </w:tc>
      </w:tr>
      <w:tr w:rsidR="001F2ACA" w:rsidRPr="003F2574" w14:paraId="23D1DFB7" w14:textId="77777777" w:rsidTr="0096518D">
        <w:trPr>
          <w:jc w:val="center"/>
        </w:trPr>
        <w:tc>
          <w:tcPr>
            <w:tcW w:w="1423" w:type="pct"/>
            <w:vMerge/>
            <w:shd w:val="clear" w:color="auto" w:fill="auto"/>
            <w:tcMar>
              <w:top w:w="0" w:type="dxa"/>
              <w:left w:w="108" w:type="dxa"/>
              <w:bottom w:w="0" w:type="dxa"/>
              <w:right w:w="108" w:type="dxa"/>
            </w:tcMar>
            <w:hideMark/>
          </w:tcPr>
          <w:p w14:paraId="43DDE40B" w14:textId="77777777" w:rsidR="001F2ACA" w:rsidRPr="003F2574" w:rsidRDefault="001F2ACA" w:rsidP="0096518D">
            <w:pPr>
              <w:keepNext/>
              <w:keepLines/>
              <w:tabs>
                <w:tab w:val="clear" w:pos="850"/>
                <w:tab w:val="clear" w:pos="1191"/>
                <w:tab w:val="clear" w:pos="1531"/>
                <w:tab w:val="left" w:pos="340"/>
                <w:tab w:val="left" w:pos="680"/>
              </w:tabs>
              <w:spacing w:before="20" w:after="20"/>
              <w:jc w:val="left"/>
              <w:rPr>
                <w:rFonts w:ascii="Arial" w:eastAsia="SimSun" w:hAnsi="Arial" w:cs="Arial"/>
                <w:sz w:val="17"/>
                <w:szCs w:val="17"/>
              </w:rPr>
            </w:pPr>
          </w:p>
        </w:tc>
        <w:tc>
          <w:tcPr>
            <w:tcW w:w="596" w:type="pct"/>
            <w:shd w:val="clear" w:color="auto" w:fill="auto"/>
            <w:tcMar>
              <w:top w:w="0" w:type="dxa"/>
              <w:left w:w="108" w:type="dxa"/>
              <w:bottom w:w="0" w:type="dxa"/>
              <w:right w:w="108" w:type="dxa"/>
            </w:tcMar>
            <w:hideMark/>
          </w:tcPr>
          <w:p w14:paraId="32825782" w14:textId="77777777" w:rsidR="001F2ACA" w:rsidRPr="003F2574" w:rsidRDefault="001F2ACA" w:rsidP="0096518D">
            <w:pPr>
              <w:keepNext/>
              <w:keepLines/>
              <w:tabs>
                <w:tab w:val="clear" w:pos="850"/>
                <w:tab w:val="clear" w:pos="1191"/>
                <w:tab w:val="clear" w:pos="1531"/>
                <w:tab w:val="left" w:pos="340"/>
                <w:tab w:val="left" w:pos="680"/>
              </w:tabs>
              <w:spacing w:before="20" w:after="20"/>
              <w:jc w:val="center"/>
              <w:rPr>
                <w:rFonts w:ascii="Arial" w:eastAsia="SimSun" w:hAnsi="Arial" w:cs="Arial"/>
                <w:sz w:val="17"/>
                <w:szCs w:val="18"/>
              </w:rPr>
            </w:pPr>
            <w:r w:rsidRPr="003F2574">
              <w:rPr>
                <w:rFonts w:ascii="Arial" w:eastAsia="SimSun" w:hAnsi="Arial" w:cs="Arial"/>
                <w:sz w:val="17"/>
                <w:szCs w:val="18"/>
              </w:rPr>
              <w:t>(0.002)</w:t>
            </w:r>
          </w:p>
        </w:tc>
        <w:tc>
          <w:tcPr>
            <w:tcW w:w="596" w:type="pct"/>
            <w:shd w:val="clear" w:color="auto" w:fill="auto"/>
            <w:tcMar>
              <w:top w:w="0" w:type="dxa"/>
              <w:left w:w="108" w:type="dxa"/>
              <w:bottom w:w="0" w:type="dxa"/>
              <w:right w:w="108" w:type="dxa"/>
            </w:tcMar>
            <w:hideMark/>
          </w:tcPr>
          <w:p w14:paraId="4D63E414" w14:textId="77777777" w:rsidR="001F2ACA" w:rsidRPr="003F2574" w:rsidRDefault="001F2ACA" w:rsidP="0096518D">
            <w:pPr>
              <w:keepNext/>
              <w:keepLines/>
              <w:tabs>
                <w:tab w:val="clear" w:pos="850"/>
                <w:tab w:val="clear" w:pos="1191"/>
                <w:tab w:val="clear" w:pos="1531"/>
                <w:tab w:val="left" w:pos="340"/>
                <w:tab w:val="left" w:pos="680"/>
              </w:tabs>
              <w:spacing w:before="20" w:after="20"/>
              <w:jc w:val="center"/>
              <w:rPr>
                <w:rFonts w:ascii="Arial" w:eastAsia="SimSun" w:hAnsi="Arial" w:cs="Arial"/>
                <w:sz w:val="17"/>
                <w:szCs w:val="18"/>
              </w:rPr>
            </w:pPr>
            <w:r w:rsidRPr="003F2574">
              <w:rPr>
                <w:rFonts w:ascii="Arial" w:eastAsia="SimSun" w:hAnsi="Arial" w:cs="Arial"/>
                <w:sz w:val="17"/>
                <w:szCs w:val="18"/>
              </w:rPr>
              <w:t> </w:t>
            </w:r>
          </w:p>
        </w:tc>
        <w:tc>
          <w:tcPr>
            <w:tcW w:w="596" w:type="pct"/>
            <w:shd w:val="clear" w:color="auto" w:fill="auto"/>
            <w:tcMar>
              <w:top w:w="0" w:type="dxa"/>
              <w:left w:w="108" w:type="dxa"/>
              <w:bottom w:w="0" w:type="dxa"/>
              <w:right w:w="108" w:type="dxa"/>
            </w:tcMar>
            <w:hideMark/>
          </w:tcPr>
          <w:p w14:paraId="0C31A28B" w14:textId="77777777" w:rsidR="001F2ACA" w:rsidRPr="003F2574" w:rsidRDefault="001F2ACA" w:rsidP="0096518D">
            <w:pPr>
              <w:keepNext/>
              <w:keepLines/>
              <w:tabs>
                <w:tab w:val="clear" w:pos="850"/>
                <w:tab w:val="clear" w:pos="1191"/>
                <w:tab w:val="clear" w:pos="1531"/>
                <w:tab w:val="left" w:pos="340"/>
                <w:tab w:val="left" w:pos="680"/>
              </w:tabs>
              <w:spacing w:before="20" w:after="20"/>
              <w:jc w:val="center"/>
              <w:rPr>
                <w:rFonts w:ascii="Arial" w:eastAsia="SimSun" w:hAnsi="Arial" w:cs="Arial"/>
                <w:sz w:val="17"/>
                <w:szCs w:val="18"/>
              </w:rPr>
            </w:pPr>
            <w:r w:rsidRPr="003F2574">
              <w:rPr>
                <w:rFonts w:ascii="Arial" w:eastAsia="SimSun" w:hAnsi="Arial" w:cs="Arial"/>
                <w:sz w:val="17"/>
                <w:szCs w:val="18"/>
              </w:rPr>
              <w:t>(0.001)</w:t>
            </w:r>
          </w:p>
        </w:tc>
        <w:tc>
          <w:tcPr>
            <w:tcW w:w="596" w:type="pct"/>
            <w:shd w:val="clear" w:color="auto" w:fill="auto"/>
            <w:tcMar>
              <w:top w:w="0" w:type="dxa"/>
              <w:left w:w="108" w:type="dxa"/>
              <w:bottom w:w="0" w:type="dxa"/>
              <w:right w:w="108" w:type="dxa"/>
            </w:tcMar>
            <w:hideMark/>
          </w:tcPr>
          <w:p w14:paraId="673568B7" w14:textId="77777777" w:rsidR="001F2ACA" w:rsidRPr="003F2574" w:rsidRDefault="001F2ACA" w:rsidP="0096518D">
            <w:pPr>
              <w:keepNext/>
              <w:keepLines/>
              <w:tabs>
                <w:tab w:val="clear" w:pos="850"/>
                <w:tab w:val="clear" w:pos="1191"/>
                <w:tab w:val="clear" w:pos="1531"/>
                <w:tab w:val="left" w:pos="340"/>
                <w:tab w:val="left" w:pos="680"/>
              </w:tabs>
              <w:spacing w:before="20" w:after="20"/>
              <w:jc w:val="center"/>
              <w:rPr>
                <w:rFonts w:ascii="Arial" w:eastAsia="SimSun" w:hAnsi="Arial" w:cs="Arial"/>
                <w:sz w:val="17"/>
                <w:szCs w:val="18"/>
              </w:rPr>
            </w:pPr>
            <w:r w:rsidRPr="003F2574">
              <w:rPr>
                <w:rFonts w:ascii="Arial" w:eastAsia="SimSun" w:hAnsi="Arial" w:cs="Arial"/>
                <w:sz w:val="17"/>
                <w:szCs w:val="18"/>
              </w:rPr>
              <w:t>(0.002)</w:t>
            </w:r>
          </w:p>
        </w:tc>
        <w:tc>
          <w:tcPr>
            <w:tcW w:w="596" w:type="pct"/>
            <w:shd w:val="clear" w:color="auto" w:fill="auto"/>
            <w:tcMar>
              <w:top w:w="0" w:type="dxa"/>
              <w:left w:w="108" w:type="dxa"/>
              <w:bottom w:w="0" w:type="dxa"/>
              <w:right w:w="108" w:type="dxa"/>
            </w:tcMar>
            <w:hideMark/>
          </w:tcPr>
          <w:p w14:paraId="06FF137E" w14:textId="77777777" w:rsidR="001F2ACA" w:rsidRPr="003F2574" w:rsidRDefault="001F2ACA" w:rsidP="0096518D">
            <w:pPr>
              <w:keepNext/>
              <w:keepLines/>
              <w:tabs>
                <w:tab w:val="clear" w:pos="850"/>
                <w:tab w:val="clear" w:pos="1191"/>
                <w:tab w:val="clear" w:pos="1531"/>
                <w:tab w:val="left" w:pos="340"/>
                <w:tab w:val="left" w:pos="680"/>
              </w:tabs>
              <w:spacing w:before="20" w:after="20"/>
              <w:jc w:val="center"/>
              <w:rPr>
                <w:rFonts w:ascii="Arial" w:eastAsia="SimSun" w:hAnsi="Arial" w:cs="Arial"/>
                <w:sz w:val="17"/>
                <w:szCs w:val="18"/>
              </w:rPr>
            </w:pPr>
            <w:r w:rsidRPr="003F2574">
              <w:rPr>
                <w:rFonts w:ascii="Arial" w:eastAsia="SimSun" w:hAnsi="Arial" w:cs="Arial"/>
                <w:sz w:val="17"/>
                <w:szCs w:val="18"/>
              </w:rPr>
              <w:t> </w:t>
            </w:r>
          </w:p>
        </w:tc>
        <w:tc>
          <w:tcPr>
            <w:tcW w:w="596" w:type="pct"/>
            <w:shd w:val="clear" w:color="auto" w:fill="auto"/>
            <w:tcMar>
              <w:top w:w="0" w:type="dxa"/>
              <w:left w:w="108" w:type="dxa"/>
              <w:bottom w:w="0" w:type="dxa"/>
              <w:right w:w="108" w:type="dxa"/>
            </w:tcMar>
            <w:hideMark/>
          </w:tcPr>
          <w:p w14:paraId="029B888B" w14:textId="77777777" w:rsidR="001F2ACA" w:rsidRPr="003F2574" w:rsidRDefault="001F2ACA" w:rsidP="0096518D">
            <w:pPr>
              <w:keepNext/>
              <w:keepLines/>
              <w:tabs>
                <w:tab w:val="clear" w:pos="850"/>
                <w:tab w:val="clear" w:pos="1191"/>
                <w:tab w:val="clear" w:pos="1531"/>
                <w:tab w:val="left" w:pos="340"/>
                <w:tab w:val="left" w:pos="680"/>
              </w:tabs>
              <w:spacing w:before="20" w:after="20"/>
              <w:jc w:val="center"/>
              <w:rPr>
                <w:rFonts w:ascii="Arial" w:eastAsia="SimSun" w:hAnsi="Arial" w:cs="Arial"/>
                <w:sz w:val="17"/>
                <w:szCs w:val="18"/>
              </w:rPr>
            </w:pPr>
            <w:r w:rsidRPr="003F2574">
              <w:rPr>
                <w:rFonts w:ascii="Arial" w:eastAsia="SimSun" w:hAnsi="Arial" w:cs="Arial"/>
                <w:sz w:val="17"/>
                <w:szCs w:val="18"/>
              </w:rPr>
              <w:t>(0.001)</w:t>
            </w:r>
          </w:p>
        </w:tc>
      </w:tr>
      <w:tr w:rsidR="001F2ACA" w:rsidRPr="003F2574" w14:paraId="1F416D77" w14:textId="77777777" w:rsidTr="0096518D">
        <w:trPr>
          <w:jc w:val="center"/>
        </w:trPr>
        <w:tc>
          <w:tcPr>
            <w:tcW w:w="1423" w:type="pct"/>
            <w:vMerge w:val="restart"/>
            <w:shd w:val="clear" w:color="auto" w:fill="auto"/>
            <w:tcMar>
              <w:top w:w="0" w:type="dxa"/>
              <w:left w:w="108" w:type="dxa"/>
              <w:bottom w:w="0" w:type="dxa"/>
              <w:right w:w="108" w:type="dxa"/>
            </w:tcMar>
            <w:hideMark/>
          </w:tcPr>
          <w:p w14:paraId="45803132" w14:textId="77777777" w:rsidR="001F2ACA" w:rsidRPr="003F2574" w:rsidRDefault="001F2ACA" w:rsidP="0096518D">
            <w:pPr>
              <w:keepNext/>
              <w:keepLines/>
              <w:tabs>
                <w:tab w:val="clear" w:pos="850"/>
                <w:tab w:val="clear" w:pos="1191"/>
                <w:tab w:val="clear" w:pos="1531"/>
                <w:tab w:val="left" w:pos="340"/>
                <w:tab w:val="left" w:pos="680"/>
              </w:tabs>
              <w:spacing w:before="20" w:after="20"/>
              <w:jc w:val="left"/>
              <w:rPr>
                <w:rFonts w:ascii="Arial" w:eastAsia="SimSun" w:hAnsi="Arial" w:cs="Arial"/>
                <w:sz w:val="17"/>
                <w:szCs w:val="17"/>
              </w:rPr>
            </w:pPr>
            <w:r w:rsidRPr="003F2574">
              <w:rPr>
                <w:rFonts w:ascii="Arial" w:hAnsi="Arial" w:cs="Arial"/>
                <w:sz w:val="17"/>
                <w:szCs w:val="17"/>
              </w:rPr>
              <w:t>Centralisation of wage bargaining</w:t>
            </w:r>
          </w:p>
        </w:tc>
        <w:tc>
          <w:tcPr>
            <w:tcW w:w="596" w:type="pct"/>
            <w:shd w:val="clear" w:color="auto" w:fill="auto"/>
            <w:tcMar>
              <w:top w:w="0" w:type="dxa"/>
              <w:left w:w="108" w:type="dxa"/>
              <w:bottom w:w="0" w:type="dxa"/>
              <w:right w:w="108" w:type="dxa"/>
            </w:tcMar>
            <w:hideMark/>
          </w:tcPr>
          <w:p w14:paraId="61EC211B" w14:textId="77777777" w:rsidR="001F2ACA" w:rsidRPr="003F2574" w:rsidRDefault="001F2ACA" w:rsidP="0096518D">
            <w:pPr>
              <w:keepNext/>
              <w:keepLines/>
              <w:tabs>
                <w:tab w:val="clear" w:pos="850"/>
                <w:tab w:val="clear" w:pos="1191"/>
                <w:tab w:val="clear" w:pos="1531"/>
                <w:tab w:val="left" w:pos="340"/>
                <w:tab w:val="left" w:pos="680"/>
              </w:tabs>
              <w:spacing w:before="20" w:after="20"/>
              <w:jc w:val="center"/>
              <w:rPr>
                <w:rFonts w:ascii="Arial" w:eastAsia="SimSun" w:hAnsi="Arial" w:cs="Arial"/>
                <w:sz w:val="17"/>
                <w:szCs w:val="18"/>
              </w:rPr>
            </w:pPr>
            <w:r w:rsidRPr="003F2574">
              <w:rPr>
                <w:rFonts w:ascii="Arial" w:eastAsia="SimSun" w:hAnsi="Arial" w:cs="Arial"/>
                <w:sz w:val="17"/>
                <w:szCs w:val="18"/>
              </w:rPr>
              <w:t>-0.121**</w:t>
            </w:r>
          </w:p>
        </w:tc>
        <w:tc>
          <w:tcPr>
            <w:tcW w:w="596" w:type="pct"/>
            <w:shd w:val="clear" w:color="auto" w:fill="auto"/>
            <w:tcMar>
              <w:top w:w="0" w:type="dxa"/>
              <w:left w:w="108" w:type="dxa"/>
              <w:bottom w:w="0" w:type="dxa"/>
              <w:right w:w="108" w:type="dxa"/>
            </w:tcMar>
            <w:hideMark/>
          </w:tcPr>
          <w:p w14:paraId="3ABEEFC3" w14:textId="77777777" w:rsidR="001F2ACA" w:rsidRPr="003F2574" w:rsidRDefault="001F2ACA" w:rsidP="0096518D">
            <w:pPr>
              <w:keepNext/>
              <w:keepLines/>
              <w:tabs>
                <w:tab w:val="clear" w:pos="850"/>
                <w:tab w:val="clear" w:pos="1191"/>
                <w:tab w:val="clear" w:pos="1531"/>
                <w:tab w:val="left" w:pos="340"/>
                <w:tab w:val="left" w:pos="680"/>
              </w:tabs>
              <w:spacing w:before="20" w:after="20"/>
              <w:jc w:val="center"/>
              <w:rPr>
                <w:rFonts w:ascii="Arial" w:eastAsia="SimSun" w:hAnsi="Arial" w:cs="Arial"/>
                <w:sz w:val="17"/>
                <w:szCs w:val="18"/>
              </w:rPr>
            </w:pPr>
            <w:r w:rsidRPr="003F2574">
              <w:rPr>
                <w:rFonts w:ascii="Arial" w:eastAsia="SimSun" w:hAnsi="Arial" w:cs="Arial"/>
                <w:sz w:val="17"/>
                <w:szCs w:val="18"/>
              </w:rPr>
              <w:t>-0.204***</w:t>
            </w:r>
          </w:p>
        </w:tc>
        <w:tc>
          <w:tcPr>
            <w:tcW w:w="596" w:type="pct"/>
            <w:shd w:val="clear" w:color="auto" w:fill="auto"/>
            <w:tcMar>
              <w:top w:w="0" w:type="dxa"/>
              <w:left w:w="108" w:type="dxa"/>
              <w:bottom w:w="0" w:type="dxa"/>
              <w:right w:w="108" w:type="dxa"/>
            </w:tcMar>
            <w:hideMark/>
          </w:tcPr>
          <w:p w14:paraId="4A00D558" w14:textId="77777777" w:rsidR="001F2ACA" w:rsidRPr="003F2574" w:rsidRDefault="001F2ACA" w:rsidP="0096518D">
            <w:pPr>
              <w:keepNext/>
              <w:keepLines/>
              <w:tabs>
                <w:tab w:val="clear" w:pos="850"/>
                <w:tab w:val="clear" w:pos="1191"/>
                <w:tab w:val="clear" w:pos="1531"/>
                <w:tab w:val="left" w:pos="340"/>
                <w:tab w:val="left" w:pos="680"/>
              </w:tabs>
              <w:spacing w:before="20" w:after="20"/>
              <w:jc w:val="center"/>
              <w:rPr>
                <w:rFonts w:ascii="Arial" w:eastAsia="SimSun" w:hAnsi="Arial" w:cs="Arial"/>
                <w:sz w:val="17"/>
                <w:szCs w:val="18"/>
              </w:rPr>
            </w:pPr>
            <w:r w:rsidRPr="003F2574">
              <w:rPr>
                <w:rFonts w:ascii="Arial" w:eastAsia="SimSun" w:hAnsi="Arial" w:cs="Arial"/>
                <w:sz w:val="17"/>
                <w:szCs w:val="18"/>
              </w:rPr>
              <w:t>-0.03</w:t>
            </w:r>
          </w:p>
        </w:tc>
        <w:tc>
          <w:tcPr>
            <w:tcW w:w="596" w:type="pct"/>
            <w:shd w:val="clear" w:color="auto" w:fill="auto"/>
            <w:tcMar>
              <w:top w:w="0" w:type="dxa"/>
              <w:left w:w="108" w:type="dxa"/>
              <w:bottom w:w="0" w:type="dxa"/>
              <w:right w:w="108" w:type="dxa"/>
            </w:tcMar>
            <w:hideMark/>
          </w:tcPr>
          <w:p w14:paraId="1D057214" w14:textId="77777777" w:rsidR="001F2ACA" w:rsidRPr="003F2574" w:rsidRDefault="001F2ACA" w:rsidP="0096518D">
            <w:pPr>
              <w:keepNext/>
              <w:keepLines/>
              <w:tabs>
                <w:tab w:val="clear" w:pos="850"/>
                <w:tab w:val="clear" w:pos="1191"/>
                <w:tab w:val="clear" w:pos="1531"/>
                <w:tab w:val="left" w:pos="340"/>
                <w:tab w:val="left" w:pos="680"/>
              </w:tabs>
              <w:spacing w:before="20" w:after="20"/>
              <w:jc w:val="center"/>
              <w:rPr>
                <w:rFonts w:ascii="Arial" w:eastAsia="SimSun" w:hAnsi="Arial" w:cs="Arial"/>
                <w:sz w:val="17"/>
                <w:szCs w:val="18"/>
              </w:rPr>
            </w:pPr>
            <w:r w:rsidRPr="003F2574">
              <w:rPr>
                <w:rFonts w:ascii="Arial" w:eastAsia="SimSun" w:hAnsi="Arial" w:cs="Arial"/>
                <w:sz w:val="17"/>
                <w:szCs w:val="18"/>
              </w:rPr>
              <w:t>-0.121**</w:t>
            </w:r>
          </w:p>
        </w:tc>
        <w:tc>
          <w:tcPr>
            <w:tcW w:w="596" w:type="pct"/>
            <w:shd w:val="clear" w:color="auto" w:fill="auto"/>
            <w:tcMar>
              <w:top w:w="0" w:type="dxa"/>
              <w:left w:w="108" w:type="dxa"/>
              <w:bottom w:w="0" w:type="dxa"/>
              <w:right w:w="108" w:type="dxa"/>
            </w:tcMar>
            <w:hideMark/>
          </w:tcPr>
          <w:p w14:paraId="74F62C53" w14:textId="77777777" w:rsidR="001F2ACA" w:rsidRPr="003F2574" w:rsidRDefault="001F2ACA" w:rsidP="0096518D">
            <w:pPr>
              <w:keepNext/>
              <w:keepLines/>
              <w:tabs>
                <w:tab w:val="clear" w:pos="850"/>
                <w:tab w:val="clear" w:pos="1191"/>
                <w:tab w:val="clear" w:pos="1531"/>
                <w:tab w:val="left" w:pos="340"/>
                <w:tab w:val="left" w:pos="680"/>
              </w:tabs>
              <w:spacing w:before="20" w:after="20"/>
              <w:jc w:val="center"/>
              <w:rPr>
                <w:rFonts w:ascii="Arial" w:eastAsia="SimSun" w:hAnsi="Arial" w:cs="Arial"/>
                <w:sz w:val="17"/>
                <w:szCs w:val="18"/>
              </w:rPr>
            </w:pPr>
            <w:r w:rsidRPr="003F2574">
              <w:rPr>
                <w:rFonts w:ascii="Arial" w:eastAsia="SimSun" w:hAnsi="Arial" w:cs="Arial"/>
                <w:sz w:val="17"/>
                <w:szCs w:val="18"/>
              </w:rPr>
              <w:t>-0.204***</w:t>
            </w:r>
          </w:p>
        </w:tc>
        <w:tc>
          <w:tcPr>
            <w:tcW w:w="596" w:type="pct"/>
            <w:shd w:val="clear" w:color="auto" w:fill="auto"/>
            <w:tcMar>
              <w:top w:w="0" w:type="dxa"/>
              <w:left w:w="108" w:type="dxa"/>
              <w:bottom w:w="0" w:type="dxa"/>
              <w:right w:w="108" w:type="dxa"/>
            </w:tcMar>
            <w:hideMark/>
          </w:tcPr>
          <w:p w14:paraId="230F5BCC" w14:textId="77777777" w:rsidR="001F2ACA" w:rsidRPr="003F2574" w:rsidRDefault="001F2ACA" w:rsidP="0096518D">
            <w:pPr>
              <w:keepNext/>
              <w:keepLines/>
              <w:tabs>
                <w:tab w:val="clear" w:pos="850"/>
                <w:tab w:val="clear" w:pos="1191"/>
                <w:tab w:val="clear" w:pos="1531"/>
                <w:tab w:val="left" w:pos="340"/>
                <w:tab w:val="left" w:pos="680"/>
              </w:tabs>
              <w:spacing w:before="20" w:after="20"/>
              <w:jc w:val="center"/>
              <w:rPr>
                <w:rFonts w:ascii="Arial" w:eastAsia="SimSun" w:hAnsi="Arial" w:cs="Arial"/>
                <w:sz w:val="17"/>
                <w:szCs w:val="18"/>
              </w:rPr>
            </w:pPr>
            <w:r w:rsidRPr="003F2574">
              <w:rPr>
                <w:rFonts w:ascii="Arial" w:eastAsia="SimSun" w:hAnsi="Arial" w:cs="Arial"/>
                <w:sz w:val="17"/>
                <w:szCs w:val="18"/>
              </w:rPr>
              <w:t>-0.03</w:t>
            </w:r>
          </w:p>
        </w:tc>
      </w:tr>
      <w:tr w:rsidR="001F2ACA" w:rsidRPr="003F2574" w14:paraId="0CD6F1F8" w14:textId="77777777" w:rsidTr="0096518D">
        <w:trPr>
          <w:jc w:val="center"/>
        </w:trPr>
        <w:tc>
          <w:tcPr>
            <w:tcW w:w="1423" w:type="pct"/>
            <w:vMerge/>
            <w:shd w:val="clear" w:color="auto" w:fill="auto"/>
            <w:tcMar>
              <w:top w:w="0" w:type="dxa"/>
              <w:left w:w="108" w:type="dxa"/>
              <w:bottom w:w="0" w:type="dxa"/>
              <w:right w:w="108" w:type="dxa"/>
            </w:tcMar>
            <w:hideMark/>
          </w:tcPr>
          <w:p w14:paraId="2C11253B" w14:textId="77777777" w:rsidR="001F2ACA" w:rsidRPr="003F2574" w:rsidRDefault="001F2ACA" w:rsidP="0096518D">
            <w:pPr>
              <w:keepNext/>
              <w:keepLines/>
              <w:tabs>
                <w:tab w:val="clear" w:pos="850"/>
                <w:tab w:val="clear" w:pos="1191"/>
                <w:tab w:val="clear" w:pos="1531"/>
                <w:tab w:val="left" w:pos="340"/>
                <w:tab w:val="left" w:pos="680"/>
              </w:tabs>
              <w:spacing w:before="20" w:after="20"/>
              <w:jc w:val="left"/>
              <w:rPr>
                <w:rFonts w:ascii="Arial" w:eastAsia="SimSun" w:hAnsi="Arial" w:cs="Arial"/>
                <w:sz w:val="17"/>
                <w:szCs w:val="17"/>
              </w:rPr>
            </w:pPr>
          </w:p>
        </w:tc>
        <w:tc>
          <w:tcPr>
            <w:tcW w:w="596" w:type="pct"/>
            <w:shd w:val="clear" w:color="auto" w:fill="auto"/>
            <w:tcMar>
              <w:top w:w="0" w:type="dxa"/>
              <w:left w:w="108" w:type="dxa"/>
              <w:bottom w:w="0" w:type="dxa"/>
              <w:right w:w="108" w:type="dxa"/>
            </w:tcMar>
            <w:hideMark/>
          </w:tcPr>
          <w:p w14:paraId="28CE0859" w14:textId="77777777" w:rsidR="001F2ACA" w:rsidRPr="003F2574" w:rsidRDefault="001F2ACA" w:rsidP="0096518D">
            <w:pPr>
              <w:keepNext/>
              <w:keepLines/>
              <w:tabs>
                <w:tab w:val="clear" w:pos="850"/>
                <w:tab w:val="clear" w:pos="1191"/>
                <w:tab w:val="clear" w:pos="1531"/>
                <w:tab w:val="left" w:pos="340"/>
                <w:tab w:val="left" w:pos="680"/>
              </w:tabs>
              <w:spacing w:before="20" w:after="20"/>
              <w:jc w:val="center"/>
              <w:rPr>
                <w:rFonts w:ascii="Arial" w:eastAsia="SimSun" w:hAnsi="Arial" w:cs="Arial"/>
                <w:sz w:val="17"/>
                <w:szCs w:val="18"/>
              </w:rPr>
            </w:pPr>
            <w:r w:rsidRPr="003F2574">
              <w:rPr>
                <w:rFonts w:ascii="Arial" w:eastAsia="SimSun" w:hAnsi="Arial" w:cs="Arial"/>
                <w:sz w:val="17"/>
                <w:szCs w:val="18"/>
              </w:rPr>
              <w:t>(0.061)</w:t>
            </w:r>
          </w:p>
        </w:tc>
        <w:tc>
          <w:tcPr>
            <w:tcW w:w="596" w:type="pct"/>
            <w:shd w:val="clear" w:color="auto" w:fill="auto"/>
            <w:tcMar>
              <w:top w:w="0" w:type="dxa"/>
              <w:left w:w="108" w:type="dxa"/>
              <w:bottom w:w="0" w:type="dxa"/>
              <w:right w:w="108" w:type="dxa"/>
            </w:tcMar>
            <w:hideMark/>
          </w:tcPr>
          <w:p w14:paraId="032315DA" w14:textId="77777777" w:rsidR="001F2ACA" w:rsidRPr="003F2574" w:rsidRDefault="001F2ACA" w:rsidP="0096518D">
            <w:pPr>
              <w:keepNext/>
              <w:keepLines/>
              <w:tabs>
                <w:tab w:val="clear" w:pos="850"/>
                <w:tab w:val="clear" w:pos="1191"/>
                <w:tab w:val="clear" w:pos="1531"/>
                <w:tab w:val="left" w:pos="340"/>
                <w:tab w:val="left" w:pos="680"/>
              </w:tabs>
              <w:spacing w:before="20" w:after="20"/>
              <w:jc w:val="center"/>
              <w:rPr>
                <w:rFonts w:ascii="Arial" w:eastAsia="SimSun" w:hAnsi="Arial" w:cs="Arial"/>
                <w:sz w:val="17"/>
                <w:szCs w:val="18"/>
              </w:rPr>
            </w:pPr>
            <w:r w:rsidRPr="003F2574">
              <w:rPr>
                <w:rFonts w:ascii="Arial" w:eastAsia="SimSun" w:hAnsi="Arial" w:cs="Arial"/>
                <w:sz w:val="17"/>
                <w:szCs w:val="18"/>
              </w:rPr>
              <w:t>(0.052)</w:t>
            </w:r>
          </w:p>
        </w:tc>
        <w:tc>
          <w:tcPr>
            <w:tcW w:w="596" w:type="pct"/>
            <w:shd w:val="clear" w:color="auto" w:fill="auto"/>
            <w:tcMar>
              <w:top w:w="0" w:type="dxa"/>
              <w:left w:w="108" w:type="dxa"/>
              <w:bottom w:w="0" w:type="dxa"/>
              <w:right w:w="108" w:type="dxa"/>
            </w:tcMar>
            <w:hideMark/>
          </w:tcPr>
          <w:p w14:paraId="740A05AA" w14:textId="77777777" w:rsidR="001F2ACA" w:rsidRPr="003F2574" w:rsidRDefault="001F2ACA" w:rsidP="0096518D">
            <w:pPr>
              <w:keepNext/>
              <w:keepLines/>
              <w:tabs>
                <w:tab w:val="clear" w:pos="850"/>
                <w:tab w:val="clear" w:pos="1191"/>
                <w:tab w:val="clear" w:pos="1531"/>
                <w:tab w:val="left" w:pos="340"/>
                <w:tab w:val="left" w:pos="680"/>
              </w:tabs>
              <w:spacing w:before="20" w:after="20"/>
              <w:jc w:val="center"/>
              <w:rPr>
                <w:rFonts w:ascii="Arial" w:eastAsia="SimSun" w:hAnsi="Arial" w:cs="Arial"/>
                <w:sz w:val="17"/>
                <w:szCs w:val="18"/>
              </w:rPr>
            </w:pPr>
            <w:r w:rsidRPr="003F2574">
              <w:rPr>
                <w:rFonts w:ascii="Arial" w:eastAsia="SimSun" w:hAnsi="Arial" w:cs="Arial"/>
                <w:sz w:val="17"/>
                <w:szCs w:val="18"/>
              </w:rPr>
              <w:t>(0.02)</w:t>
            </w:r>
          </w:p>
        </w:tc>
        <w:tc>
          <w:tcPr>
            <w:tcW w:w="596" w:type="pct"/>
            <w:shd w:val="clear" w:color="auto" w:fill="auto"/>
            <w:tcMar>
              <w:top w:w="0" w:type="dxa"/>
              <w:left w:w="108" w:type="dxa"/>
              <w:bottom w:w="0" w:type="dxa"/>
              <w:right w:w="108" w:type="dxa"/>
            </w:tcMar>
            <w:hideMark/>
          </w:tcPr>
          <w:p w14:paraId="3F8830D0" w14:textId="77777777" w:rsidR="001F2ACA" w:rsidRPr="003F2574" w:rsidRDefault="001F2ACA" w:rsidP="0096518D">
            <w:pPr>
              <w:keepNext/>
              <w:keepLines/>
              <w:tabs>
                <w:tab w:val="clear" w:pos="850"/>
                <w:tab w:val="clear" w:pos="1191"/>
                <w:tab w:val="clear" w:pos="1531"/>
                <w:tab w:val="left" w:pos="340"/>
                <w:tab w:val="left" w:pos="680"/>
              </w:tabs>
              <w:spacing w:before="20" w:after="20"/>
              <w:jc w:val="center"/>
              <w:rPr>
                <w:rFonts w:ascii="Arial" w:eastAsia="SimSun" w:hAnsi="Arial" w:cs="Arial"/>
                <w:sz w:val="17"/>
                <w:szCs w:val="18"/>
              </w:rPr>
            </w:pPr>
            <w:r w:rsidRPr="003F2574">
              <w:rPr>
                <w:rFonts w:ascii="Arial" w:eastAsia="SimSun" w:hAnsi="Arial" w:cs="Arial"/>
                <w:sz w:val="17"/>
                <w:szCs w:val="18"/>
              </w:rPr>
              <w:t>(0.061)</w:t>
            </w:r>
          </w:p>
        </w:tc>
        <w:tc>
          <w:tcPr>
            <w:tcW w:w="596" w:type="pct"/>
            <w:shd w:val="clear" w:color="auto" w:fill="auto"/>
            <w:tcMar>
              <w:top w:w="0" w:type="dxa"/>
              <w:left w:w="108" w:type="dxa"/>
              <w:bottom w:w="0" w:type="dxa"/>
              <w:right w:w="108" w:type="dxa"/>
            </w:tcMar>
            <w:hideMark/>
          </w:tcPr>
          <w:p w14:paraId="66C57540" w14:textId="77777777" w:rsidR="001F2ACA" w:rsidRPr="003F2574" w:rsidRDefault="001F2ACA" w:rsidP="0096518D">
            <w:pPr>
              <w:keepNext/>
              <w:keepLines/>
              <w:tabs>
                <w:tab w:val="clear" w:pos="850"/>
                <w:tab w:val="clear" w:pos="1191"/>
                <w:tab w:val="clear" w:pos="1531"/>
                <w:tab w:val="left" w:pos="340"/>
                <w:tab w:val="left" w:pos="680"/>
              </w:tabs>
              <w:spacing w:before="20" w:after="20"/>
              <w:jc w:val="center"/>
              <w:rPr>
                <w:rFonts w:ascii="Arial" w:eastAsia="SimSun" w:hAnsi="Arial" w:cs="Arial"/>
                <w:sz w:val="17"/>
                <w:szCs w:val="18"/>
              </w:rPr>
            </w:pPr>
            <w:r w:rsidRPr="003F2574">
              <w:rPr>
                <w:rFonts w:ascii="Arial" w:eastAsia="SimSun" w:hAnsi="Arial" w:cs="Arial"/>
                <w:sz w:val="17"/>
                <w:szCs w:val="18"/>
              </w:rPr>
              <w:t>(0.052)</w:t>
            </w:r>
          </w:p>
        </w:tc>
        <w:tc>
          <w:tcPr>
            <w:tcW w:w="596" w:type="pct"/>
            <w:shd w:val="clear" w:color="auto" w:fill="auto"/>
            <w:tcMar>
              <w:top w:w="0" w:type="dxa"/>
              <w:left w:w="108" w:type="dxa"/>
              <w:bottom w:w="0" w:type="dxa"/>
              <w:right w:w="108" w:type="dxa"/>
            </w:tcMar>
            <w:hideMark/>
          </w:tcPr>
          <w:p w14:paraId="40300259" w14:textId="77777777" w:rsidR="001F2ACA" w:rsidRPr="003F2574" w:rsidRDefault="001F2ACA" w:rsidP="0096518D">
            <w:pPr>
              <w:keepNext/>
              <w:keepLines/>
              <w:tabs>
                <w:tab w:val="clear" w:pos="850"/>
                <w:tab w:val="clear" w:pos="1191"/>
                <w:tab w:val="clear" w:pos="1531"/>
                <w:tab w:val="left" w:pos="340"/>
                <w:tab w:val="left" w:pos="680"/>
              </w:tabs>
              <w:spacing w:before="20" w:after="20"/>
              <w:jc w:val="center"/>
              <w:rPr>
                <w:rFonts w:ascii="Arial" w:eastAsia="SimSun" w:hAnsi="Arial" w:cs="Arial"/>
                <w:sz w:val="17"/>
                <w:szCs w:val="18"/>
              </w:rPr>
            </w:pPr>
            <w:r w:rsidRPr="003F2574">
              <w:rPr>
                <w:rFonts w:ascii="Arial" w:eastAsia="SimSun" w:hAnsi="Arial" w:cs="Arial"/>
                <w:sz w:val="17"/>
                <w:szCs w:val="18"/>
              </w:rPr>
              <w:t>(0.02)</w:t>
            </w:r>
          </w:p>
        </w:tc>
      </w:tr>
      <w:tr w:rsidR="001F2ACA" w:rsidRPr="003F2574" w14:paraId="79D28511" w14:textId="77777777" w:rsidTr="0096518D">
        <w:trPr>
          <w:jc w:val="center"/>
        </w:trPr>
        <w:tc>
          <w:tcPr>
            <w:tcW w:w="1423" w:type="pct"/>
            <w:vMerge w:val="restart"/>
            <w:shd w:val="clear" w:color="auto" w:fill="auto"/>
            <w:tcMar>
              <w:top w:w="0" w:type="dxa"/>
              <w:left w:w="108" w:type="dxa"/>
              <w:bottom w:w="0" w:type="dxa"/>
              <w:right w:w="108" w:type="dxa"/>
            </w:tcMar>
            <w:hideMark/>
          </w:tcPr>
          <w:p w14:paraId="2D0D5E35" w14:textId="77777777" w:rsidR="001F2ACA" w:rsidRPr="003F2574" w:rsidRDefault="001F2ACA" w:rsidP="0096518D">
            <w:pPr>
              <w:keepNext/>
              <w:keepLines/>
              <w:tabs>
                <w:tab w:val="clear" w:pos="850"/>
                <w:tab w:val="clear" w:pos="1191"/>
                <w:tab w:val="clear" w:pos="1531"/>
                <w:tab w:val="left" w:pos="340"/>
                <w:tab w:val="left" w:pos="680"/>
              </w:tabs>
              <w:spacing w:before="20" w:after="20"/>
              <w:jc w:val="left"/>
              <w:rPr>
                <w:rFonts w:ascii="Arial" w:eastAsia="SimSun" w:hAnsi="Arial" w:cs="Arial"/>
                <w:sz w:val="17"/>
                <w:szCs w:val="17"/>
              </w:rPr>
            </w:pPr>
            <w:r w:rsidRPr="003F2574">
              <w:rPr>
                <w:rFonts w:ascii="Arial" w:hAnsi="Arial" w:cs="Arial"/>
                <w:sz w:val="17"/>
                <w:szCs w:val="17"/>
              </w:rPr>
              <w:t>Centralisation of wage bargaining (squared)</w:t>
            </w:r>
          </w:p>
        </w:tc>
        <w:tc>
          <w:tcPr>
            <w:tcW w:w="596" w:type="pct"/>
            <w:shd w:val="clear" w:color="auto" w:fill="auto"/>
            <w:tcMar>
              <w:top w:w="0" w:type="dxa"/>
              <w:left w:w="108" w:type="dxa"/>
              <w:bottom w:w="0" w:type="dxa"/>
              <w:right w:w="108" w:type="dxa"/>
            </w:tcMar>
            <w:hideMark/>
          </w:tcPr>
          <w:p w14:paraId="74E3EA0C" w14:textId="77777777" w:rsidR="001F2ACA" w:rsidRPr="003F2574" w:rsidRDefault="001F2ACA" w:rsidP="0096518D">
            <w:pPr>
              <w:keepNext/>
              <w:keepLines/>
              <w:tabs>
                <w:tab w:val="clear" w:pos="850"/>
                <w:tab w:val="clear" w:pos="1191"/>
                <w:tab w:val="clear" w:pos="1531"/>
                <w:tab w:val="left" w:pos="340"/>
                <w:tab w:val="left" w:pos="680"/>
              </w:tabs>
              <w:spacing w:before="20" w:after="20"/>
              <w:jc w:val="center"/>
              <w:rPr>
                <w:rFonts w:ascii="Arial" w:eastAsia="SimSun" w:hAnsi="Arial" w:cs="Arial"/>
                <w:sz w:val="17"/>
                <w:szCs w:val="18"/>
              </w:rPr>
            </w:pPr>
            <w:r w:rsidRPr="003F2574">
              <w:rPr>
                <w:rFonts w:ascii="Arial" w:eastAsia="SimSun" w:hAnsi="Arial" w:cs="Arial"/>
                <w:sz w:val="17"/>
                <w:szCs w:val="18"/>
              </w:rPr>
              <w:t>0.017*</w:t>
            </w:r>
          </w:p>
        </w:tc>
        <w:tc>
          <w:tcPr>
            <w:tcW w:w="596" w:type="pct"/>
            <w:shd w:val="clear" w:color="auto" w:fill="auto"/>
            <w:tcMar>
              <w:top w:w="0" w:type="dxa"/>
              <w:left w:w="108" w:type="dxa"/>
              <w:bottom w:w="0" w:type="dxa"/>
              <w:right w:w="108" w:type="dxa"/>
            </w:tcMar>
            <w:hideMark/>
          </w:tcPr>
          <w:p w14:paraId="6696C38C" w14:textId="77777777" w:rsidR="001F2ACA" w:rsidRPr="003F2574" w:rsidRDefault="001F2ACA" w:rsidP="0096518D">
            <w:pPr>
              <w:keepNext/>
              <w:keepLines/>
              <w:tabs>
                <w:tab w:val="clear" w:pos="850"/>
                <w:tab w:val="clear" w:pos="1191"/>
                <w:tab w:val="clear" w:pos="1531"/>
                <w:tab w:val="left" w:pos="340"/>
                <w:tab w:val="left" w:pos="680"/>
              </w:tabs>
              <w:spacing w:before="20" w:after="20"/>
              <w:jc w:val="center"/>
              <w:rPr>
                <w:rFonts w:ascii="Arial" w:eastAsia="SimSun" w:hAnsi="Arial" w:cs="Arial"/>
                <w:sz w:val="17"/>
                <w:szCs w:val="18"/>
              </w:rPr>
            </w:pPr>
            <w:r w:rsidRPr="003F2574">
              <w:rPr>
                <w:rFonts w:ascii="Arial" w:eastAsia="SimSun" w:hAnsi="Arial" w:cs="Arial"/>
                <w:sz w:val="17"/>
                <w:szCs w:val="18"/>
              </w:rPr>
              <w:t>0.027***</w:t>
            </w:r>
          </w:p>
        </w:tc>
        <w:tc>
          <w:tcPr>
            <w:tcW w:w="596" w:type="pct"/>
            <w:shd w:val="clear" w:color="auto" w:fill="auto"/>
            <w:tcMar>
              <w:top w:w="0" w:type="dxa"/>
              <w:left w:w="108" w:type="dxa"/>
              <w:bottom w:w="0" w:type="dxa"/>
              <w:right w:w="108" w:type="dxa"/>
            </w:tcMar>
            <w:hideMark/>
          </w:tcPr>
          <w:p w14:paraId="40D8AEFF" w14:textId="77777777" w:rsidR="001F2ACA" w:rsidRPr="003F2574" w:rsidRDefault="001F2ACA" w:rsidP="0096518D">
            <w:pPr>
              <w:keepNext/>
              <w:keepLines/>
              <w:tabs>
                <w:tab w:val="clear" w:pos="850"/>
                <w:tab w:val="clear" w:pos="1191"/>
                <w:tab w:val="clear" w:pos="1531"/>
                <w:tab w:val="left" w:pos="340"/>
                <w:tab w:val="left" w:pos="680"/>
              </w:tabs>
              <w:spacing w:before="20" w:after="20"/>
              <w:jc w:val="center"/>
              <w:rPr>
                <w:rFonts w:ascii="Arial" w:eastAsia="SimSun" w:hAnsi="Arial" w:cs="Arial"/>
                <w:sz w:val="17"/>
                <w:szCs w:val="18"/>
              </w:rPr>
            </w:pPr>
            <w:r w:rsidRPr="003F2574">
              <w:rPr>
                <w:rFonts w:ascii="Arial" w:eastAsia="SimSun" w:hAnsi="Arial" w:cs="Arial"/>
                <w:sz w:val="17"/>
                <w:szCs w:val="18"/>
              </w:rPr>
              <w:t>0.005*</w:t>
            </w:r>
          </w:p>
        </w:tc>
        <w:tc>
          <w:tcPr>
            <w:tcW w:w="596" w:type="pct"/>
            <w:shd w:val="clear" w:color="auto" w:fill="auto"/>
            <w:tcMar>
              <w:top w:w="0" w:type="dxa"/>
              <w:left w:w="108" w:type="dxa"/>
              <w:bottom w:w="0" w:type="dxa"/>
              <w:right w:w="108" w:type="dxa"/>
            </w:tcMar>
            <w:hideMark/>
          </w:tcPr>
          <w:p w14:paraId="53BE3E02" w14:textId="77777777" w:rsidR="001F2ACA" w:rsidRPr="003F2574" w:rsidRDefault="001F2ACA" w:rsidP="0096518D">
            <w:pPr>
              <w:keepNext/>
              <w:keepLines/>
              <w:tabs>
                <w:tab w:val="clear" w:pos="850"/>
                <w:tab w:val="clear" w:pos="1191"/>
                <w:tab w:val="clear" w:pos="1531"/>
                <w:tab w:val="left" w:pos="340"/>
                <w:tab w:val="left" w:pos="680"/>
              </w:tabs>
              <w:spacing w:before="20" w:after="20"/>
              <w:jc w:val="center"/>
              <w:rPr>
                <w:rFonts w:ascii="Arial" w:eastAsia="SimSun" w:hAnsi="Arial" w:cs="Arial"/>
                <w:sz w:val="17"/>
                <w:szCs w:val="18"/>
              </w:rPr>
            </w:pPr>
            <w:r w:rsidRPr="003F2574">
              <w:rPr>
                <w:rFonts w:ascii="Arial" w:eastAsia="SimSun" w:hAnsi="Arial" w:cs="Arial"/>
                <w:sz w:val="17"/>
                <w:szCs w:val="18"/>
              </w:rPr>
              <w:t>0.017*</w:t>
            </w:r>
          </w:p>
        </w:tc>
        <w:tc>
          <w:tcPr>
            <w:tcW w:w="596" w:type="pct"/>
            <w:shd w:val="clear" w:color="auto" w:fill="auto"/>
            <w:tcMar>
              <w:top w:w="0" w:type="dxa"/>
              <w:left w:w="108" w:type="dxa"/>
              <w:bottom w:w="0" w:type="dxa"/>
              <w:right w:w="108" w:type="dxa"/>
            </w:tcMar>
            <w:hideMark/>
          </w:tcPr>
          <w:p w14:paraId="445DB69B" w14:textId="77777777" w:rsidR="001F2ACA" w:rsidRPr="003F2574" w:rsidRDefault="001F2ACA" w:rsidP="0096518D">
            <w:pPr>
              <w:keepNext/>
              <w:keepLines/>
              <w:tabs>
                <w:tab w:val="clear" w:pos="850"/>
                <w:tab w:val="clear" w:pos="1191"/>
                <w:tab w:val="clear" w:pos="1531"/>
                <w:tab w:val="left" w:pos="340"/>
                <w:tab w:val="left" w:pos="680"/>
              </w:tabs>
              <w:spacing w:before="20" w:after="20"/>
              <w:jc w:val="center"/>
              <w:rPr>
                <w:rFonts w:ascii="Arial" w:eastAsia="SimSun" w:hAnsi="Arial" w:cs="Arial"/>
                <w:sz w:val="17"/>
                <w:szCs w:val="18"/>
              </w:rPr>
            </w:pPr>
            <w:r w:rsidRPr="003F2574">
              <w:rPr>
                <w:rFonts w:ascii="Arial" w:eastAsia="SimSun" w:hAnsi="Arial" w:cs="Arial"/>
                <w:sz w:val="17"/>
                <w:szCs w:val="18"/>
              </w:rPr>
              <w:t>0.027***</w:t>
            </w:r>
          </w:p>
        </w:tc>
        <w:tc>
          <w:tcPr>
            <w:tcW w:w="596" w:type="pct"/>
            <w:shd w:val="clear" w:color="auto" w:fill="auto"/>
            <w:tcMar>
              <w:top w:w="0" w:type="dxa"/>
              <w:left w:w="108" w:type="dxa"/>
              <w:bottom w:w="0" w:type="dxa"/>
              <w:right w:w="108" w:type="dxa"/>
            </w:tcMar>
            <w:hideMark/>
          </w:tcPr>
          <w:p w14:paraId="5A333704" w14:textId="77777777" w:rsidR="001F2ACA" w:rsidRPr="003F2574" w:rsidRDefault="001F2ACA" w:rsidP="0096518D">
            <w:pPr>
              <w:keepNext/>
              <w:keepLines/>
              <w:tabs>
                <w:tab w:val="clear" w:pos="850"/>
                <w:tab w:val="clear" w:pos="1191"/>
                <w:tab w:val="clear" w:pos="1531"/>
                <w:tab w:val="left" w:pos="340"/>
                <w:tab w:val="left" w:pos="680"/>
              </w:tabs>
              <w:spacing w:before="20" w:after="20"/>
              <w:jc w:val="center"/>
              <w:rPr>
                <w:rFonts w:ascii="Arial" w:eastAsia="SimSun" w:hAnsi="Arial" w:cs="Arial"/>
                <w:sz w:val="17"/>
                <w:szCs w:val="18"/>
              </w:rPr>
            </w:pPr>
            <w:r w:rsidRPr="003F2574">
              <w:rPr>
                <w:rFonts w:ascii="Arial" w:eastAsia="SimSun" w:hAnsi="Arial" w:cs="Arial"/>
                <w:sz w:val="17"/>
                <w:szCs w:val="18"/>
              </w:rPr>
              <w:t>0.005*</w:t>
            </w:r>
          </w:p>
        </w:tc>
      </w:tr>
      <w:tr w:rsidR="001F2ACA" w:rsidRPr="003F2574" w14:paraId="5B918688" w14:textId="77777777" w:rsidTr="0096518D">
        <w:trPr>
          <w:jc w:val="center"/>
        </w:trPr>
        <w:tc>
          <w:tcPr>
            <w:tcW w:w="1423" w:type="pct"/>
            <w:vMerge/>
            <w:shd w:val="clear" w:color="auto" w:fill="auto"/>
            <w:tcMar>
              <w:top w:w="0" w:type="dxa"/>
              <w:left w:w="108" w:type="dxa"/>
              <w:bottom w:w="0" w:type="dxa"/>
              <w:right w:w="108" w:type="dxa"/>
            </w:tcMar>
            <w:hideMark/>
          </w:tcPr>
          <w:p w14:paraId="1C47DD9B" w14:textId="77777777" w:rsidR="001F2ACA" w:rsidRPr="003F2574" w:rsidRDefault="001F2ACA" w:rsidP="0096518D">
            <w:pPr>
              <w:keepNext/>
              <w:keepLines/>
              <w:tabs>
                <w:tab w:val="clear" w:pos="850"/>
                <w:tab w:val="clear" w:pos="1191"/>
                <w:tab w:val="clear" w:pos="1531"/>
                <w:tab w:val="left" w:pos="340"/>
                <w:tab w:val="left" w:pos="680"/>
              </w:tabs>
              <w:spacing w:before="20" w:after="20"/>
              <w:jc w:val="left"/>
              <w:rPr>
                <w:rFonts w:ascii="Arial" w:eastAsia="SimSun" w:hAnsi="Arial" w:cs="Arial"/>
                <w:sz w:val="17"/>
                <w:szCs w:val="17"/>
              </w:rPr>
            </w:pPr>
          </w:p>
        </w:tc>
        <w:tc>
          <w:tcPr>
            <w:tcW w:w="596" w:type="pct"/>
            <w:shd w:val="clear" w:color="auto" w:fill="auto"/>
            <w:tcMar>
              <w:top w:w="0" w:type="dxa"/>
              <w:left w:w="108" w:type="dxa"/>
              <w:bottom w:w="0" w:type="dxa"/>
              <w:right w:w="108" w:type="dxa"/>
            </w:tcMar>
            <w:hideMark/>
          </w:tcPr>
          <w:p w14:paraId="0C0D43AD" w14:textId="77777777" w:rsidR="001F2ACA" w:rsidRPr="003F2574" w:rsidRDefault="001F2ACA" w:rsidP="0096518D">
            <w:pPr>
              <w:keepNext/>
              <w:keepLines/>
              <w:tabs>
                <w:tab w:val="clear" w:pos="850"/>
                <w:tab w:val="clear" w:pos="1191"/>
                <w:tab w:val="clear" w:pos="1531"/>
                <w:tab w:val="left" w:pos="340"/>
                <w:tab w:val="left" w:pos="680"/>
              </w:tabs>
              <w:spacing w:before="20" w:after="20"/>
              <w:jc w:val="center"/>
              <w:rPr>
                <w:rFonts w:ascii="Arial" w:eastAsia="SimSun" w:hAnsi="Arial" w:cs="Arial"/>
                <w:sz w:val="17"/>
                <w:szCs w:val="18"/>
              </w:rPr>
            </w:pPr>
            <w:r w:rsidRPr="003F2574">
              <w:rPr>
                <w:rFonts w:ascii="Arial" w:eastAsia="SimSun" w:hAnsi="Arial" w:cs="Arial"/>
                <w:sz w:val="17"/>
                <w:szCs w:val="18"/>
              </w:rPr>
              <w:t>(0.009)</w:t>
            </w:r>
          </w:p>
        </w:tc>
        <w:tc>
          <w:tcPr>
            <w:tcW w:w="596" w:type="pct"/>
            <w:shd w:val="clear" w:color="auto" w:fill="auto"/>
            <w:tcMar>
              <w:top w:w="0" w:type="dxa"/>
              <w:left w:w="108" w:type="dxa"/>
              <w:bottom w:w="0" w:type="dxa"/>
              <w:right w:w="108" w:type="dxa"/>
            </w:tcMar>
            <w:hideMark/>
          </w:tcPr>
          <w:p w14:paraId="73E9F872" w14:textId="77777777" w:rsidR="001F2ACA" w:rsidRPr="003F2574" w:rsidRDefault="001F2ACA" w:rsidP="0096518D">
            <w:pPr>
              <w:keepNext/>
              <w:keepLines/>
              <w:tabs>
                <w:tab w:val="clear" w:pos="850"/>
                <w:tab w:val="clear" w:pos="1191"/>
                <w:tab w:val="clear" w:pos="1531"/>
                <w:tab w:val="left" w:pos="340"/>
                <w:tab w:val="left" w:pos="680"/>
              </w:tabs>
              <w:spacing w:before="20" w:after="20"/>
              <w:jc w:val="center"/>
              <w:rPr>
                <w:rFonts w:ascii="Arial" w:eastAsia="SimSun" w:hAnsi="Arial" w:cs="Arial"/>
                <w:sz w:val="17"/>
                <w:szCs w:val="18"/>
              </w:rPr>
            </w:pPr>
            <w:r w:rsidRPr="003F2574">
              <w:rPr>
                <w:rFonts w:ascii="Arial" w:eastAsia="SimSun" w:hAnsi="Arial" w:cs="Arial"/>
                <w:sz w:val="17"/>
                <w:szCs w:val="18"/>
              </w:rPr>
              <w:t>(0.007)</w:t>
            </w:r>
          </w:p>
        </w:tc>
        <w:tc>
          <w:tcPr>
            <w:tcW w:w="596" w:type="pct"/>
            <w:shd w:val="clear" w:color="auto" w:fill="auto"/>
            <w:tcMar>
              <w:top w:w="0" w:type="dxa"/>
              <w:left w:w="108" w:type="dxa"/>
              <w:bottom w:w="0" w:type="dxa"/>
              <w:right w:w="108" w:type="dxa"/>
            </w:tcMar>
            <w:hideMark/>
          </w:tcPr>
          <w:p w14:paraId="71ED1AE2" w14:textId="77777777" w:rsidR="001F2ACA" w:rsidRPr="003F2574" w:rsidRDefault="001F2ACA" w:rsidP="0096518D">
            <w:pPr>
              <w:keepNext/>
              <w:keepLines/>
              <w:tabs>
                <w:tab w:val="clear" w:pos="850"/>
                <w:tab w:val="clear" w:pos="1191"/>
                <w:tab w:val="clear" w:pos="1531"/>
                <w:tab w:val="left" w:pos="340"/>
                <w:tab w:val="left" w:pos="680"/>
              </w:tabs>
              <w:spacing w:before="20" w:after="20"/>
              <w:jc w:val="center"/>
              <w:rPr>
                <w:rFonts w:ascii="Arial" w:eastAsia="SimSun" w:hAnsi="Arial" w:cs="Arial"/>
                <w:sz w:val="17"/>
                <w:szCs w:val="18"/>
              </w:rPr>
            </w:pPr>
            <w:r w:rsidRPr="003F2574">
              <w:rPr>
                <w:rFonts w:ascii="Arial" w:eastAsia="SimSun" w:hAnsi="Arial" w:cs="Arial"/>
                <w:sz w:val="17"/>
                <w:szCs w:val="18"/>
              </w:rPr>
              <w:t>(0.003)</w:t>
            </w:r>
          </w:p>
        </w:tc>
        <w:tc>
          <w:tcPr>
            <w:tcW w:w="596" w:type="pct"/>
            <w:shd w:val="clear" w:color="auto" w:fill="auto"/>
            <w:tcMar>
              <w:top w:w="0" w:type="dxa"/>
              <w:left w:w="108" w:type="dxa"/>
              <w:bottom w:w="0" w:type="dxa"/>
              <w:right w:w="108" w:type="dxa"/>
            </w:tcMar>
            <w:hideMark/>
          </w:tcPr>
          <w:p w14:paraId="302D387A" w14:textId="77777777" w:rsidR="001F2ACA" w:rsidRPr="003F2574" w:rsidRDefault="001F2ACA" w:rsidP="0096518D">
            <w:pPr>
              <w:keepNext/>
              <w:keepLines/>
              <w:tabs>
                <w:tab w:val="clear" w:pos="850"/>
                <w:tab w:val="clear" w:pos="1191"/>
                <w:tab w:val="clear" w:pos="1531"/>
                <w:tab w:val="left" w:pos="340"/>
                <w:tab w:val="left" w:pos="680"/>
              </w:tabs>
              <w:spacing w:before="20" w:after="20"/>
              <w:jc w:val="center"/>
              <w:rPr>
                <w:rFonts w:ascii="Arial" w:eastAsia="SimSun" w:hAnsi="Arial" w:cs="Arial"/>
                <w:sz w:val="17"/>
                <w:szCs w:val="18"/>
              </w:rPr>
            </w:pPr>
            <w:r w:rsidRPr="003F2574">
              <w:rPr>
                <w:rFonts w:ascii="Arial" w:eastAsia="SimSun" w:hAnsi="Arial" w:cs="Arial"/>
                <w:sz w:val="17"/>
                <w:szCs w:val="18"/>
              </w:rPr>
              <w:t>(0.009)</w:t>
            </w:r>
          </w:p>
        </w:tc>
        <w:tc>
          <w:tcPr>
            <w:tcW w:w="596" w:type="pct"/>
            <w:shd w:val="clear" w:color="auto" w:fill="auto"/>
            <w:tcMar>
              <w:top w:w="0" w:type="dxa"/>
              <w:left w:w="108" w:type="dxa"/>
              <w:bottom w:w="0" w:type="dxa"/>
              <w:right w:w="108" w:type="dxa"/>
            </w:tcMar>
            <w:hideMark/>
          </w:tcPr>
          <w:p w14:paraId="51DC7B35" w14:textId="77777777" w:rsidR="001F2ACA" w:rsidRPr="003F2574" w:rsidRDefault="001F2ACA" w:rsidP="0096518D">
            <w:pPr>
              <w:keepNext/>
              <w:keepLines/>
              <w:tabs>
                <w:tab w:val="clear" w:pos="850"/>
                <w:tab w:val="clear" w:pos="1191"/>
                <w:tab w:val="clear" w:pos="1531"/>
                <w:tab w:val="left" w:pos="340"/>
                <w:tab w:val="left" w:pos="680"/>
              </w:tabs>
              <w:spacing w:before="20" w:after="20"/>
              <w:jc w:val="center"/>
              <w:rPr>
                <w:rFonts w:ascii="Arial" w:eastAsia="SimSun" w:hAnsi="Arial" w:cs="Arial"/>
                <w:sz w:val="17"/>
                <w:szCs w:val="18"/>
              </w:rPr>
            </w:pPr>
            <w:r w:rsidRPr="003F2574">
              <w:rPr>
                <w:rFonts w:ascii="Arial" w:eastAsia="SimSun" w:hAnsi="Arial" w:cs="Arial"/>
                <w:sz w:val="17"/>
                <w:szCs w:val="18"/>
              </w:rPr>
              <w:t>(0.007)</w:t>
            </w:r>
          </w:p>
        </w:tc>
        <w:tc>
          <w:tcPr>
            <w:tcW w:w="596" w:type="pct"/>
            <w:shd w:val="clear" w:color="auto" w:fill="auto"/>
            <w:tcMar>
              <w:top w:w="0" w:type="dxa"/>
              <w:left w:w="108" w:type="dxa"/>
              <w:bottom w:w="0" w:type="dxa"/>
              <w:right w:w="108" w:type="dxa"/>
            </w:tcMar>
            <w:hideMark/>
          </w:tcPr>
          <w:p w14:paraId="126F86C2" w14:textId="77777777" w:rsidR="001F2ACA" w:rsidRPr="003F2574" w:rsidRDefault="001F2ACA" w:rsidP="0096518D">
            <w:pPr>
              <w:keepNext/>
              <w:keepLines/>
              <w:tabs>
                <w:tab w:val="clear" w:pos="850"/>
                <w:tab w:val="clear" w:pos="1191"/>
                <w:tab w:val="clear" w:pos="1531"/>
                <w:tab w:val="left" w:pos="340"/>
                <w:tab w:val="left" w:pos="680"/>
              </w:tabs>
              <w:spacing w:before="20" w:after="20"/>
              <w:jc w:val="center"/>
              <w:rPr>
                <w:rFonts w:ascii="Arial" w:eastAsia="SimSun" w:hAnsi="Arial" w:cs="Arial"/>
                <w:sz w:val="17"/>
                <w:szCs w:val="18"/>
              </w:rPr>
            </w:pPr>
            <w:r w:rsidRPr="003F2574">
              <w:rPr>
                <w:rFonts w:ascii="Arial" w:eastAsia="SimSun" w:hAnsi="Arial" w:cs="Arial"/>
                <w:sz w:val="17"/>
                <w:szCs w:val="18"/>
              </w:rPr>
              <w:t>(0.003)</w:t>
            </w:r>
          </w:p>
        </w:tc>
      </w:tr>
      <w:tr w:rsidR="001F2ACA" w:rsidRPr="003F2574" w14:paraId="7C9371A4" w14:textId="77777777" w:rsidTr="0096518D">
        <w:trPr>
          <w:jc w:val="center"/>
        </w:trPr>
        <w:tc>
          <w:tcPr>
            <w:tcW w:w="1423" w:type="pct"/>
            <w:vMerge w:val="restart"/>
            <w:shd w:val="clear" w:color="auto" w:fill="auto"/>
            <w:tcMar>
              <w:top w:w="0" w:type="dxa"/>
              <w:left w:w="108" w:type="dxa"/>
              <w:bottom w:w="0" w:type="dxa"/>
              <w:right w:w="108" w:type="dxa"/>
            </w:tcMar>
            <w:hideMark/>
          </w:tcPr>
          <w:p w14:paraId="78E3093D" w14:textId="77777777" w:rsidR="001F2ACA" w:rsidRPr="003F2574" w:rsidRDefault="001F2ACA" w:rsidP="0096518D">
            <w:pPr>
              <w:keepNext/>
              <w:keepLines/>
              <w:tabs>
                <w:tab w:val="clear" w:pos="850"/>
                <w:tab w:val="clear" w:pos="1191"/>
                <w:tab w:val="clear" w:pos="1531"/>
                <w:tab w:val="left" w:pos="340"/>
                <w:tab w:val="left" w:pos="680"/>
              </w:tabs>
              <w:spacing w:before="20" w:after="20"/>
              <w:jc w:val="left"/>
              <w:rPr>
                <w:rFonts w:ascii="Arial" w:eastAsia="SimSun" w:hAnsi="Arial" w:cs="Arial"/>
                <w:sz w:val="17"/>
                <w:szCs w:val="17"/>
              </w:rPr>
            </w:pPr>
            <w:r w:rsidRPr="003F2574">
              <w:rPr>
                <w:rFonts w:ascii="Arial" w:hAnsi="Arial" w:cs="Arial"/>
                <w:sz w:val="17"/>
                <w:szCs w:val="17"/>
              </w:rPr>
              <w:t>Co-ordination</w:t>
            </w:r>
          </w:p>
        </w:tc>
        <w:tc>
          <w:tcPr>
            <w:tcW w:w="596" w:type="pct"/>
            <w:shd w:val="clear" w:color="auto" w:fill="auto"/>
            <w:tcMar>
              <w:top w:w="0" w:type="dxa"/>
              <w:left w:w="108" w:type="dxa"/>
              <w:bottom w:w="0" w:type="dxa"/>
              <w:right w:w="108" w:type="dxa"/>
            </w:tcMar>
            <w:hideMark/>
          </w:tcPr>
          <w:p w14:paraId="38E65056" w14:textId="77777777" w:rsidR="001F2ACA" w:rsidRPr="003F2574" w:rsidRDefault="001F2ACA" w:rsidP="0096518D">
            <w:pPr>
              <w:keepNext/>
              <w:keepLines/>
              <w:tabs>
                <w:tab w:val="clear" w:pos="850"/>
                <w:tab w:val="clear" w:pos="1191"/>
                <w:tab w:val="clear" w:pos="1531"/>
                <w:tab w:val="left" w:pos="340"/>
                <w:tab w:val="left" w:pos="680"/>
              </w:tabs>
              <w:spacing w:before="20" w:after="20"/>
              <w:jc w:val="center"/>
              <w:rPr>
                <w:rFonts w:ascii="Arial" w:eastAsia="SimSun" w:hAnsi="Arial" w:cs="Arial"/>
                <w:sz w:val="17"/>
                <w:szCs w:val="18"/>
              </w:rPr>
            </w:pPr>
            <w:r w:rsidRPr="003F2574">
              <w:rPr>
                <w:rFonts w:ascii="Arial" w:eastAsia="SimSun" w:hAnsi="Arial" w:cs="Arial"/>
                <w:sz w:val="17"/>
                <w:szCs w:val="18"/>
              </w:rPr>
              <w:t>-0.004</w:t>
            </w:r>
          </w:p>
        </w:tc>
        <w:tc>
          <w:tcPr>
            <w:tcW w:w="596" w:type="pct"/>
            <w:shd w:val="clear" w:color="auto" w:fill="auto"/>
            <w:tcMar>
              <w:top w:w="0" w:type="dxa"/>
              <w:left w:w="108" w:type="dxa"/>
              <w:bottom w:w="0" w:type="dxa"/>
              <w:right w:w="108" w:type="dxa"/>
            </w:tcMar>
            <w:hideMark/>
          </w:tcPr>
          <w:p w14:paraId="76A4D1B9" w14:textId="77777777" w:rsidR="001F2ACA" w:rsidRPr="003F2574" w:rsidRDefault="001F2ACA" w:rsidP="0096518D">
            <w:pPr>
              <w:keepNext/>
              <w:keepLines/>
              <w:tabs>
                <w:tab w:val="clear" w:pos="850"/>
                <w:tab w:val="clear" w:pos="1191"/>
                <w:tab w:val="clear" w:pos="1531"/>
                <w:tab w:val="left" w:pos="340"/>
                <w:tab w:val="left" w:pos="680"/>
              </w:tabs>
              <w:spacing w:before="20" w:after="20"/>
              <w:jc w:val="center"/>
              <w:rPr>
                <w:rFonts w:ascii="Arial" w:eastAsia="SimSun" w:hAnsi="Arial" w:cs="Arial"/>
                <w:sz w:val="17"/>
                <w:szCs w:val="18"/>
              </w:rPr>
            </w:pPr>
            <w:r w:rsidRPr="003F2574">
              <w:rPr>
                <w:rFonts w:ascii="Arial" w:eastAsia="SimSun" w:hAnsi="Arial" w:cs="Arial"/>
                <w:sz w:val="17"/>
                <w:szCs w:val="18"/>
              </w:rPr>
              <w:t>-0.02</w:t>
            </w:r>
          </w:p>
        </w:tc>
        <w:tc>
          <w:tcPr>
            <w:tcW w:w="596" w:type="pct"/>
            <w:shd w:val="clear" w:color="auto" w:fill="auto"/>
            <w:tcMar>
              <w:top w:w="0" w:type="dxa"/>
              <w:left w:w="108" w:type="dxa"/>
              <w:bottom w:w="0" w:type="dxa"/>
              <w:right w:w="108" w:type="dxa"/>
            </w:tcMar>
            <w:hideMark/>
          </w:tcPr>
          <w:p w14:paraId="2C0EA849" w14:textId="77777777" w:rsidR="001F2ACA" w:rsidRPr="003F2574" w:rsidRDefault="001F2ACA" w:rsidP="0096518D">
            <w:pPr>
              <w:keepNext/>
              <w:keepLines/>
              <w:tabs>
                <w:tab w:val="clear" w:pos="850"/>
                <w:tab w:val="clear" w:pos="1191"/>
                <w:tab w:val="clear" w:pos="1531"/>
                <w:tab w:val="left" w:pos="340"/>
                <w:tab w:val="left" w:pos="680"/>
              </w:tabs>
              <w:spacing w:before="20" w:after="20"/>
              <w:jc w:val="center"/>
              <w:rPr>
                <w:rFonts w:ascii="Arial" w:eastAsia="SimSun" w:hAnsi="Arial" w:cs="Arial"/>
                <w:sz w:val="17"/>
                <w:szCs w:val="18"/>
              </w:rPr>
            </w:pPr>
            <w:r w:rsidRPr="003F2574">
              <w:rPr>
                <w:rFonts w:ascii="Arial" w:eastAsia="SimSun" w:hAnsi="Arial" w:cs="Arial"/>
                <w:sz w:val="17"/>
                <w:szCs w:val="18"/>
              </w:rPr>
              <w:t>0.001</w:t>
            </w:r>
          </w:p>
        </w:tc>
        <w:tc>
          <w:tcPr>
            <w:tcW w:w="596" w:type="pct"/>
            <w:shd w:val="clear" w:color="auto" w:fill="auto"/>
            <w:tcMar>
              <w:top w:w="0" w:type="dxa"/>
              <w:left w:w="108" w:type="dxa"/>
              <w:bottom w:w="0" w:type="dxa"/>
              <w:right w:w="108" w:type="dxa"/>
            </w:tcMar>
            <w:hideMark/>
          </w:tcPr>
          <w:p w14:paraId="495AB895" w14:textId="77777777" w:rsidR="001F2ACA" w:rsidRPr="003F2574" w:rsidRDefault="001F2ACA" w:rsidP="0096518D">
            <w:pPr>
              <w:keepNext/>
              <w:keepLines/>
              <w:tabs>
                <w:tab w:val="clear" w:pos="850"/>
                <w:tab w:val="clear" w:pos="1191"/>
                <w:tab w:val="clear" w:pos="1531"/>
                <w:tab w:val="left" w:pos="340"/>
                <w:tab w:val="left" w:pos="680"/>
              </w:tabs>
              <w:spacing w:before="20" w:after="20"/>
              <w:jc w:val="center"/>
              <w:rPr>
                <w:rFonts w:ascii="Arial" w:eastAsia="SimSun" w:hAnsi="Arial" w:cs="Arial"/>
                <w:sz w:val="17"/>
                <w:szCs w:val="18"/>
              </w:rPr>
            </w:pPr>
            <w:r w:rsidRPr="003F2574">
              <w:rPr>
                <w:rFonts w:ascii="Arial" w:eastAsia="SimSun" w:hAnsi="Arial" w:cs="Arial"/>
                <w:sz w:val="17"/>
                <w:szCs w:val="18"/>
              </w:rPr>
              <w:t>-0.004</w:t>
            </w:r>
          </w:p>
        </w:tc>
        <w:tc>
          <w:tcPr>
            <w:tcW w:w="596" w:type="pct"/>
            <w:shd w:val="clear" w:color="auto" w:fill="auto"/>
            <w:tcMar>
              <w:top w:w="0" w:type="dxa"/>
              <w:left w:w="108" w:type="dxa"/>
              <w:bottom w:w="0" w:type="dxa"/>
              <w:right w:w="108" w:type="dxa"/>
            </w:tcMar>
            <w:hideMark/>
          </w:tcPr>
          <w:p w14:paraId="38681195" w14:textId="77777777" w:rsidR="001F2ACA" w:rsidRPr="003F2574" w:rsidRDefault="001F2ACA" w:rsidP="0096518D">
            <w:pPr>
              <w:keepNext/>
              <w:keepLines/>
              <w:tabs>
                <w:tab w:val="clear" w:pos="850"/>
                <w:tab w:val="clear" w:pos="1191"/>
                <w:tab w:val="clear" w:pos="1531"/>
                <w:tab w:val="left" w:pos="340"/>
                <w:tab w:val="left" w:pos="680"/>
              </w:tabs>
              <w:spacing w:before="20" w:after="20"/>
              <w:jc w:val="center"/>
              <w:rPr>
                <w:rFonts w:ascii="Arial" w:eastAsia="SimSun" w:hAnsi="Arial" w:cs="Arial"/>
                <w:sz w:val="17"/>
                <w:szCs w:val="18"/>
              </w:rPr>
            </w:pPr>
            <w:r w:rsidRPr="003F2574">
              <w:rPr>
                <w:rFonts w:ascii="Arial" w:eastAsia="SimSun" w:hAnsi="Arial" w:cs="Arial"/>
                <w:sz w:val="17"/>
                <w:szCs w:val="18"/>
              </w:rPr>
              <w:t>-0.02</w:t>
            </w:r>
          </w:p>
        </w:tc>
        <w:tc>
          <w:tcPr>
            <w:tcW w:w="596" w:type="pct"/>
            <w:shd w:val="clear" w:color="auto" w:fill="auto"/>
            <w:tcMar>
              <w:top w:w="0" w:type="dxa"/>
              <w:left w:w="108" w:type="dxa"/>
              <w:bottom w:w="0" w:type="dxa"/>
              <w:right w:w="108" w:type="dxa"/>
            </w:tcMar>
            <w:hideMark/>
          </w:tcPr>
          <w:p w14:paraId="0B7758B9" w14:textId="77777777" w:rsidR="001F2ACA" w:rsidRPr="003F2574" w:rsidRDefault="001F2ACA" w:rsidP="0096518D">
            <w:pPr>
              <w:keepNext/>
              <w:keepLines/>
              <w:tabs>
                <w:tab w:val="clear" w:pos="850"/>
                <w:tab w:val="clear" w:pos="1191"/>
                <w:tab w:val="clear" w:pos="1531"/>
                <w:tab w:val="left" w:pos="340"/>
                <w:tab w:val="left" w:pos="680"/>
              </w:tabs>
              <w:spacing w:before="20" w:after="20"/>
              <w:jc w:val="center"/>
              <w:rPr>
                <w:rFonts w:ascii="Arial" w:eastAsia="SimSun" w:hAnsi="Arial" w:cs="Arial"/>
                <w:sz w:val="17"/>
                <w:szCs w:val="18"/>
              </w:rPr>
            </w:pPr>
            <w:r w:rsidRPr="003F2574">
              <w:rPr>
                <w:rFonts w:ascii="Arial" w:eastAsia="SimSun" w:hAnsi="Arial" w:cs="Arial"/>
                <w:sz w:val="17"/>
                <w:szCs w:val="18"/>
              </w:rPr>
              <w:t>0.001</w:t>
            </w:r>
          </w:p>
        </w:tc>
      </w:tr>
      <w:tr w:rsidR="001F2ACA" w:rsidRPr="003F2574" w14:paraId="4763C9A9" w14:textId="77777777" w:rsidTr="0096518D">
        <w:trPr>
          <w:jc w:val="center"/>
        </w:trPr>
        <w:tc>
          <w:tcPr>
            <w:tcW w:w="1423" w:type="pct"/>
            <w:vMerge/>
            <w:shd w:val="clear" w:color="auto" w:fill="auto"/>
            <w:tcMar>
              <w:top w:w="0" w:type="dxa"/>
              <w:left w:w="108" w:type="dxa"/>
              <w:bottom w:w="0" w:type="dxa"/>
              <w:right w:w="108" w:type="dxa"/>
            </w:tcMar>
            <w:hideMark/>
          </w:tcPr>
          <w:p w14:paraId="3F7BA8E0" w14:textId="77777777" w:rsidR="001F2ACA" w:rsidRPr="003F2574" w:rsidRDefault="001F2ACA" w:rsidP="0096518D">
            <w:pPr>
              <w:keepNext/>
              <w:keepLines/>
              <w:tabs>
                <w:tab w:val="clear" w:pos="850"/>
                <w:tab w:val="clear" w:pos="1191"/>
                <w:tab w:val="clear" w:pos="1531"/>
                <w:tab w:val="left" w:pos="340"/>
                <w:tab w:val="left" w:pos="680"/>
              </w:tabs>
              <w:spacing w:before="20" w:after="20"/>
              <w:jc w:val="left"/>
              <w:rPr>
                <w:rFonts w:ascii="Arial" w:eastAsia="SimSun" w:hAnsi="Arial" w:cs="Arial"/>
                <w:sz w:val="17"/>
                <w:szCs w:val="17"/>
              </w:rPr>
            </w:pPr>
          </w:p>
        </w:tc>
        <w:tc>
          <w:tcPr>
            <w:tcW w:w="596" w:type="pct"/>
            <w:shd w:val="clear" w:color="auto" w:fill="auto"/>
            <w:tcMar>
              <w:top w:w="0" w:type="dxa"/>
              <w:left w:w="108" w:type="dxa"/>
              <w:bottom w:w="0" w:type="dxa"/>
              <w:right w:w="108" w:type="dxa"/>
            </w:tcMar>
            <w:hideMark/>
          </w:tcPr>
          <w:p w14:paraId="060A5C71" w14:textId="77777777" w:rsidR="001F2ACA" w:rsidRPr="003F2574" w:rsidRDefault="001F2ACA" w:rsidP="0096518D">
            <w:pPr>
              <w:keepNext/>
              <w:keepLines/>
              <w:tabs>
                <w:tab w:val="clear" w:pos="850"/>
                <w:tab w:val="clear" w:pos="1191"/>
                <w:tab w:val="clear" w:pos="1531"/>
                <w:tab w:val="left" w:pos="340"/>
                <w:tab w:val="left" w:pos="680"/>
              </w:tabs>
              <w:spacing w:before="20" w:after="20"/>
              <w:jc w:val="center"/>
              <w:rPr>
                <w:rFonts w:ascii="Arial" w:eastAsia="SimSun" w:hAnsi="Arial" w:cs="Arial"/>
                <w:sz w:val="17"/>
                <w:szCs w:val="18"/>
              </w:rPr>
            </w:pPr>
            <w:r w:rsidRPr="003F2574">
              <w:rPr>
                <w:rFonts w:ascii="Arial" w:eastAsia="SimSun" w:hAnsi="Arial" w:cs="Arial"/>
                <w:sz w:val="17"/>
                <w:szCs w:val="18"/>
              </w:rPr>
              <w:t>(0.025)</w:t>
            </w:r>
          </w:p>
        </w:tc>
        <w:tc>
          <w:tcPr>
            <w:tcW w:w="596" w:type="pct"/>
            <w:shd w:val="clear" w:color="auto" w:fill="auto"/>
            <w:tcMar>
              <w:top w:w="0" w:type="dxa"/>
              <w:left w:w="108" w:type="dxa"/>
              <w:bottom w:w="0" w:type="dxa"/>
              <w:right w:w="108" w:type="dxa"/>
            </w:tcMar>
            <w:hideMark/>
          </w:tcPr>
          <w:p w14:paraId="5688FDF7" w14:textId="77777777" w:rsidR="001F2ACA" w:rsidRPr="003F2574" w:rsidRDefault="001F2ACA" w:rsidP="0096518D">
            <w:pPr>
              <w:keepNext/>
              <w:keepLines/>
              <w:tabs>
                <w:tab w:val="clear" w:pos="850"/>
                <w:tab w:val="clear" w:pos="1191"/>
                <w:tab w:val="clear" w:pos="1531"/>
                <w:tab w:val="left" w:pos="340"/>
                <w:tab w:val="left" w:pos="680"/>
              </w:tabs>
              <w:spacing w:before="20" w:after="20"/>
              <w:jc w:val="center"/>
              <w:rPr>
                <w:rFonts w:ascii="Arial" w:eastAsia="SimSun" w:hAnsi="Arial" w:cs="Arial"/>
                <w:sz w:val="17"/>
                <w:szCs w:val="18"/>
              </w:rPr>
            </w:pPr>
            <w:r w:rsidRPr="003F2574">
              <w:rPr>
                <w:rFonts w:ascii="Arial" w:eastAsia="SimSun" w:hAnsi="Arial" w:cs="Arial"/>
                <w:sz w:val="17"/>
                <w:szCs w:val="18"/>
              </w:rPr>
              <w:t>(0.023)</w:t>
            </w:r>
          </w:p>
        </w:tc>
        <w:tc>
          <w:tcPr>
            <w:tcW w:w="596" w:type="pct"/>
            <w:shd w:val="clear" w:color="auto" w:fill="auto"/>
            <w:tcMar>
              <w:top w:w="0" w:type="dxa"/>
              <w:left w:w="108" w:type="dxa"/>
              <w:bottom w:w="0" w:type="dxa"/>
              <w:right w:w="108" w:type="dxa"/>
            </w:tcMar>
            <w:hideMark/>
          </w:tcPr>
          <w:p w14:paraId="6083DF4B" w14:textId="77777777" w:rsidR="001F2ACA" w:rsidRPr="003F2574" w:rsidRDefault="001F2ACA" w:rsidP="0096518D">
            <w:pPr>
              <w:keepNext/>
              <w:keepLines/>
              <w:tabs>
                <w:tab w:val="clear" w:pos="850"/>
                <w:tab w:val="clear" w:pos="1191"/>
                <w:tab w:val="clear" w:pos="1531"/>
                <w:tab w:val="left" w:pos="340"/>
                <w:tab w:val="left" w:pos="680"/>
              </w:tabs>
              <w:spacing w:before="20" w:after="20"/>
              <w:jc w:val="center"/>
              <w:rPr>
                <w:rFonts w:ascii="Arial" w:eastAsia="SimSun" w:hAnsi="Arial" w:cs="Arial"/>
                <w:sz w:val="17"/>
                <w:szCs w:val="18"/>
              </w:rPr>
            </w:pPr>
            <w:r w:rsidRPr="003F2574">
              <w:rPr>
                <w:rFonts w:ascii="Arial" w:eastAsia="SimSun" w:hAnsi="Arial" w:cs="Arial"/>
                <w:sz w:val="17"/>
                <w:szCs w:val="18"/>
              </w:rPr>
              <w:t>(0.006)</w:t>
            </w:r>
          </w:p>
        </w:tc>
        <w:tc>
          <w:tcPr>
            <w:tcW w:w="596" w:type="pct"/>
            <w:shd w:val="clear" w:color="auto" w:fill="auto"/>
            <w:tcMar>
              <w:top w:w="0" w:type="dxa"/>
              <w:left w:w="108" w:type="dxa"/>
              <w:bottom w:w="0" w:type="dxa"/>
              <w:right w:w="108" w:type="dxa"/>
            </w:tcMar>
            <w:hideMark/>
          </w:tcPr>
          <w:p w14:paraId="3E1A3609" w14:textId="77777777" w:rsidR="001F2ACA" w:rsidRPr="003F2574" w:rsidRDefault="001F2ACA" w:rsidP="0096518D">
            <w:pPr>
              <w:keepNext/>
              <w:keepLines/>
              <w:tabs>
                <w:tab w:val="clear" w:pos="850"/>
                <w:tab w:val="clear" w:pos="1191"/>
                <w:tab w:val="clear" w:pos="1531"/>
                <w:tab w:val="left" w:pos="340"/>
                <w:tab w:val="left" w:pos="680"/>
              </w:tabs>
              <w:spacing w:before="20" w:after="20"/>
              <w:jc w:val="center"/>
              <w:rPr>
                <w:rFonts w:ascii="Arial" w:eastAsia="SimSun" w:hAnsi="Arial" w:cs="Arial"/>
                <w:sz w:val="17"/>
                <w:szCs w:val="18"/>
              </w:rPr>
            </w:pPr>
            <w:r w:rsidRPr="003F2574">
              <w:rPr>
                <w:rFonts w:ascii="Arial" w:eastAsia="SimSun" w:hAnsi="Arial" w:cs="Arial"/>
                <w:sz w:val="17"/>
                <w:szCs w:val="18"/>
              </w:rPr>
              <w:t>(0.025)</w:t>
            </w:r>
          </w:p>
        </w:tc>
        <w:tc>
          <w:tcPr>
            <w:tcW w:w="596" w:type="pct"/>
            <w:shd w:val="clear" w:color="auto" w:fill="auto"/>
            <w:tcMar>
              <w:top w:w="0" w:type="dxa"/>
              <w:left w:w="108" w:type="dxa"/>
              <w:bottom w:w="0" w:type="dxa"/>
              <w:right w:w="108" w:type="dxa"/>
            </w:tcMar>
            <w:hideMark/>
          </w:tcPr>
          <w:p w14:paraId="0E97BF6E" w14:textId="77777777" w:rsidR="001F2ACA" w:rsidRPr="003F2574" w:rsidRDefault="001F2ACA" w:rsidP="0096518D">
            <w:pPr>
              <w:keepNext/>
              <w:keepLines/>
              <w:tabs>
                <w:tab w:val="clear" w:pos="850"/>
                <w:tab w:val="clear" w:pos="1191"/>
                <w:tab w:val="clear" w:pos="1531"/>
                <w:tab w:val="left" w:pos="340"/>
                <w:tab w:val="left" w:pos="680"/>
              </w:tabs>
              <w:spacing w:before="20" w:after="20"/>
              <w:jc w:val="center"/>
              <w:rPr>
                <w:rFonts w:ascii="Arial" w:eastAsia="SimSun" w:hAnsi="Arial" w:cs="Arial"/>
                <w:sz w:val="17"/>
                <w:szCs w:val="18"/>
              </w:rPr>
            </w:pPr>
            <w:r w:rsidRPr="003F2574">
              <w:rPr>
                <w:rFonts w:ascii="Arial" w:eastAsia="SimSun" w:hAnsi="Arial" w:cs="Arial"/>
                <w:sz w:val="17"/>
                <w:szCs w:val="18"/>
              </w:rPr>
              <w:t>(0.023)</w:t>
            </w:r>
          </w:p>
        </w:tc>
        <w:tc>
          <w:tcPr>
            <w:tcW w:w="596" w:type="pct"/>
            <w:shd w:val="clear" w:color="auto" w:fill="auto"/>
            <w:tcMar>
              <w:top w:w="0" w:type="dxa"/>
              <w:left w:w="108" w:type="dxa"/>
              <w:bottom w:w="0" w:type="dxa"/>
              <w:right w:w="108" w:type="dxa"/>
            </w:tcMar>
            <w:hideMark/>
          </w:tcPr>
          <w:p w14:paraId="6E978F5D" w14:textId="77777777" w:rsidR="001F2ACA" w:rsidRPr="003F2574" w:rsidRDefault="001F2ACA" w:rsidP="0096518D">
            <w:pPr>
              <w:keepNext/>
              <w:keepLines/>
              <w:tabs>
                <w:tab w:val="clear" w:pos="850"/>
                <w:tab w:val="clear" w:pos="1191"/>
                <w:tab w:val="clear" w:pos="1531"/>
                <w:tab w:val="left" w:pos="340"/>
                <w:tab w:val="left" w:pos="680"/>
              </w:tabs>
              <w:spacing w:before="20" w:after="20"/>
              <w:jc w:val="center"/>
              <w:rPr>
                <w:rFonts w:ascii="Arial" w:eastAsia="SimSun" w:hAnsi="Arial" w:cs="Arial"/>
                <w:sz w:val="17"/>
                <w:szCs w:val="18"/>
              </w:rPr>
            </w:pPr>
            <w:r w:rsidRPr="003F2574">
              <w:rPr>
                <w:rFonts w:ascii="Arial" w:eastAsia="SimSun" w:hAnsi="Arial" w:cs="Arial"/>
                <w:sz w:val="17"/>
                <w:szCs w:val="18"/>
              </w:rPr>
              <w:t>(0.006)</w:t>
            </w:r>
          </w:p>
        </w:tc>
      </w:tr>
      <w:tr w:rsidR="001F2ACA" w:rsidRPr="003F2574" w14:paraId="3705ACB0" w14:textId="77777777" w:rsidTr="0096518D">
        <w:trPr>
          <w:jc w:val="center"/>
        </w:trPr>
        <w:tc>
          <w:tcPr>
            <w:tcW w:w="1423" w:type="pct"/>
            <w:shd w:val="clear" w:color="auto" w:fill="auto"/>
            <w:tcMar>
              <w:top w:w="0" w:type="dxa"/>
              <w:left w:w="108" w:type="dxa"/>
              <w:bottom w:w="0" w:type="dxa"/>
              <w:right w:w="108" w:type="dxa"/>
            </w:tcMar>
            <w:hideMark/>
          </w:tcPr>
          <w:p w14:paraId="5A3C415E" w14:textId="77777777" w:rsidR="001F2ACA" w:rsidRPr="003F2574" w:rsidRDefault="001F2ACA" w:rsidP="0096518D">
            <w:pPr>
              <w:keepNext/>
              <w:keepLines/>
              <w:tabs>
                <w:tab w:val="clear" w:pos="850"/>
                <w:tab w:val="clear" w:pos="1191"/>
                <w:tab w:val="clear" w:pos="1531"/>
                <w:tab w:val="left" w:pos="340"/>
                <w:tab w:val="left" w:pos="680"/>
              </w:tabs>
              <w:spacing w:before="20" w:after="20"/>
              <w:jc w:val="left"/>
              <w:rPr>
                <w:rFonts w:ascii="Arial" w:eastAsia="SimSun" w:hAnsi="Arial" w:cs="Arial"/>
                <w:sz w:val="17"/>
                <w:szCs w:val="17"/>
              </w:rPr>
            </w:pPr>
            <w:r w:rsidRPr="003F2574">
              <w:rPr>
                <w:rFonts w:ascii="Arial" w:hAnsi="Arial" w:cs="Arial"/>
                <w:sz w:val="17"/>
                <w:szCs w:val="17"/>
              </w:rPr>
              <w:t>Observations</w:t>
            </w:r>
          </w:p>
        </w:tc>
        <w:tc>
          <w:tcPr>
            <w:tcW w:w="596" w:type="pct"/>
            <w:shd w:val="clear" w:color="auto" w:fill="auto"/>
            <w:tcMar>
              <w:top w:w="0" w:type="dxa"/>
              <w:left w:w="108" w:type="dxa"/>
              <w:bottom w:w="0" w:type="dxa"/>
              <w:right w:w="108" w:type="dxa"/>
            </w:tcMar>
            <w:hideMark/>
          </w:tcPr>
          <w:p w14:paraId="54A49F58" w14:textId="77777777" w:rsidR="001F2ACA" w:rsidRPr="003F2574" w:rsidRDefault="001F2ACA" w:rsidP="0096518D">
            <w:pPr>
              <w:keepNext/>
              <w:keepLines/>
              <w:tabs>
                <w:tab w:val="clear" w:pos="850"/>
                <w:tab w:val="clear" w:pos="1191"/>
                <w:tab w:val="clear" w:pos="1531"/>
                <w:tab w:val="left" w:pos="340"/>
                <w:tab w:val="left" w:pos="680"/>
              </w:tabs>
              <w:spacing w:before="20" w:after="20"/>
              <w:jc w:val="center"/>
              <w:rPr>
                <w:rFonts w:ascii="Arial" w:eastAsia="SimSun" w:hAnsi="Arial" w:cs="Arial"/>
                <w:sz w:val="17"/>
                <w:szCs w:val="18"/>
              </w:rPr>
            </w:pPr>
            <w:r w:rsidRPr="003F2574">
              <w:rPr>
                <w:rFonts w:ascii="Arial" w:eastAsia="SimSun" w:hAnsi="Arial" w:cs="Arial"/>
                <w:sz w:val="17"/>
                <w:szCs w:val="18"/>
              </w:rPr>
              <w:t>747</w:t>
            </w:r>
          </w:p>
        </w:tc>
        <w:tc>
          <w:tcPr>
            <w:tcW w:w="596" w:type="pct"/>
            <w:shd w:val="clear" w:color="auto" w:fill="auto"/>
            <w:tcMar>
              <w:top w:w="0" w:type="dxa"/>
              <w:left w:w="108" w:type="dxa"/>
              <w:bottom w:w="0" w:type="dxa"/>
              <w:right w:w="108" w:type="dxa"/>
            </w:tcMar>
            <w:hideMark/>
          </w:tcPr>
          <w:p w14:paraId="4A81D7E6" w14:textId="77777777" w:rsidR="001F2ACA" w:rsidRPr="003F2574" w:rsidRDefault="001F2ACA" w:rsidP="0096518D">
            <w:pPr>
              <w:keepNext/>
              <w:keepLines/>
              <w:tabs>
                <w:tab w:val="clear" w:pos="850"/>
                <w:tab w:val="clear" w:pos="1191"/>
                <w:tab w:val="clear" w:pos="1531"/>
                <w:tab w:val="left" w:pos="340"/>
                <w:tab w:val="left" w:pos="680"/>
              </w:tabs>
              <w:spacing w:before="20" w:after="20"/>
              <w:jc w:val="center"/>
              <w:rPr>
                <w:rFonts w:ascii="Arial" w:eastAsia="SimSun" w:hAnsi="Arial" w:cs="Arial"/>
                <w:sz w:val="17"/>
                <w:szCs w:val="18"/>
              </w:rPr>
            </w:pPr>
            <w:r w:rsidRPr="003F2574">
              <w:rPr>
                <w:rFonts w:ascii="Arial" w:eastAsia="SimSun" w:hAnsi="Arial" w:cs="Arial"/>
                <w:sz w:val="17"/>
                <w:szCs w:val="18"/>
              </w:rPr>
              <w:t>747</w:t>
            </w:r>
          </w:p>
        </w:tc>
        <w:tc>
          <w:tcPr>
            <w:tcW w:w="596" w:type="pct"/>
            <w:shd w:val="clear" w:color="auto" w:fill="auto"/>
            <w:tcMar>
              <w:top w:w="0" w:type="dxa"/>
              <w:left w:w="108" w:type="dxa"/>
              <w:bottom w:w="0" w:type="dxa"/>
              <w:right w:w="108" w:type="dxa"/>
            </w:tcMar>
            <w:hideMark/>
          </w:tcPr>
          <w:p w14:paraId="72445FBA" w14:textId="77777777" w:rsidR="001F2ACA" w:rsidRPr="003F2574" w:rsidRDefault="001F2ACA" w:rsidP="0096518D">
            <w:pPr>
              <w:keepNext/>
              <w:keepLines/>
              <w:tabs>
                <w:tab w:val="clear" w:pos="850"/>
                <w:tab w:val="clear" w:pos="1191"/>
                <w:tab w:val="clear" w:pos="1531"/>
                <w:tab w:val="left" w:pos="340"/>
                <w:tab w:val="left" w:pos="680"/>
              </w:tabs>
              <w:spacing w:before="20" w:after="20"/>
              <w:jc w:val="center"/>
              <w:rPr>
                <w:rFonts w:ascii="Arial" w:eastAsia="SimSun" w:hAnsi="Arial" w:cs="Arial"/>
                <w:sz w:val="17"/>
                <w:szCs w:val="18"/>
              </w:rPr>
            </w:pPr>
            <w:r w:rsidRPr="003F2574">
              <w:rPr>
                <w:rFonts w:ascii="Arial" w:eastAsia="SimSun" w:hAnsi="Arial" w:cs="Arial"/>
                <w:sz w:val="17"/>
                <w:szCs w:val="18"/>
              </w:rPr>
              <w:t>747</w:t>
            </w:r>
          </w:p>
        </w:tc>
        <w:tc>
          <w:tcPr>
            <w:tcW w:w="596" w:type="pct"/>
            <w:shd w:val="clear" w:color="auto" w:fill="auto"/>
            <w:tcMar>
              <w:top w:w="0" w:type="dxa"/>
              <w:left w:w="108" w:type="dxa"/>
              <w:bottom w:w="0" w:type="dxa"/>
              <w:right w:w="108" w:type="dxa"/>
            </w:tcMar>
            <w:hideMark/>
          </w:tcPr>
          <w:p w14:paraId="44196638" w14:textId="77777777" w:rsidR="001F2ACA" w:rsidRPr="003F2574" w:rsidRDefault="001F2ACA" w:rsidP="0096518D">
            <w:pPr>
              <w:keepNext/>
              <w:keepLines/>
              <w:tabs>
                <w:tab w:val="clear" w:pos="850"/>
                <w:tab w:val="clear" w:pos="1191"/>
                <w:tab w:val="clear" w:pos="1531"/>
                <w:tab w:val="left" w:pos="340"/>
                <w:tab w:val="left" w:pos="680"/>
              </w:tabs>
              <w:spacing w:before="20" w:after="20"/>
              <w:jc w:val="center"/>
              <w:rPr>
                <w:rFonts w:ascii="Arial" w:eastAsia="SimSun" w:hAnsi="Arial" w:cs="Arial"/>
                <w:sz w:val="17"/>
                <w:szCs w:val="18"/>
              </w:rPr>
            </w:pPr>
            <w:r w:rsidRPr="003F2574">
              <w:rPr>
                <w:rFonts w:ascii="Arial" w:eastAsia="SimSun" w:hAnsi="Arial" w:cs="Arial"/>
                <w:sz w:val="17"/>
                <w:szCs w:val="18"/>
              </w:rPr>
              <w:t>747</w:t>
            </w:r>
          </w:p>
        </w:tc>
        <w:tc>
          <w:tcPr>
            <w:tcW w:w="596" w:type="pct"/>
            <w:shd w:val="clear" w:color="auto" w:fill="auto"/>
            <w:tcMar>
              <w:top w:w="0" w:type="dxa"/>
              <w:left w:w="108" w:type="dxa"/>
              <w:bottom w:w="0" w:type="dxa"/>
              <w:right w:w="108" w:type="dxa"/>
            </w:tcMar>
            <w:hideMark/>
          </w:tcPr>
          <w:p w14:paraId="1D7351BB" w14:textId="77777777" w:rsidR="001F2ACA" w:rsidRPr="003F2574" w:rsidRDefault="001F2ACA" w:rsidP="0096518D">
            <w:pPr>
              <w:keepNext/>
              <w:keepLines/>
              <w:tabs>
                <w:tab w:val="clear" w:pos="850"/>
                <w:tab w:val="clear" w:pos="1191"/>
                <w:tab w:val="clear" w:pos="1531"/>
                <w:tab w:val="left" w:pos="340"/>
                <w:tab w:val="left" w:pos="680"/>
              </w:tabs>
              <w:spacing w:before="20" w:after="20"/>
              <w:jc w:val="center"/>
              <w:rPr>
                <w:rFonts w:ascii="Arial" w:eastAsia="SimSun" w:hAnsi="Arial" w:cs="Arial"/>
                <w:sz w:val="17"/>
                <w:szCs w:val="18"/>
              </w:rPr>
            </w:pPr>
            <w:r w:rsidRPr="003F2574">
              <w:rPr>
                <w:rFonts w:ascii="Arial" w:eastAsia="SimSun" w:hAnsi="Arial" w:cs="Arial"/>
                <w:sz w:val="17"/>
                <w:szCs w:val="18"/>
              </w:rPr>
              <w:t>747</w:t>
            </w:r>
          </w:p>
        </w:tc>
        <w:tc>
          <w:tcPr>
            <w:tcW w:w="596" w:type="pct"/>
            <w:shd w:val="clear" w:color="auto" w:fill="auto"/>
            <w:tcMar>
              <w:top w:w="0" w:type="dxa"/>
              <w:left w:w="108" w:type="dxa"/>
              <w:bottom w:w="0" w:type="dxa"/>
              <w:right w:w="108" w:type="dxa"/>
            </w:tcMar>
            <w:hideMark/>
          </w:tcPr>
          <w:p w14:paraId="6C132F2C" w14:textId="77777777" w:rsidR="001F2ACA" w:rsidRPr="003F2574" w:rsidRDefault="001F2ACA" w:rsidP="0096518D">
            <w:pPr>
              <w:keepNext/>
              <w:keepLines/>
              <w:tabs>
                <w:tab w:val="clear" w:pos="850"/>
                <w:tab w:val="clear" w:pos="1191"/>
                <w:tab w:val="clear" w:pos="1531"/>
                <w:tab w:val="left" w:pos="340"/>
                <w:tab w:val="left" w:pos="680"/>
              </w:tabs>
              <w:spacing w:before="20" w:after="20"/>
              <w:jc w:val="center"/>
              <w:rPr>
                <w:rFonts w:ascii="Arial" w:eastAsia="SimSun" w:hAnsi="Arial" w:cs="Arial"/>
                <w:sz w:val="17"/>
                <w:szCs w:val="18"/>
              </w:rPr>
            </w:pPr>
            <w:r w:rsidRPr="003F2574">
              <w:rPr>
                <w:rFonts w:ascii="Arial" w:eastAsia="SimSun" w:hAnsi="Arial" w:cs="Arial"/>
                <w:sz w:val="17"/>
                <w:szCs w:val="18"/>
              </w:rPr>
              <w:t>747</w:t>
            </w:r>
          </w:p>
        </w:tc>
      </w:tr>
      <w:tr w:rsidR="001F2ACA" w:rsidRPr="003F2574" w14:paraId="6E7AEBAC" w14:textId="77777777" w:rsidTr="0096518D">
        <w:trPr>
          <w:jc w:val="center"/>
        </w:trPr>
        <w:tc>
          <w:tcPr>
            <w:tcW w:w="1423" w:type="pct"/>
            <w:shd w:val="clear" w:color="auto" w:fill="auto"/>
            <w:tcMar>
              <w:top w:w="0" w:type="dxa"/>
              <w:left w:w="108" w:type="dxa"/>
              <w:bottom w:w="0" w:type="dxa"/>
              <w:right w:w="108" w:type="dxa"/>
            </w:tcMar>
            <w:hideMark/>
          </w:tcPr>
          <w:p w14:paraId="6FBE9F98" w14:textId="77777777" w:rsidR="001F2ACA" w:rsidRPr="003F2574" w:rsidRDefault="001F2ACA" w:rsidP="0096518D">
            <w:pPr>
              <w:keepNext/>
              <w:keepLines/>
              <w:tabs>
                <w:tab w:val="clear" w:pos="850"/>
                <w:tab w:val="clear" w:pos="1191"/>
                <w:tab w:val="clear" w:pos="1531"/>
                <w:tab w:val="left" w:pos="340"/>
                <w:tab w:val="left" w:pos="680"/>
              </w:tabs>
              <w:spacing w:before="20" w:after="20"/>
              <w:jc w:val="left"/>
              <w:rPr>
                <w:rFonts w:ascii="Arial" w:eastAsia="SimSun" w:hAnsi="Arial" w:cs="Arial"/>
                <w:sz w:val="17"/>
                <w:szCs w:val="17"/>
              </w:rPr>
            </w:pPr>
            <w:r w:rsidRPr="003F2574">
              <w:rPr>
                <w:rFonts w:ascii="Arial" w:hAnsi="Arial" w:cs="Arial"/>
                <w:sz w:val="17"/>
                <w:szCs w:val="17"/>
              </w:rPr>
              <w:t>R-squared</w:t>
            </w:r>
          </w:p>
        </w:tc>
        <w:tc>
          <w:tcPr>
            <w:tcW w:w="596" w:type="pct"/>
            <w:shd w:val="clear" w:color="auto" w:fill="auto"/>
            <w:tcMar>
              <w:top w:w="0" w:type="dxa"/>
              <w:left w:w="108" w:type="dxa"/>
              <w:bottom w:w="0" w:type="dxa"/>
              <w:right w:w="108" w:type="dxa"/>
            </w:tcMar>
            <w:hideMark/>
          </w:tcPr>
          <w:p w14:paraId="7EFD8B3E" w14:textId="77777777" w:rsidR="001F2ACA" w:rsidRPr="003F2574" w:rsidRDefault="001F2ACA" w:rsidP="0096518D">
            <w:pPr>
              <w:keepNext/>
              <w:keepLines/>
              <w:tabs>
                <w:tab w:val="clear" w:pos="850"/>
                <w:tab w:val="clear" w:pos="1191"/>
                <w:tab w:val="clear" w:pos="1531"/>
                <w:tab w:val="left" w:pos="340"/>
                <w:tab w:val="left" w:pos="680"/>
              </w:tabs>
              <w:spacing w:before="20" w:after="20"/>
              <w:jc w:val="center"/>
              <w:rPr>
                <w:rFonts w:ascii="Arial" w:eastAsia="SimSun" w:hAnsi="Arial" w:cs="Arial"/>
                <w:sz w:val="17"/>
                <w:szCs w:val="18"/>
              </w:rPr>
            </w:pPr>
            <w:r w:rsidRPr="003F2574">
              <w:rPr>
                <w:rFonts w:ascii="Arial" w:eastAsia="SimSun" w:hAnsi="Arial" w:cs="Arial"/>
                <w:sz w:val="17"/>
                <w:szCs w:val="18"/>
              </w:rPr>
              <w:t>0.957</w:t>
            </w:r>
          </w:p>
        </w:tc>
        <w:tc>
          <w:tcPr>
            <w:tcW w:w="596" w:type="pct"/>
            <w:shd w:val="clear" w:color="auto" w:fill="auto"/>
            <w:tcMar>
              <w:top w:w="0" w:type="dxa"/>
              <w:left w:w="108" w:type="dxa"/>
              <w:bottom w:w="0" w:type="dxa"/>
              <w:right w:w="108" w:type="dxa"/>
            </w:tcMar>
            <w:hideMark/>
          </w:tcPr>
          <w:p w14:paraId="5FD3C1A2" w14:textId="77777777" w:rsidR="001F2ACA" w:rsidRPr="003F2574" w:rsidRDefault="001F2ACA" w:rsidP="0096518D">
            <w:pPr>
              <w:keepNext/>
              <w:keepLines/>
              <w:tabs>
                <w:tab w:val="clear" w:pos="850"/>
                <w:tab w:val="clear" w:pos="1191"/>
                <w:tab w:val="clear" w:pos="1531"/>
                <w:tab w:val="left" w:pos="340"/>
                <w:tab w:val="left" w:pos="680"/>
              </w:tabs>
              <w:spacing w:before="20" w:after="20"/>
              <w:jc w:val="center"/>
              <w:rPr>
                <w:rFonts w:ascii="Arial" w:eastAsia="SimSun" w:hAnsi="Arial" w:cs="Arial"/>
                <w:sz w:val="17"/>
                <w:szCs w:val="18"/>
              </w:rPr>
            </w:pPr>
            <w:r w:rsidRPr="003F2574">
              <w:rPr>
                <w:rFonts w:ascii="Arial" w:eastAsia="SimSun" w:hAnsi="Arial" w:cs="Arial"/>
                <w:sz w:val="17"/>
                <w:szCs w:val="18"/>
              </w:rPr>
              <w:t>0.957</w:t>
            </w:r>
          </w:p>
        </w:tc>
        <w:tc>
          <w:tcPr>
            <w:tcW w:w="596" w:type="pct"/>
            <w:shd w:val="clear" w:color="auto" w:fill="auto"/>
            <w:tcMar>
              <w:top w:w="0" w:type="dxa"/>
              <w:left w:w="108" w:type="dxa"/>
              <w:bottom w:w="0" w:type="dxa"/>
              <w:right w:w="108" w:type="dxa"/>
            </w:tcMar>
            <w:hideMark/>
          </w:tcPr>
          <w:p w14:paraId="59B84448" w14:textId="77777777" w:rsidR="001F2ACA" w:rsidRPr="003F2574" w:rsidRDefault="001F2ACA" w:rsidP="0096518D">
            <w:pPr>
              <w:keepNext/>
              <w:keepLines/>
              <w:tabs>
                <w:tab w:val="clear" w:pos="850"/>
                <w:tab w:val="clear" w:pos="1191"/>
                <w:tab w:val="clear" w:pos="1531"/>
                <w:tab w:val="left" w:pos="340"/>
                <w:tab w:val="left" w:pos="680"/>
              </w:tabs>
              <w:spacing w:before="20" w:after="20"/>
              <w:jc w:val="center"/>
              <w:rPr>
                <w:rFonts w:ascii="Arial" w:eastAsia="SimSun" w:hAnsi="Arial" w:cs="Arial"/>
                <w:sz w:val="17"/>
                <w:szCs w:val="18"/>
              </w:rPr>
            </w:pPr>
            <w:r w:rsidRPr="003F2574">
              <w:rPr>
                <w:rFonts w:ascii="Arial" w:eastAsia="SimSun" w:hAnsi="Arial" w:cs="Arial"/>
                <w:sz w:val="17"/>
                <w:szCs w:val="18"/>
              </w:rPr>
              <w:t>0.970</w:t>
            </w:r>
          </w:p>
        </w:tc>
        <w:tc>
          <w:tcPr>
            <w:tcW w:w="596" w:type="pct"/>
            <w:shd w:val="clear" w:color="auto" w:fill="auto"/>
            <w:tcMar>
              <w:top w:w="0" w:type="dxa"/>
              <w:left w:w="108" w:type="dxa"/>
              <w:bottom w:w="0" w:type="dxa"/>
              <w:right w:w="108" w:type="dxa"/>
            </w:tcMar>
            <w:hideMark/>
          </w:tcPr>
          <w:p w14:paraId="0D207598" w14:textId="77777777" w:rsidR="001F2ACA" w:rsidRPr="003F2574" w:rsidRDefault="001F2ACA" w:rsidP="0096518D">
            <w:pPr>
              <w:keepNext/>
              <w:keepLines/>
              <w:tabs>
                <w:tab w:val="clear" w:pos="850"/>
                <w:tab w:val="clear" w:pos="1191"/>
                <w:tab w:val="clear" w:pos="1531"/>
                <w:tab w:val="left" w:pos="340"/>
                <w:tab w:val="left" w:pos="680"/>
              </w:tabs>
              <w:spacing w:before="20" w:after="20"/>
              <w:jc w:val="center"/>
              <w:rPr>
                <w:rFonts w:ascii="Arial" w:eastAsia="SimSun" w:hAnsi="Arial" w:cs="Arial"/>
                <w:sz w:val="17"/>
                <w:szCs w:val="18"/>
              </w:rPr>
            </w:pPr>
            <w:r w:rsidRPr="003F2574">
              <w:rPr>
                <w:rFonts w:ascii="Arial" w:eastAsia="SimSun" w:hAnsi="Arial" w:cs="Arial"/>
                <w:sz w:val="17"/>
                <w:szCs w:val="18"/>
              </w:rPr>
              <w:t>0.970</w:t>
            </w:r>
          </w:p>
        </w:tc>
        <w:tc>
          <w:tcPr>
            <w:tcW w:w="596" w:type="pct"/>
            <w:shd w:val="clear" w:color="auto" w:fill="auto"/>
            <w:tcMar>
              <w:top w:w="0" w:type="dxa"/>
              <w:left w:w="108" w:type="dxa"/>
              <w:bottom w:w="0" w:type="dxa"/>
              <w:right w:w="108" w:type="dxa"/>
            </w:tcMar>
            <w:hideMark/>
          </w:tcPr>
          <w:p w14:paraId="314C103A" w14:textId="77777777" w:rsidR="001F2ACA" w:rsidRPr="003F2574" w:rsidRDefault="001F2ACA" w:rsidP="0096518D">
            <w:pPr>
              <w:keepNext/>
              <w:keepLines/>
              <w:tabs>
                <w:tab w:val="clear" w:pos="850"/>
                <w:tab w:val="clear" w:pos="1191"/>
                <w:tab w:val="clear" w:pos="1531"/>
                <w:tab w:val="left" w:pos="340"/>
                <w:tab w:val="left" w:pos="680"/>
              </w:tabs>
              <w:spacing w:before="20" w:after="20"/>
              <w:jc w:val="center"/>
              <w:rPr>
                <w:rFonts w:ascii="Arial" w:eastAsia="SimSun" w:hAnsi="Arial" w:cs="Arial"/>
                <w:sz w:val="17"/>
                <w:szCs w:val="18"/>
              </w:rPr>
            </w:pPr>
            <w:r w:rsidRPr="003F2574">
              <w:rPr>
                <w:rFonts w:ascii="Arial" w:eastAsia="SimSun" w:hAnsi="Arial" w:cs="Arial"/>
                <w:sz w:val="17"/>
                <w:szCs w:val="18"/>
              </w:rPr>
              <w:t>0.940</w:t>
            </w:r>
          </w:p>
        </w:tc>
        <w:tc>
          <w:tcPr>
            <w:tcW w:w="596" w:type="pct"/>
            <w:shd w:val="clear" w:color="auto" w:fill="auto"/>
            <w:tcMar>
              <w:top w:w="0" w:type="dxa"/>
              <w:left w:w="108" w:type="dxa"/>
              <w:bottom w:w="0" w:type="dxa"/>
              <w:right w:w="108" w:type="dxa"/>
            </w:tcMar>
            <w:hideMark/>
          </w:tcPr>
          <w:p w14:paraId="4E1749E6" w14:textId="77777777" w:rsidR="001F2ACA" w:rsidRPr="003F2574" w:rsidRDefault="001F2ACA" w:rsidP="0096518D">
            <w:pPr>
              <w:keepNext/>
              <w:keepLines/>
              <w:tabs>
                <w:tab w:val="clear" w:pos="850"/>
                <w:tab w:val="clear" w:pos="1191"/>
                <w:tab w:val="clear" w:pos="1531"/>
                <w:tab w:val="left" w:pos="340"/>
                <w:tab w:val="left" w:pos="680"/>
              </w:tabs>
              <w:spacing w:before="20" w:after="20"/>
              <w:jc w:val="center"/>
              <w:rPr>
                <w:rFonts w:ascii="Arial" w:eastAsia="SimSun" w:hAnsi="Arial" w:cs="Arial"/>
                <w:sz w:val="17"/>
                <w:szCs w:val="18"/>
              </w:rPr>
            </w:pPr>
            <w:r w:rsidRPr="003F2574">
              <w:rPr>
                <w:rFonts w:ascii="Arial" w:eastAsia="SimSun" w:hAnsi="Arial" w:cs="Arial"/>
                <w:sz w:val="17"/>
                <w:szCs w:val="18"/>
              </w:rPr>
              <w:t>0.940</w:t>
            </w:r>
          </w:p>
        </w:tc>
      </w:tr>
    </w:tbl>
    <w:p w14:paraId="7CB00DA2" w14:textId="77777777" w:rsidR="001F2ACA" w:rsidRPr="003F2574" w:rsidRDefault="001F2ACA" w:rsidP="001F2ACA">
      <w:pPr>
        <w:pStyle w:val="Sourcenotes"/>
        <w:jc w:val="left"/>
        <w:rPr>
          <w:rFonts w:ascii="Arial" w:hAnsi="Arial"/>
        </w:rPr>
      </w:pPr>
      <w:r w:rsidRPr="003F2574">
        <w:rPr>
          <w:rFonts w:ascii="Arial" w:hAnsi="Arial"/>
          <w:i/>
        </w:rPr>
        <w:t>Note</w:t>
      </w:r>
      <w:r w:rsidRPr="003F2574">
        <w:rPr>
          <w:rFonts w:ascii="Arial" w:hAnsi="Arial"/>
        </w:rPr>
        <w:t>: ***, **, *: statistically significant at the 1, 5 and 10% levels, respectively. Robust standard errors in parentheses. OLS regressions including country and time dummies, institutional variables (Tax wedges, PMR in seven sectors, EPL (both temporary and permanent), minimum wage/median wage and gross replacement rate) log of average years of education and female employment share.</w:t>
      </w:r>
    </w:p>
    <w:p w14:paraId="0907EC47" w14:textId="77777777" w:rsidR="001F2ACA" w:rsidRPr="003F2574" w:rsidRDefault="001F2ACA" w:rsidP="001F2ACA">
      <w:pPr>
        <w:pStyle w:val="Sourcenotes"/>
      </w:pPr>
    </w:p>
    <w:p w14:paraId="10000CFA" w14:textId="77777777" w:rsidR="001F2ACA" w:rsidRPr="003F2574" w:rsidRDefault="001F2ACA" w:rsidP="001F2ACA">
      <w:pPr>
        <w:tabs>
          <w:tab w:val="clear" w:pos="850"/>
          <w:tab w:val="clear" w:pos="1191"/>
          <w:tab w:val="clear" w:pos="1531"/>
        </w:tabs>
        <w:jc w:val="left"/>
        <w:rPr>
          <w:rFonts w:eastAsia="SimSun" w:cs="Arial"/>
          <w:sz w:val="18"/>
          <w:szCs w:val="18"/>
        </w:rPr>
      </w:pPr>
      <w:r w:rsidRPr="003F2574">
        <w:br w:type="page"/>
      </w:r>
    </w:p>
    <w:p w14:paraId="3E1032FE" w14:textId="77777777" w:rsidR="001F2ACA" w:rsidRPr="003F2574" w:rsidRDefault="001F2ACA" w:rsidP="001F2ACA">
      <w:pPr>
        <w:pStyle w:val="Para"/>
        <w:jc w:val="center"/>
        <w:rPr>
          <w:rFonts w:ascii="Arial" w:hAnsi="Arial"/>
        </w:rPr>
      </w:pPr>
      <w:r w:rsidRPr="003F2574">
        <w:rPr>
          <w:rFonts w:ascii="Arial" w:eastAsiaTheme="minorHAnsi" w:hAnsi="Arial" w:cs="Arial"/>
          <w:b/>
          <w:bCs/>
          <w:sz w:val="20"/>
        </w:rPr>
        <w:lastRenderedPageBreak/>
        <w:t>Table A.4: Collective bargaining systems and employment and unemployment rates: country tournament</w:t>
      </w:r>
      <w:r>
        <w:rPr>
          <w:rFonts w:ascii="Arial" w:eastAsiaTheme="minorHAnsi" w:hAnsi="Arial" w:cs="Arial"/>
          <w:b/>
          <w:bCs/>
          <w:sz w:val="20"/>
        </w:rPr>
        <w:br/>
      </w:r>
      <w:r w:rsidRPr="003F2574">
        <w:rPr>
          <w:rFonts w:ascii="Arial" w:hAnsi="Arial"/>
        </w:rPr>
        <w:t>OLS regressions using taxonomy of collective bargaining systems</w:t>
      </w:r>
    </w:p>
    <w:tbl>
      <w:tblPr>
        <w:tblW w:w="7938" w:type="dxa"/>
        <w:jc w:val="center"/>
        <w:tblBorders>
          <w:top w:val="single" w:sz="12" w:space="0" w:color="4F81BD"/>
          <w:bottom w:val="single" w:sz="12" w:space="0" w:color="000000"/>
        </w:tblBorders>
        <w:tblCellMar>
          <w:left w:w="0" w:type="dxa"/>
          <w:right w:w="0" w:type="dxa"/>
        </w:tblCellMar>
        <w:tblLook w:val="04A0" w:firstRow="1" w:lastRow="0" w:firstColumn="1" w:lastColumn="0" w:noHBand="0" w:noVBand="1"/>
      </w:tblPr>
      <w:tblGrid>
        <w:gridCol w:w="1502"/>
        <w:gridCol w:w="1648"/>
        <w:gridCol w:w="1570"/>
        <w:gridCol w:w="1648"/>
        <w:gridCol w:w="1570"/>
      </w:tblGrid>
      <w:tr w:rsidR="001F2ACA" w:rsidRPr="00F0276B" w14:paraId="482C7719" w14:textId="77777777" w:rsidTr="0096518D">
        <w:trPr>
          <w:jc w:val="center"/>
        </w:trPr>
        <w:tc>
          <w:tcPr>
            <w:tcW w:w="0" w:type="auto"/>
            <w:tcBorders>
              <w:bottom w:val="single" w:sz="8" w:space="0" w:color="000000"/>
            </w:tcBorders>
            <w:shd w:val="clear" w:color="auto" w:fill="auto"/>
            <w:tcMar>
              <w:top w:w="0" w:type="dxa"/>
              <w:left w:w="108" w:type="dxa"/>
              <w:bottom w:w="0" w:type="dxa"/>
              <w:right w:w="108" w:type="dxa"/>
            </w:tcMar>
            <w:vAlign w:val="center"/>
            <w:hideMark/>
          </w:tcPr>
          <w:p w14:paraId="0E8101FC" w14:textId="77777777" w:rsidR="001F2ACA" w:rsidRPr="00F0276B" w:rsidRDefault="001F2ACA" w:rsidP="0096518D">
            <w:pPr>
              <w:pStyle w:val="TableColumn"/>
              <w:rPr>
                <w:rFonts w:ascii="Arial" w:hAnsi="Arial"/>
                <w:sz w:val="16"/>
              </w:rPr>
            </w:pPr>
            <w:r w:rsidRPr="00F0276B">
              <w:rPr>
                <w:rFonts w:ascii="Arial" w:hAnsi="Arial"/>
                <w:sz w:val="16"/>
              </w:rPr>
              <w:t> </w:t>
            </w:r>
          </w:p>
        </w:tc>
        <w:tc>
          <w:tcPr>
            <w:tcW w:w="0" w:type="auto"/>
            <w:gridSpan w:val="2"/>
            <w:tcBorders>
              <w:bottom w:val="single" w:sz="8" w:space="0" w:color="000000"/>
            </w:tcBorders>
            <w:shd w:val="clear" w:color="auto" w:fill="auto"/>
            <w:tcMar>
              <w:top w:w="0" w:type="dxa"/>
              <w:left w:w="108" w:type="dxa"/>
              <w:bottom w:w="0" w:type="dxa"/>
              <w:right w:w="108" w:type="dxa"/>
            </w:tcMar>
            <w:vAlign w:val="center"/>
            <w:hideMark/>
          </w:tcPr>
          <w:p w14:paraId="0635CD82" w14:textId="77777777" w:rsidR="001F2ACA" w:rsidRPr="00F0276B" w:rsidRDefault="001F2ACA" w:rsidP="0096518D">
            <w:pPr>
              <w:pStyle w:val="TableColumn"/>
              <w:rPr>
                <w:rFonts w:ascii="Arial" w:hAnsi="Arial"/>
                <w:sz w:val="16"/>
              </w:rPr>
            </w:pPr>
            <w:r w:rsidRPr="00F0276B">
              <w:rPr>
                <w:rFonts w:ascii="Arial" w:hAnsi="Arial"/>
                <w:sz w:val="16"/>
              </w:rPr>
              <w:t>Employment rate</w:t>
            </w:r>
          </w:p>
        </w:tc>
        <w:tc>
          <w:tcPr>
            <w:tcW w:w="0" w:type="auto"/>
            <w:gridSpan w:val="2"/>
            <w:tcBorders>
              <w:bottom w:val="single" w:sz="8" w:space="0" w:color="000000"/>
            </w:tcBorders>
            <w:shd w:val="clear" w:color="auto" w:fill="auto"/>
            <w:tcMar>
              <w:top w:w="0" w:type="dxa"/>
              <w:left w:w="108" w:type="dxa"/>
              <w:bottom w:w="0" w:type="dxa"/>
              <w:right w:w="108" w:type="dxa"/>
            </w:tcMar>
            <w:vAlign w:val="center"/>
            <w:hideMark/>
          </w:tcPr>
          <w:p w14:paraId="5919A71A" w14:textId="77777777" w:rsidR="001F2ACA" w:rsidRPr="00F0276B" w:rsidRDefault="001F2ACA" w:rsidP="0096518D">
            <w:pPr>
              <w:pStyle w:val="TableColumn"/>
              <w:rPr>
                <w:rFonts w:ascii="Arial" w:hAnsi="Arial"/>
                <w:sz w:val="16"/>
              </w:rPr>
            </w:pPr>
            <w:r w:rsidRPr="00F0276B">
              <w:rPr>
                <w:rFonts w:ascii="Arial" w:hAnsi="Arial"/>
                <w:sz w:val="16"/>
              </w:rPr>
              <w:t>Unemployment rate</w:t>
            </w:r>
          </w:p>
        </w:tc>
      </w:tr>
      <w:tr w:rsidR="001F2ACA" w:rsidRPr="00F0276B" w14:paraId="694E13C9" w14:textId="77777777" w:rsidTr="0096518D">
        <w:trPr>
          <w:jc w:val="center"/>
        </w:trPr>
        <w:tc>
          <w:tcPr>
            <w:tcW w:w="0" w:type="auto"/>
            <w:tcBorders>
              <w:bottom w:val="single" w:sz="8" w:space="0" w:color="000000"/>
            </w:tcBorders>
            <w:shd w:val="clear" w:color="auto" w:fill="auto"/>
            <w:tcMar>
              <w:top w:w="0" w:type="dxa"/>
              <w:left w:w="108" w:type="dxa"/>
              <w:bottom w:w="0" w:type="dxa"/>
              <w:right w:w="108" w:type="dxa"/>
            </w:tcMar>
            <w:vAlign w:val="center"/>
            <w:hideMark/>
          </w:tcPr>
          <w:p w14:paraId="6CE1CE13" w14:textId="77777777" w:rsidR="001F2ACA" w:rsidRPr="00F0276B" w:rsidRDefault="001F2ACA" w:rsidP="0096518D">
            <w:pPr>
              <w:pStyle w:val="TableColumn"/>
              <w:rPr>
                <w:rFonts w:ascii="Arial" w:hAnsi="Arial"/>
                <w:sz w:val="16"/>
              </w:rPr>
            </w:pPr>
            <w:r w:rsidRPr="00F0276B">
              <w:rPr>
                <w:rFonts w:ascii="Arial" w:hAnsi="Arial"/>
                <w:sz w:val="16"/>
              </w:rPr>
              <w:t> </w:t>
            </w:r>
          </w:p>
        </w:tc>
        <w:tc>
          <w:tcPr>
            <w:tcW w:w="0" w:type="auto"/>
            <w:tcBorders>
              <w:bottom w:val="single" w:sz="8" w:space="0" w:color="000000"/>
            </w:tcBorders>
            <w:shd w:val="clear" w:color="auto" w:fill="auto"/>
            <w:tcMar>
              <w:top w:w="0" w:type="dxa"/>
              <w:left w:w="108" w:type="dxa"/>
              <w:bottom w:w="0" w:type="dxa"/>
              <w:right w:w="108" w:type="dxa"/>
            </w:tcMar>
            <w:vAlign w:val="center"/>
            <w:hideMark/>
          </w:tcPr>
          <w:p w14:paraId="2DABA07F" w14:textId="77777777" w:rsidR="001F2ACA" w:rsidRPr="00F0276B" w:rsidRDefault="001F2ACA" w:rsidP="0096518D">
            <w:pPr>
              <w:pStyle w:val="TableColumn"/>
              <w:rPr>
                <w:rFonts w:ascii="Arial" w:hAnsi="Arial"/>
                <w:sz w:val="16"/>
              </w:rPr>
            </w:pPr>
            <w:r w:rsidRPr="00F0276B">
              <w:rPr>
                <w:rFonts w:ascii="Arial" w:hAnsi="Arial"/>
                <w:sz w:val="16"/>
              </w:rPr>
              <w:t>Predominantly centralized and co-ordinated</w:t>
            </w:r>
          </w:p>
        </w:tc>
        <w:tc>
          <w:tcPr>
            <w:tcW w:w="0" w:type="auto"/>
            <w:tcBorders>
              <w:bottom w:val="single" w:sz="8" w:space="0" w:color="000000"/>
            </w:tcBorders>
            <w:shd w:val="clear" w:color="auto" w:fill="auto"/>
            <w:tcMar>
              <w:top w:w="0" w:type="dxa"/>
              <w:left w:w="108" w:type="dxa"/>
              <w:bottom w:w="0" w:type="dxa"/>
              <w:right w:w="108" w:type="dxa"/>
            </w:tcMar>
            <w:vAlign w:val="center"/>
            <w:hideMark/>
          </w:tcPr>
          <w:p w14:paraId="2C38E9B3" w14:textId="77777777" w:rsidR="001F2ACA" w:rsidRPr="00F0276B" w:rsidRDefault="001F2ACA" w:rsidP="0096518D">
            <w:pPr>
              <w:pStyle w:val="TableColumn"/>
              <w:rPr>
                <w:rFonts w:ascii="Arial" w:hAnsi="Arial"/>
                <w:sz w:val="16"/>
              </w:rPr>
            </w:pPr>
            <w:r w:rsidRPr="00F0276B">
              <w:rPr>
                <w:rFonts w:ascii="Arial" w:hAnsi="Arial"/>
                <w:sz w:val="16"/>
              </w:rPr>
              <w:t>Organised decentralized and co-ordinated</w:t>
            </w:r>
          </w:p>
        </w:tc>
        <w:tc>
          <w:tcPr>
            <w:tcW w:w="0" w:type="auto"/>
            <w:tcBorders>
              <w:bottom w:val="single" w:sz="8" w:space="0" w:color="000000"/>
            </w:tcBorders>
            <w:shd w:val="clear" w:color="auto" w:fill="auto"/>
            <w:tcMar>
              <w:top w:w="0" w:type="dxa"/>
              <w:left w:w="108" w:type="dxa"/>
              <w:bottom w:w="0" w:type="dxa"/>
              <w:right w:w="108" w:type="dxa"/>
            </w:tcMar>
            <w:vAlign w:val="center"/>
            <w:hideMark/>
          </w:tcPr>
          <w:p w14:paraId="1E6A4F65" w14:textId="77777777" w:rsidR="001F2ACA" w:rsidRPr="00F0276B" w:rsidRDefault="001F2ACA" w:rsidP="0096518D">
            <w:pPr>
              <w:pStyle w:val="TableColumn"/>
              <w:rPr>
                <w:rFonts w:ascii="Arial" w:hAnsi="Arial"/>
                <w:sz w:val="16"/>
              </w:rPr>
            </w:pPr>
            <w:r w:rsidRPr="00F0276B">
              <w:rPr>
                <w:rFonts w:ascii="Arial" w:hAnsi="Arial"/>
                <w:sz w:val="16"/>
              </w:rPr>
              <w:t>Predominantly centralized and co-ordinated</w:t>
            </w:r>
          </w:p>
        </w:tc>
        <w:tc>
          <w:tcPr>
            <w:tcW w:w="0" w:type="auto"/>
            <w:tcBorders>
              <w:bottom w:val="single" w:sz="8" w:space="0" w:color="000000"/>
            </w:tcBorders>
            <w:shd w:val="clear" w:color="auto" w:fill="auto"/>
            <w:tcMar>
              <w:top w:w="0" w:type="dxa"/>
              <w:left w:w="108" w:type="dxa"/>
              <w:bottom w:w="0" w:type="dxa"/>
              <w:right w:w="108" w:type="dxa"/>
            </w:tcMar>
            <w:vAlign w:val="center"/>
            <w:hideMark/>
          </w:tcPr>
          <w:p w14:paraId="6F74A796" w14:textId="77777777" w:rsidR="001F2ACA" w:rsidRPr="00F0276B" w:rsidRDefault="001F2ACA" w:rsidP="0096518D">
            <w:pPr>
              <w:pStyle w:val="TableColumn"/>
              <w:rPr>
                <w:rFonts w:ascii="Arial" w:hAnsi="Arial"/>
                <w:sz w:val="16"/>
              </w:rPr>
            </w:pPr>
            <w:r w:rsidRPr="00F0276B">
              <w:rPr>
                <w:rFonts w:ascii="Arial" w:hAnsi="Arial"/>
                <w:sz w:val="16"/>
              </w:rPr>
              <w:t>Organised decentralized and co-ordinated</w:t>
            </w:r>
          </w:p>
        </w:tc>
      </w:tr>
      <w:tr w:rsidR="001F2ACA" w:rsidRPr="00F0276B" w14:paraId="7EC8921D" w14:textId="77777777" w:rsidTr="0096518D">
        <w:trPr>
          <w:jc w:val="center"/>
        </w:trPr>
        <w:tc>
          <w:tcPr>
            <w:tcW w:w="0" w:type="auto"/>
            <w:shd w:val="clear" w:color="auto" w:fill="auto"/>
            <w:tcMar>
              <w:top w:w="0" w:type="dxa"/>
              <w:left w:w="108" w:type="dxa"/>
              <w:bottom w:w="0" w:type="dxa"/>
              <w:right w:w="108" w:type="dxa"/>
            </w:tcMar>
          </w:tcPr>
          <w:p w14:paraId="7359EE3E" w14:textId="77777777" w:rsidR="001F2ACA" w:rsidRPr="00F0276B" w:rsidRDefault="001F2ACA" w:rsidP="0096518D">
            <w:pPr>
              <w:pStyle w:val="TableRow"/>
              <w:rPr>
                <w:rFonts w:ascii="Arial" w:hAnsi="Arial"/>
                <w:sz w:val="16"/>
              </w:rPr>
            </w:pPr>
            <w:r w:rsidRPr="00F0276B">
              <w:rPr>
                <w:rFonts w:ascii="Arial" w:hAnsi="Arial"/>
                <w:sz w:val="16"/>
              </w:rPr>
              <w:t>All sample</w:t>
            </w:r>
          </w:p>
        </w:tc>
        <w:tc>
          <w:tcPr>
            <w:tcW w:w="0" w:type="auto"/>
            <w:shd w:val="clear" w:color="auto" w:fill="auto"/>
            <w:tcMar>
              <w:top w:w="0" w:type="dxa"/>
              <w:left w:w="108" w:type="dxa"/>
              <w:bottom w:w="0" w:type="dxa"/>
              <w:right w:w="108" w:type="dxa"/>
            </w:tcMar>
            <w:vAlign w:val="center"/>
          </w:tcPr>
          <w:p w14:paraId="5C15B3C3" w14:textId="77777777" w:rsidR="001F2ACA" w:rsidRPr="00F0276B" w:rsidRDefault="001F2ACA" w:rsidP="0096518D">
            <w:pPr>
              <w:pStyle w:val="TableCell"/>
              <w:ind w:left="180"/>
              <w:jc w:val="center"/>
              <w:rPr>
                <w:rFonts w:ascii="Arial" w:hAnsi="Arial"/>
                <w:sz w:val="16"/>
              </w:rPr>
            </w:pPr>
            <w:r w:rsidRPr="00F0276B">
              <w:rPr>
                <w:rFonts w:ascii="Arial" w:hAnsi="Arial"/>
                <w:sz w:val="16"/>
              </w:rPr>
              <w:t>4.598***</w:t>
            </w:r>
          </w:p>
        </w:tc>
        <w:tc>
          <w:tcPr>
            <w:tcW w:w="0" w:type="auto"/>
            <w:shd w:val="clear" w:color="auto" w:fill="auto"/>
            <w:tcMar>
              <w:top w:w="0" w:type="dxa"/>
              <w:left w:w="108" w:type="dxa"/>
              <w:bottom w:w="0" w:type="dxa"/>
              <w:right w:w="108" w:type="dxa"/>
            </w:tcMar>
            <w:vAlign w:val="center"/>
          </w:tcPr>
          <w:p w14:paraId="479E27C4" w14:textId="77777777" w:rsidR="001F2ACA" w:rsidRPr="00F0276B" w:rsidRDefault="001F2ACA" w:rsidP="0096518D">
            <w:pPr>
              <w:pStyle w:val="TableCell"/>
              <w:ind w:left="180"/>
              <w:jc w:val="center"/>
              <w:rPr>
                <w:rFonts w:ascii="Arial" w:hAnsi="Arial"/>
                <w:sz w:val="16"/>
              </w:rPr>
            </w:pPr>
            <w:r w:rsidRPr="00F0276B">
              <w:rPr>
                <w:rFonts w:ascii="Arial" w:hAnsi="Arial"/>
                <w:sz w:val="16"/>
              </w:rPr>
              <w:t>4.618***</w:t>
            </w:r>
          </w:p>
        </w:tc>
        <w:tc>
          <w:tcPr>
            <w:tcW w:w="0" w:type="auto"/>
            <w:shd w:val="clear" w:color="auto" w:fill="auto"/>
            <w:tcMar>
              <w:top w:w="0" w:type="dxa"/>
              <w:left w:w="108" w:type="dxa"/>
              <w:bottom w:w="0" w:type="dxa"/>
              <w:right w:w="108" w:type="dxa"/>
            </w:tcMar>
            <w:vAlign w:val="center"/>
          </w:tcPr>
          <w:p w14:paraId="19686192" w14:textId="77777777" w:rsidR="001F2ACA" w:rsidRPr="00F0276B" w:rsidRDefault="001F2ACA" w:rsidP="0096518D">
            <w:pPr>
              <w:pStyle w:val="TableCell"/>
              <w:ind w:left="180"/>
              <w:jc w:val="center"/>
              <w:rPr>
                <w:rFonts w:ascii="Arial" w:hAnsi="Arial"/>
                <w:sz w:val="16"/>
              </w:rPr>
            </w:pPr>
            <w:r w:rsidRPr="00F0276B">
              <w:rPr>
                <w:rFonts w:ascii="Arial" w:hAnsi="Arial"/>
                <w:sz w:val="16"/>
              </w:rPr>
              <w:t>-2.187***</w:t>
            </w:r>
          </w:p>
        </w:tc>
        <w:tc>
          <w:tcPr>
            <w:tcW w:w="0" w:type="auto"/>
            <w:shd w:val="clear" w:color="auto" w:fill="auto"/>
            <w:tcMar>
              <w:top w:w="0" w:type="dxa"/>
              <w:left w:w="108" w:type="dxa"/>
              <w:bottom w:w="0" w:type="dxa"/>
              <w:right w:w="108" w:type="dxa"/>
            </w:tcMar>
            <w:vAlign w:val="center"/>
          </w:tcPr>
          <w:p w14:paraId="5473EFEF" w14:textId="77777777" w:rsidR="001F2ACA" w:rsidRPr="00F0276B" w:rsidRDefault="001F2ACA" w:rsidP="0096518D">
            <w:pPr>
              <w:pStyle w:val="TableCell"/>
              <w:ind w:left="180"/>
              <w:jc w:val="center"/>
              <w:rPr>
                <w:rFonts w:ascii="Arial" w:hAnsi="Arial"/>
                <w:sz w:val="16"/>
              </w:rPr>
            </w:pPr>
            <w:r w:rsidRPr="00F0276B">
              <w:rPr>
                <w:rFonts w:ascii="Arial" w:hAnsi="Arial"/>
                <w:sz w:val="16"/>
              </w:rPr>
              <w:t>-1.105*</w:t>
            </w:r>
          </w:p>
        </w:tc>
      </w:tr>
      <w:tr w:rsidR="001F2ACA" w:rsidRPr="00F0276B" w14:paraId="7FE19696" w14:textId="77777777" w:rsidTr="0096518D">
        <w:trPr>
          <w:jc w:val="center"/>
        </w:trPr>
        <w:tc>
          <w:tcPr>
            <w:tcW w:w="0" w:type="auto"/>
            <w:shd w:val="clear" w:color="auto" w:fill="auto"/>
            <w:tcMar>
              <w:top w:w="0" w:type="dxa"/>
              <w:left w:w="108" w:type="dxa"/>
              <w:bottom w:w="0" w:type="dxa"/>
              <w:right w:w="108" w:type="dxa"/>
            </w:tcMar>
            <w:hideMark/>
          </w:tcPr>
          <w:p w14:paraId="6F9A711F" w14:textId="77777777" w:rsidR="001F2ACA" w:rsidRPr="00F0276B" w:rsidRDefault="001F2ACA" w:rsidP="0096518D">
            <w:pPr>
              <w:pStyle w:val="TableRow"/>
              <w:rPr>
                <w:rFonts w:ascii="Arial" w:hAnsi="Arial"/>
                <w:sz w:val="16"/>
              </w:rPr>
            </w:pPr>
            <w:r w:rsidRPr="00F0276B">
              <w:rPr>
                <w:rFonts w:ascii="Arial" w:hAnsi="Arial"/>
                <w:sz w:val="16"/>
              </w:rPr>
              <w:t>Excluding</w:t>
            </w:r>
          </w:p>
        </w:tc>
        <w:tc>
          <w:tcPr>
            <w:tcW w:w="0" w:type="auto"/>
            <w:shd w:val="clear" w:color="auto" w:fill="auto"/>
            <w:tcMar>
              <w:top w:w="0" w:type="dxa"/>
              <w:left w:w="108" w:type="dxa"/>
              <w:bottom w:w="0" w:type="dxa"/>
              <w:right w:w="108" w:type="dxa"/>
            </w:tcMar>
            <w:hideMark/>
          </w:tcPr>
          <w:p w14:paraId="12F2A594" w14:textId="77777777" w:rsidR="001F2ACA" w:rsidRPr="00F0276B" w:rsidRDefault="001F2ACA" w:rsidP="0096518D">
            <w:pPr>
              <w:pStyle w:val="TableCell"/>
              <w:ind w:left="180"/>
              <w:jc w:val="center"/>
              <w:rPr>
                <w:rFonts w:ascii="Arial" w:hAnsi="Arial"/>
                <w:sz w:val="16"/>
              </w:rPr>
            </w:pPr>
          </w:p>
        </w:tc>
        <w:tc>
          <w:tcPr>
            <w:tcW w:w="0" w:type="auto"/>
            <w:shd w:val="clear" w:color="auto" w:fill="auto"/>
            <w:tcMar>
              <w:top w:w="0" w:type="dxa"/>
              <w:left w:w="108" w:type="dxa"/>
              <w:bottom w:w="0" w:type="dxa"/>
              <w:right w:w="108" w:type="dxa"/>
            </w:tcMar>
            <w:hideMark/>
          </w:tcPr>
          <w:p w14:paraId="01C6E73A" w14:textId="77777777" w:rsidR="001F2ACA" w:rsidRPr="00F0276B" w:rsidRDefault="001F2ACA" w:rsidP="0096518D">
            <w:pPr>
              <w:pStyle w:val="TableCell"/>
              <w:ind w:left="180"/>
              <w:jc w:val="center"/>
              <w:rPr>
                <w:rFonts w:ascii="Arial" w:hAnsi="Arial"/>
                <w:sz w:val="16"/>
              </w:rPr>
            </w:pPr>
          </w:p>
        </w:tc>
        <w:tc>
          <w:tcPr>
            <w:tcW w:w="0" w:type="auto"/>
            <w:shd w:val="clear" w:color="auto" w:fill="auto"/>
            <w:tcMar>
              <w:top w:w="0" w:type="dxa"/>
              <w:left w:w="108" w:type="dxa"/>
              <w:bottom w:w="0" w:type="dxa"/>
              <w:right w:w="108" w:type="dxa"/>
            </w:tcMar>
            <w:hideMark/>
          </w:tcPr>
          <w:p w14:paraId="46A141FC" w14:textId="77777777" w:rsidR="001F2ACA" w:rsidRPr="00F0276B" w:rsidRDefault="001F2ACA" w:rsidP="0096518D">
            <w:pPr>
              <w:pStyle w:val="TableCell"/>
              <w:ind w:left="180"/>
              <w:jc w:val="center"/>
              <w:rPr>
                <w:rFonts w:ascii="Arial" w:hAnsi="Arial"/>
                <w:sz w:val="16"/>
              </w:rPr>
            </w:pPr>
          </w:p>
        </w:tc>
        <w:tc>
          <w:tcPr>
            <w:tcW w:w="0" w:type="auto"/>
            <w:shd w:val="clear" w:color="auto" w:fill="auto"/>
            <w:tcMar>
              <w:top w:w="0" w:type="dxa"/>
              <w:left w:w="108" w:type="dxa"/>
              <w:bottom w:w="0" w:type="dxa"/>
              <w:right w:w="108" w:type="dxa"/>
            </w:tcMar>
            <w:hideMark/>
          </w:tcPr>
          <w:p w14:paraId="336D36F1" w14:textId="77777777" w:rsidR="001F2ACA" w:rsidRPr="00F0276B" w:rsidRDefault="001F2ACA" w:rsidP="0096518D">
            <w:pPr>
              <w:pStyle w:val="TableCell"/>
              <w:ind w:left="180"/>
              <w:jc w:val="center"/>
              <w:rPr>
                <w:rFonts w:ascii="Arial" w:hAnsi="Arial"/>
                <w:sz w:val="16"/>
              </w:rPr>
            </w:pPr>
          </w:p>
        </w:tc>
      </w:tr>
      <w:tr w:rsidR="001F2ACA" w:rsidRPr="00F0276B" w14:paraId="7DBD9038" w14:textId="77777777" w:rsidTr="0096518D">
        <w:trPr>
          <w:jc w:val="center"/>
        </w:trPr>
        <w:tc>
          <w:tcPr>
            <w:tcW w:w="0" w:type="auto"/>
            <w:shd w:val="clear" w:color="auto" w:fill="auto"/>
            <w:tcMar>
              <w:top w:w="0" w:type="dxa"/>
              <w:left w:w="108" w:type="dxa"/>
              <w:bottom w:w="0" w:type="dxa"/>
              <w:right w:w="108" w:type="dxa"/>
            </w:tcMar>
            <w:hideMark/>
          </w:tcPr>
          <w:p w14:paraId="0C5AECEF" w14:textId="77777777" w:rsidR="001F2ACA" w:rsidRPr="00F0276B" w:rsidRDefault="001F2ACA" w:rsidP="0096518D">
            <w:pPr>
              <w:pStyle w:val="TableRow"/>
              <w:ind w:left="180"/>
              <w:rPr>
                <w:rFonts w:ascii="Arial" w:hAnsi="Arial"/>
                <w:sz w:val="16"/>
              </w:rPr>
            </w:pPr>
            <w:r w:rsidRPr="00F0276B">
              <w:rPr>
                <w:rFonts w:ascii="Arial" w:hAnsi="Arial"/>
                <w:sz w:val="16"/>
              </w:rPr>
              <w:t>Australia</w:t>
            </w:r>
          </w:p>
        </w:tc>
        <w:tc>
          <w:tcPr>
            <w:tcW w:w="0" w:type="auto"/>
            <w:shd w:val="clear" w:color="auto" w:fill="auto"/>
            <w:tcMar>
              <w:top w:w="0" w:type="dxa"/>
              <w:left w:w="108" w:type="dxa"/>
              <w:bottom w:w="0" w:type="dxa"/>
              <w:right w:w="108" w:type="dxa"/>
            </w:tcMar>
            <w:hideMark/>
          </w:tcPr>
          <w:p w14:paraId="17404ACB" w14:textId="77777777" w:rsidR="001F2ACA" w:rsidRPr="00F0276B" w:rsidRDefault="001F2ACA" w:rsidP="0096518D">
            <w:pPr>
              <w:pStyle w:val="TableCell"/>
              <w:ind w:left="180"/>
              <w:jc w:val="center"/>
              <w:rPr>
                <w:rFonts w:ascii="Arial" w:hAnsi="Arial"/>
                <w:sz w:val="16"/>
              </w:rPr>
            </w:pPr>
            <w:r w:rsidRPr="00F0276B">
              <w:rPr>
                <w:rFonts w:ascii="Arial" w:hAnsi="Arial"/>
                <w:sz w:val="16"/>
              </w:rPr>
              <w:t>4.813***</w:t>
            </w:r>
          </w:p>
        </w:tc>
        <w:tc>
          <w:tcPr>
            <w:tcW w:w="0" w:type="auto"/>
            <w:shd w:val="clear" w:color="auto" w:fill="auto"/>
            <w:tcMar>
              <w:top w:w="0" w:type="dxa"/>
              <w:left w:w="108" w:type="dxa"/>
              <w:bottom w:w="0" w:type="dxa"/>
              <w:right w:w="108" w:type="dxa"/>
            </w:tcMar>
            <w:hideMark/>
          </w:tcPr>
          <w:p w14:paraId="1882098B" w14:textId="77777777" w:rsidR="001F2ACA" w:rsidRPr="00F0276B" w:rsidRDefault="001F2ACA" w:rsidP="0096518D">
            <w:pPr>
              <w:pStyle w:val="TableCell"/>
              <w:ind w:left="180"/>
              <w:jc w:val="center"/>
              <w:rPr>
                <w:rFonts w:ascii="Arial" w:hAnsi="Arial"/>
                <w:sz w:val="16"/>
              </w:rPr>
            </w:pPr>
            <w:r w:rsidRPr="00F0276B">
              <w:rPr>
                <w:rFonts w:ascii="Arial" w:hAnsi="Arial"/>
                <w:sz w:val="16"/>
              </w:rPr>
              <w:t>4.838***</w:t>
            </w:r>
          </w:p>
        </w:tc>
        <w:tc>
          <w:tcPr>
            <w:tcW w:w="0" w:type="auto"/>
            <w:shd w:val="clear" w:color="auto" w:fill="auto"/>
            <w:tcMar>
              <w:top w:w="0" w:type="dxa"/>
              <w:left w:w="108" w:type="dxa"/>
              <w:bottom w:w="0" w:type="dxa"/>
              <w:right w:w="108" w:type="dxa"/>
            </w:tcMar>
            <w:hideMark/>
          </w:tcPr>
          <w:p w14:paraId="4FB4CB06" w14:textId="77777777" w:rsidR="001F2ACA" w:rsidRPr="00F0276B" w:rsidRDefault="001F2ACA" w:rsidP="0096518D">
            <w:pPr>
              <w:pStyle w:val="TableCell"/>
              <w:ind w:left="180"/>
              <w:jc w:val="center"/>
              <w:rPr>
                <w:rFonts w:ascii="Arial" w:hAnsi="Arial"/>
                <w:sz w:val="16"/>
              </w:rPr>
            </w:pPr>
            <w:r w:rsidRPr="00F0276B">
              <w:rPr>
                <w:rFonts w:ascii="Arial" w:hAnsi="Arial"/>
                <w:sz w:val="16"/>
              </w:rPr>
              <w:t>-2.671***</w:t>
            </w:r>
          </w:p>
        </w:tc>
        <w:tc>
          <w:tcPr>
            <w:tcW w:w="0" w:type="auto"/>
            <w:shd w:val="clear" w:color="auto" w:fill="auto"/>
            <w:tcMar>
              <w:top w:w="0" w:type="dxa"/>
              <w:left w:w="108" w:type="dxa"/>
              <w:bottom w:w="0" w:type="dxa"/>
              <w:right w:w="108" w:type="dxa"/>
            </w:tcMar>
            <w:hideMark/>
          </w:tcPr>
          <w:p w14:paraId="65DD817D" w14:textId="77777777" w:rsidR="001F2ACA" w:rsidRPr="00F0276B" w:rsidRDefault="001F2ACA" w:rsidP="0096518D">
            <w:pPr>
              <w:pStyle w:val="TableCell"/>
              <w:ind w:left="180"/>
              <w:jc w:val="center"/>
              <w:rPr>
                <w:rFonts w:ascii="Arial" w:hAnsi="Arial"/>
                <w:sz w:val="16"/>
              </w:rPr>
            </w:pPr>
            <w:r w:rsidRPr="00F0276B">
              <w:rPr>
                <w:rFonts w:ascii="Arial" w:hAnsi="Arial"/>
                <w:sz w:val="16"/>
              </w:rPr>
              <w:t>-1.519**</w:t>
            </w:r>
          </w:p>
        </w:tc>
      </w:tr>
      <w:tr w:rsidR="001F2ACA" w:rsidRPr="00F0276B" w14:paraId="1C616D39" w14:textId="77777777" w:rsidTr="0096518D">
        <w:trPr>
          <w:jc w:val="center"/>
        </w:trPr>
        <w:tc>
          <w:tcPr>
            <w:tcW w:w="0" w:type="auto"/>
            <w:shd w:val="clear" w:color="auto" w:fill="auto"/>
            <w:tcMar>
              <w:top w:w="0" w:type="dxa"/>
              <w:left w:w="108" w:type="dxa"/>
              <w:bottom w:w="0" w:type="dxa"/>
              <w:right w:w="108" w:type="dxa"/>
            </w:tcMar>
            <w:hideMark/>
          </w:tcPr>
          <w:p w14:paraId="6C529F30" w14:textId="77777777" w:rsidR="001F2ACA" w:rsidRPr="00F0276B" w:rsidRDefault="001F2ACA" w:rsidP="0096518D">
            <w:pPr>
              <w:pStyle w:val="TableRow"/>
              <w:ind w:left="180"/>
              <w:rPr>
                <w:rFonts w:ascii="Arial" w:hAnsi="Arial"/>
                <w:sz w:val="16"/>
              </w:rPr>
            </w:pPr>
            <w:r w:rsidRPr="00F0276B">
              <w:rPr>
                <w:rFonts w:ascii="Arial" w:hAnsi="Arial"/>
                <w:sz w:val="16"/>
              </w:rPr>
              <w:t>Austria</w:t>
            </w:r>
          </w:p>
        </w:tc>
        <w:tc>
          <w:tcPr>
            <w:tcW w:w="0" w:type="auto"/>
            <w:shd w:val="clear" w:color="auto" w:fill="auto"/>
            <w:tcMar>
              <w:top w:w="0" w:type="dxa"/>
              <w:left w:w="108" w:type="dxa"/>
              <w:bottom w:w="0" w:type="dxa"/>
              <w:right w:w="108" w:type="dxa"/>
            </w:tcMar>
            <w:hideMark/>
          </w:tcPr>
          <w:p w14:paraId="38B1F58A" w14:textId="77777777" w:rsidR="001F2ACA" w:rsidRPr="00F0276B" w:rsidRDefault="001F2ACA" w:rsidP="0096518D">
            <w:pPr>
              <w:pStyle w:val="TableCell"/>
              <w:ind w:left="180"/>
              <w:jc w:val="center"/>
              <w:rPr>
                <w:rFonts w:ascii="Arial" w:hAnsi="Arial"/>
                <w:sz w:val="16"/>
              </w:rPr>
            </w:pPr>
            <w:r w:rsidRPr="00F0276B">
              <w:rPr>
                <w:rFonts w:ascii="Arial" w:hAnsi="Arial"/>
                <w:sz w:val="16"/>
              </w:rPr>
              <w:t>4.494***</w:t>
            </w:r>
          </w:p>
        </w:tc>
        <w:tc>
          <w:tcPr>
            <w:tcW w:w="0" w:type="auto"/>
            <w:shd w:val="clear" w:color="auto" w:fill="auto"/>
            <w:tcMar>
              <w:top w:w="0" w:type="dxa"/>
              <w:left w:w="108" w:type="dxa"/>
              <w:bottom w:w="0" w:type="dxa"/>
              <w:right w:w="108" w:type="dxa"/>
            </w:tcMar>
            <w:hideMark/>
          </w:tcPr>
          <w:p w14:paraId="1E2587C6" w14:textId="77777777" w:rsidR="001F2ACA" w:rsidRPr="00F0276B" w:rsidRDefault="001F2ACA" w:rsidP="0096518D">
            <w:pPr>
              <w:pStyle w:val="TableCell"/>
              <w:ind w:left="180"/>
              <w:jc w:val="center"/>
              <w:rPr>
                <w:rFonts w:ascii="Arial" w:hAnsi="Arial"/>
                <w:sz w:val="16"/>
              </w:rPr>
            </w:pPr>
            <w:r w:rsidRPr="00F0276B">
              <w:rPr>
                <w:rFonts w:ascii="Arial" w:hAnsi="Arial"/>
                <w:sz w:val="16"/>
              </w:rPr>
              <w:t>4.666***</w:t>
            </w:r>
          </w:p>
        </w:tc>
        <w:tc>
          <w:tcPr>
            <w:tcW w:w="0" w:type="auto"/>
            <w:shd w:val="clear" w:color="auto" w:fill="auto"/>
            <w:tcMar>
              <w:top w:w="0" w:type="dxa"/>
              <w:left w:w="108" w:type="dxa"/>
              <w:bottom w:w="0" w:type="dxa"/>
              <w:right w:w="108" w:type="dxa"/>
            </w:tcMar>
            <w:hideMark/>
          </w:tcPr>
          <w:p w14:paraId="20D68C33" w14:textId="77777777" w:rsidR="001F2ACA" w:rsidRPr="00F0276B" w:rsidRDefault="001F2ACA" w:rsidP="0096518D">
            <w:pPr>
              <w:pStyle w:val="TableCell"/>
              <w:ind w:left="180"/>
              <w:jc w:val="center"/>
              <w:rPr>
                <w:rFonts w:ascii="Arial" w:hAnsi="Arial"/>
                <w:sz w:val="16"/>
              </w:rPr>
            </w:pPr>
            <w:r w:rsidRPr="00F0276B">
              <w:rPr>
                <w:rFonts w:ascii="Arial" w:hAnsi="Arial"/>
                <w:sz w:val="16"/>
              </w:rPr>
              <w:t>-2.163***</w:t>
            </w:r>
          </w:p>
        </w:tc>
        <w:tc>
          <w:tcPr>
            <w:tcW w:w="0" w:type="auto"/>
            <w:shd w:val="clear" w:color="auto" w:fill="auto"/>
            <w:tcMar>
              <w:top w:w="0" w:type="dxa"/>
              <w:left w:w="108" w:type="dxa"/>
              <w:bottom w:w="0" w:type="dxa"/>
              <w:right w:w="108" w:type="dxa"/>
            </w:tcMar>
            <w:hideMark/>
          </w:tcPr>
          <w:p w14:paraId="61CD4F20" w14:textId="77777777" w:rsidR="001F2ACA" w:rsidRPr="00F0276B" w:rsidRDefault="001F2ACA" w:rsidP="0096518D">
            <w:pPr>
              <w:pStyle w:val="TableCell"/>
              <w:ind w:left="180"/>
              <w:jc w:val="center"/>
              <w:rPr>
                <w:rFonts w:ascii="Arial" w:hAnsi="Arial"/>
                <w:sz w:val="16"/>
              </w:rPr>
            </w:pPr>
            <w:r w:rsidRPr="00F0276B">
              <w:rPr>
                <w:rFonts w:ascii="Arial" w:hAnsi="Arial"/>
                <w:sz w:val="16"/>
              </w:rPr>
              <w:t>-1.121*</w:t>
            </w:r>
          </w:p>
        </w:tc>
      </w:tr>
      <w:tr w:rsidR="001F2ACA" w:rsidRPr="00F0276B" w14:paraId="007C5228" w14:textId="77777777" w:rsidTr="0096518D">
        <w:trPr>
          <w:jc w:val="center"/>
        </w:trPr>
        <w:tc>
          <w:tcPr>
            <w:tcW w:w="0" w:type="auto"/>
            <w:shd w:val="clear" w:color="auto" w:fill="auto"/>
            <w:tcMar>
              <w:top w:w="0" w:type="dxa"/>
              <w:left w:w="108" w:type="dxa"/>
              <w:bottom w:w="0" w:type="dxa"/>
              <w:right w:w="108" w:type="dxa"/>
            </w:tcMar>
            <w:hideMark/>
          </w:tcPr>
          <w:p w14:paraId="60A7DB14" w14:textId="77777777" w:rsidR="001F2ACA" w:rsidRPr="00F0276B" w:rsidRDefault="001F2ACA" w:rsidP="0096518D">
            <w:pPr>
              <w:pStyle w:val="TableRow"/>
              <w:ind w:left="180"/>
              <w:rPr>
                <w:rFonts w:ascii="Arial" w:hAnsi="Arial"/>
                <w:sz w:val="16"/>
              </w:rPr>
            </w:pPr>
            <w:r w:rsidRPr="00F0276B">
              <w:rPr>
                <w:rFonts w:ascii="Arial" w:hAnsi="Arial"/>
                <w:sz w:val="16"/>
              </w:rPr>
              <w:t>Belgium</w:t>
            </w:r>
          </w:p>
        </w:tc>
        <w:tc>
          <w:tcPr>
            <w:tcW w:w="0" w:type="auto"/>
            <w:shd w:val="clear" w:color="auto" w:fill="auto"/>
            <w:tcMar>
              <w:top w:w="0" w:type="dxa"/>
              <w:left w:w="108" w:type="dxa"/>
              <w:bottom w:w="0" w:type="dxa"/>
              <w:right w:w="108" w:type="dxa"/>
            </w:tcMar>
            <w:hideMark/>
          </w:tcPr>
          <w:p w14:paraId="228C7106" w14:textId="77777777" w:rsidR="001F2ACA" w:rsidRPr="00F0276B" w:rsidRDefault="001F2ACA" w:rsidP="0096518D">
            <w:pPr>
              <w:pStyle w:val="TableCell"/>
              <w:ind w:left="180"/>
              <w:jc w:val="center"/>
              <w:rPr>
                <w:rFonts w:ascii="Arial" w:hAnsi="Arial"/>
                <w:sz w:val="16"/>
              </w:rPr>
            </w:pPr>
            <w:r w:rsidRPr="00F0276B">
              <w:rPr>
                <w:rFonts w:ascii="Arial" w:hAnsi="Arial"/>
                <w:sz w:val="16"/>
              </w:rPr>
              <w:t>4.584***</w:t>
            </w:r>
          </w:p>
        </w:tc>
        <w:tc>
          <w:tcPr>
            <w:tcW w:w="0" w:type="auto"/>
            <w:shd w:val="clear" w:color="auto" w:fill="auto"/>
            <w:tcMar>
              <w:top w:w="0" w:type="dxa"/>
              <w:left w:w="108" w:type="dxa"/>
              <w:bottom w:w="0" w:type="dxa"/>
              <w:right w:w="108" w:type="dxa"/>
            </w:tcMar>
            <w:hideMark/>
          </w:tcPr>
          <w:p w14:paraId="00D8B618" w14:textId="77777777" w:rsidR="001F2ACA" w:rsidRPr="00F0276B" w:rsidRDefault="001F2ACA" w:rsidP="0096518D">
            <w:pPr>
              <w:pStyle w:val="TableCell"/>
              <w:ind w:left="180"/>
              <w:jc w:val="center"/>
              <w:rPr>
                <w:rFonts w:ascii="Arial" w:hAnsi="Arial"/>
                <w:sz w:val="16"/>
              </w:rPr>
            </w:pPr>
            <w:r w:rsidRPr="00F0276B">
              <w:rPr>
                <w:rFonts w:ascii="Arial" w:hAnsi="Arial"/>
                <w:sz w:val="16"/>
              </w:rPr>
              <w:t>4.806***</w:t>
            </w:r>
          </w:p>
        </w:tc>
        <w:tc>
          <w:tcPr>
            <w:tcW w:w="0" w:type="auto"/>
            <w:shd w:val="clear" w:color="auto" w:fill="auto"/>
            <w:tcMar>
              <w:top w:w="0" w:type="dxa"/>
              <w:left w:w="108" w:type="dxa"/>
              <w:bottom w:w="0" w:type="dxa"/>
              <w:right w:w="108" w:type="dxa"/>
            </w:tcMar>
            <w:hideMark/>
          </w:tcPr>
          <w:p w14:paraId="14CE7211" w14:textId="77777777" w:rsidR="001F2ACA" w:rsidRPr="00F0276B" w:rsidRDefault="001F2ACA" w:rsidP="0096518D">
            <w:pPr>
              <w:pStyle w:val="TableCell"/>
              <w:ind w:left="180"/>
              <w:jc w:val="center"/>
              <w:rPr>
                <w:rFonts w:ascii="Arial" w:hAnsi="Arial"/>
                <w:sz w:val="16"/>
              </w:rPr>
            </w:pPr>
            <w:r w:rsidRPr="00F0276B">
              <w:rPr>
                <w:rFonts w:ascii="Arial" w:hAnsi="Arial"/>
                <w:sz w:val="16"/>
              </w:rPr>
              <w:t>-2.124***</w:t>
            </w:r>
          </w:p>
        </w:tc>
        <w:tc>
          <w:tcPr>
            <w:tcW w:w="0" w:type="auto"/>
            <w:shd w:val="clear" w:color="auto" w:fill="auto"/>
            <w:tcMar>
              <w:top w:w="0" w:type="dxa"/>
              <w:left w:w="108" w:type="dxa"/>
              <w:bottom w:w="0" w:type="dxa"/>
              <w:right w:w="108" w:type="dxa"/>
            </w:tcMar>
            <w:hideMark/>
          </w:tcPr>
          <w:p w14:paraId="4EFAA442" w14:textId="77777777" w:rsidR="001F2ACA" w:rsidRPr="00F0276B" w:rsidRDefault="001F2ACA" w:rsidP="0096518D">
            <w:pPr>
              <w:pStyle w:val="TableCell"/>
              <w:ind w:left="180"/>
              <w:jc w:val="center"/>
              <w:rPr>
                <w:rFonts w:ascii="Arial" w:hAnsi="Arial"/>
                <w:sz w:val="16"/>
              </w:rPr>
            </w:pPr>
            <w:r w:rsidRPr="00F0276B">
              <w:rPr>
                <w:rFonts w:ascii="Arial" w:hAnsi="Arial"/>
                <w:sz w:val="16"/>
              </w:rPr>
              <w:t>-1.095*</w:t>
            </w:r>
          </w:p>
        </w:tc>
      </w:tr>
      <w:tr w:rsidR="001F2ACA" w:rsidRPr="00F0276B" w14:paraId="464C03EC" w14:textId="77777777" w:rsidTr="0096518D">
        <w:trPr>
          <w:jc w:val="center"/>
        </w:trPr>
        <w:tc>
          <w:tcPr>
            <w:tcW w:w="0" w:type="auto"/>
            <w:shd w:val="clear" w:color="auto" w:fill="auto"/>
            <w:tcMar>
              <w:top w:w="0" w:type="dxa"/>
              <w:left w:w="108" w:type="dxa"/>
              <w:bottom w:w="0" w:type="dxa"/>
              <w:right w:w="108" w:type="dxa"/>
            </w:tcMar>
            <w:hideMark/>
          </w:tcPr>
          <w:p w14:paraId="3C687FFB" w14:textId="77777777" w:rsidR="001F2ACA" w:rsidRPr="00F0276B" w:rsidRDefault="001F2ACA" w:rsidP="0096518D">
            <w:pPr>
              <w:pStyle w:val="TableRow"/>
              <w:ind w:left="180"/>
              <w:rPr>
                <w:rFonts w:ascii="Arial" w:hAnsi="Arial"/>
                <w:sz w:val="16"/>
              </w:rPr>
            </w:pPr>
            <w:r w:rsidRPr="00F0276B">
              <w:rPr>
                <w:rFonts w:ascii="Arial" w:hAnsi="Arial"/>
                <w:sz w:val="16"/>
              </w:rPr>
              <w:t>Canada</w:t>
            </w:r>
          </w:p>
        </w:tc>
        <w:tc>
          <w:tcPr>
            <w:tcW w:w="0" w:type="auto"/>
            <w:shd w:val="clear" w:color="auto" w:fill="auto"/>
            <w:tcMar>
              <w:top w:w="0" w:type="dxa"/>
              <w:left w:w="108" w:type="dxa"/>
              <w:bottom w:w="0" w:type="dxa"/>
              <w:right w:w="108" w:type="dxa"/>
            </w:tcMar>
            <w:hideMark/>
          </w:tcPr>
          <w:p w14:paraId="1002838C" w14:textId="77777777" w:rsidR="001F2ACA" w:rsidRPr="00F0276B" w:rsidRDefault="001F2ACA" w:rsidP="0096518D">
            <w:pPr>
              <w:pStyle w:val="TableCell"/>
              <w:ind w:left="180"/>
              <w:jc w:val="center"/>
              <w:rPr>
                <w:rFonts w:ascii="Arial" w:hAnsi="Arial"/>
                <w:sz w:val="16"/>
              </w:rPr>
            </w:pPr>
            <w:r w:rsidRPr="00F0276B">
              <w:rPr>
                <w:rFonts w:ascii="Arial" w:hAnsi="Arial"/>
                <w:sz w:val="16"/>
              </w:rPr>
              <w:t>4.565***</w:t>
            </w:r>
          </w:p>
        </w:tc>
        <w:tc>
          <w:tcPr>
            <w:tcW w:w="0" w:type="auto"/>
            <w:shd w:val="clear" w:color="auto" w:fill="auto"/>
            <w:tcMar>
              <w:top w:w="0" w:type="dxa"/>
              <w:left w:w="108" w:type="dxa"/>
              <w:bottom w:w="0" w:type="dxa"/>
              <w:right w:w="108" w:type="dxa"/>
            </w:tcMar>
            <w:hideMark/>
          </w:tcPr>
          <w:p w14:paraId="4B7D5C1D" w14:textId="77777777" w:rsidR="001F2ACA" w:rsidRPr="00F0276B" w:rsidRDefault="001F2ACA" w:rsidP="0096518D">
            <w:pPr>
              <w:pStyle w:val="TableCell"/>
              <w:ind w:left="180"/>
              <w:jc w:val="center"/>
              <w:rPr>
                <w:rFonts w:ascii="Arial" w:hAnsi="Arial"/>
                <w:sz w:val="16"/>
              </w:rPr>
            </w:pPr>
            <w:r w:rsidRPr="00F0276B">
              <w:rPr>
                <w:rFonts w:ascii="Arial" w:hAnsi="Arial"/>
                <w:sz w:val="16"/>
              </w:rPr>
              <w:t>4.687***</w:t>
            </w:r>
          </w:p>
        </w:tc>
        <w:tc>
          <w:tcPr>
            <w:tcW w:w="0" w:type="auto"/>
            <w:shd w:val="clear" w:color="auto" w:fill="auto"/>
            <w:tcMar>
              <w:top w:w="0" w:type="dxa"/>
              <w:left w:w="108" w:type="dxa"/>
              <w:bottom w:w="0" w:type="dxa"/>
              <w:right w:w="108" w:type="dxa"/>
            </w:tcMar>
            <w:hideMark/>
          </w:tcPr>
          <w:p w14:paraId="23439E9A" w14:textId="77777777" w:rsidR="001F2ACA" w:rsidRPr="00F0276B" w:rsidRDefault="001F2ACA" w:rsidP="0096518D">
            <w:pPr>
              <w:pStyle w:val="TableCell"/>
              <w:ind w:left="180"/>
              <w:jc w:val="center"/>
              <w:rPr>
                <w:rFonts w:ascii="Arial" w:hAnsi="Arial"/>
                <w:sz w:val="16"/>
              </w:rPr>
            </w:pPr>
            <w:r w:rsidRPr="00F0276B">
              <w:rPr>
                <w:rFonts w:ascii="Arial" w:hAnsi="Arial"/>
                <w:sz w:val="16"/>
              </w:rPr>
              <w:t>-2.051***</w:t>
            </w:r>
          </w:p>
        </w:tc>
        <w:tc>
          <w:tcPr>
            <w:tcW w:w="0" w:type="auto"/>
            <w:shd w:val="clear" w:color="auto" w:fill="auto"/>
            <w:tcMar>
              <w:top w:w="0" w:type="dxa"/>
              <w:left w:w="108" w:type="dxa"/>
              <w:bottom w:w="0" w:type="dxa"/>
              <w:right w:w="108" w:type="dxa"/>
            </w:tcMar>
            <w:hideMark/>
          </w:tcPr>
          <w:p w14:paraId="74283A28" w14:textId="77777777" w:rsidR="001F2ACA" w:rsidRPr="00F0276B" w:rsidRDefault="001F2ACA" w:rsidP="0096518D">
            <w:pPr>
              <w:pStyle w:val="TableCell"/>
              <w:ind w:left="180"/>
              <w:jc w:val="center"/>
              <w:rPr>
                <w:rFonts w:ascii="Arial" w:hAnsi="Arial"/>
                <w:sz w:val="16"/>
              </w:rPr>
            </w:pPr>
            <w:r w:rsidRPr="00F0276B">
              <w:rPr>
                <w:rFonts w:ascii="Arial" w:hAnsi="Arial"/>
                <w:sz w:val="16"/>
              </w:rPr>
              <w:t>-1.149*</w:t>
            </w:r>
          </w:p>
        </w:tc>
      </w:tr>
      <w:tr w:rsidR="001F2ACA" w:rsidRPr="00F0276B" w14:paraId="2841B09A" w14:textId="77777777" w:rsidTr="0096518D">
        <w:trPr>
          <w:jc w:val="center"/>
        </w:trPr>
        <w:tc>
          <w:tcPr>
            <w:tcW w:w="0" w:type="auto"/>
            <w:shd w:val="clear" w:color="auto" w:fill="auto"/>
            <w:tcMar>
              <w:top w:w="0" w:type="dxa"/>
              <w:left w:w="108" w:type="dxa"/>
              <w:bottom w:w="0" w:type="dxa"/>
              <w:right w:w="108" w:type="dxa"/>
            </w:tcMar>
            <w:hideMark/>
          </w:tcPr>
          <w:p w14:paraId="6D3F4415" w14:textId="77777777" w:rsidR="001F2ACA" w:rsidRPr="00F0276B" w:rsidRDefault="001F2ACA" w:rsidP="0096518D">
            <w:pPr>
              <w:pStyle w:val="TableRow"/>
              <w:ind w:left="180"/>
              <w:rPr>
                <w:rFonts w:ascii="Arial" w:hAnsi="Arial"/>
                <w:sz w:val="16"/>
              </w:rPr>
            </w:pPr>
            <w:r w:rsidRPr="00F0276B">
              <w:rPr>
                <w:rFonts w:ascii="Arial" w:hAnsi="Arial"/>
                <w:sz w:val="16"/>
              </w:rPr>
              <w:t>Chile</w:t>
            </w:r>
          </w:p>
        </w:tc>
        <w:tc>
          <w:tcPr>
            <w:tcW w:w="0" w:type="auto"/>
            <w:shd w:val="clear" w:color="auto" w:fill="auto"/>
            <w:tcMar>
              <w:top w:w="0" w:type="dxa"/>
              <w:left w:w="108" w:type="dxa"/>
              <w:bottom w:w="0" w:type="dxa"/>
              <w:right w:w="108" w:type="dxa"/>
            </w:tcMar>
            <w:hideMark/>
          </w:tcPr>
          <w:p w14:paraId="2F23C12E" w14:textId="77777777" w:rsidR="001F2ACA" w:rsidRPr="00F0276B" w:rsidRDefault="001F2ACA" w:rsidP="0096518D">
            <w:pPr>
              <w:pStyle w:val="TableCell"/>
              <w:ind w:left="180"/>
              <w:jc w:val="center"/>
              <w:rPr>
                <w:rFonts w:ascii="Arial" w:hAnsi="Arial"/>
                <w:sz w:val="16"/>
              </w:rPr>
            </w:pPr>
            <w:r w:rsidRPr="00F0276B">
              <w:rPr>
                <w:rFonts w:ascii="Arial" w:hAnsi="Arial"/>
                <w:sz w:val="16"/>
              </w:rPr>
              <w:t>4.584***</w:t>
            </w:r>
          </w:p>
        </w:tc>
        <w:tc>
          <w:tcPr>
            <w:tcW w:w="0" w:type="auto"/>
            <w:shd w:val="clear" w:color="auto" w:fill="auto"/>
            <w:tcMar>
              <w:top w:w="0" w:type="dxa"/>
              <w:left w:w="108" w:type="dxa"/>
              <w:bottom w:w="0" w:type="dxa"/>
              <w:right w:w="108" w:type="dxa"/>
            </w:tcMar>
            <w:hideMark/>
          </w:tcPr>
          <w:p w14:paraId="09B6DCC1" w14:textId="77777777" w:rsidR="001F2ACA" w:rsidRPr="00F0276B" w:rsidRDefault="001F2ACA" w:rsidP="0096518D">
            <w:pPr>
              <w:pStyle w:val="TableCell"/>
              <w:ind w:left="180"/>
              <w:jc w:val="center"/>
              <w:rPr>
                <w:rFonts w:ascii="Arial" w:hAnsi="Arial"/>
                <w:sz w:val="16"/>
              </w:rPr>
            </w:pPr>
            <w:r w:rsidRPr="00F0276B">
              <w:rPr>
                <w:rFonts w:ascii="Arial" w:hAnsi="Arial"/>
                <w:sz w:val="16"/>
              </w:rPr>
              <w:t>4.606***</w:t>
            </w:r>
          </w:p>
        </w:tc>
        <w:tc>
          <w:tcPr>
            <w:tcW w:w="0" w:type="auto"/>
            <w:shd w:val="clear" w:color="auto" w:fill="auto"/>
            <w:tcMar>
              <w:top w:w="0" w:type="dxa"/>
              <w:left w:w="108" w:type="dxa"/>
              <w:bottom w:w="0" w:type="dxa"/>
              <w:right w:w="108" w:type="dxa"/>
            </w:tcMar>
            <w:hideMark/>
          </w:tcPr>
          <w:p w14:paraId="473F7FD3" w14:textId="77777777" w:rsidR="001F2ACA" w:rsidRPr="00F0276B" w:rsidRDefault="001F2ACA" w:rsidP="0096518D">
            <w:pPr>
              <w:pStyle w:val="TableCell"/>
              <w:ind w:left="180"/>
              <w:jc w:val="center"/>
              <w:rPr>
                <w:rFonts w:ascii="Arial" w:hAnsi="Arial"/>
                <w:sz w:val="16"/>
              </w:rPr>
            </w:pPr>
            <w:r w:rsidRPr="00F0276B">
              <w:rPr>
                <w:rFonts w:ascii="Arial" w:hAnsi="Arial"/>
                <w:sz w:val="16"/>
              </w:rPr>
              <w:t>-2.103***</w:t>
            </w:r>
          </w:p>
        </w:tc>
        <w:tc>
          <w:tcPr>
            <w:tcW w:w="0" w:type="auto"/>
            <w:shd w:val="clear" w:color="auto" w:fill="auto"/>
            <w:tcMar>
              <w:top w:w="0" w:type="dxa"/>
              <w:left w:w="108" w:type="dxa"/>
              <w:bottom w:w="0" w:type="dxa"/>
              <w:right w:w="108" w:type="dxa"/>
            </w:tcMar>
            <w:hideMark/>
          </w:tcPr>
          <w:p w14:paraId="6A17A5D4" w14:textId="77777777" w:rsidR="001F2ACA" w:rsidRPr="00F0276B" w:rsidRDefault="001F2ACA" w:rsidP="0096518D">
            <w:pPr>
              <w:pStyle w:val="TableCell"/>
              <w:ind w:left="180"/>
              <w:jc w:val="center"/>
              <w:rPr>
                <w:rFonts w:ascii="Arial" w:hAnsi="Arial"/>
                <w:sz w:val="16"/>
              </w:rPr>
            </w:pPr>
            <w:r w:rsidRPr="00F0276B">
              <w:rPr>
                <w:rFonts w:ascii="Arial" w:hAnsi="Arial"/>
                <w:sz w:val="16"/>
              </w:rPr>
              <w:t>-1.036</w:t>
            </w:r>
          </w:p>
        </w:tc>
      </w:tr>
      <w:tr w:rsidR="001F2ACA" w:rsidRPr="00F0276B" w14:paraId="40E7A889" w14:textId="77777777" w:rsidTr="0096518D">
        <w:trPr>
          <w:jc w:val="center"/>
        </w:trPr>
        <w:tc>
          <w:tcPr>
            <w:tcW w:w="0" w:type="auto"/>
            <w:shd w:val="clear" w:color="auto" w:fill="auto"/>
            <w:tcMar>
              <w:top w:w="0" w:type="dxa"/>
              <w:left w:w="108" w:type="dxa"/>
              <w:bottom w:w="0" w:type="dxa"/>
              <w:right w:w="108" w:type="dxa"/>
            </w:tcMar>
            <w:hideMark/>
          </w:tcPr>
          <w:p w14:paraId="7B20BDB6" w14:textId="77777777" w:rsidR="001F2ACA" w:rsidRPr="00F0276B" w:rsidRDefault="001F2ACA" w:rsidP="0096518D">
            <w:pPr>
              <w:pStyle w:val="TableRow"/>
              <w:ind w:left="180"/>
              <w:rPr>
                <w:rFonts w:ascii="Arial" w:hAnsi="Arial"/>
                <w:sz w:val="16"/>
              </w:rPr>
            </w:pPr>
            <w:r w:rsidRPr="00F0276B">
              <w:rPr>
                <w:rFonts w:ascii="Arial" w:hAnsi="Arial"/>
                <w:sz w:val="16"/>
              </w:rPr>
              <w:t>Czech Republic</w:t>
            </w:r>
          </w:p>
        </w:tc>
        <w:tc>
          <w:tcPr>
            <w:tcW w:w="0" w:type="auto"/>
            <w:shd w:val="clear" w:color="auto" w:fill="auto"/>
            <w:tcMar>
              <w:top w:w="0" w:type="dxa"/>
              <w:left w:w="108" w:type="dxa"/>
              <w:bottom w:w="0" w:type="dxa"/>
              <w:right w:w="108" w:type="dxa"/>
            </w:tcMar>
            <w:hideMark/>
          </w:tcPr>
          <w:p w14:paraId="321AF10B" w14:textId="77777777" w:rsidR="001F2ACA" w:rsidRPr="00F0276B" w:rsidRDefault="001F2ACA" w:rsidP="0096518D">
            <w:pPr>
              <w:pStyle w:val="TableCell"/>
              <w:ind w:left="180"/>
              <w:jc w:val="center"/>
              <w:rPr>
                <w:rFonts w:ascii="Arial" w:hAnsi="Arial"/>
                <w:sz w:val="16"/>
              </w:rPr>
            </w:pPr>
            <w:r w:rsidRPr="00F0276B">
              <w:rPr>
                <w:rFonts w:ascii="Arial" w:hAnsi="Arial"/>
                <w:sz w:val="16"/>
              </w:rPr>
              <w:t>4.589***</w:t>
            </w:r>
          </w:p>
        </w:tc>
        <w:tc>
          <w:tcPr>
            <w:tcW w:w="0" w:type="auto"/>
            <w:shd w:val="clear" w:color="auto" w:fill="auto"/>
            <w:tcMar>
              <w:top w:w="0" w:type="dxa"/>
              <w:left w:w="108" w:type="dxa"/>
              <w:bottom w:w="0" w:type="dxa"/>
              <w:right w:w="108" w:type="dxa"/>
            </w:tcMar>
            <w:hideMark/>
          </w:tcPr>
          <w:p w14:paraId="4E9E0BA3" w14:textId="77777777" w:rsidR="001F2ACA" w:rsidRPr="00F0276B" w:rsidRDefault="001F2ACA" w:rsidP="0096518D">
            <w:pPr>
              <w:pStyle w:val="TableCell"/>
              <w:ind w:left="180"/>
              <w:jc w:val="center"/>
              <w:rPr>
                <w:rFonts w:ascii="Arial" w:hAnsi="Arial"/>
                <w:sz w:val="16"/>
              </w:rPr>
            </w:pPr>
            <w:r w:rsidRPr="00F0276B">
              <w:rPr>
                <w:rFonts w:ascii="Arial" w:hAnsi="Arial"/>
                <w:sz w:val="16"/>
              </w:rPr>
              <w:t>4.604***</w:t>
            </w:r>
          </w:p>
        </w:tc>
        <w:tc>
          <w:tcPr>
            <w:tcW w:w="0" w:type="auto"/>
            <w:shd w:val="clear" w:color="auto" w:fill="auto"/>
            <w:tcMar>
              <w:top w:w="0" w:type="dxa"/>
              <w:left w:w="108" w:type="dxa"/>
              <w:bottom w:w="0" w:type="dxa"/>
              <w:right w:w="108" w:type="dxa"/>
            </w:tcMar>
            <w:hideMark/>
          </w:tcPr>
          <w:p w14:paraId="2031417C" w14:textId="77777777" w:rsidR="001F2ACA" w:rsidRPr="00F0276B" w:rsidRDefault="001F2ACA" w:rsidP="0096518D">
            <w:pPr>
              <w:pStyle w:val="TableCell"/>
              <w:ind w:left="180"/>
              <w:jc w:val="center"/>
              <w:rPr>
                <w:rFonts w:ascii="Arial" w:hAnsi="Arial"/>
                <w:sz w:val="16"/>
              </w:rPr>
            </w:pPr>
            <w:r w:rsidRPr="00F0276B">
              <w:rPr>
                <w:rFonts w:ascii="Arial" w:hAnsi="Arial"/>
                <w:sz w:val="16"/>
              </w:rPr>
              <w:t>-2.139***</w:t>
            </w:r>
          </w:p>
        </w:tc>
        <w:tc>
          <w:tcPr>
            <w:tcW w:w="0" w:type="auto"/>
            <w:shd w:val="clear" w:color="auto" w:fill="auto"/>
            <w:tcMar>
              <w:top w:w="0" w:type="dxa"/>
              <w:left w:w="108" w:type="dxa"/>
              <w:bottom w:w="0" w:type="dxa"/>
              <w:right w:w="108" w:type="dxa"/>
            </w:tcMar>
            <w:hideMark/>
          </w:tcPr>
          <w:p w14:paraId="1CAA00A6" w14:textId="77777777" w:rsidR="001F2ACA" w:rsidRPr="00F0276B" w:rsidRDefault="001F2ACA" w:rsidP="0096518D">
            <w:pPr>
              <w:pStyle w:val="TableCell"/>
              <w:ind w:left="180"/>
              <w:jc w:val="center"/>
              <w:rPr>
                <w:rFonts w:ascii="Arial" w:hAnsi="Arial"/>
                <w:sz w:val="16"/>
              </w:rPr>
            </w:pPr>
            <w:r w:rsidRPr="00F0276B">
              <w:rPr>
                <w:rFonts w:ascii="Arial" w:hAnsi="Arial"/>
                <w:sz w:val="16"/>
              </w:rPr>
              <w:t>-1.035</w:t>
            </w:r>
          </w:p>
        </w:tc>
      </w:tr>
      <w:tr w:rsidR="001F2ACA" w:rsidRPr="00F0276B" w14:paraId="7EDEE18F" w14:textId="77777777" w:rsidTr="0096518D">
        <w:trPr>
          <w:jc w:val="center"/>
        </w:trPr>
        <w:tc>
          <w:tcPr>
            <w:tcW w:w="0" w:type="auto"/>
            <w:shd w:val="clear" w:color="auto" w:fill="auto"/>
            <w:tcMar>
              <w:top w:w="0" w:type="dxa"/>
              <w:left w:w="108" w:type="dxa"/>
              <w:bottom w:w="0" w:type="dxa"/>
              <w:right w:w="108" w:type="dxa"/>
            </w:tcMar>
            <w:hideMark/>
          </w:tcPr>
          <w:p w14:paraId="12396D82" w14:textId="77777777" w:rsidR="001F2ACA" w:rsidRPr="00F0276B" w:rsidRDefault="001F2ACA" w:rsidP="0096518D">
            <w:pPr>
              <w:pStyle w:val="TableRow"/>
              <w:ind w:left="180"/>
              <w:rPr>
                <w:rFonts w:ascii="Arial" w:hAnsi="Arial"/>
                <w:sz w:val="16"/>
              </w:rPr>
            </w:pPr>
            <w:r w:rsidRPr="00F0276B">
              <w:rPr>
                <w:rFonts w:ascii="Arial" w:hAnsi="Arial"/>
                <w:sz w:val="16"/>
              </w:rPr>
              <w:t>Denmark</w:t>
            </w:r>
          </w:p>
        </w:tc>
        <w:tc>
          <w:tcPr>
            <w:tcW w:w="0" w:type="auto"/>
            <w:shd w:val="clear" w:color="auto" w:fill="auto"/>
            <w:tcMar>
              <w:top w:w="0" w:type="dxa"/>
              <w:left w:w="108" w:type="dxa"/>
              <w:bottom w:w="0" w:type="dxa"/>
              <w:right w:w="108" w:type="dxa"/>
            </w:tcMar>
            <w:hideMark/>
          </w:tcPr>
          <w:p w14:paraId="402AD09E" w14:textId="77777777" w:rsidR="001F2ACA" w:rsidRPr="00F0276B" w:rsidRDefault="001F2ACA" w:rsidP="0096518D">
            <w:pPr>
              <w:pStyle w:val="TableCell"/>
              <w:ind w:left="180"/>
              <w:jc w:val="center"/>
              <w:rPr>
                <w:rFonts w:ascii="Arial" w:hAnsi="Arial"/>
                <w:sz w:val="16"/>
              </w:rPr>
            </w:pPr>
            <w:r w:rsidRPr="00F0276B">
              <w:rPr>
                <w:rFonts w:ascii="Arial" w:hAnsi="Arial"/>
                <w:sz w:val="16"/>
              </w:rPr>
              <w:t>4.560***</w:t>
            </w:r>
          </w:p>
        </w:tc>
        <w:tc>
          <w:tcPr>
            <w:tcW w:w="0" w:type="auto"/>
            <w:shd w:val="clear" w:color="auto" w:fill="auto"/>
            <w:tcMar>
              <w:top w:w="0" w:type="dxa"/>
              <w:left w:w="108" w:type="dxa"/>
              <w:bottom w:w="0" w:type="dxa"/>
              <w:right w:w="108" w:type="dxa"/>
            </w:tcMar>
            <w:hideMark/>
          </w:tcPr>
          <w:p w14:paraId="459226AC" w14:textId="77777777" w:rsidR="001F2ACA" w:rsidRPr="00F0276B" w:rsidRDefault="001F2ACA" w:rsidP="0096518D">
            <w:pPr>
              <w:pStyle w:val="TableCell"/>
              <w:ind w:left="180"/>
              <w:jc w:val="center"/>
              <w:rPr>
                <w:rFonts w:ascii="Arial" w:hAnsi="Arial"/>
                <w:sz w:val="16"/>
              </w:rPr>
            </w:pPr>
            <w:r w:rsidRPr="00F0276B">
              <w:rPr>
                <w:rFonts w:ascii="Arial" w:hAnsi="Arial"/>
                <w:sz w:val="16"/>
              </w:rPr>
              <w:t>4.390***</w:t>
            </w:r>
          </w:p>
        </w:tc>
        <w:tc>
          <w:tcPr>
            <w:tcW w:w="0" w:type="auto"/>
            <w:shd w:val="clear" w:color="auto" w:fill="auto"/>
            <w:tcMar>
              <w:top w:w="0" w:type="dxa"/>
              <w:left w:w="108" w:type="dxa"/>
              <w:bottom w:w="0" w:type="dxa"/>
              <w:right w:w="108" w:type="dxa"/>
            </w:tcMar>
            <w:hideMark/>
          </w:tcPr>
          <w:p w14:paraId="12E27632" w14:textId="77777777" w:rsidR="001F2ACA" w:rsidRPr="00F0276B" w:rsidRDefault="001F2ACA" w:rsidP="0096518D">
            <w:pPr>
              <w:pStyle w:val="TableCell"/>
              <w:ind w:left="180"/>
              <w:jc w:val="center"/>
              <w:rPr>
                <w:rFonts w:ascii="Arial" w:hAnsi="Arial"/>
                <w:sz w:val="16"/>
              </w:rPr>
            </w:pPr>
            <w:r w:rsidRPr="00F0276B">
              <w:rPr>
                <w:rFonts w:ascii="Arial" w:hAnsi="Arial"/>
                <w:sz w:val="16"/>
              </w:rPr>
              <w:t>-2.186***</w:t>
            </w:r>
          </w:p>
        </w:tc>
        <w:tc>
          <w:tcPr>
            <w:tcW w:w="0" w:type="auto"/>
            <w:shd w:val="clear" w:color="auto" w:fill="auto"/>
            <w:tcMar>
              <w:top w:w="0" w:type="dxa"/>
              <w:left w:w="108" w:type="dxa"/>
              <w:bottom w:w="0" w:type="dxa"/>
              <w:right w:w="108" w:type="dxa"/>
            </w:tcMar>
            <w:hideMark/>
          </w:tcPr>
          <w:p w14:paraId="14DD0A3F" w14:textId="77777777" w:rsidR="001F2ACA" w:rsidRPr="00F0276B" w:rsidRDefault="001F2ACA" w:rsidP="0096518D">
            <w:pPr>
              <w:pStyle w:val="TableCell"/>
              <w:ind w:left="180"/>
              <w:jc w:val="center"/>
              <w:rPr>
                <w:rFonts w:ascii="Arial" w:hAnsi="Arial"/>
                <w:sz w:val="16"/>
              </w:rPr>
            </w:pPr>
            <w:r w:rsidRPr="00F0276B">
              <w:rPr>
                <w:rFonts w:ascii="Arial" w:hAnsi="Arial"/>
                <w:sz w:val="16"/>
              </w:rPr>
              <w:t>-1.048</w:t>
            </w:r>
          </w:p>
        </w:tc>
      </w:tr>
      <w:tr w:rsidR="001F2ACA" w:rsidRPr="00F0276B" w14:paraId="481E46C4" w14:textId="77777777" w:rsidTr="0096518D">
        <w:trPr>
          <w:jc w:val="center"/>
        </w:trPr>
        <w:tc>
          <w:tcPr>
            <w:tcW w:w="0" w:type="auto"/>
            <w:shd w:val="clear" w:color="auto" w:fill="auto"/>
            <w:tcMar>
              <w:top w:w="0" w:type="dxa"/>
              <w:left w:w="108" w:type="dxa"/>
              <w:bottom w:w="0" w:type="dxa"/>
              <w:right w:w="108" w:type="dxa"/>
            </w:tcMar>
            <w:hideMark/>
          </w:tcPr>
          <w:p w14:paraId="47802083" w14:textId="77777777" w:rsidR="001F2ACA" w:rsidRPr="00F0276B" w:rsidRDefault="001F2ACA" w:rsidP="0096518D">
            <w:pPr>
              <w:pStyle w:val="TableRow"/>
              <w:ind w:left="180"/>
              <w:rPr>
                <w:rFonts w:ascii="Arial" w:hAnsi="Arial"/>
                <w:sz w:val="16"/>
              </w:rPr>
            </w:pPr>
            <w:r w:rsidRPr="00F0276B">
              <w:rPr>
                <w:rFonts w:ascii="Arial" w:hAnsi="Arial"/>
                <w:sz w:val="16"/>
              </w:rPr>
              <w:t>Estonia</w:t>
            </w:r>
          </w:p>
        </w:tc>
        <w:tc>
          <w:tcPr>
            <w:tcW w:w="0" w:type="auto"/>
            <w:shd w:val="clear" w:color="auto" w:fill="auto"/>
            <w:tcMar>
              <w:top w:w="0" w:type="dxa"/>
              <w:left w:w="108" w:type="dxa"/>
              <w:bottom w:w="0" w:type="dxa"/>
              <w:right w:w="108" w:type="dxa"/>
            </w:tcMar>
            <w:hideMark/>
          </w:tcPr>
          <w:p w14:paraId="196C1B48" w14:textId="77777777" w:rsidR="001F2ACA" w:rsidRPr="00F0276B" w:rsidRDefault="001F2ACA" w:rsidP="0096518D">
            <w:pPr>
              <w:pStyle w:val="TableCell"/>
              <w:ind w:left="180"/>
              <w:jc w:val="center"/>
              <w:rPr>
                <w:rFonts w:ascii="Arial" w:hAnsi="Arial"/>
                <w:sz w:val="16"/>
              </w:rPr>
            </w:pPr>
            <w:r w:rsidRPr="00F0276B">
              <w:rPr>
                <w:rFonts w:ascii="Arial" w:hAnsi="Arial"/>
                <w:sz w:val="16"/>
              </w:rPr>
              <w:t>4.573***</w:t>
            </w:r>
          </w:p>
        </w:tc>
        <w:tc>
          <w:tcPr>
            <w:tcW w:w="0" w:type="auto"/>
            <w:shd w:val="clear" w:color="auto" w:fill="auto"/>
            <w:tcMar>
              <w:top w:w="0" w:type="dxa"/>
              <w:left w:w="108" w:type="dxa"/>
              <w:bottom w:w="0" w:type="dxa"/>
              <w:right w:w="108" w:type="dxa"/>
            </w:tcMar>
            <w:hideMark/>
          </w:tcPr>
          <w:p w14:paraId="635F5CE4" w14:textId="77777777" w:rsidR="001F2ACA" w:rsidRPr="00F0276B" w:rsidRDefault="001F2ACA" w:rsidP="0096518D">
            <w:pPr>
              <w:pStyle w:val="TableCell"/>
              <w:ind w:left="180"/>
              <w:jc w:val="center"/>
              <w:rPr>
                <w:rFonts w:ascii="Arial" w:hAnsi="Arial"/>
                <w:sz w:val="16"/>
              </w:rPr>
            </w:pPr>
            <w:r w:rsidRPr="00F0276B">
              <w:rPr>
                <w:rFonts w:ascii="Arial" w:hAnsi="Arial"/>
                <w:sz w:val="16"/>
              </w:rPr>
              <w:t>4.630***</w:t>
            </w:r>
          </w:p>
        </w:tc>
        <w:tc>
          <w:tcPr>
            <w:tcW w:w="0" w:type="auto"/>
            <w:shd w:val="clear" w:color="auto" w:fill="auto"/>
            <w:tcMar>
              <w:top w:w="0" w:type="dxa"/>
              <w:left w:w="108" w:type="dxa"/>
              <w:bottom w:w="0" w:type="dxa"/>
              <w:right w:w="108" w:type="dxa"/>
            </w:tcMar>
            <w:hideMark/>
          </w:tcPr>
          <w:p w14:paraId="5C7B7875" w14:textId="77777777" w:rsidR="001F2ACA" w:rsidRPr="00F0276B" w:rsidRDefault="001F2ACA" w:rsidP="0096518D">
            <w:pPr>
              <w:pStyle w:val="TableCell"/>
              <w:ind w:left="180"/>
              <w:jc w:val="center"/>
              <w:rPr>
                <w:rFonts w:ascii="Arial" w:hAnsi="Arial"/>
                <w:sz w:val="16"/>
              </w:rPr>
            </w:pPr>
            <w:r w:rsidRPr="00F0276B">
              <w:rPr>
                <w:rFonts w:ascii="Arial" w:hAnsi="Arial"/>
                <w:sz w:val="16"/>
              </w:rPr>
              <w:t>-2.229***</w:t>
            </w:r>
          </w:p>
        </w:tc>
        <w:tc>
          <w:tcPr>
            <w:tcW w:w="0" w:type="auto"/>
            <w:shd w:val="clear" w:color="auto" w:fill="auto"/>
            <w:tcMar>
              <w:top w:w="0" w:type="dxa"/>
              <w:left w:w="108" w:type="dxa"/>
              <w:bottom w:w="0" w:type="dxa"/>
              <w:right w:w="108" w:type="dxa"/>
            </w:tcMar>
            <w:hideMark/>
          </w:tcPr>
          <w:p w14:paraId="07C91459" w14:textId="77777777" w:rsidR="001F2ACA" w:rsidRPr="00F0276B" w:rsidRDefault="001F2ACA" w:rsidP="0096518D">
            <w:pPr>
              <w:pStyle w:val="TableCell"/>
              <w:ind w:left="180"/>
              <w:jc w:val="center"/>
              <w:rPr>
                <w:rFonts w:ascii="Arial" w:hAnsi="Arial"/>
                <w:sz w:val="16"/>
              </w:rPr>
            </w:pPr>
            <w:r w:rsidRPr="00F0276B">
              <w:rPr>
                <w:rFonts w:ascii="Arial" w:hAnsi="Arial"/>
                <w:sz w:val="16"/>
              </w:rPr>
              <w:t>-1.133*</w:t>
            </w:r>
          </w:p>
        </w:tc>
      </w:tr>
      <w:tr w:rsidR="001F2ACA" w:rsidRPr="00F0276B" w14:paraId="617A16B9" w14:textId="77777777" w:rsidTr="0096518D">
        <w:trPr>
          <w:jc w:val="center"/>
        </w:trPr>
        <w:tc>
          <w:tcPr>
            <w:tcW w:w="0" w:type="auto"/>
            <w:shd w:val="clear" w:color="auto" w:fill="auto"/>
            <w:tcMar>
              <w:top w:w="0" w:type="dxa"/>
              <w:left w:w="108" w:type="dxa"/>
              <w:bottom w:w="0" w:type="dxa"/>
              <w:right w:w="108" w:type="dxa"/>
            </w:tcMar>
            <w:hideMark/>
          </w:tcPr>
          <w:p w14:paraId="4C8D9C07" w14:textId="77777777" w:rsidR="001F2ACA" w:rsidRPr="00F0276B" w:rsidRDefault="001F2ACA" w:rsidP="0096518D">
            <w:pPr>
              <w:pStyle w:val="TableRow"/>
              <w:ind w:left="180"/>
              <w:rPr>
                <w:rFonts w:ascii="Arial" w:hAnsi="Arial"/>
                <w:sz w:val="16"/>
              </w:rPr>
            </w:pPr>
            <w:r w:rsidRPr="00F0276B">
              <w:rPr>
                <w:rFonts w:ascii="Arial" w:hAnsi="Arial"/>
                <w:sz w:val="16"/>
              </w:rPr>
              <w:t>Finland</w:t>
            </w:r>
          </w:p>
        </w:tc>
        <w:tc>
          <w:tcPr>
            <w:tcW w:w="0" w:type="auto"/>
            <w:shd w:val="clear" w:color="auto" w:fill="auto"/>
            <w:tcMar>
              <w:top w:w="0" w:type="dxa"/>
              <w:left w:w="108" w:type="dxa"/>
              <w:bottom w:w="0" w:type="dxa"/>
              <w:right w:w="108" w:type="dxa"/>
            </w:tcMar>
            <w:hideMark/>
          </w:tcPr>
          <w:p w14:paraId="6FA795AD" w14:textId="77777777" w:rsidR="001F2ACA" w:rsidRPr="00F0276B" w:rsidRDefault="001F2ACA" w:rsidP="0096518D">
            <w:pPr>
              <w:pStyle w:val="TableCell"/>
              <w:ind w:left="180"/>
              <w:jc w:val="center"/>
              <w:rPr>
                <w:rFonts w:ascii="Arial" w:hAnsi="Arial"/>
                <w:sz w:val="16"/>
              </w:rPr>
            </w:pPr>
            <w:r w:rsidRPr="00F0276B">
              <w:rPr>
                <w:rFonts w:ascii="Arial" w:hAnsi="Arial"/>
                <w:sz w:val="16"/>
              </w:rPr>
              <w:t>4.695***</w:t>
            </w:r>
          </w:p>
        </w:tc>
        <w:tc>
          <w:tcPr>
            <w:tcW w:w="0" w:type="auto"/>
            <w:shd w:val="clear" w:color="auto" w:fill="auto"/>
            <w:tcMar>
              <w:top w:w="0" w:type="dxa"/>
              <w:left w:w="108" w:type="dxa"/>
              <w:bottom w:w="0" w:type="dxa"/>
              <w:right w:w="108" w:type="dxa"/>
            </w:tcMar>
            <w:hideMark/>
          </w:tcPr>
          <w:p w14:paraId="0B260596" w14:textId="77777777" w:rsidR="001F2ACA" w:rsidRPr="00F0276B" w:rsidRDefault="001F2ACA" w:rsidP="0096518D">
            <w:pPr>
              <w:pStyle w:val="TableCell"/>
              <w:ind w:left="180"/>
              <w:jc w:val="center"/>
              <w:rPr>
                <w:rFonts w:ascii="Arial" w:hAnsi="Arial"/>
                <w:sz w:val="16"/>
              </w:rPr>
            </w:pPr>
            <w:r w:rsidRPr="00F0276B">
              <w:rPr>
                <w:rFonts w:ascii="Arial" w:hAnsi="Arial"/>
                <w:sz w:val="16"/>
              </w:rPr>
              <w:t>4.556***</w:t>
            </w:r>
          </w:p>
        </w:tc>
        <w:tc>
          <w:tcPr>
            <w:tcW w:w="0" w:type="auto"/>
            <w:shd w:val="clear" w:color="auto" w:fill="auto"/>
            <w:tcMar>
              <w:top w:w="0" w:type="dxa"/>
              <w:left w:w="108" w:type="dxa"/>
              <w:bottom w:w="0" w:type="dxa"/>
              <w:right w:w="108" w:type="dxa"/>
            </w:tcMar>
            <w:hideMark/>
          </w:tcPr>
          <w:p w14:paraId="4CB10928" w14:textId="77777777" w:rsidR="001F2ACA" w:rsidRPr="00F0276B" w:rsidRDefault="001F2ACA" w:rsidP="0096518D">
            <w:pPr>
              <w:pStyle w:val="TableCell"/>
              <w:ind w:left="180"/>
              <w:jc w:val="center"/>
              <w:rPr>
                <w:rFonts w:ascii="Arial" w:hAnsi="Arial"/>
                <w:sz w:val="16"/>
              </w:rPr>
            </w:pPr>
            <w:r w:rsidRPr="00F0276B">
              <w:rPr>
                <w:rFonts w:ascii="Arial" w:hAnsi="Arial"/>
                <w:sz w:val="16"/>
              </w:rPr>
              <w:t>-2.525***</w:t>
            </w:r>
          </w:p>
        </w:tc>
        <w:tc>
          <w:tcPr>
            <w:tcW w:w="0" w:type="auto"/>
            <w:shd w:val="clear" w:color="auto" w:fill="auto"/>
            <w:tcMar>
              <w:top w:w="0" w:type="dxa"/>
              <w:left w:w="108" w:type="dxa"/>
              <w:bottom w:w="0" w:type="dxa"/>
              <w:right w:w="108" w:type="dxa"/>
            </w:tcMar>
            <w:hideMark/>
          </w:tcPr>
          <w:p w14:paraId="3EB9302D" w14:textId="77777777" w:rsidR="001F2ACA" w:rsidRPr="00F0276B" w:rsidRDefault="001F2ACA" w:rsidP="0096518D">
            <w:pPr>
              <w:pStyle w:val="TableCell"/>
              <w:ind w:left="180"/>
              <w:jc w:val="center"/>
              <w:rPr>
                <w:rFonts w:ascii="Arial" w:hAnsi="Arial"/>
                <w:sz w:val="16"/>
              </w:rPr>
            </w:pPr>
            <w:r w:rsidRPr="00F0276B">
              <w:rPr>
                <w:rFonts w:ascii="Arial" w:hAnsi="Arial"/>
                <w:sz w:val="16"/>
              </w:rPr>
              <w:t>-1.241*</w:t>
            </w:r>
          </w:p>
        </w:tc>
      </w:tr>
      <w:tr w:rsidR="001F2ACA" w:rsidRPr="00F0276B" w14:paraId="1E0E72E6" w14:textId="77777777" w:rsidTr="0096518D">
        <w:trPr>
          <w:jc w:val="center"/>
        </w:trPr>
        <w:tc>
          <w:tcPr>
            <w:tcW w:w="0" w:type="auto"/>
            <w:shd w:val="clear" w:color="auto" w:fill="auto"/>
            <w:tcMar>
              <w:top w:w="0" w:type="dxa"/>
              <w:left w:w="108" w:type="dxa"/>
              <w:bottom w:w="0" w:type="dxa"/>
              <w:right w:w="108" w:type="dxa"/>
            </w:tcMar>
            <w:hideMark/>
          </w:tcPr>
          <w:p w14:paraId="23C69206" w14:textId="77777777" w:rsidR="001F2ACA" w:rsidRPr="00F0276B" w:rsidRDefault="001F2ACA" w:rsidP="0096518D">
            <w:pPr>
              <w:pStyle w:val="TableRow"/>
              <w:ind w:left="180"/>
              <w:rPr>
                <w:rFonts w:ascii="Arial" w:hAnsi="Arial"/>
                <w:sz w:val="16"/>
              </w:rPr>
            </w:pPr>
            <w:r w:rsidRPr="00F0276B">
              <w:rPr>
                <w:rFonts w:ascii="Arial" w:hAnsi="Arial"/>
                <w:sz w:val="16"/>
              </w:rPr>
              <w:t>France</w:t>
            </w:r>
          </w:p>
        </w:tc>
        <w:tc>
          <w:tcPr>
            <w:tcW w:w="0" w:type="auto"/>
            <w:shd w:val="clear" w:color="auto" w:fill="auto"/>
            <w:tcMar>
              <w:top w:w="0" w:type="dxa"/>
              <w:left w:w="108" w:type="dxa"/>
              <w:bottom w:w="0" w:type="dxa"/>
              <w:right w:w="108" w:type="dxa"/>
            </w:tcMar>
            <w:hideMark/>
          </w:tcPr>
          <w:p w14:paraId="13DCA95A" w14:textId="77777777" w:rsidR="001F2ACA" w:rsidRPr="00F0276B" w:rsidRDefault="001F2ACA" w:rsidP="0096518D">
            <w:pPr>
              <w:pStyle w:val="TableCell"/>
              <w:ind w:left="180"/>
              <w:jc w:val="center"/>
              <w:rPr>
                <w:rFonts w:ascii="Arial" w:hAnsi="Arial"/>
                <w:sz w:val="16"/>
              </w:rPr>
            </w:pPr>
            <w:r w:rsidRPr="00F0276B">
              <w:rPr>
                <w:rFonts w:ascii="Arial" w:hAnsi="Arial"/>
                <w:sz w:val="16"/>
              </w:rPr>
              <w:t>4.550***</w:t>
            </w:r>
          </w:p>
        </w:tc>
        <w:tc>
          <w:tcPr>
            <w:tcW w:w="0" w:type="auto"/>
            <w:shd w:val="clear" w:color="auto" w:fill="auto"/>
            <w:tcMar>
              <w:top w:w="0" w:type="dxa"/>
              <w:left w:w="108" w:type="dxa"/>
              <w:bottom w:w="0" w:type="dxa"/>
              <w:right w:w="108" w:type="dxa"/>
            </w:tcMar>
            <w:hideMark/>
          </w:tcPr>
          <w:p w14:paraId="1359ABE1" w14:textId="77777777" w:rsidR="001F2ACA" w:rsidRPr="00F0276B" w:rsidRDefault="001F2ACA" w:rsidP="0096518D">
            <w:pPr>
              <w:pStyle w:val="TableCell"/>
              <w:ind w:left="180"/>
              <w:jc w:val="center"/>
              <w:rPr>
                <w:rFonts w:ascii="Arial" w:hAnsi="Arial"/>
                <w:sz w:val="16"/>
              </w:rPr>
            </w:pPr>
            <w:r w:rsidRPr="00F0276B">
              <w:rPr>
                <w:rFonts w:ascii="Arial" w:hAnsi="Arial"/>
                <w:sz w:val="16"/>
              </w:rPr>
              <w:t>4.568***</w:t>
            </w:r>
          </w:p>
        </w:tc>
        <w:tc>
          <w:tcPr>
            <w:tcW w:w="0" w:type="auto"/>
            <w:shd w:val="clear" w:color="auto" w:fill="auto"/>
            <w:tcMar>
              <w:top w:w="0" w:type="dxa"/>
              <w:left w:w="108" w:type="dxa"/>
              <w:bottom w:w="0" w:type="dxa"/>
              <w:right w:w="108" w:type="dxa"/>
            </w:tcMar>
            <w:hideMark/>
          </w:tcPr>
          <w:p w14:paraId="72238378" w14:textId="77777777" w:rsidR="001F2ACA" w:rsidRPr="00F0276B" w:rsidRDefault="001F2ACA" w:rsidP="0096518D">
            <w:pPr>
              <w:pStyle w:val="TableCell"/>
              <w:ind w:left="180"/>
              <w:jc w:val="center"/>
              <w:rPr>
                <w:rFonts w:ascii="Arial" w:hAnsi="Arial"/>
                <w:sz w:val="16"/>
              </w:rPr>
            </w:pPr>
            <w:r w:rsidRPr="00F0276B">
              <w:rPr>
                <w:rFonts w:ascii="Arial" w:hAnsi="Arial"/>
                <w:sz w:val="16"/>
              </w:rPr>
              <w:t>-2.245***</w:t>
            </w:r>
          </w:p>
        </w:tc>
        <w:tc>
          <w:tcPr>
            <w:tcW w:w="0" w:type="auto"/>
            <w:shd w:val="clear" w:color="auto" w:fill="auto"/>
            <w:tcMar>
              <w:top w:w="0" w:type="dxa"/>
              <w:left w:w="108" w:type="dxa"/>
              <w:bottom w:w="0" w:type="dxa"/>
              <w:right w:w="108" w:type="dxa"/>
            </w:tcMar>
            <w:hideMark/>
          </w:tcPr>
          <w:p w14:paraId="57777D4A" w14:textId="77777777" w:rsidR="001F2ACA" w:rsidRPr="00F0276B" w:rsidRDefault="001F2ACA" w:rsidP="0096518D">
            <w:pPr>
              <w:pStyle w:val="TableCell"/>
              <w:ind w:left="180"/>
              <w:jc w:val="center"/>
              <w:rPr>
                <w:rFonts w:ascii="Arial" w:hAnsi="Arial"/>
                <w:sz w:val="16"/>
              </w:rPr>
            </w:pPr>
            <w:r w:rsidRPr="00F0276B">
              <w:rPr>
                <w:rFonts w:ascii="Arial" w:hAnsi="Arial"/>
                <w:sz w:val="16"/>
              </w:rPr>
              <w:t>-1.231*</w:t>
            </w:r>
          </w:p>
        </w:tc>
      </w:tr>
      <w:tr w:rsidR="001F2ACA" w:rsidRPr="00F0276B" w14:paraId="58794F35" w14:textId="77777777" w:rsidTr="0096518D">
        <w:trPr>
          <w:jc w:val="center"/>
        </w:trPr>
        <w:tc>
          <w:tcPr>
            <w:tcW w:w="0" w:type="auto"/>
            <w:shd w:val="clear" w:color="auto" w:fill="auto"/>
            <w:tcMar>
              <w:top w:w="0" w:type="dxa"/>
              <w:left w:w="108" w:type="dxa"/>
              <w:bottom w:w="0" w:type="dxa"/>
              <w:right w:w="108" w:type="dxa"/>
            </w:tcMar>
            <w:hideMark/>
          </w:tcPr>
          <w:p w14:paraId="2B5AB46D" w14:textId="77777777" w:rsidR="001F2ACA" w:rsidRPr="00F0276B" w:rsidRDefault="001F2ACA" w:rsidP="0096518D">
            <w:pPr>
              <w:pStyle w:val="TableRow"/>
              <w:ind w:left="180"/>
              <w:rPr>
                <w:rFonts w:ascii="Arial" w:hAnsi="Arial"/>
                <w:sz w:val="16"/>
              </w:rPr>
            </w:pPr>
            <w:r w:rsidRPr="00F0276B">
              <w:rPr>
                <w:rFonts w:ascii="Arial" w:hAnsi="Arial"/>
                <w:sz w:val="16"/>
              </w:rPr>
              <w:t>Germany</w:t>
            </w:r>
          </w:p>
        </w:tc>
        <w:tc>
          <w:tcPr>
            <w:tcW w:w="0" w:type="auto"/>
            <w:shd w:val="clear" w:color="auto" w:fill="auto"/>
            <w:tcMar>
              <w:top w:w="0" w:type="dxa"/>
              <w:left w:w="108" w:type="dxa"/>
              <w:bottom w:w="0" w:type="dxa"/>
              <w:right w:w="108" w:type="dxa"/>
            </w:tcMar>
            <w:hideMark/>
          </w:tcPr>
          <w:p w14:paraId="51C88F64" w14:textId="77777777" w:rsidR="001F2ACA" w:rsidRPr="00F0276B" w:rsidRDefault="001F2ACA" w:rsidP="0096518D">
            <w:pPr>
              <w:pStyle w:val="TableCell"/>
              <w:ind w:left="180"/>
              <w:jc w:val="center"/>
              <w:rPr>
                <w:rFonts w:ascii="Arial" w:hAnsi="Arial"/>
                <w:sz w:val="16"/>
              </w:rPr>
            </w:pPr>
            <w:r w:rsidRPr="00F0276B">
              <w:rPr>
                <w:rFonts w:ascii="Arial" w:hAnsi="Arial"/>
                <w:sz w:val="16"/>
              </w:rPr>
              <w:t>4.110***</w:t>
            </w:r>
          </w:p>
        </w:tc>
        <w:tc>
          <w:tcPr>
            <w:tcW w:w="0" w:type="auto"/>
            <w:shd w:val="clear" w:color="auto" w:fill="auto"/>
            <w:tcMar>
              <w:top w:w="0" w:type="dxa"/>
              <w:left w:w="108" w:type="dxa"/>
              <w:bottom w:w="0" w:type="dxa"/>
              <w:right w:w="108" w:type="dxa"/>
            </w:tcMar>
            <w:hideMark/>
          </w:tcPr>
          <w:p w14:paraId="1631C859" w14:textId="77777777" w:rsidR="001F2ACA" w:rsidRPr="00F0276B" w:rsidRDefault="001F2ACA" w:rsidP="0096518D">
            <w:pPr>
              <w:pStyle w:val="TableCell"/>
              <w:ind w:left="180"/>
              <w:jc w:val="center"/>
              <w:rPr>
                <w:rFonts w:ascii="Arial" w:hAnsi="Arial"/>
                <w:sz w:val="16"/>
              </w:rPr>
            </w:pPr>
            <w:r w:rsidRPr="00F0276B">
              <w:rPr>
                <w:rFonts w:ascii="Arial" w:hAnsi="Arial"/>
                <w:sz w:val="16"/>
              </w:rPr>
              <w:t>3.819***</w:t>
            </w:r>
          </w:p>
        </w:tc>
        <w:tc>
          <w:tcPr>
            <w:tcW w:w="0" w:type="auto"/>
            <w:shd w:val="clear" w:color="auto" w:fill="auto"/>
            <w:tcMar>
              <w:top w:w="0" w:type="dxa"/>
              <w:left w:w="108" w:type="dxa"/>
              <w:bottom w:w="0" w:type="dxa"/>
              <w:right w:w="108" w:type="dxa"/>
            </w:tcMar>
            <w:hideMark/>
          </w:tcPr>
          <w:p w14:paraId="0EDFA9B8" w14:textId="77777777" w:rsidR="001F2ACA" w:rsidRPr="00F0276B" w:rsidRDefault="001F2ACA" w:rsidP="0096518D">
            <w:pPr>
              <w:pStyle w:val="TableCell"/>
              <w:ind w:left="180"/>
              <w:jc w:val="center"/>
              <w:rPr>
                <w:rFonts w:ascii="Arial" w:hAnsi="Arial"/>
                <w:sz w:val="16"/>
              </w:rPr>
            </w:pPr>
            <w:r w:rsidRPr="00F0276B">
              <w:rPr>
                <w:rFonts w:ascii="Arial" w:hAnsi="Arial"/>
                <w:sz w:val="16"/>
              </w:rPr>
              <w:t>-2.258***</w:t>
            </w:r>
          </w:p>
        </w:tc>
        <w:tc>
          <w:tcPr>
            <w:tcW w:w="0" w:type="auto"/>
            <w:shd w:val="clear" w:color="auto" w:fill="auto"/>
            <w:tcMar>
              <w:top w:w="0" w:type="dxa"/>
              <w:left w:w="108" w:type="dxa"/>
              <w:bottom w:w="0" w:type="dxa"/>
              <w:right w:w="108" w:type="dxa"/>
            </w:tcMar>
            <w:hideMark/>
          </w:tcPr>
          <w:p w14:paraId="357EB1D7" w14:textId="77777777" w:rsidR="001F2ACA" w:rsidRPr="00F0276B" w:rsidRDefault="001F2ACA" w:rsidP="0096518D">
            <w:pPr>
              <w:pStyle w:val="TableCell"/>
              <w:ind w:left="180"/>
              <w:jc w:val="center"/>
              <w:rPr>
                <w:rFonts w:ascii="Arial" w:hAnsi="Arial"/>
                <w:sz w:val="16"/>
              </w:rPr>
            </w:pPr>
            <w:r w:rsidRPr="00F0276B">
              <w:rPr>
                <w:rFonts w:ascii="Arial" w:hAnsi="Arial"/>
                <w:sz w:val="16"/>
              </w:rPr>
              <w:t>-1.501**</w:t>
            </w:r>
          </w:p>
        </w:tc>
      </w:tr>
      <w:tr w:rsidR="001F2ACA" w:rsidRPr="00F0276B" w14:paraId="24F8C5BE" w14:textId="77777777" w:rsidTr="0096518D">
        <w:trPr>
          <w:jc w:val="center"/>
        </w:trPr>
        <w:tc>
          <w:tcPr>
            <w:tcW w:w="0" w:type="auto"/>
            <w:shd w:val="clear" w:color="auto" w:fill="auto"/>
            <w:tcMar>
              <w:top w:w="0" w:type="dxa"/>
              <w:left w:w="108" w:type="dxa"/>
              <w:bottom w:w="0" w:type="dxa"/>
              <w:right w:w="108" w:type="dxa"/>
            </w:tcMar>
            <w:hideMark/>
          </w:tcPr>
          <w:p w14:paraId="40E096BF" w14:textId="77777777" w:rsidR="001F2ACA" w:rsidRPr="00F0276B" w:rsidRDefault="001F2ACA" w:rsidP="0096518D">
            <w:pPr>
              <w:pStyle w:val="TableRow"/>
              <w:ind w:left="180"/>
              <w:rPr>
                <w:rFonts w:ascii="Arial" w:hAnsi="Arial"/>
                <w:sz w:val="16"/>
              </w:rPr>
            </w:pPr>
            <w:r w:rsidRPr="00F0276B">
              <w:rPr>
                <w:rFonts w:ascii="Arial" w:hAnsi="Arial"/>
                <w:sz w:val="16"/>
              </w:rPr>
              <w:t>Greece</w:t>
            </w:r>
          </w:p>
        </w:tc>
        <w:tc>
          <w:tcPr>
            <w:tcW w:w="0" w:type="auto"/>
            <w:shd w:val="clear" w:color="auto" w:fill="auto"/>
            <w:tcMar>
              <w:top w:w="0" w:type="dxa"/>
              <w:left w:w="108" w:type="dxa"/>
              <w:bottom w:w="0" w:type="dxa"/>
              <w:right w:w="108" w:type="dxa"/>
            </w:tcMar>
            <w:hideMark/>
          </w:tcPr>
          <w:p w14:paraId="0303E5D9" w14:textId="77777777" w:rsidR="001F2ACA" w:rsidRPr="00F0276B" w:rsidRDefault="001F2ACA" w:rsidP="0096518D">
            <w:pPr>
              <w:pStyle w:val="TableCell"/>
              <w:ind w:left="180"/>
              <w:jc w:val="center"/>
              <w:rPr>
                <w:rFonts w:ascii="Arial" w:hAnsi="Arial"/>
                <w:sz w:val="16"/>
              </w:rPr>
            </w:pPr>
            <w:r w:rsidRPr="00F0276B">
              <w:rPr>
                <w:rFonts w:ascii="Arial" w:hAnsi="Arial"/>
                <w:sz w:val="16"/>
              </w:rPr>
              <w:t>4.853***</w:t>
            </w:r>
          </w:p>
        </w:tc>
        <w:tc>
          <w:tcPr>
            <w:tcW w:w="0" w:type="auto"/>
            <w:shd w:val="clear" w:color="auto" w:fill="auto"/>
            <w:tcMar>
              <w:top w:w="0" w:type="dxa"/>
              <w:left w:w="108" w:type="dxa"/>
              <w:bottom w:w="0" w:type="dxa"/>
              <w:right w:w="108" w:type="dxa"/>
            </w:tcMar>
            <w:hideMark/>
          </w:tcPr>
          <w:p w14:paraId="47955BBF" w14:textId="77777777" w:rsidR="001F2ACA" w:rsidRPr="00F0276B" w:rsidRDefault="001F2ACA" w:rsidP="0096518D">
            <w:pPr>
              <w:pStyle w:val="TableCell"/>
              <w:ind w:left="180"/>
              <w:jc w:val="center"/>
              <w:rPr>
                <w:rFonts w:ascii="Arial" w:hAnsi="Arial"/>
                <w:sz w:val="16"/>
              </w:rPr>
            </w:pPr>
            <w:r w:rsidRPr="00F0276B">
              <w:rPr>
                <w:rFonts w:ascii="Arial" w:hAnsi="Arial"/>
                <w:sz w:val="16"/>
              </w:rPr>
              <w:t>4.922***</w:t>
            </w:r>
          </w:p>
        </w:tc>
        <w:tc>
          <w:tcPr>
            <w:tcW w:w="0" w:type="auto"/>
            <w:shd w:val="clear" w:color="auto" w:fill="auto"/>
            <w:tcMar>
              <w:top w:w="0" w:type="dxa"/>
              <w:left w:w="108" w:type="dxa"/>
              <w:bottom w:w="0" w:type="dxa"/>
              <w:right w:w="108" w:type="dxa"/>
            </w:tcMar>
            <w:hideMark/>
          </w:tcPr>
          <w:p w14:paraId="47ED84C8" w14:textId="77777777" w:rsidR="001F2ACA" w:rsidRPr="00F0276B" w:rsidRDefault="001F2ACA" w:rsidP="0096518D">
            <w:pPr>
              <w:pStyle w:val="TableCell"/>
              <w:ind w:left="180"/>
              <w:jc w:val="center"/>
              <w:rPr>
                <w:rFonts w:ascii="Arial" w:hAnsi="Arial"/>
                <w:sz w:val="16"/>
              </w:rPr>
            </w:pPr>
            <w:r w:rsidRPr="00F0276B">
              <w:rPr>
                <w:rFonts w:ascii="Arial" w:hAnsi="Arial"/>
                <w:sz w:val="16"/>
              </w:rPr>
              <w:t>-2.621***</w:t>
            </w:r>
          </w:p>
        </w:tc>
        <w:tc>
          <w:tcPr>
            <w:tcW w:w="0" w:type="auto"/>
            <w:shd w:val="clear" w:color="auto" w:fill="auto"/>
            <w:tcMar>
              <w:top w:w="0" w:type="dxa"/>
              <w:left w:w="108" w:type="dxa"/>
              <w:bottom w:w="0" w:type="dxa"/>
              <w:right w:w="108" w:type="dxa"/>
            </w:tcMar>
            <w:hideMark/>
          </w:tcPr>
          <w:p w14:paraId="7E0BC7B1" w14:textId="77777777" w:rsidR="001F2ACA" w:rsidRPr="00F0276B" w:rsidRDefault="001F2ACA" w:rsidP="0096518D">
            <w:pPr>
              <w:pStyle w:val="TableCell"/>
              <w:ind w:left="180"/>
              <w:jc w:val="center"/>
              <w:rPr>
                <w:rFonts w:ascii="Arial" w:hAnsi="Arial"/>
                <w:sz w:val="16"/>
              </w:rPr>
            </w:pPr>
            <w:r w:rsidRPr="00F0276B">
              <w:rPr>
                <w:rFonts w:ascii="Arial" w:hAnsi="Arial"/>
                <w:sz w:val="16"/>
              </w:rPr>
              <w:t>-1.624***</w:t>
            </w:r>
          </w:p>
        </w:tc>
      </w:tr>
      <w:tr w:rsidR="001F2ACA" w:rsidRPr="00F0276B" w14:paraId="3208B2D1" w14:textId="77777777" w:rsidTr="0096518D">
        <w:trPr>
          <w:jc w:val="center"/>
        </w:trPr>
        <w:tc>
          <w:tcPr>
            <w:tcW w:w="0" w:type="auto"/>
            <w:shd w:val="clear" w:color="auto" w:fill="auto"/>
            <w:tcMar>
              <w:top w:w="0" w:type="dxa"/>
              <w:left w:w="108" w:type="dxa"/>
              <w:bottom w:w="0" w:type="dxa"/>
              <w:right w:w="108" w:type="dxa"/>
            </w:tcMar>
            <w:hideMark/>
          </w:tcPr>
          <w:p w14:paraId="76C6C7FC" w14:textId="77777777" w:rsidR="001F2ACA" w:rsidRPr="00F0276B" w:rsidRDefault="001F2ACA" w:rsidP="0096518D">
            <w:pPr>
              <w:pStyle w:val="TableRow"/>
              <w:ind w:left="180"/>
              <w:rPr>
                <w:rFonts w:ascii="Arial" w:hAnsi="Arial"/>
                <w:sz w:val="16"/>
              </w:rPr>
            </w:pPr>
            <w:r w:rsidRPr="00F0276B">
              <w:rPr>
                <w:rFonts w:ascii="Arial" w:hAnsi="Arial"/>
                <w:sz w:val="16"/>
              </w:rPr>
              <w:t>Hungary</w:t>
            </w:r>
          </w:p>
        </w:tc>
        <w:tc>
          <w:tcPr>
            <w:tcW w:w="0" w:type="auto"/>
            <w:shd w:val="clear" w:color="auto" w:fill="auto"/>
            <w:tcMar>
              <w:top w:w="0" w:type="dxa"/>
              <w:left w:w="108" w:type="dxa"/>
              <w:bottom w:w="0" w:type="dxa"/>
              <w:right w:w="108" w:type="dxa"/>
            </w:tcMar>
            <w:hideMark/>
          </w:tcPr>
          <w:p w14:paraId="42F31711" w14:textId="77777777" w:rsidR="001F2ACA" w:rsidRPr="00F0276B" w:rsidRDefault="001F2ACA" w:rsidP="0096518D">
            <w:pPr>
              <w:pStyle w:val="TableCell"/>
              <w:ind w:left="180"/>
              <w:jc w:val="center"/>
              <w:rPr>
                <w:rFonts w:ascii="Arial" w:hAnsi="Arial"/>
                <w:sz w:val="16"/>
              </w:rPr>
            </w:pPr>
            <w:r w:rsidRPr="00F0276B">
              <w:rPr>
                <w:rFonts w:ascii="Arial" w:hAnsi="Arial"/>
                <w:sz w:val="16"/>
              </w:rPr>
              <w:t>4.521***</w:t>
            </w:r>
          </w:p>
        </w:tc>
        <w:tc>
          <w:tcPr>
            <w:tcW w:w="0" w:type="auto"/>
            <w:shd w:val="clear" w:color="auto" w:fill="auto"/>
            <w:tcMar>
              <w:top w:w="0" w:type="dxa"/>
              <w:left w:w="108" w:type="dxa"/>
              <w:bottom w:w="0" w:type="dxa"/>
              <w:right w:w="108" w:type="dxa"/>
            </w:tcMar>
            <w:hideMark/>
          </w:tcPr>
          <w:p w14:paraId="02C8BF38" w14:textId="77777777" w:rsidR="001F2ACA" w:rsidRPr="00F0276B" w:rsidRDefault="001F2ACA" w:rsidP="0096518D">
            <w:pPr>
              <w:pStyle w:val="TableCell"/>
              <w:ind w:left="180"/>
              <w:jc w:val="center"/>
              <w:rPr>
                <w:rFonts w:ascii="Arial" w:hAnsi="Arial"/>
                <w:sz w:val="16"/>
              </w:rPr>
            </w:pPr>
            <w:r w:rsidRPr="00F0276B">
              <w:rPr>
                <w:rFonts w:ascii="Arial" w:hAnsi="Arial"/>
                <w:sz w:val="16"/>
              </w:rPr>
              <w:t>4.572***</w:t>
            </w:r>
          </w:p>
        </w:tc>
        <w:tc>
          <w:tcPr>
            <w:tcW w:w="0" w:type="auto"/>
            <w:shd w:val="clear" w:color="auto" w:fill="auto"/>
            <w:tcMar>
              <w:top w:w="0" w:type="dxa"/>
              <w:left w:w="108" w:type="dxa"/>
              <w:bottom w:w="0" w:type="dxa"/>
              <w:right w:w="108" w:type="dxa"/>
            </w:tcMar>
            <w:hideMark/>
          </w:tcPr>
          <w:p w14:paraId="6A5C8B3A" w14:textId="77777777" w:rsidR="001F2ACA" w:rsidRPr="00F0276B" w:rsidRDefault="001F2ACA" w:rsidP="0096518D">
            <w:pPr>
              <w:pStyle w:val="TableCell"/>
              <w:ind w:left="180"/>
              <w:jc w:val="center"/>
              <w:rPr>
                <w:rFonts w:ascii="Arial" w:hAnsi="Arial"/>
                <w:sz w:val="16"/>
              </w:rPr>
            </w:pPr>
            <w:r w:rsidRPr="00F0276B">
              <w:rPr>
                <w:rFonts w:ascii="Arial" w:hAnsi="Arial"/>
                <w:sz w:val="16"/>
              </w:rPr>
              <w:t>-2.399***</w:t>
            </w:r>
          </w:p>
        </w:tc>
        <w:tc>
          <w:tcPr>
            <w:tcW w:w="0" w:type="auto"/>
            <w:shd w:val="clear" w:color="auto" w:fill="auto"/>
            <w:tcMar>
              <w:top w:w="0" w:type="dxa"/>
              <w:left w:w="108" w:type="dxa"/>
              <w:bottom w:w="0" w:type="dxa"/>
              <w:right w:w="108" w:type="dxa"/>
            </w:tcMar>
            <w:hideMark/>
          </w:tcPr>
          <w:p w14:paraId="7B561FA3" w14:textId="77777777" w:rsidR="001F2ACA" w:rsidRPr="00F0276B" w:rsidRDefault="001F2ACA" w:rsidP="0096518D">
            <w:pPr>
              <w:pStyle w:val="TableCell"/>
              <w:ind w:left="180"/>
              <w:jc w:val="center"/>
              <w:rPr>
                <w:rFonts w:ascii="Arial" w:hAnsi="Arial"/>
                <w:sz w:val="16"/>
              </w:rPr>
            </w:pPr>
            <w:r w:rsidRPr="00F0276B">
              <w:rPr>
                <w:rFonts w:ascii="Arial" w:hAnsi="Arial"/>
                <w:sz w:val="16"/>
              </w:rPr>
              <w:t>-1.284*</w:t>
            </w:r>
          </w:p>
        </w:tc>
      </w:tr>
      <w:tr w:rsidR="001F2ACA" w:rsidRPr="00F0276B" w14:paraId="34987A8B" w14:textId="77777777" w:rsidTr="0096518D">
        <w:trPr>
          <w:jc w:val="center"/>
        </w:trPr>
        <w:tc>
          <w:tcPr>
            <w:tcW w:w="0" w:type="auto"/>
            <w:shd w:val="clear" w:color="auto" w:fill="auto"/>
            <w:tcMar>
              <w:top w:w="0" w:type="dxa"/>
              <w:left w:w="108" w:type="dxa"/>
              <w:bottom w:w="0" w:type="dxa"/>
              <w:right w:w="108" w:type="dxa"/>
            </w:tcMar>
            <w:hideMark/>
          </w:tcPr>
          <w:p w14:paraId="12C0C67C" w14:textId="77777777" w:rsidR="001F2ACA" w:rsidRPr="00F0276B" w:rsidRDefault="001F2ACA" w:rsidP="0096518D">
            <w:pPr>
              <w:pStyle w:val="TableRow"/>
              <w:ind w:left="180"/>
              <w:rPr>
                <w:rFonts w:ascii="Arial" w:hAnsi="Arial"/>
                <w:sz w:val="16"/>
              </w:rPr>
            </w:pPr>
            <w:r w:rsidRPr="00F0276B">
              <w:rPr>
                <w:rFonts w:ascii="Arial" w:hAnsi="Arial"/>
                <w:sz w:val="16"/>
              </w:rPr>
              <w:t>Ireland</w:t>
            </w:r>
          </w:p>
        </w:tc>
        <w:tc>
          <w:tcPr>
            <w:tcW w:w="0" w:type="auto"/>
            <w:shd w:val="clear" w:color="auto" w:fill="auto"/>
            <w:tcMar>
              <w:top w:w="0" w:type="dxa"/>
              <w:left w:w="108" w:type="dxa"/>
              <w:bottom w:w="0" w:type="dxa"/>
              <w:right w:w="108" w:type="dxa"/>
            </w:tcMar>
            <w:hideMark/>
          </w:tcPr>
          <w:p w14:paraId="088B2C43" w14:textId="77777777" w:rsidR="001F2ACA" w:rsidRPr="00F0276B" w:rsidRDefault="001F2ACA" w:rsidP="0096518D">
            <w:pPr>
              <w:pStyle w:val="TableCell"/>
              <w:ind w:left="180"/>
              <w:jc w:val="center"/>
              <w:rPr>
                <w:rFonts w:ascii="Arial" w:hAnsi="Arial"/>
                <w:sz w:val="16"/>
              </w:rPr>
            </w:pPr>
            <w:r w:rsidRPr="00F0276B">
              <w:rPr>
                <w:rFonts w:ascii="Arial" w:hAnsi="Arial"/>
                <w:sz w:val="16"/>
              </w:rPr>
              <w:t>2.915***</w:t>
            </w:r>
          </w:p>
        </w:tc>
        <w:tc>
          <w:tcPr>
            <w:tcW w:w="0" w:type="auto"/>
            <w:shd w:val="clear" w:color="auto" w:fill="auto"/>
            <w:tcMar>
              <w:top w:w="0" w:type="dxa"/>
              <w:left w:w="108" w:type="dxa"/>
              <w:bottom w:w="0" w:type="dxa"/>
              <w:right w:w="108" w:type="dxa"/>
            </w:tcMar>
            <w:hideMark/>
          </w:tcPr>
          <w:p w14:paraId="5E2DB611" w14:textId="77777777" w:rsidR="001F2ACA" w:rsidRPr="00F0276B" w:rsidRDefault="001F2ACA" w:rsidP="0096518D">
            <w:pPr>
              <w:pStyle w:val="TableCell"/>
              <w:ind w:left="180"/>
              <w:jc w:val="center"/>
              <w:rPr>
                <w:rFonts w:ascii="Arial" w:hAnsi="Arial"/>
                <w:sz w:val="16"/>
              </w:rPr>
            </w:pPr>
            <w:r w:rsidRPr="00F0276B">
              <w:rPr>
                <w:rFonts w:ascii="Arial" w:hAnsi="Arial"/>
                <w:sz w:val="16"/>
              </w:rPr>
              <w:t>3.109***</w:t>
            </w:r>
          </w:p>
        </w:tc>
        <w:tc>
          <w:tcPr>
            <w:tcW w:w="0" w:type="auto"/>
            <w:shd w:val="clear" w:color="auto" w:fill="auto"/>
            <w:tcMar>
              <w:top w:w="0" w:type="dxa"/>
              <w:left w:w="108" w:type="dxa"/>
              <w:bottom w:w="0" w:type="dxa"/>
              <w:right w:w="108" w:type="dxa"/>
            </w:tcMar>
            <w:hideMark/>
          </w:tcPr>
          <w:p w14:paraId="1AAE9F11" w14:textId="77777777" w:rsidR="001F2ACA" w:rsidRPr="00F0276B" w:rsidRDefault="001F2ACA" w:rsidP="0096518D">
            <w:pPr>
              <w:pStyle w:val="TableCell"/>
              <w:ind w:left="180"/>
              <w:jc w:val="center"/>
              <w:rPr>
                <w:rFonts w:ascii="Arial" w:hAnsi="Arial"/>
                <w:sz w:val="16"/>
              </w:rPr>
            </w:pPr>
            <w:r w:rsidRPr="00F0276B">
              <w:rPr>
                <w:rFonts w:ascii="Arial" w:hAnsi="Arial"/>
                <w:sz w:val="16"/>
              </w:rPr>
              <w:t>-0.453</w:t>
            </w:r>
          </w:p>
        </w:tc>
        <w:tc>
          <w:tcPr>
            <w:tcW w:w="0" w:type="auto"/>
            <w:shd w:val="clear" w:color="auto" w:fill="auto"/>
            <w:tcMar>
              <w:top w:w="0" w:type="dxa"/>
              <w:left w:w="108" w:type="dxa"/>
              <w:bottom w:w="0" w:type="dxa"/>
              <w:right w:w="108" w:type="dxa"/>
            </w:tcMar>
            <w:hideMark/>
          </w:tcPr>
          <w:p w14:paraId="38191070" w14:textId="77777777" w:rsidR="001F2ACA" w:rsidRPr="00F0276B" w:rsidRDefault="001F2ACA" w:rsidP="0096518D">
            <w:pPr>
              <w:pStyle w:val="TableCell"/>
              <w:ind w:left="180"/>
              <w:jc w:val="center"/>
              <w:rPr>
                <w:rFonts w:ascii="Arial" w:hAnsi="Arial"/>
                <w:sz w:val="16"/>
              </w:rPr>
            </w:pPr>
            <w:r w:rsidRPr="00F0276B">
              <w:rPr>
                <w:rFonts w:ascii="Arial" w:hAnsi="Arial"/>
                <w:sz w:val="16"/>
              </w:rPr>
              <w:t>0.451</w:t>
            </w:r>
          </w:p>
        </w:tc>
      </w:tr>
      <w:tr w:rsidR="001F2ACA" w:rsidRPr="00F0276B" w14:paraId="319337F5" w14:textId="77777777" w:rsidTr="0096518D">
        <w:trPr>
          <w:jc w:val="center"/>
        </w:trPr>
        <w:tc>
          <w:tcPr>
            <w:tcW w:w="0" w:type="auto"/>
            <w:shd w:val="clear" w:color="auto" w:fill="auto"/>
            <w:tcMar>
              <w:top w:w="0" w:type="dxa"/>
              <w:left w:w="108" w:type="dxa"/>
              <w:bottom w:w="0" w:type="dxa"/>
              <w:right w:w="108" w:type="dxa"/>
            </w:tcMar>
            <w:hideMark/>
          </w:tcPr>
          <w:p w14:paraId="58A208E0" w14:textId="77777777" w:rsidR="001F2ACA" w:rsidRPr="00F0276B" w:rsidRDefault="001F2ACA" w:rsidP="0096518D">
            <w:pPr>
              <w:pStyle w:val="TableRow"/>
              <w:ind w:left="180"/>
              <w:rPr>
                <w:rFonts w:ascii="Arial" w:hAnsi="Arial"/>
                <w:sz w:val="16"/>
              </w:rPr>
            </w:pPr>
            <w:r w:rsidRPr="00F0276B">
              <w:rPr>
                <w:rFonts w:ascii="Arial" w:hAnsi="Arial"/>
                <w:sz w:val="16"/>
              </w:rPr>
              <w:t>Israel</w:t>
            </w:r>
          </w:p>
        </w:tc>
        <w:tc>
          <w:tcPr>
            <w:tcW w:w="0" w:type="auto"/>
            <w:shd w:val="clear" w:color="auto" w:fill="auto"/>
            <w:tcMar>
              <w:top w:w="0" w:type="dxa"/>
              <w:left w:w="108" w:type="dxa"/>
              <w:bottom w:w="0" w:type="dxa"/>
              <w:right w:w="108" w:type="dxa"/>
            </w:tcMar>
            <w:hideMark/>
          </w:tcPr>
          <w:p w14:paraId="5B3B662B" w14:textId="77777777" w:rsidR="001F2ACA" w:rsidRPr="00F0276B" w:rsidRDefault="001F2ACA" w:rsidP="0096518D">
            <w:pPr>
              <w:pStyle w:val="TableCell"/>
              <w:ind w:left="180"/>
              <w:jc w:val="center"/>
              <w:rPr>
                <w:rFonts w:ascii="Arial" w:hAnsi="Arial"/>
                <w:sz w:val="16"/>
              </w:rPr>
            </w:pPr>
            <w:r w:rsidRPr="00F0276B">
              <w:rPr>
                <w:rFonts w:ascii="Arial" w:hAnsi="Arial"/>
                <w:sz w:val="16"/>
              </w:rPr>
              <w:t>4.839***</w:t>
            </w:r>
          </w:p>
        </w:tc>
        <w:tc>
          <w:tcPr>
            <w:tcW w:w="0" w:type="auto"/>
            <w:shd w:val="clear" w:color="auto" w:fill="auto"/>
            <w:tcMar>
              <w:top w:w="0" w:type="dxa"/>
              <w:left w:w="108" w:type="dxa"/>
              <w:bottom w:w="0" w:type="dxa"/>
              <w:right w:w="108" w:type="dxa"/>
            </w:tcMar>
            <w:hideMark/>
          </w:tcPr>
          <w:p w14:paraId="10CB75F0" w14:textId="77777777" w:rsidR="001F2ACA" w:rsidRPr="00F0276B" w:rsidRDefault="001F2ACA" w:rsidP="0096518D">
            <w:pPr>
              <w:pStyle w:val="TableCell"/>
              <w:ind w:left="180"/>
              <w:jc w:val="center"/>
              <w:rPr>
                <w:rFonts w:ascii="Arial" w:hAnsi="Arial"/>
                <w:sz w:val="16"/>
              </w:rPr>
            </w:pPr>
            <w:r w:rsidRPr="00F0276B">
              <w:rPr>
                <w:rFonts w:ascii="Arial" w:hAnsi="Arial"/>
                <w:sz w:val="16"/>
              </w:rPr>
              <w:t>4.888***</w:t>
            </w:r>
          </w:p>
        </w:tc>
        <w:tc>
          <w:tcPr>
            <w:tcW w:w="0" w:type="auto"/>
            <w:shd w:val="clear" w:color="auto" w:fill="auto"/>
            <w:tcMar>
              <w:top w:w="0" w:type="dxa"/>
              <w:left w:w="108" w:type="dxa"/>
              <w:bottom w:w="0" w:type="dxa"/>
              <w:right w:w="108" w:type="dxa"/>
            </w:tcMar>
            <w:hideMark/>
          </w:tcPr>
          <w:p w14:paraId="68782465" w14:textId="77777777" w:rsidR="001F2ACA" w:rsidRPr="00F0276B" w:rsidRDefault="001F2ACA" w:rsidP="0096518D">
            <w:pPr>
              <w:pStyle w:val="TableCell"/>
              <w:ind w:left="180"/>
              <w:jc w:val="center"/>
              <w:rPr>
                <w:rFonts w:ascii="Arial" w:hAnsi="Arial"/>
                <w:sz w:val="16"/>
              </w:rPr>
            </w:pPr>
            <w:r w:rsidRPr="00F0276B">
              <w:rPr>
                <w:rFonts w:ascii="Arial" w:hAnsi="Arial"/>
                <w:sz w:val="16"/>
              </w:rPr>
              <w:t>-2.488***</w:t>
            </w:r>
          </w:p>
        </w:tc>
        <w:tc>
          <w:tcPr>
            <w:tcW w:w="0" w:type="auto"/>
            <w:shd w:val="clear" w:color="auto" w:fill="auto"/>
            <w:tcMar>
              <w:top w:w="0" w:type="dxa"/>
              <w:left w:w="108" w:type="dxa"/>
              <w:bottom w:w="0" w:type="dxa"/>
              <w:right w:w="108" w:type="dxa"/>
            </w:tcMar>
            <w:hideMark/>
          </w:tcPr>
          <w:p w14:paraId="641916F9" w14:textId="77777777" w:rsidR="001F2ACA" w:rsidRPr="00F0276B" w:rsidRDefault="001F2ACA" w:rsidP="0096518D">
            <w:pPr>
              <w:pStyle w:val="TableCell"/>
              <w:ind w:left="180"/>
              <w:jc w:val="center"/>
              <w:rPr>
                <w:rFonts w:ascii="Arial" w:hAnsi="Arial"/>
                <w:sz w:val="16"/>
              </w:rPr>
            </w:pPr>
            <w:r w:rsidRPr="00F0276B">
              <w:rPr>
                <w:rFonts w:ascii="Arial" w:hAnsi="Arial"/>
                <w:sz w:val="16"/>
              </w:rPr>
              <w:t>-1.447**</w:t>
            </w:r>
          </w:p>
        </w:tc>
      </w:tr>
      <w:tr w:rsidR="001F2ACA" w:rsidRPr="00F0276B" w14:paraId="043BA240" w14:textId="77777777" w:rsidTr="0096518D">
        <w:trPr>
          <w:jc w:val="center"/>
        </w:trPr>
        <w:tc>
          <w:tcPr>
            <w:tcW w:w="0" w:type="auto"/>
            <w:shd w:val="clear" w:color="auto" w:fill="auto"/>
            <w:tcMar>
              <w:top w:w="0" w:type="dxa"/>
              <w:left w:w="108" w:type="dxa"/>
              <w:bottom w:w="0" w:type="dxa"/>
              <w:right w:w="108" w:type="dxa"/>
            </w:tcMar>
            <w:hideMark/>
          </w:tcPr>
          <w:p w14:paraId="77D68240" w14:textId="77777777" w:rsidR="001F2ACA" w:rsidRPr="00F0276B" w:rsidRDefault="001F2ACA" w:rsidP="0096518D">
            <w:pPr>
              <w:pStyle w:val="TableRow"/>
              <w:ind w:left="180"/>
              <w:rPr>
                <w:rFonts w:ascii="Arial" w:hAnsi="Arial"/>
                <w:sz w:val="16"/>
              </w:rPr>
            </w:pPr>
            <w:r w:rsidRPr="00F0276B">
              <w:rPr>
                <w:rFonts w:ascii="Arial" w:hAnsi="Arial"/>
                <w:sz w:val="16"/>
              </w:rPr>
              <w:t>Italy</w:t>
            </w:r>
          </w:p>
        </w:tc>
        <w:tc>
          <w:tcPr>
            <w:tcW w:w="0" w:type="auto"/>
            <w:shd w:val="clear" w:color="auto" w:fill="auto"/>
            <w:tcMar>
              <w:top w:w="0" w:type="dxa"/>
              <w:left w:w="108" w:type="dxa"/>
              <w:bottom w:w="0" w:type="dxa"/>
              <w:right w:w="108" w:type="dxa"/>
            </w:tcMar>
            <w:hideMark/>
          </w:tcPr>
          <w:p w14:paraId="7B4FBFB1" w14:textId="77777777" w:rsidR="001F2ACA" w:rsidRPr="00F0276B" w:rsidRDefault="001F2ACA" w:rsidP="0096518D">
            <w:pPr>
              <w:pStyle w:val="TableCell"/>
              <w:ind w:left="180"/>
              <w:jc w:val="center"/>
              <w:rPr>
                <w:rFonts w:ascii="Arial" w:hAnsi="Arial"/>
                <w:sz w:val="16"/>
              </w:rPr>
            </w:pPr>
            <w:r w:rsidRPr="00F0276B">
              <w:rPr>
                <w:rFonts w:ascii="Arial" w:hAnsi="Arial"/>
                <w:sz w:val="16"/>
              </w:rPr>
              <w:t>4.551***</w:t>
            </w:r>
          </w:p>
        </w:tc>
        <w:tc>
          <w:tcPr>
            <w:tcW w:w="0" w:type="auto"/>
            <w:shd w:val="clear" w:color="auto" w:fill="auto"/>
            <w:tcMar>
              <w:top w:w="0" w:type="dxa"/>
              <w:left w:w="108" w:type="dxa"/>
              <w:bottom w:w="0" w:type="dxa"/>
              <w:right w:w="108" w:type="dxa"/>
            </w:tcMar>
            <w:hideMark/>
          </w:tcPr>
          <w:p w14:paraId="3D79DF9D" w14:textId="77777777" w:rsidR="001F2ACA" w:rsidRPr="00F0276B" w:rsidRDefault="001F2ACA" w:rsidP="0096518D">
            <w:pPr>
              <w:pStyle w:val="TableCell"/>
              <w:ind w:left="180"/>
              <w:jc w:val="center"/>
              <w:rPr>
                <w:rFonts w:ascii="Arial" w:hAnsi="Arial"/>
                <w:sz w:val="16"/>
              </w:rPr>
            </w:pPr>
            <w:r w:rsidRPr="00F0276B">
              <w:rPr>
                <w:rFonts w:ascii="Arial" w:hAnsi="Arial"/>
                <w:sz w:val="16"/>
              </w:rPr>
              <w:t>4.686***</w:t>
            </w:r>
          </w:p>
        </w:tc>
        <w:tc>
          <w:tcPr>
            <w:tcW w:w="0" w:type="auto"/>
            <w:shd w:val="clear" w:color="auto" w:fill="auto"/>
            <w:tcMar>
              <w:top w:w="0" w:type="dxa"/>
              <w:left w:w="108" w:type="dxa"/>
              <w:bottom w:w="0" w:type="dxa"/>
              <w:right w:w="108" w:type="dxa"/>
            </w:tcMar>
            <w:hideMark/>
          </w:tcPr>
          <w:p w14:paraId="07845CAF" w14:textId="77777777" w:rsidR="001F2ACA" w:rsidRPr="00F0276B" w:rsidRDefault="001F2ACA" w:rsidP="0096518D">
            <w:pPr>
              <w:pStyle w:val="TableCell"/>
              <w:ind w:left="180"/>
              <w:jc w:val="center"/>
              <w:rPr>
                <w:rFonts w:ascii="Arial" w:hAnsi="Arial"/>
                <w:sz w:val="16"/>
              </w:rPr>
            </w:pPr>
            <w:r w:rsidRPr="00F0276B">
              <w:rPr>
                <w:rFonts w:ascii="Arial" w:hAnsi="Arial"/>
                <w:sz w:val="16"/>
              </w:rPr>
              <w:t>-2.056***</w:t>
            </w:r>
          </w:p>
        </w:tc>
        <w:tc>
          <w:tcPr>
            <w:tcW w:w="0" w:type="auto"/>
            <w:shd w:val="clear" w:color="auto" w:fill="auto"/>
            <w:tcMar>
              <w:top w:w="0" w:type="dxa"/>
              <w:left w:w="108" w:type="dxa"/>
              <w:bottom w:w="0" w:type="dxa"/>
              <w:right w:w="108" w:type="dxa"/>
            </w:tcMar>
            <w:hideMark/>
          </w:tcPr>
          <w:p w14:paraId="7BE46675" w14:textId="77777777" w:rsidR="001F2ACA" w:rsidRPr="00F0276B" w:rsidRDefault="001F2ACA" w:rsidP="0096518D">
            <w:pPr>
              <w:pStyle w:val="TableCell"/>
              <w:ind w:left="180"/>
              <w:jc w:val="center"/>
              <w:rPr>
                <w:rFonts w:ascii="Arial" w:hAnsi="Arial"/>
                <w:sz w:val="16"/>
              </w:rPr>
            </w:pPr>
            <w:r w:rsidRPr="00F0276B">
              <w:rPr>
                <w:rFonts w:ascii="Arial" w:hAnsi="Arial"/>
                <w:sz w:val="16"/>
              </w:rPr>
              <w:t>-1.139*</w:t>
            </w:r>
          </w:p>
        </w:tc>
      </w:tr>
      <w:tr w:rsidR="001F2ACA" w:rsidRPr="00F0276B" w14:paraId="49491481" w14:textId="77777777" w:rsidTr="0096518D">
        <w:trPr>
          <w:jc w:val="center"/>
        </w:trPr>
        <w:tc>
          <w:tcPr>
            <w:tcW w:w="0" w:type="auto"/>
            <w:shd w:val="clear" w:color="auto" w:fill="auto"/>
            <w:tcMar>
              <w:top w:w="0" w:type="dxa"/>
              <w:left w:w="108" w:type="dxa"/>
              <w:bottom w:w="0" w:type="dxa"/>
              <w:right w:w="108" w:type="dxa"/>
            </w:tcMar>
            <w:hideMark/>
          </w:tcPr>
          <w:p w14:paraId="7ECC1B95" w14:textId="77777777" w:rsidR="001F2ACA" w:rsidRPr="00F0276B" w:rsidRDefault="001F2ACA" w:rsidP="0096518D">
            <w:pPr>
              <w:pStyle w:val="TableRow"/>
              <w:ind w:left="180"/>
              <w:rPr>
                <w:rFonts w:ascii="Arial" w:hAnsi="Arial"/>
                <w:sz w:val="16"/>
              </w:rPr>
            </w:pPr>
            <w:r w:rsidRPr="00F0276B">
              <w:rPr>
                <w:rFonts w:ascii="Arial" w:hAnsi="Arial"/>
                <w:sz w:val="16"/>
              </w:rPr>
              <w:t>Japan</w:t>
            </w:r>
          </w:p>
        </w:tc>
        <w:tc>
          <w:tcPr>
            <w:tcW w:w="0" w:type="auto"/>
            <w:shd w:val="clear" w:color="auto" w:fill="auto"/>
            <w:tcMar>
              <w:top w:w="0" w:type="dxa"/>
              <w:left w:w="108" w:type="dxa"/>
              <w:bottom w:w="0" w:type="dxa"/>
              <w:right w:w="108" w:type="dxa"/>
            </w:tcMar>
            <w:hideMark/>
          </w:tcPr>
          <w:p w14:paraId="774B1504" w14:textId="77777777" w:rsidR="001F2ACA" w:rsidRPr="00F0276B" w:rsidRDefault="001F2ACA" w:rsidP="0096518D">
            <w:pPr>
              <w:pStyle w:val="TableCell"/>
              <w:ind w:left="180"/>
              <w:jc w:val="center"/>
              <w:rPr>
                <w:rFonts w:ascii="Arial" w:hAnsi="Arial"/>
                <w:sz w:val="16"/>
              </w:rPr>
            </w:pPr>
            <w:r w:rsidRPr="00F0276B">
              <w:rPr>
                <w:rFonts w:ascii="Arial" w:hAnsi="Arial"/>
                <w:sz w:val="16"/>
              </w:rPr>
              <w:t>4.464***</w:t>
            </w:r>
          </w:p>
        </w:tc>
        <w:tc>
          <w:tcPr>
            <w:tcW w:w="0" w:type="auto"/>
            <w:shd w:val="clear" w:color="auto" w:fill="auto"/>
            <w:tcMar>
              <w:top w:w="0" w:type="dxa"/>
              <w:left w:w="108" w:type="dxa"/>
              <w:bottom w:w="0" w:type="dxa"/>
              <w:right w:w="108" w:type="dxa"/>
            </w:tcMar>
            <w:hideMark/>
          </w:tcPr>
          <w:p w14:paraId="16723E41" w14:textId="77777777" w:rsidR="001F2ACA" w:rsidRPr="00F0276B" w:rsidRDefault="001F2ACA" w:rsidP="0096518D">
            <w:pPr>
              <w:pStyle w:val="TableCell"/>
              <w:ind w:left="180"/>
              <w:jc w:val="center"/>
              <w:rPr>
                <w:rFonts w:ascii="Arial" w:hAnsi="Arial"/>
                <w:sz w:val="16"/>
              </w:rPr>
            </w:pPr>
            <w:r w:rsidRPr="00F0276B">
              <w:rPr>
                <w:rFonts w:ascii="Arial" w:hAnsi="Arial"/>
                <w:sz w:val="16"/>
              </w:rPr>
              <w:t>4.562***</w:t>
            </w:r>
          </w:p>
        </w:tc>
        <w:tc>
          <w:tcPr>
            <w:tcW w:w="0" w:type="auto"/>
            <w:shd w:val="clear" w:color="auto" w:fill="auto"/>
            <w:tcMar>
              <w:top w:w="0" w:type="dxa"/>
              <w:left w:w="108" w:type="dxa"/>
              <w:bottom w:w="0" w:type="dxa"/>
              <w:right w:w="108" w:type="dxa"/>
            </w:tcMar>
            <w:hideMark/>
          </w:tcPr>
          <w:p w14:paraId="37CB0A92" w14:textId="77777777" w:rsidR="001F2ACA" w:rsidRPr="00F0276B" w:rsidRDefault="001F2ACA" w:rsidP="0096518D">
            <w:pPr>
              <w:pStyle w:val="TableCell"/>
              <w:ind w:left="180"/>
              <w:jc w:val="center"/>
              <w:rPr>
                <w:rFonts w:ascii="Arial" w:hAnsi="Arial"/>
                <w:sz w:val="16"/>
              </w:rPr>
            </w:pPr>
            <w:r w:rsidRPr="00F0276B">
              <w:rPr>
                <w:rFonts w:ascii="Arial" w:hAnsi="Arial"/>
                <w:sz w:val="16"/>
              </w:rPr>
              <w:t>-2.177***</w:t>
            </w:r>
          </w:p>
        </w:tc>
        <w:tc>
          <w:tcPr>
            <w:tcW w:w="0" w:type="auto"/>
            <w:shd w:val="clear" w:color="auto" w:fill="auto"/>
            <w:tcMar>
              <w:top w:w="0" w:type="dxa"/>
              <w:left w:w="108" w:type="dxa"/>
              <w:bottom w:w="0" w:type="dxa"/>
              <w:right w:w="108" w:type="dxa"/>
            </w:tcMar>
            <w:hideMark/>
          </w:tcPr>
          <w:p w14:paraId="03615D68" w14:textId="77777777" w:rsidR="001F2ACA" w:rsidRPr="00F0276B" w:rsidRDefault="001F2ACA" w:rsidP="0096518D">
            <w:pPr>
              <w:pStyle w:val="TableCell"/>
              <w:ind w:left="180"/>
              <w:jc w:val="center"/>
              <w:rPr>
                <w:rFonts w:ascii="Arial" w:hAnsi="Arial"/>
                <w:sz w:val="16"/>
              </w:rPr>
            </w:pPr>
            <w:r w:rsidRPr="00F0276B">
              <w:rPr>
                <w:rFonts w:ascii="Arial" w:hAnsi="Arial"/>
                <w:sz w:val="16"/>
              </w:rPr>
              <w:t>-1.083</w:t>
            </w:r>
          </w:p>
        </w:tc>
      </w:tr>
      <w:tr w:rsidR="001F2ACA" w:rsidRPr="00F0276B" w14:paraId="3383F553" w14:textId="77777777" w:rsidTr="0096518D">
        <w:trPr>
          <w:jc w:val="center"/>
        </w:trPr>
        <w:tc>
          <w:tcPr>
            <w:tcW w:w="0" w:type="auto"/>
            <w:shd w:val="clear" w:color="auto" w:fill="auto"/>
            <w:tcMar>
              <w:top w:w="0" w:type="dxa"/>
              <w:left w:w="108" w:type="dxa"/>
              <w:bottom w:w="0" w:type="dxa"/>
              <w:right w:w="108" w:type="dxa"/>
            </w:tcMar>
            <w:hideMark/>
          </w:tcPr>
          <w:p w14:paraId="13A47BC6" w14:textId="77777777" w:rsidR="001F2ACA" w:rsidRPr="00F0276B" w:rsidRDefault="001F2ACA" w:rsidP="0096518D">
            <w:pPr>
              <w:pStyle w:val="TableRow"/>
              <w:ind w:left="180"/>
              <w:rPr>
                <w:rFonts w:ascii="Arial" w:hAnsi="Arial"/>
                <w:sz w:val="16"/>
              </w:rPr>
            </w:pPr>
            <w:r w:rsidRPr="00F0276B">
              <w:rPr>
                <w:rFonts w:ascii="Arial" w:hAnsi="Arial"/>
                <w:sz w:val="16"/>
              </w:rPr>
              <w:t>Korea</w:t>
            </w:r>
          </w:p>
        </w:tc>
        <w:tc>
          <w:tcPr>
            <w:tcW w:w="0" w:type="auto"/>
            <w:shd w:val="clear" w:color="auto" w:fill="auto"/>
            <w:tcMar>
              <w:top w:w="0" w:type="dxa"/>
              <w:left w:w="108" w:type="dxa"/>
              <w:bottom w:w="0" w:type="dxa"/>
              <w:right w:w="108" w:type="dxa"/>
            </w:tcMar>
            <w:hideMark/>
          </w:tcPr>
          <w:p w14:paraId="282D056A" w14:textId="77777777" w:rsidR="001F2ACA" w:rsidRPr="00F0276B" w:rsidRDefault="001F2ACA" w:rsidP="0096518D">
            <w:pPr>
              <w:pStyle w:val="TableCell"/>
              <w:ind w:left="180"/>
              <w:jc w:val="center"/>
              <w:rPr>
                <w:rFonts w:ascii="Arial" w:hAnsi="Arial"/>
                <w:sz w:val="16"/>
              </w:rPr>
            </w:pPr>
            <w:r w:rsidRPr="00F0276B">
              <w:rPr>
                <w:rFonts w:ascii="Arial" w:hAnsi="Arial"/>
                <w:sz w:val="16"/>
              </w:rPr>
              <w:t>5.095***</w:t>
            </w:r>
          </w:p>
        </w:tc>
        <w:tc>
          <w:tcPr>
            <w:tcW w:w="0" w:type="auto"/>
            <w:shd w:val="clear" w:color="auto" w:fill="auto"/>
            <w:tcMar>
              <w:top w:w="0" w:type="dxa"/>
              <w:left w:w="108" w:type="dxa"/>
              <w:bottom w:w="0" w:type="dxa"/>
              <w:right w:w="108" w:type="dxa"/>
            </w:tcMar>
            <w:hideMark/>
          </w:tcPr>
          <w:p w14:paraId="62358CF8" w14:textId="77777777" w:rsidR="001F2ACA" w:rsidRPr="00F0276B" w:rsidRDefault="001F2ACA" w:rsidP="0096518D">
            <w:pPr>
              <w:pStyle w:val="TableCell"/>
              <w:ind w:left="180"/>
              <w:jc w:val="center"/>
              <w:rPr>
                <w:rFonts w:ascii="Arial" w:hAnsi="Arial"/>
                <w:sz w:val="16"/>
              </w:rPr>
            </w:pPr>
            <w:r w:rsidRPr="00F0276B">
              <w:rPr>
                <w:rFonts w:ascii="Arial" w:hAnsi="Arial"/>
                <w:sz w:val="16"/>
              </w:rPr>
              <w:t>5.160***</w:t>
            </w:r>
          </w:p>
        </w:tc>
        <w:tc>
          <w:tcPr>
            <w:tcW w:w="0" w:type="auto"/>
            <w:shd w:val="clear" w:color="auto" w:fill="auto"/>
            <w:tcMar>
              <w:top w:w="0" w:type="dxa"/>
              <w:left w:w="108" w:type="dxa"/>
              <w:bottom w:w="0" w:type="dxa"/>
              <w:right w:w="108" w:type="dxa"/>
            </w:tcMar>
            <w:hideMark/>
          </w:tcPr>
          <w:p w14:paraId="3B6E01A7" w14:textId="77777777" w:rsidR="001F2ACA" w:rsidRPr="00F0276B" w:rsidRDefault="001F2ACA" w:rsidP="0096518D">
            <w:pPr>
              <w:pStyle w:val="TableCell"/>
              <w:ind w:left="180"/>
              <w:jc w:val="center"/>
              <w:rPr>
                <w:rFonts w:ascii="Arial" w:hAnsi="Arial"/>
                <w:sz w:val="16"/>
              </w:rPr>
            </w:pPr>
            <w:r w:rsidRPr="00F0276B">
              <w:rPr>
                <w:rFonts w:ascii="Arial" w:hAnsi="Arial"/>
                <w:sz w:val="16"/>
              </w:rPr>
              <w:t>-2.450***</w:t>
            </w:r>
          </w:p>
        </w:tc>
        <w:tc>
          <w:tcPr>
            <w:tcW w:w="0" w:type="auto"/>
            <w:shd w:val="clear" w:color="auto" w:fill="auto"/>
            <w:tcMar>
              <w:top w:w="0" w:type="dxa"/>
              <w:left w:w="108" w:type="dxa"/>
              <w:bottom w:w="0" w:type="dxa"/>
              <w:right w:w="108" w:type="dxa"/>
            </w:tcMar>
            <w:hideMark/>
          </w:tcPr>
          <w:p w14:paraId="06422B4E" w14:textId="77777777" w:rsidR="001F2ACA" w:rsidRPr="00F0276B" w:rsidRDefault="001F2ACA" w:rsidP="0096518D">
            <w:pPr>
              <w:pStyle w:val="TableCell"/>
              <w:ind w:left="180"/>
              <w:jc w:val="center"/>
              <w:rPr>
                <w:rFonts w:ascii="Arial" w:hAnsi="Arial"/>
                <w:sz w:val="16"/>
              </w:rPr>
            </w:pPr>
            <w:r w:rsidRPr="00F0276B">
              <w:rPr>
                <w:rFonts w:ascii="Arial" w:hAnsi="Arial"/>
                <w:sz w:val="16"/>
              </w:rPr>
              <w:t>-1.381**</w:t>
            </w:r>
          </w:p>
        </w:tc>
      </w:tr>
      <w:tr w:rsidR="001F2ACA" w:rsidRPr="00F0276B" w14:paraId="217932C2" w14:textId="77777777" w:rsidTr="0096518D">
        <w:trPr>
          <w:jc w:val="center"/>
        </w:trPr>
        <w:tc>
          <w:tcPr>
            <w:tcW w:w="0" w:type="auto"/>
            <w:shd w:val="clear" w:color="auto" w:fill="auto"/>
            <w:tcMar>
              <w:top w:w="0" w:type="dxa"/>
              <w:left w:w="108" w:type="dxa"/>
              <w:bottom w:w="0" w:type="dxa"/>
              <w:right w:w="108" w:type="dxa"/>
            </w:tcMar>
            <w:hideMark/>
          </w:tcPr>
          <w:p w14:paraId="68674E83" w14:textId="77777777" w:rsidR="001F2ACA" w:rsidRPr="00F0276B" w:rsidRDefault="001F2ACA" w:rsidP="0096518D">
            <w:pPr>
              <w:pStyle w:val="TableRow"/>
              <w:ind w:left="180"/>
              <w:rPr>
                <w:rFonts w:ascii="Arial" w:hAnsi="Arial"/>
                <w:sz w:val="16"/>
              </w:rPr>
            </w:pPr>
            <w:r w:rsidRPr="00F0276B">
              <w:rPr>
                <w:rFonts w:ascii="Arial" w:hAnsi="Arial"/>
                <w:sz w:val="16"/>
              </w:rPr>
              <w:t>Latvia</w:t>
            </w:r>
          </w:p>
        </w:tc>
        <w:tc>
          <w:tcPr>
            <w:tcW w:w="0" w:type="auto"/>
            <w:shd w:val="clear" w:color="auto" w:fill="auto"/>
            <w:tcMar>
              <w:top w:w="0" w:type="dxa"/>
              <w:left w:w="108" w:type="dxa"/>
              <w:bottom w:w="0" w:type="dxa"/>
              <w:right w:w="108" w:type="dxa"/>
            </w:tcMar>
            <w:hideMark/>
          </w:tcPr>
          <w:p w14:paraId="5E3BDDDE" w14:textId="77777777" w:rsidR="001F2ACA" w:rsidRPr="00F0276B" w:rsidRDefault="001F2ACA" w:rsidP="0096518D">
            <w:pPr>
              <w:pStyle w:val="TableCell"/>
              <w:ind w:left="180"/>
              <w:jc w:val="center"/>
              <w:rPr>
                <w:rFonts w:ascii="Arial" w:hAnsi="Arial"/>
                <w:sz w:val="16"/>
              </w:rPr>
            </w:pPr>
            <w:r w:rsidRPr="00F0276B">
              <w:rPr>
                <w:rFonts w:ascii="Arial" w:hAnsi="Arial"/>
                <w:sz w:val="16"/>
              </w:rPr>
              <w:t>4.669***</w:t>
            </w:r>
          </w:p>
        </w:tc>
        <w:tc>
          <w:tcPr>
            <w:tcW w:w="0" w:type="auto"/>
            <w:shd w:val="clear" w:color="auto" w:fill="auto"/>
            <w:tcMar>
              <w:top w:w="0" w:type="dxa"/>
              <w:left w:w="108" w:type="dxa"/>
              <w:bottom w:w="0" w:type="dxa"/>
              <w:right w:w="108" w:type="dxa"/>
            </w:tcMar>
            <w:hideMark/>
          </w:tcPr>
          <w:p w14:paraId="39BB652A" w14:textId="77777777" w:rsidR="001F2ACA" w:rsidRPr="00F0276B" w:rsidRDefault="001F2ACA" w:rsidP="0096518D">
            <w:pPr>
              <w:pStyle w:val="TableCell"/>
              <w:ind w:left="180"/>
              <w:jc w:val="center"/>
              <w:rPr>
                <w:rFonts w:ascii="Arial" w:hAnsi="Arial"/>
                <w:sz w:val="16"/>
              </w:rPr>
            </w:pPr>
            <w:r w:rsidRPr="00F0276B">
              <w:rPr>
                <w:rFonts w:ascii="Arial" w:hAnsi="Arial"/>
                <w:sz w:val="16"/>
              </w:rPr>
              <w:t>4.557***</w:t>
            </w:r>
          </w:p>
        </w:tc>
        <w:tc>
          <w:tcPr>
            <w:tcW w:w="0" w:type="auto"/>
            <w:shd w:val="clear" w:color="auto" w:fill="auto"/>
            <w:tcMar>
              <w:top w:w="0" w:type="dxa"/>
              <w:left w:w="108" w:type="dxa"/>
              <w:bottom w:w="0" w:type="dxa"/>
              <w:right w:w="108" w:type="dxa"/>
            </w:tcMar>
            <w:hideMark/>
          </w:tcPr>
          <w:p w14:paraId="6524DC17" w14:textId="77777777" w:rsidR="001F2ACA" w:rsidRPr="00F0276B" w:rsidRDefault="001F2ACA" w:rsidP="0096518D">
            <w:pPr>
              <w:pStyle w:val="TableCell"/>
              <w:ind w:left="180"/>
              <w:jc w:val="center"/>
              <w:rPr>
                <w:rFonts w:ascii="Arial" w:hAnsi="Arial"/>
                <w:sz w:val="16"/>
              </w:rPr>
            </w:pPr>
            <w:r w:rsidRPr="00F0276B">
              <w:rPr>
                <w:rFonts w:ascii="Arial" w:hAnsi="Arial"/>
                <w:sz w:val="16"/>
              </w:rPr>
              <w:t>-2.206***</w:t>
            </w:r>
          </w:p>
        </w:tc>
        <w:tc>
          <w:tcPr>
            <w:tcW w:w="0" w:type="auto"/>
            <w:shd w:val="clear" w:color="auto" w:fill="auto"/>
            <w:tcMar>
              <w:top w:w="0" w:type="dxa"/>
              <w:left w:w="108" w:type="dxa"/>
              <w:bottom w:w="0" w:type="dxa"/>
              <w:right w:w="108" w:type="dxa"/>
            </w:tcMar>
            <w:hideMark/>
          </w:tcPr>
          <w:p w14:paraId="521C4468" w14:textId="77777777" w:rsidR="001F2ACA" w:rsidRPr="00F0276B" w:rsidRDefault="001F2ACA" w:rsidP="0096518D">
            <w:pPr>
              <w:pStyle w:val="TableCell"/>
              <w:ind w:left="180"/>
              <w:jc w:val="center"/>
              <w:rPr>
                <w:rFonts w:ascii="Arial" w:hAnsi="Arial"/>
                <w:sz w:val="16"/>
              </w:rPr>
            </w:pPr>
            <w:r w:rsidRPr="00F0276B">
              <w:rPr>
                <w:rFonts w:ascii="Arial" w:hAnsi="Arial"/>
                <w:sz w:val="16"/>
              </w:rPr>
              <w:t>-1.050</w:t>
            </w:r>
          </w:p>
        </w:tc>
      </w:tr>
      <w:tr w:rsidR="001F2ACA" w:rsidRPr="00F0276B" w14:paraId="319351F9" w14:textId="77777777" w:rsidTr="0096518D">
        <w:trPr>
          <w:jc w:val="center"/>
        </w:trPr>
        <w:tc>
          <w:tcPr>
            <w:tcW w:w="0" w:type="auto"/>
            <w:shd w:val="clear" w:color="auto" w:fill="auto"/>
            <w:tcMar>
              <w:top w:w="0" w:type="dxa"/>
              <w:left w:w="108" w:type="dxa"/>
              <w:bottom w:w="0" w:type="dxa"/>
              <w:right w:w="108" w:type="dxa"/>
            </w:tcMar>
            <w:hideMark/>
          </w:tcPr>
          <w:p w14:paraId="419D024F" w14:textId="77777777" w:rsidR="001F2ACA" w:rsidRPr="00F0276B" w:rsidRDefault="001F2ACA" w:rsidP="0096518D">
            <w:pPr>
              <w:pStyle w:val="TableRow"/>
              <w:ind w:left="180"/>
              <w:rPr>
                <w:rFonts w:ascii="Arial" w:hAnsi="Arial"/>
                <w:sz w:val="16"/>
              </w:rPr>
            </w:pPr>
            <w:r w:rsidRPr="00F0276B">
              <w:rPr>
                <w:rFonts w:ascii="Arial" w:hAnsi="Arial"/>
                <w:sz w:val="16"/>
              </w:rPr>
              <w:t>Luxembourg</w:t>
            </w:r>
          </w:p>
        </w:tc>
        <w:tc>
          <w:tcPr>
            <w:tcW w:w="0" w:type="auto"/>
            <w:shd w:val="clear" w:color="auto" w:fill="auto"/>
            <w:tcMar>
              <w:top w:w="0" w:type="dxa"/>
              <w:left w:w="108" w:type="dxa"/>
              <w:bottom w:w="0" w:type="dxa"/>
              <w:right w:w="108" w:type="dxa"/>
            </w:tcMar>
            <w:hideMark/>
          </w:tcPr>
          <w:p w14:paraId="3F6E75A1" w14:textId="77777777" w:rsidR="001F2ACA" w:rsidRPr="00F0276B" w:rsidRDefault="001F2ACA" w:rsidP="0096518D">
            <w:pPr>
              <w:pStyle w:val="TableCell"/>
              <w:ind w:left="180"/>
              <w:jc w:val="center"/>
              <w:rPr>
                <w:rFonts w:ascii="Arial" w:hAnsi="Arial"/>
                <w:sz w:val="16"/>
              </w:rPr>
            </w:pPr>
            <w:r w:rsidRPr="00F0276B">
              <w:rPr>
                <w:rFonts w:ascii="Arial" w:hAnsi="Arial"/>
                <w:sz w:val="16"/>
              </w:rPr>
              <w:t>4.437***</w:t>
            </w:r>
          </w:p>
        </w:tc>
        <w:tc>
          <w:tcPr>
            <w:tcW w:w="0" w:type="auto"/>
            <w:shd w:val="clear" w:color="auto" w:fill="auto"/>
            <w:tcMar>
              <w:top w:w="0" w:type="dxa"/>
              <w:left w:w="108" w:type="dxa"/>
              <w:bottom w:w="0" w:type="dxa"/>
              <w:right w:w="108" w:type="dxa"/>
            </w:tcMar>
            <w:hideMark/>
          </w:tcPr>
          <w:p w14:paraId="0BA36EAB" w14:textId="77777777" w:rsidR="001F2ACA" w:rsidRPr="00F0276B" w:rsidRDefault="001F2ACA" w:rsidP="0096518D">
            <w:pPr>
              <w:pStyle w:val="TableCell"/>
              <w:ind w:left="180"/>
              <w:jc w:val="center"/>
              <w:rPr>
                <w:rFonts w:ascii="Arial" w:hAnsi="Arial"/>
                <w:sz w:val="16"/>
              </w:rPr>
            </w:pPr>
            <w:r w:rsidRPr="00F0276B">
              <w:rPr>
                <w:rFonts w:ascii="Arial" w:hAnsi="Arial"/>
                <w:sz w:val="16"/>
              </w:rPr>
              <w:t>4.621***</w:t>
            </w:r>
          </w:p>
        </w:tc>
        <w:tc>
          <w:tcPr>
            <w:tcW w:w="0" w:type="auto"/>
            <w:shd w:val="clear" w:color="auto" w:fill="auto"/>
            <w:tcMar>
              <w:top w:w="0" w:type="dxa"/>
              <w:left w:w="108" w:type="dxa"/>
              <w:bottom w:w="0" w:type="dxa"/>
              <w:right w:w="108" w:type="dxa"/>
            </w:tcMar>
            <w:hideMark/>
          </w:tcPr>
          <w:p w14:paraId="17D94D0C" w14:textId="77777777" w:rsidR="001F2ACA" w:rsidRPr="00F0276B" w:rsidRDefault="001F2ACA" w:rsidP="0096518D">
            <w:pPr>
              <w:pStyle w:val="TableCell"/>
              <w:ind w:left="180"/>
              <w:jc w:val="center"/>
              <w:rPr>
                <w:rFonts w:ascii="Arial" w:hAnsi="Arial"/>
                <w:sz w:val="16"/>
              </w:rPr>
            </w:pPr>
            <w:r w:rsidRPr="00F0276B">
              <w:rPr>
                <w:rFonts w:ascii="Arial" w:hAnsi="Arial"/>
                <w:sz w:val="16"/>
              </w:rPr>
              <w:t>-2.107***</w:t>
            </w:r>
          </w:p>
        </w:tc>
        <w:tc>
          <w:tcPr>
            <w:tcW w:w="0" w:type="auto"/>
            <w:shd w:val="clear" w:color="auto" w:fill="auto"/>
            <w:tcMar>
              <w:top w:w="0" w:type="dxa"/>
              <w:left w:w="108" w:type="dxa"/>
              <w:bottom w:w="0" w:type="dxa"/>
              <w:right w:w="108" w:type="dxa"/>
            </w:tcMar>
            <w:hideMark/>
          </w:tcPr>
          <w:p w14:paraId="066D7E4F" w14:textId="77777777" w:rsidR="001F2ACA" w:rsidRPr="00F0276B" w:rsidRDefault="001F2ACA" w:rsidP="0096518D">
            <w:pPr>
              <w:pStyle w:val="TableCell"/>
              <w:ind w:left="180"/>
              <w:jc w:val="center"/>
              <w:rPr>
                <w:rFonts w:ascii="Arial" w:hAnsi="Arial"/>
                <w:sz w:val="16"/>
              </w:rPr>
            </w:pPr>
            <w:r w:rsidRPr="00F0276B">
              <w:rPr>
                <w:rFonts w:ascii="Arial" w:hAnsi="Arial"/>
                <w:sz w:val="16"/>
              </w:rPr>
              <w:t>-1.068</w:t>
            </w:r>
          </w:p>
        </w:tc>
      </w:tr>
      <w:tr w:rsidR="001F2ACA" w:rsidRPr="00F0276B" w14:paraId="44F9C08D" w14:textId="77777777" w:rsidTr="0096518D">
        <w:trPr>
          <w:jc w:val="center"/>
        </w:trPr>
        <w:tc>
          <w:tcPr>
            <w:tcW w:w="0" w:type="auto"/>
            <w:shd w:val="clear" w:color="auto" w:fill="auto"/>
            <w:tcMar>
              <w:top w:w="0" w:type="dxa"/>
              <w:left w:w="108" w:type="dxa"/>
              <w:bottom w:w="0" w:type="dxa"/>
              <w:right w:w="108" w:type="dxa"/>
            </w:tcMar>
            <w:hideMark/>
          </w:tcPr>
          <w:p w14:paraId="7BBC9CEA" w14:textId="77777777" w:rsidR="001F2ACA" w:rsidRPr="00F0276B" w:rsidRDefault="001F2ACA" w:rsidP="0096518D">
            <w:pPr>
              <w:pStyle w:val="TableRow"/>
              <w:ind w:left="180"/>
              <w:rPr>
                <w:rFonts w:ascii="Arial" w:hAnsi="Arial"/>
                <w:sz w:val="16"/>
              </w:rPr>
            </w:pPr>
            <w:r w:rsidRPr="00F0276B">
              <w:rPr>
                <w:rFonts w:ascii="Arial" w:hAnsi="Arial"/>
                <w:sz w:val="16"/>
              </w:rPr>
              <w:t>Mexico</w:t>
            </w:r>
          </w:p>
        </w:tc>
        <w:tc>
          <w:tcPr>
            <w:tcW w:w="0" w:type="auto"/>
            <w:shd w:val="clear" w:color="auto" w:fill="auto"/>
            <w:tcMar>
              <w:top w:w="0" w:type="dxa"/>
              <w:left w:w="108" w:type="dxa"/>
              <w:bottom w:w="0" w:type="dxa"/>
              <w:right w:w="108" w:type="dxa"/>
            </w:tcMar>
            <w:hideMark/>
          </w:tcPr>
          <w:p w14:paraId="0DDCA696" w14:textId="77777777" w:rsidR="001F2ACA" w:rsidRPr="00F0276B" w:rsidRDefault="001F2ACA" w:rsidP="0096518D">
            <w:pPr>
              <w:pStyle w:val="TableCell"/>
              <w:ind w:left="180"/>
              <w:jc w:val="center"/>
              <w:rPr>
                <w:rFonts w:ascii="Arial" w:hAnsi="Arial"/>
                <w:sz w:val="16"/>
              </w:rPr>
            </w:pPr>
            <w:r w:rsidRPr="00F0276B">
              <w:rPr>
                <w:rFonts w:ascii="Arial" w:hAnsi="Arial"/>
                <w:sz w:val="16"/>
              </w:rPr>
              <w:t>4.598***</w:t>
            </w:r>
          </w:p>
        </w:tc>
        <w:tc>
          <w:tcPr>
            <w:tcW w:w="0" w:type="auto"/>
            <w:shd w:val="clear" w:color="auto" w:fill="auto"/>
            <w:tcMar>
              <w:top w:w="0" w:type="dxa"/>
              <w:left w:w="108" w:type="dxa"/>
              <w:bottom w:w="0" w:type="dxa"/>
              <w:right w:w="108" w:type="dxa"/>
            </w:tcMar>
            <w:hideMark/>
          </w:tcPr>
          <w:p w14:paraId="64EF796B" w14:textId="77777777" w:rsidR="001F2ACA" w:rsidRPr="00F0276B" w:rsidRDefault="001F2ACA" w:rsidP="0096518D">
            <w:pPr>
              <w:pStyle w:val="TableCell"/>
              <w:ind w:left="180"/>
              <w:jc w:val="center"/>
              <w:rPr>
                <w:rFonts w:ascii="Arial" w:hAnsi="Arial"/>
                <w:sz w:val="16"/>
              </w:rPr>
            </w:pPr>
            <w:r w:rsidRPr="00F0276B">
              <w:rPr>
                <w:rFonts w:ascii="Arial" w:hAnsi="Arial"/>
                <w:sz w:val="16"/>
              </w:rPr>
              <w:t>4.618***</w:t>
            </w:r>
          </w:p>
        </w:tc>
        <w:tc>
          <w:tcPr>
            <w:tcW w:w="0" w:type="auto"/>
            <w:shd w:val="clear" w:color="auto" w:fill="auto"/>
            <w:tcMar>
              <w:top w:w="0" w:type="dxa"/>
              <w:left w:w="108" w:type="dxa"/>
              <w:bottom w:w="0" w:type="dxa"/>
              <w:right w:w="108" w:type="dxa"/>
            </w:tcMar>
            <w:hideMark/>
          </w:tcPr>
          <w:p w14:paraId="5211EF29" w14:textId="77777777" w:rsidR="001F2ACA" w:rsidRPr="00F0276B" w:rsidRDefault="001F2ACA" w:rsidP="0096518D">
            <w:pPr>
              <w:pStyle w:val="TableCell"/>
              <w:ind w:left="180"/>
              <w:jc w:val="center"/>
              <w:rPr>
                <w:rFonts w:ascii="Arial" w:hAnsi="Arial"/>
                <w:sz w:val="16"/>
              </w:rPr>
            </w:pPr>
            <w:r w:rsidRPr="00F0276B">
              <w:rPr>
                <w:rFonts w:ascii="Arial" w:hAnsi="Arial"/>
                <w:sz w:val="16"/>
              </w:rPr>
              <w:t>-2.187***</w:t>
            </w:r>
          </w:p>
        </w:tc>
        <w:tc>
          <w:tcPr>
            <w:tcW w:w="0" w:type="auto"/>
            <w:shd w:val="clear" w:color="auto" w:fill="auto"/>
            <w:tcMar>
              <w:top w:w="0" w:type="dxa"/>
              <w:left w:w="108" w:type="dxa"/>
              <w:bottom w:w="0" w:type="dxa"/>
              <w:right w:w="108" w:type="dxa"/>
            </w:tcMar>
            <w:hideMark/>
          </w:tcPr>
          <w:p w14:paraId="1510EA50" w14:textId="77777777" w:rsidR="001F2ACA" w:rsidRPr="00F0276B" w:rsidRDefault="001F2ACA" w:rsidP="0096518D">
            <w:pPr>
              <w:pStyle w:val="TableCell"/>
              <w:ind w:left="180"/>
              <w:jc w:val="center"/>
              <w:rPr>
                <w:rFonts w:ascii="Arial" w:hAnsi="Arial"/>
                <w:sz w:val="16"/>
              </w:rPr>
            </w:pPr>
            <w:r w:rsidRPr="00F0276B">
              <w:rPr>
                <w:rFonts w:ascii="Arial" w:hAnsi="Arial"/>
                <w:sz w:val="16"/>
              </w:rPr>
              <w:t>-1.105*</w:t>
            </w:r>
          </w:p>
        </w:tc>
      </w:tr>
      <w:tr w:rsidR="001F2ACA" w:rsidRPr="00F0276B" w14:paraId="6B1FF49A" w14:textId="77777777" w:rsidTr="0096518D">
        <w:trPr>
          <w:jc w:val="center"/>
        </w:trPr>
        <w:tc>
          <w:tcPr>
            <w:tcW w:w="0" w:type="auto"/>
            <w:shd w:val="clear" w:color="auto" w:fill="auto"/>
            <w:tcMar>
              <w:top w:w="0" w:type="dxa"/>
              <w:left w:w="108" w:type="dxa"/>
              <w:bottom w:w="0" w:type="dxa"/>
              <w:right w:w="108" w:type="dxa"/>
            </w:tcMar>
            <w:hideMark/>
          </w:tcPr>
          <w:p w14:paraId="3C5CB19F" w14:textId="77777777" w:rsidR="001F2ACA" w:rsidRPr="00F0276B" w:rsidRDefault="001F2ACA" w:rsidP="0096518D">
            <w:pPr>
              <w:pStyle w:val="TableRow"/>
              <w:ind w:left="180"/>
              <w:rPr>
                <w:rFonts w:ascii="Arial" w:hAnsi="Arial"/>
                <w:sz w:val="16"/>
              </w:rPr>
            </w:pPr>
            <w:r w:rsidRPr="00F0276B">
              <w:rPr>
                <w:rFonts w:ascii="Arial" w:hAnsi="Arial"/>
                <w:sz w:val="16"/>
              </w:rPr>
              <w:t>Netherlands</w:t>
            </w:r>
          </w:p>
        </w:tc>
        <w:tc>
          <w:tcPr>
            <w:tcW w:w="0" w:type="auto"/>
            <w:shd w:val="clear" w:color="auto" w:fill="auto"/>
            <w:tcMar>
              <w:top w:w="0" w:type="dxa"/>
              <w:left w:w="108" w:type="dxa"/>
              <w:bottom w:w="0" w:type="dxa"/>
              <w:right w:w="108" w:type="dxa"/>
            </w:tcMar>
            <w:hideMark/>
          </w:tcPr>
          <w:p w14:paraId="4B16F6C7" w14:textId="77777777" w:rsidR="001F2ACA" w:rsidRPr="00F0276B" w:rsidRDefault="001F2ACA" w:rsidP="0096518D">
            <w:pPr>
              <w:pStyle w:val="TableCell"/>
              <w:ind w:left="180"/>
              <w:jc w:val="center"/>
              <w:rPr>
                <w:rFonts w:ascii="Arial" w:hAnsi="Arial"/>
                <w:sz w:val="16"/>
              </w:rPr>
            </w:pPr>
            <w:r w:rsidRPr="00F0276B">
              <w:rPr>
                <w:rFonts w:ascii="Arial" w:hAnsi="Arial"/>
                <w:sz w:val="16"/>
              </w:rPr>
              <w:t>4.679***</w:t>
            </w:r>
          </w:p>
        </w:tc>
        <w:tc>
          <w:tcPr>
            <w:tcW w:w="0" w:type="auto"/>
            <w:shd w:val="clear" w:color="auto" w:fill="auto"/>
            <w:tcMar>
              <w:top w:w="0" w:type="dxa"/>
              <w:left w:w="108" w:type="dxa"/>
              <w:bottom w:w="0" w:type="dxa"/>
              <w:right w:w="108" w:type="dxa"/>
            </w:tcMar>
            <w:hideMark/>
          </w:tcPr>
          <w:p w14:paraId="4B061E36" w14:textId="77777777" w:rsidR="001F2ACA" w:rsidRPr="00F0276B" w:rsidRDefault="001F2ACA" w:rsidP="0096518D">
            <w:pPr>
              <w:pStyle w:val="TableCell"/>
              <w:ind w:left="180"/>
              <w:jc w:val="center"/>
              <w:rPr>
                <w:rFonts w:ascii="Arial" w:hAnsi="Arial"/>
                <w:sz w:val="16"/>
              </w:rPr>
            </w:pPr>
            <w:r w:rsidRPr="00F0276B">
              <w:rPr>
                <w:rFonts w:ascii="Arial" w:hAnsi="Arial"/>
                <w:sz w:val="16"/>
              </w:rPr>
              <w:t>4.594***</w:t>
            </w:r>
          </w:p>
        </w:tc>
        <w:tc>
          <w:tcPr>
            <w:tcW w:w="0" w:type="auto"/>
            <w:shd w:val="clear" w:color="auto" w:fill="auto"/>
            <w:tcMar>
              <w:top w:w="0" w:type="dxa"/>
              <w:left w:w="108" w:type="dxa"/>
              <w:bottom w:w="0" w:type="dxa"/>
              <w:right w:w="108" w:type="dxa"/>
            </w:tcMar>
            <w:hideMark/>
          </w:tcPr>
          <w:p w14:paraId="44C1E95D" w14:textId="77777777" w:rsidR="001F2ACA" w:rsidRPr="00F0276B" w:rsidRDefault="001F2ACA" w:rsidP="0096518D">
            <w:pPr>
              <w:pStyle w:val="TableCell"/>
              <w:ind w:left="180"/>
              <w:jc w:val="center"/>
              <w:rPr>
                <w:rFonts w:ascii="Arial" w:hAnsi="Arial"/>
                <w:sz w:val="16"/>
              </w:rPr>
            </w:pPr>
            <w:r w:rsidRPr="00F0276B">
              <w:rPr>
                <w:rFonts w:ascii="Arial" w:hAnsi="Arial"/>
                <w:sz w:val="16"/>
              </w:rPr>
              <w:t>-2.211***</w:t>
            </w:r>
          </w:p>
        </w:tc>
        <w:tc>
          <w:tcPr>
            <w:tcW w:w="0" w:type="auto"/>
            <w:shd w:val="clear" w:color="auto" w:fill="auto"/>
            <w:tcMar>
              <w:top w:w="0" w:type="dxa"/>
              <w:left w:w="108" w:type="dxa"/>
              <w:bottom w:w="0" w:type="dxa"/>
              <w:right w:w="108" w:type="dxa"/>
            </w:tcMar>
            <w:hideMark/>
          </w:tcPr>
          <w:p w14:paraId="5E227644" w14:textId="77777777" w:rsidR="001F2ACA" w:rsidRPr="00F0276B" w:rsidRDefault="001F2ACA" w:rsidP="0096518D">
            <w:pPr>
              <w:pStyle w:val="TableCell"/>
              <w:ind w:left="180"/>
              <w:jc w:val="center"/>
              <w:rPr>
                <w:rFonts w:ascii="Arial" w:hAnsi="Arial"/>
                <w:sz w:val="16"/>
              </w:rPr>
            </w:pPr>
            <w:r w:rsidRPr="00F0276B">
              <w:rPr>
                <w:rFonts w:ascii="Arial" w:hAnsi="Arial"/>
                <w:sz w:val="16"/>
              </w:rPr>
              <w:t>-1.098</w:t>
            </w:r>
          </w:p>
        </w:tc>
      </w:tr>
      <w:tr w:rsidR="001F2ACA" w:rsidRPr="00F0276B" w14:paraId="11C65E0F" w14:textId="77777777" w:rsidTr="0096518D">
        <w:trPr>
          <w:jc w:val="center"/>
        </w:trPr>
        <w:tc>
          <w:tcPr>
            <w:tcW w:w="0" w:type="auto"/>
            <w:shd w:val="clear" w:color="auto" w:fill="auto"/>
            <w:tcMar>
              <w:top w:w="0" w:type="dxa"/>
              <w:left w:w="108" w:type="dxa"/>
              <w:bottom w:w="0" w:type="dxa"/>
              <w:right w:w="108" w:type="dxa"/>
            </w:tcMar>
            <w:hideMark/>
          </w:tcPr>
          <w:p w14:paraId="43F7B959" w14:textId="77777777" w:rsidR="001F2ACA" w:rsidRPr="00F0276B" w:rsidRDefault="001F2ACA" w:rsidP="0096518D">
            <w:pPr>
              <w:pStyle w:val="TableRow"/>
              <w:ind w:left="180"/>
              <w:rPr>
                <w:rFonts w:ascii="Arial" w:hAnsi="Arial"/>
                <w:sz w:val="16"/>
              </w:rPr>
            </w:pPr>
            <w:r w:rsidRPr="00F0276B">
              <w:rPr>
                <w:rFonts w:ascii="Arial" w:hAnsi="Arial"/>
                <w:sz w:val="16"/>
              </w:rPr>
              <w:t>New Zealand</w:t>
            </w:r>
          </w:p>
        </w:tc>
        <w:tc>
          <w:tcPr>
            <w:tcW w:w="0" w:type="auto"/>
            <w:shd w:val="clear" w:color="auto" w:fill="auto"/>
            <w:tcMar>
              <w:top w:w="0" w:type="dxa"/>
              <w:left w:w="108" w:type="dxa"/>
              <w:bottom w:w="0" w:type="dxa"/>
              <w:right w:w="108" w:type="dxa"/>
            </w:tcMar>
            <w:hideMark/>
          </w:tcPr>
          <w:p w14:paraId="118E597C" w14:textId="77777777" w:rsidR="001F2ACA" w:rsidRPr="00F0276B" w:rsidRDefault="001F2ACA" w:rsidP="0096518D">
            <w:pPr>
              <w:pStyle w:val="TableCell"/>
              <w:ind w:left="180"/>
              <w:jc w:val="center"/>
              <w:rPr>
                <w:rFonts w:ascii="Arial" w:hAnsi="Arial"/>
                <w:sz w:val="16"/>
              </w:rPr>
            </w:pPr>
            <w:r w:rsidRPr="00F0276B">
              <w:rPr>
                <w:rFonts w:ascii="Arial" w:hAnsi="Arial"/>
                <w:sz w:val="16"/>
              </w:rPr>
              <w:t>4.909***</w:t>
            </w:r>
          </w:p>
        </w:tc>
        <w:tc>
          <w:tcPr>
            <w:tcW w:w="0" w:type="auto"/>
            <w:shd w:val="clear" w:color="auto" w:fill="auto"/>
            <w:tcMar>
              <w:top w:w="0" w:type="dxa"/>
              <w:left w:w="108" w:type="dxa"/>
              <w:bottom w:w="0" w:type="dxa"/>
              <w:right w:w="108" w:type="dxa"/>
            </w:tcMar>
            <w:hideMark/>
          </w:tcPr>
          <w:p w14:paraId="1D0BAED5" w14:textId="77777777" w:rsidR="001F2ACA" w:rsidRPr="00F0276B" w:rsidRDefault="001F2ACA" w:rsidP="0096518D">
            <w:pPr>
              <w:pStyle w:val="TableCell"/>
              <w:ind w:left="180"/>
              <w:jc w:val="center"/>
              <w:rPr>
                <w:rFonts w:ascii="Arial" w:hAnsi="Arial"/>
                <w:sz w:val="16"/>
              </w:rPr>
            </w:pPr>
            <w:r w:rsidRPr="00F0276B">
              <w:rPr>
                <w:rFonts w:ascii="Arial" w:hAnsi="Arial"/>
                <w:sz w:val="16"/>
              </w:rPr>
              <w:t>4.896***</w:t>
            </w:r>
          </w:p>
        </w:tc>
        <w:tc>
          <w:tcPr>
            <w:tcW w:w="0" w:type="auto"/>
            <w:shd w:val="clear" w:color="auto" w:fill="auto"/>
            <w:tcMar>
              <w:top w:w="0" w:type="dxa"/>
              <w:left w:w="108" w:type="dxa"/>
              <w:bottom w:w="0" w:type="dxa"/>
              <w:right w:w="108" w:type="dxa"/>
            </w:tcMar>
            <w:hideMark/>
          </w:tcPr>
          <w:p w14:paraId="643EF17A" w14:textId="77777777" w:rsidR="001F2ACA" w:rsidRPr="00F0276B" w:rsidRDefault="001F2ACA" w:rsidP="0096518D">
            <w:pPr>
              <w:pStyle w:val="TableCell"/>
              <w:ind w:left="180"/>
              <w:jc w:val="center"/>
              <w:rPr>
                <w:rFonts w:ascii="Arial" w:hAnsi="Arial"/>
                <w:sz w:val="16"/>
              </w:rPr>
            </w:pPr>
            <w:r w:rsidRPr="00F0276B">
              <w:rPr>
                <w:rFonts w:ascii="Arial" w:hAnsi="Arial"/>
                <w:sz w:val="16"/>
              </w:rPr>
              <w:t>-2.589***</w:t>
            </w:r>
          </w:p>
        </w:tc>
        <w:tc>
          <w:tcPr>
            <w:tcW w:w="0" w:type="auto"/>
            <w:shd w:val="clear" w:color="auto" w:fill="auto"/>
            <w:tcMar>
              <w:top w:w="0" w:type="dxa"/>
              <w:left w:w="108" w:type="dxa"/>
              <w:bottom w:w="0" w:type="dxa"/>
              <w:right w:w="108" w:type="dxa"/>
            </w:tcMar>
            <w:hideMark/>
          </w:tcPr>
          <w:p w14:paraId="5DC2B5D4" w14:textId="77777777" w:rsidR="001F2ACA" w:rsidRPr="00F0276B" w:rsidRDefault="001F2ACA" w:rsidP="0096518D">
            <w:pPr>
              <w:pStyle w:val="TableCell"/>
              <w:ind w:left="180"/>
              <w:jc w:val="center"/>
              <w:rPr>
                <w:rFonts w:ascii="Arial" w:hAnsi="Arial"/>
                <w:sz w:val="16"/>
              </w:rPr>
            </w:pPr>
            <w:r w:rsidRPr="00F0276B">
              <w:rPr>
                <w:rFonts w:ascii="Arial" w:hAnsi="Arial"/>
                <w:sz w:val="16"/>
              </w:rPr>
              <w:t>-0.011</w:t>
            </w:r>
          </w:p>
        </w:tc>
      </w:tr>
      <w:tr w:rsidR="001F2ACA" w:rsidRPr="00F0276B" w14:paraId="1B5A4D5D" w14:textId="77777777" w:rsidTr="0096518D">
        <w:trPr>
          <w:jc w:val="center"/>
        </w:trPr>
        <w:tc>
          <w:tcPr>
            <w:tcW w:w="0" w:type="auto"/>
            <w:shd w:val="clear" w:color="auto" w:fill="auto"/>
            <w:tcMar>
              <w:top w:w="0" w:type="dxa"/>
              <w:left w:w="108" w:type="dxa"/>
              <w:bottom w:w="0" w:type="dxa"/>
              <w:right w:w="108" w:type="dxa"/>
            </w:tcMar>
            <w:hideMark/>
          </w:tcPr>
          <w:p w14:paraId="02132957" w14:textId="77777777" w:rsidR="001F2ACA" w:rsidRPr="00F0276B" w:rsidRDefault="001F2ACA" w:rsidP="0096518D">
            <w:pPr>
              <w:pStyle w:val="TableRow"/>
              <w:ind w:left="180"/>
              <w:rPr>
                <w:rFonts w:ascii="Arial" w:hAnsi="Arial"/>
                <w:sz w:val="16"/>
              </w:rPr>
            </w:pPr>
            <w:r w:rsidRPr="00F0276B">
              <w:rPr>
                <w:rFonts w:ascii="Arial" w:hAnsi="Arial"/>
                <w:sz w:val="16"/>
              </w:rPr>
              <w:t>Norway</w:t>
            </w:r>
          </w:p>
        </w:tc>
        <w:tc>
          <w:tcPr>
            <w:tcW w:w="0" w:type="auto"/>
            <w:shd w:val="clear" w:color="auto" w:fill="auto"/>
            <w:tcMar>
              <w:top w:w="0" w:type="dxa"/>
              <w:left w:w="108" w:type="dxa"/>
              <w:bottom w:w="0" w:type="dxa"/>
              <w:right w:w="108" w:type="dxa"/>
            </w:tcMar>
            <w:hideMark/>
          </w:tcPr>
          <w:p w14:paraId="34259173" w14:textId="77777777" w:rsidR="001F2ACA" w:rsidRPr="00F0276B" w:rsidRDefault="001F2ACA" w:rsidP="0096518D">
            <w:pPr>
              <w:pStyle w:val="TableCell"/>
              <w:ind w:left="180"/>
              <w:jc w:val="center"/>
              <w:rPr>
                <w:rFonts w:ascii="Arial" w:hAnsi="Arial"/>
                <w:sz w:val="16"/>
              </w:rPr>
            </w:pPr>
            <w:r w:rsidRPr="00F0276B">
              <w:rPr>
                <w:rFonts w:ascii="Arial" w:hAnsi="Arial"/>
                <w:sz w:val="16"/>
              </w:rPr>
              <w:t>3.289***</w:t>
            </w:r>
          </w:p>
        </w:tc>
        <w:tc>
          <w:tcPr>
            <w:tcW w:w="0" w:type="auto"/>
            <w:shd w:val="clear" w:color="auto" w:fill="auto"/>
            <w:tcMar>
              <w:top w:w="0" w:type="dxa"/>
              <w:left w:w="108" w:type="dxa"/>
              <w:bottom w:w="0" w:type="dxa"/>
              <w:right w:w="108" w:type="dxa"/>
            </w:tcMar>
            <w:hideMark/>
          </w:tcPr>
          <w:p w14:paraId="2049AE04" w14:textId="77777777" w:rsidR="001F2ACA" w:rsidRPr="00F0276B" w:rsidRDefault="001F2ACA" w:rsidP="0096518D">
            <w:pPr>
              <w:pStyle w:val="TableCell"/>
              <w:ind w:left="180"/>
              <w:jc w:val="center"/>
              <w:rPr>
                <w:rFonts w:ascii="Arial" w:hAnsi="Arial"/>
                <w:sz w:val="16"/>
              </w:rPr>
            </w:pPr>
            <w:r w:rsidRPr="00F0276B">
              <w:rPr>
                <w:rFonts w:ascii="Arial" w:hAnsi="Arial"/>
                <w:sz w:val="16"/>
              </w:rPr>
              <w:t>2.302***</w:t>
            </w:r>
          </w:p>
        </w:tc>
        <w:tc>
          <w:tcPr>
            <w:tcW w:w="0" w:type="auto"/>
            <w:shd w:val="clear" w:color="auto" w:fill="auto"/>
            <w:tcMar>
              <w:top w:w="0" w:type="dxa"/>
              <w:left w:w="108" w:type="dxa"/>
              <w:bottom w:w="0" w:type="dxa"/>
              <w:right w:w="108" w:type="dxa"/>
            </w:tcMar>
            <w:hideMark/>
          </w:tcPr>
          <w:p w14:paraId="45A593A3" w14:textId="77777777" w:rsidR="001F2ACA" w:rsidRPr="00F0276B" w:rsidRDefault="001F2ACA" w:rsidP="0096518D">
            <w:pPr>
              <w:pStyle w:val="TableCell"/>
              <w:ind w:left="180"/>
              <w:jc w:val="center"/>
              <w:rPr>
                <w:rFonts w:ascii="Arial" w:hAnsi="Arial"/>
                <w:sz w:val="16"/>
              </w:rPr>
            </w:pPr>
            <w:r w:rsidRPr="00F0276B">
              <w:rPr>
                <w:rFonts w:ascii="Arial" w:hAnsi="Arial"/>
                <w:sz w:val="16"/>
              </w:rPr>
              <w:t>-1.704**</w:t>
            </w:r>
          </w:p>
        </w:tc>
        <w:tc>
          <w:tcPr>
            <w:tcW w:w="0" w:type="auto"/>
            <w:shd w:val="clear" w:color="auto" w:fill="auto"/>
            <w:tcMar>
              <w:top w:w="0" w:type="dxa"/>
              <w:left w:w="108" w:type="dxa"/>
              <w:bottom w:w="0" w:type="dxa"/>
              <w:right w:w="108" w:type="dxa"/>
            </w:tcMar>
            <w:hideMark/>
          </w:tcPr>
          <w:p w14:paraId="7C1DB94A" w14:textId="77777777" w:rsidR="001F2ACA" w:rsidRPr="00F0276B" w:rsidRDefault="001F2ACA" w:rsidP="0096518D">
            <w:pPr>
              <w:pStyle w:val="TableCell"/>
              <w:ind w:left="180"/>
              <w:jc w:val="center"/>
              <w:rPr>
                <w:rFonts w:ascii="Arial" w:hAnsi="Arial"/>
                <w:sz w:val="16"/>
              </w:rPr>
            </w:pPr>
            <w:r w:rsidRPr="00F0276B">
              <w:rPr>
                <w:rFonts w:ascii="Arial" w:hAnsi="Arial"/>
                <w:sz w:val="16"/>
              </w:rPr>
              <w:t>-0.579</w:t>
            </w:r>
          </w:p>
        </w:tc>
      </w:tr>
      <w:tr w:rsidR="001F2ACA" w:rsidRPr="00F0276B" w14:paraId="66242350" w14:textId="77777777" w:rsidTr="0096518D">
        <w:trPr>
          <w:jc w:val="center"/>
        </w:trPr>
        <w:tc>
          <w:tcPr>
            <w:tcW w:w="0" w:type="auto"/>
            <w:shd w:val="clear" w:color="auto" w:fill="auto"/>
            <w:tcMar>
              <w:top w:w="0" w:type="dxa"/>
              <w:left w:w="108" w:type="dxa"/>
              <w:bottom w:w="0" w:type="dxa"/>
              <w:right w:w="108" w:type="dxa"/>
            </w:tcMar>
            <w:hideMark/>
          </w:tcPr>
          <w:p w14:paraId="72569776" w14:textId="77777777" w:rsidR="001F2ACA" w:rsidRPr="00F0276B" w:rsidRDefault="001F2ACA" w:rsidP="0096518D">
            <w:pPr>
              <w:pStyle w:val="TableRow"/>
              <w:ind w:left="180"/>
              <w:rPr>
                <w:rFonts w:ascii="Arial" w:hAnsi="Arial"/>
                <w:sz w:val="16"/>
              </w:rPr>
            </w:pPr>
            <w:r w:rsidRPr="00F0276B">
              <w:rPr>
                <w:rFonts w:ascii="Arial" w:hAnsi="Arial"/>
                <w:sz w:val="16"/>
              </w:rPr>
              <w:t>Poland</w:t>
            </w:r>
          </w:p>
        </w:tc>
        <w:tc>
          <w:tcPr>
            <w:tcW w:w="0" w:type="auto"/>
            <w:shd w:val="clear" w:color="auto" w:fill="auto"/>
            <w:tcMar>
              <w:top w:w="0" w:type="dxa"/>
              <w:left w:w="108" w:type="dxa"/>
              <w:bottom w:w="0" w:type="dxa"/>
              <w:right w:w="108" w:type="dxa"/>
            </w:tcMar>
            <w:hideMark/>
          </w:tcPr>
          <w:p w14:paraId="7EFD9049" w14:textId="77777777" w:rsidR="001F2ACA" w:rsidRPr="00F0276B" w:rsidRDefault="001F2ACA" w:rsidP="0096518D">
            <w:pPr>
              <w:pStyle w:val="TableCell"/>
              <w:ind w:left="180"/>
              <w:jc w:val="center"/>
              <w:rPr>
                <w:rFonts w:ascii="Arial" w:hAnsi="Arial"/>
                <w:sz w:val="16"/>
              </w:rPr>
            </w:pPr>
            <w:r w:rsidRPr="00F0276B">
              <w:rPr>
                <w:rFonts w:ascii="Arial" w:hAnsi="Arial"/>
                <w:sz w:val="16"/>
              </w:rPr>
              <w:t>4.584***</w:t>
            </w:r>
          </w:p>
        </w:tc>
        <w:tc>
          <w:tcPr>
            <w:tcW w:w="0" w:type="auto"/>
            <w:shd w:val="clear" w:color="auto" w:fill="auto"/>
            <w:tcMar>
              <w:top w:w="0" w:type="dxa"/>
              <w:left w:w="108" w:type="dxa"/>
              <w:bottom w:w="0" w:type="dxa"/>
              <w:right w:w="108" w:type="dxa"/>
            </w:tcMar>
            <w:hideMark/>
          </w:tcPr>
          <w:p w14:paraId="60953BA0" w14:textId="77777777" w:rsidR="001F2ACA" w:rsidRPr="00F0276B" w:rsidRDefault="001F2ACA" w:rsidP="0096518D">
            <w:pPr>
              <w:pStyle w:val="TableCell"/>
              <w:ind w:left="180"/>
              <w:jc w:val="center"/>
              <w:rPr>
                <w:rFonts w:ascii="Arial" w:hAnsi="Arial"/>
                <w:sz w:val="16"/>
              </w:rPr>
            </w:pPr>
            <w:r w:rsidRPr="00F0276B">
              <w:rPr>
                <w:rFonts w:ascii="Arial" w:hAnsi="Arial"/>
                <w:sz w:val="16"/>
              </w:rPr>
              <w:t>4.571***</w:t>
            </w:r>
          </w:p>
        </w:tc>
        <w:tc>
          <w:tcPr>
            <w:tcW w:w="0" w:type="auto"/>
            <w:shd w:val="clear" w:color="auto" w:fill="auto"/>
            <w:tcMar>
              <w:top w:w="0" w:type="dxa"/>
              <w:left w:w="108" w:type="dxa"/>
              <w:bottom w:w="0" w:type="dxa"/>
              <w:right w:w="108" w:type="dxa"/>
            </w:tcMar>
            <w:hideMark/>
          </w:tcPr>
          <w:p w14:paraId="581D53BF" w14:textId="77777777" w:rsidR="001F2ACA" w:rsidRPr="00F0276B" w:rsidRDefault="001F2ACA" w:rsidP="0096518D">
            <w:pPr>
              <w:pStyle w:val="TableCell"/>
              <w:ind w:left="180"/>
              <w:jc w:val="center"/>
              <w:rPr>
                <w:rFonts w:ascii="Arial" w:hAnsi="Arial"/>
                <w:sz w:val="16"/>
              </w:rPr>
            </w:pPr>
            <w:r w:rsidRPr="00F0276B">
              <w:rPr>
                <w:rFonts w:ascii="Arial" w:hAnsi="Arial"/>
                <w:sz w:val="16"/>
              </w:rPr>
              <w:t>-2.061***</w:t>
            </w:r>
          </w:p>
        </w:tc>
        <w:tc>
          <w:tcPr>
            <w:tcW w:w="0" w:type="auto"/>
            <w:shd w:val="clear" w:color="auto" w:fill="auto"/>
            <w:tcMar>
              <w:top w:w="0" w:type="dxa"/>
              <w:left w:w="108" w:type="dxa"/>
              <w:bottom w:w="0" w:type="dxa"/>
              <w:right w:w="108" w:type="dxa"/>
            </w:tcMar>
            <w:hideMark/>
          </w:tcPr>
          <w:p w14:paraId="7822B26E" w14:textId="77777777" w:rsidR="001F2ACA" w:rsidRPr="00F0276B" w:rsidRDefault="001F2ACA" w:rsidP="0096518D">
            <w:pPr>
              <w:pStyle w:val="TableCell"/>
              <w:ind w:left="180"/>
              <w:jc w:val="center"/>
              <w:rPr>
                <w:rFonts w:ascii="Arial" w:hAnsi="Arial"/>
                <w:sz w:val="16"/>
              </w:rPr>
            </w:pPr>
            <w:r w:rsidRPr="00F0276B">
              <w:rPr>
                <w:rFonts w:ascii="Arial" w:hAnsi="Arial"/>
                <w:sz w:val="16"/>
              </w:rPr>
              <w:t>-0.915</w:t>
            </w:r>
          </w:p>
        </w:tc>
      </w:tr>
      <w:tr w:rsidR="001F2ACA" w:rsidRPr="00F0276B" w14:paraId="53865F20" w14:textId="77777777" w:rsidTr="0096518D">
        <w:trPr>
          <w:jc w:val="center"/>
        </w:trPr>
        <w:tc>
          <w:tcPr>
            <w:tcW w:w="0" w:type="auto"/>
            <w:shd w:val="clear" w:color="auto" w:fill="auto"/>
            <w:tcMar>
              <w:top w:w="0" w:type="dxa"/>
              <w:left w:w="108" w:type="dxa"/>
              <w:bottom w:w="0" w:type="dxa"/>
              <w:right w:w="108" w:type="dxa"/>
            </w:tcMar>
            <w:hideMark/>
          </w:tcPr>
          <w:p w14:paraId="136BAFEC" w14:textId="77777777" w:rsidR="001F2ACA" w:rsidRPr="00F0276B" w:rsidRDefault="001F2ACA" w:rsidP="0096518D">
            <w:pPr>
              <w:pStyle w:val="TableRow"/>
              <w:ind w:left="180"/>
              <w:rPr>
                <w:rFonts w:ascii="Arial" w:hAnsi="Arial"/>
                <w:sz w:val="16"/>
              </w:rPr>
            </w:pPr>
            <w:r w:rsidRPr="00F0276B">
              <w:rPr>
                <w:rFonts w:ascii="Arial" w:hAnsi="Arial"/>
                <w:sz w:val="16"/>
              </w:rPr>
              <w:t>Portugal</w:t>
            </w:r>
          </w:p>
        </w:tc>
        <w:tc>
          <w:tcPr>
            <w:tcW w:w="0" w:type="auto"/>
            <w:shd w:val="clear" w:color="auto" w:fill="auto"/>
            <w:tcMar>
              <w:top w:w="0" w:type="dxa"/>
              <w:left w:w="108" w:type="dxa"/>
              <w:bottom w:w="0" w:type="dxa"/>
              <w:right w:w="108" w:type="dxa"/>
            </w:tcMar>
            <w:hideMark/>
          </w:tcPr>
          <w:p w14:paraId="2548ADE1" w14:textId="77777777" w:rsidR="001F2ACA" w:rsidRPr="00F0276B" w:rsidRDefault="001F2ACA" w:rsidP="0096518D">
            <w:pPr>
              <w:pStyle w:val="TableCell"/>
              <w:ind w:left="180"/>
              <w:jc w:val="center"/>
              <w:rPr>
                <w:rFonts w:ascii="Arial" w:hAnsi="Arial"/>
                <w:sz w:val="16"/>
              </w:rPr>
            </w:pPr>
            <w:r w:rsidRPr="00F0276B">
              <w:rPr>
                <w:rFonts w:ascii="Arial" w:hAnsi="Arial"/>
                <w:sz w:val="16"/>
              </w:rPr>
              <w:t>4.934***</w:t>
            </w:r>
          </w:p>
        </w:tc>
        <w:tc>
          <w:tcPr>
            <w:tcW w:w="0" w:type="auto"/>
            <w:shd w:val="clear" w:color="auto" w:fill="auto"/>
            <w:tcMar>
              <w:top w:w="0" w:type="dxa"/>
              <w:left w:w="108" w:type="dxa"/>
              <w:bottom w:w="0" w:type="dxa"/>
              <w:right w:w="108" w:type="dxa"/>
            </w:tcMar>
            <w:hideMark/>
          </w:tcPr>
          <w:p w14:paraId="70434C9A" w14:textId="77777777" w:rsidR="001F2ACA" w:rsidRPr="00F0276B" w:rsidRDefault="001F2ACA" w:rsidP="0096518D">
            <w:pPr>
              <w:pStyle w:val="TableCell"/>
              <w:ind w:left="180"/>
              <w:jc w:val="center"/>
              <w:rPr>
                <w:rFonts w:ascii="Arial" w:hAnsi="Arial"/>
                <w:sz w:val="16"/>
              </w:rPr>
            </w:pPr>
            <w:r w:rsidRPr="00F0276B">
              <w:rPr>
                <w:rFonts w:ascii="Arial" w:hAnsi="Arial"/>
                <w:sz w:val="16"/>
              </w:rPr>
              <w:t>4.792***</w:t>
            </w:r>
          </w:p>
        </w:tc>
        <w:tc>
          <w:tcPr>
            <w:tcW w:w="0" w:type="auto"/>
            <w:shd w:val="clear" w:color="auto" w:fill="auto"/>
            <w:tcMar>
              <w:top w:w="0" w:type="dxa"/>
              <w:left w:w="108" w:type="dxa"/>
              <w:bottom w:w="0" w:type="dxa"/>
              <w:right w:w="108" w:type="dxa"/>
            </w:tcMar>
            <w:hideMark/>
          </w:tcPr>
          <w:p w14:paraId="60DEB52B" w14:textId="77777777" w:rsidR="001F2ACA" w:rsidRPr="00F0276B" w:rsidRDefault="001F2ACA" w:rsidP="0096518D">
            <w:pPr>
              <w:pStyle w:val="TableCell"/>
              <w:ind w:left="180"/>
              <w:jc w:val="center"/>
              <w:rPr>
                <w:rFonts w:ascii="Arial" w:hAnsi="Arial"/>
                <w:sz w:val="16"/>
              </w:rPr>
            </w:pPr>
            <w:r w:rsidRPr="00F0276B">
              <w:rPr>
                <w:rFonts w:ascii="Arial" w:hAnsi="Arial"/>
                <w:sz w:val="16"/>
              </w:rPr>
              <w:t>-2.339***</w:t>
            </w:r>
          </w:p>
        </w:tc>
        <w:tc>
          <w:tcPr>
            <w:tcW w:w="0" w:type="auto"/>
            <w:shd w:val="clear" w:color="auto" w:fill="auto"/>
            <w:tcMar>
              <w:top w:w="0" w:type="dxa"/>
              <w:left w:w="108" w:type="dxa"/>
              <w:bottom w:w="0" w:type="dxa"/>
              <w:right w:w="108" w:type="dxa"/>
            </w:tcMar>
            <w:hideMark/>
          </w:tcPr>
          <w:p w14:paraId="5AD90AF6" w14:textId="77777777" w:rsidR="001F2ACA" w:rsidRPr="00F0276B" w:rsidRDefault="001F2ACA" w:rsidP="0096518D">
            <w:pPr>
              <w:pStyle w:val="TableCell"/>
              <w:ind w:left="180"/>
              <w:jc w:val="center"/>
              <w:rPr>
                <w:rFonts w:ascii="Arial" w:hAnsi="Arial"/>
                <w:sz w:val="16"/>
              </w:rPr>
            </w:pPr>
            <w:r w:rsidRPr="00F0276B">
              <w:rPr>
                <w:rFonts w:ascii="Arial" w:hAnsi="Arial"/>
                <w:sz w:val="16"/>
              </w:rPr>
              <w:t>-1.224*</w:t>
            </w:r>
          </w:p>
        </w:tc>
      </w:tr>
      <w:tr w:rsidR="001F2ACA" w:rsidRPr="00F0276B" w14:paraId="0C62DA5E" w14:textId="77777777" w:rsidTr="0096518D">
        <w:trPr>
          <w:jc w:val="center"/>
        </w:trPr>
        <w:tc>
          <w:tcPr>
            <w:tcW w:w="0" w:type="auto"/>
            <w:shd w:val="clear" w:color="auto" w:fill="auto"/>
            <w:tcMar>
              <w:top w:w="0" w:type="dxa"/>
              <w:left w:w="108" w:type="dxa"/>
              <w:bottom w:w="0" w:type="dxa"/>
              <w:right w:w="108" w:type="dxa"/>
            </w:tcMar>
            <w:hideMark/>
          </w:tcPr>
          <w:p w14:paraId="64FC2DB5" w14:textId="77777777" w:rsidR="001F2ACA" w:rsidRPr="00F0276B" w:rsidRDefault="001F2ACA" w:rsidP="0096518D">
            <w:pPr>
              <w:pStyle w:val="TableRow"/>
              <w:ind w:left="180"/>
              <w:rPr>
                <w:rFonts w:ascii="Arial" w:hAnsi="Arial"/>
                <w:sz w:val="16"/>
              </w:rPr>
            </w:pPr>
            <w:r w:rsidRPr="00F0276B">
              <w:rPr>
                <w:rFonts w:ascii="Arial" w:hAnsi="Arial"/>
                <w:sz w:val="16"/>
              </w:rPr>
              <w:t>Slovak Republic</w:t>
            </w:r>
          </w:p>
        </w:tc>
        <w:tc>
          <w:tcPr>
            <w:tcW w:w="0" w:type="auto"/>
            <w:shd w:val="clear" w:color="auto" w:fill="auto"/>
            <w:tcMar>
              <w:top w:w="0" w:type="dxa"/>
              <w:left w:w="108" w:type="dxa"/>
              <w:bottom w:w="0" w:type="dxa"/>
              <w:right w:w="108" w:type="dxa"/>
            </w:tcMar>
            <w:hideMark/>
          </w:tcPr>
          <w:p w14:paraId="397265DA" w14:textId="77777777" w:rsidR="001F2ACA" w:rsidRPr="00F0276B" w:rsidRDefault="001F2ACA" w:rsidP="0096518D">
            <w:pPr>
              <w:pStyle w:val="TableCell"/>
              <w:ind w:left="180"/>
              <w:jc w:val="center"/>
              <w:rPr>
                <w:rFonts w:ascii="Arial" w:hAnsi="Arial"/>
                <w:sz w:val="16"/>
              </w:rPr>
            </w:pPr>
            <w:r w:rsidRPr="00F0276B">
              <w:rPr>
                <w:rFonts w:ascii="Arial" w:hAnsi="Arial"/>
                <w:sz w:val="16"/>
              </w:rPr>
              <w:t>4.693***</w:t>
            </w:r>
          </w:p>
        </w:tc>
        <w:tc>
          <w:tcPr>
            <w:tcW w:w="0" w:type="auto"/>
            <w:shd w:val="clear" w:color="auto" w:fill="auto"/>
            <w:tcMar>
              <w:top w:w="0" w:type="dxa"/>
              <w:left w:w="108" w:type="dxa"/>
              <w:bottom w:w="0" w:type="dxa"/>
              <w:right w:w="108" w:type="dxa"/>
            </w:tcMar>
            <w:hideMark/>
          </w:tcPr>
          <w:p w14:paraId="74BA21A7" w14:textId="77777777" w:rsidR="001F2ACA" w:rsidRPr="00F0276B" w:rsidRDefault="001F2ACA" w:rsidP="0096518D">
            <w:pPr>
              <w:pStyle w:val="TableCell"/>
              <w:ind w:left="180"/>
              <w:jc w:val="center"/>
              <w:rPr>
                <w:rFonts w:ascii="Arial" w:hAnsi="Arial"/>
                <w:sz w:val="16"/>
              </w:rPr>
            </w:pPr>
            <w:r w:rsidRPr="00F0276B">
              <w:rPr>
                <w:rFonts w:ascii="Arial" w:hAnsi="Arial"/>
                <w:sz w:val="16"/>
              </w:rPr>
              <w:t>4.703***</w:t>
            </w:r>
          </w:p>
        </w:tc>
        <w:tc>
          <w:tcPr>
            <w:tcW w:w="0" w:type="auto"/>
            <w:shd w:val="clear" w:color="auto" w:fill="auto"/>
            <w:tcMar>
              <w:top w:w="0" w:type="dxa"/>
              <w:left w:w="108" w:type="dxa"/>
              <w:bottom w:w="0" w:type="dxa"/>
              <w:right w:w="108" w:type="dxa"/>
            </w:tcMar>
            <w:hideMark/>
          </w:tcPr>
          <w:p w14:paraId="23A9EC1F" w14:textId="77777777" w:rsidR="001F2ACA" w:rsidRPr="00F0276B" w:rsidRDefault="001F2ACA" w:rsidP="0096518D">
            <w:pPr>
              <w:pStyle w:val="TableCell"/>
              <w:ind w:left="180"/>
              <w:jc w:val="center"/>
              <w:rPr>
                <w:rFonts w:ascii="Arial" w:hAnsi="Arial"/>
                <w:sz w:val="16"/>
              </w:rPr>
            </w:pPr>
            <w:r w:rsidRPr="00F0276B">
              <w:rPr>
                <w:rFonts w:ascii="Arial" w:hAnsi="Arial"/>
                <w:sz w:val="16"/>
              </w:rPr>
              <w:t>-2.186***</w:t>
            </w:r>
          </w:p>
        </w:tc>
        <w:tc>
          <w:tcPr>
            <w:tcW w:w="0" w:type="auto"/>
            <w:shd w:val="clear" w:color="auto" w:fill="auto"/>
            <w:tcMar>
              <w:top w:w="0" w:type="dxa"/>
              <w:left w:w="108" w:type="dxa"/>
              <w:bottom w:w="0" w:type="dxa"/>
              <w:right w:w="108" w:type="dxa"/>
            </w:tcMar>
            <w:hideMark/>
          </w:tcPr>
          <w:p w14:paraId="48D41CD4" w14:textId="77777777" w:rsidR="001F2ACA" w:rsidRPr="00F0276B" w:rsidRDefault="001F2ACA" w:rsidP="0096518D">
            <w:pPr>
              <w:pStyle w:val="TableCell"/>
              <w:ind w:left="180"/>
              <w:jc w:val="center"/>
              <w:rPr>
                <w:rFonts w:ascii="Arial" w:hAnsi="Arial"/>
                <w:sz w:val="16"/>
              </w:rPr>
            </w:pPr>
            <w:r w:rsidRPr="00F0276B">
              <w:rPr>
                <w:rFonts w:ascii="Arial" w:hAnsi="Arial"/>
                <w:sz w:val="16"/>
              </w:rPr>
              <w:t>-1.089</w:t>
            </w:r>
          </w:p>
        </w:tc>
      </w:tr>
      <w:tr w:rsidR="001F2ACA" w:rsidRPr="00F0276B" w14:paraId="13D9279C" w14:textId="77777777" w:rsidTr="0096518D">
        <w:trPr>
          <w:jc w:val="center"/>
        </w:trPr>
        <w:tc>
          <w:tcPr>
            <w:tcW w:w="0" w:type="auto"/>
            <w:shd w:val="clear" w:color="auto" w:fill="auto"/>
            <w:tcMar>
              <w:top w:w="0" w:type="dxa"/>
              <w:left w:w="108" w:type="dxa"/>
              <w:bottom w:w="0" w:type="dxa"/>
              <w:right w:w="108" w:type="dxa"/>
            </w:tcMar>
            <w:hideMark/>
          </w:tcPr>
          <w:p w14:paraId="47600A76" w14:textId="77777777" w:rsidR="001F2ACA" w:rsidRPr="00F0276B" w:rsidRDefault="001F2ACA" w:rsidP="0096518D">
            <w:pPr>
              <w:pStyle w:val="TableRow"/>
              <w:ind w:left="180"/>
              <w:rPr>
                <w:rFonts w:ascii="Arial" w:hAnsi="Arial"/>
                <w:sz w:val="16"/>
              </w:rPr>
            </w:pPr>
            <w:r w:rsidRPr="00F0276B">
              <w:rPr>
                <w:rFonts w:ascii="Arial" w:hAnsi="Arial"/>
                <w:sz w:val="16"/>
              </w:rPr>
              <w:t>Slovenia</w:t>
            </w:r>
          </w:p>
        </w:tc>
        <w:tc>
          <w:tcPr>
            <w:tcW w:w="0" w:type="auto"/>
            <w:shd w:val="clear" w:color="auto" w:fill="auto"/>
            <w:tcMar>
              <w:top w:w="0" w:type="dxa"/>
              <w:left w:w="108" w:type="dxa"/>
              <w:bottom w:w="0" w:type="dxa"/>
              <w:right w:w="108" w:type="dxa"/>
            </w:tcMar>
            <w:hideMark/>
          </w:tcPr>
          <w:p w14:paraId="4A7E2131" w14:textId="77777777" w:rsidR="001F2ACA" w:rsidRPr="00F0276B" w:rsidRDefault="001F2ACA" w:rsidP="0096518D">
            <w:pPr>
              <w:pStyle w:val="TableCell"/>
              <w:ind w:left="180"/>
              <w:jc w:val="center"/>
              <w:rPr>
                <w:rFonts w:ascii="Arial" w:hAnsi="Arial"/>
                <w:sz w:val="16"/>
              </w:rPr>
            </w:pPr>
            <w:r w:rsidRPr="00F0276B">
              <w:rPr>
                <w:rFonts w:ascii="Arial" w:hAnsi="Arial"/>
                <w:sz w:val="16"/>
              </w:rPr>
              <w:t>4.944***</w:t>
            </w:r>
          </w:p>
        </w:tc>
        <w:tc>
          <w:tcPr>
            <w:tcW w:w="0" w:type="auto"/>
            <w:shd w:val="clear" w:color="auto" w:fill="auto"/>
            <w:tcMar>
              <w:top w:w="0" w:type="dxa"/>
              <w:left w:w="108" w:type="dxa"/>
              <w:bottom w:w="0" w:type="dxa"/>
              <w:right w:w="108" w:type="dxa"/>
            </w:tcMar>
            <w:hideMark/>
          </w:tcPr>
          <w:p w14:paraId="63CC23D9" w14:textId="77777777" w:rsidR="001F2ACA" w:rsidRPr="00F0276B" w:rsidRDefault="001F2ACA" w:rsidP="0096518D">
            <w:pPr>
              <w:pStyle w:val="TableCell"/>
              <w:ind w:left="180"/>
              <w:jc w:val="center"/>
              <w:rPr>
                <w:rFonts w:ascii="Arial" w:hAnsi="Arial"/>
                <w:sz w:val="16"/>
              </w:rPr>
            </w:pPr>
            <w:r w:rsidRPr="00F0276B">
              <w:rPr>
                <w:rFonts w:ascii="Arial" w:hAnsi="Arial"/>
                <w:sz w:val="16"/>
              </w:rPr>
              <w:t>5.047***</w:t>
            </w:r>
          </w:p>
        </w:tc>
        <w:tc>
          <w:tcPr>
            <w:tcW w:w="0" w:type="auto"/>
            <w:shd w:val="clear" w:color="auto" w:fill="auto"/>
            <w:tcMar>
              <w:top w:w="0" w:type="dxa"/>
              <w:left w:w="108" w:type="dxa"/>
              <w:bottom w:w="0" w:type="dxa"/>
              <w:right w:w="108" w:type="dxa"/>
            </w:tcMar>
            <w:hideMark/>
          </w:tcPr>
          <w:p w14:paraId="29882DE0" w14:textId="77777777" w:rsidR="001F2ACA" w:rsidRPr="00F0276B" w:rsidRDefault="001F2ACA" w:rsidP="0096518D">
            <w:pPr>
              <w:pStyle w:val="TableCell"/>
              <w:ind w:left="180"/>
              <w:jc w:val="center"/>
              <w:rPr>
                <w:rFonts w:ascii="Arial" w:hAnsi="Arial"/>
                <w:sz w:val="16"/>
              </w:rPr>
            </w:pPr>
            <w:r w:rsidRPr="00F0276B">
              <w:rPr>
                <w:rFonts w:ascii="Arial" w:hAnsi="Arial"/>
                <w:sz w:val="16"/>
              </w:rPr>
              <w:t>-2.415***</w:t>
            </w:r>
          </w:p>
        </w:tc>
        <w:tc>
          <w:tcPr>
            <w:tcW w:w="0" w:type="auto"/>
            <w:shd w:val="clear" w:color="auto" w:fill="auto"/>
            <w:tcMar>
              <w:top w:w="0" w:type="dxa"/>
              <w:left w:w="108" w:type="dxa"/>
              <w:bottom w:w="0" w:type="dxa"/>
              <w:right w:w="108" w:type="dxa"/>
            </w:tcMar>
            <w:hideMark/>
          </w:tcPr>
          <w:p w14:paraId="6854AF62" w14:textId="77777777" w:rsidR="001F2ACA" w:rsidRPr="00F0276B" w:rsidRDefault="001F2ACA" w:rsidP="0096518D">
            <w:pPr>
              <w:pStyle w:val="TableCell"/>
              <w:ind w:left="180"/>
              <w:jc w:val="center"/>
              <w:rPr>
                <w:rFonts w:ascii="Arial" w:hAnsi="Arial"/>
                <w:sz w:val="16"/>
              </w:rPr>
            </w:pPr>
            <w:r w:rsidRPr="00F0276B">
              <w:rPr>
                <w:rFonts w:ascii="Arial" w:hAnsi="Arial"/>
                <w:sz w:val="16"/>
              </w:rPr>
              <w:t>-1.355**</w:t>
            </w:r>
          </w:p>
        </w:tc>
      </w:tr>
      <w:tr w:rsidR="001F2ACA" w:rsidRPr="00F0276B" w14:paraId="78EB84AE" w14:textId="77777777" w:rsidTr="0096518D">
        <w:trPr>
          <w:jc w:val="center"/>
        </w:trPr>
        <w:tc>
          <w:tcPr>
            <w:tcW w:w="0" w:type="auto"/>
            <w:shd w:val="clear" w:color="auto" w:fill="auto"/>
            <w:tcMar>
              <w:top w:w="0" w:type="dxa"/>
              <w:left w:w="108" w:type="dxa"/>
              <w:bottom w:w="0" w:type="dxa"/>
              <w:right w:w="108" w:type="dxa"/>
            </w:tcMar>
            <w:hideMark/>
          </w:tcPr>
          <w:p w14:paraId="0CD13975" w14:textId="77777777" w:rsidR="001F2ACA" w:rsidRPr="00F0276B" w:rsidRDefault="001F2ACA" w:rsidP="0096518D">
            <w:pPr>
              <w:pStyle w:val="TableRow"/>
              <w:ind w:left="180"/>
              <w:rPr>
                <w:rFonts w:ascii="Arial" w:hAnsi="Arial"/>
                <w:sz w:val="16"/>
              </w:rPr>
            </w:pPr>
            <w:r w:rsidRPr="00F0276B">
              <w:rPr>
                <w:rFonts w:ascii="Arial" w:hAnsi="Arial"/>
                <w:sz w:val="16"/>
              </w:rPr>
              <w:t>Spain</w:t>
            </w:r>
          </w:p>
        </w:tc>
        <w:tc>
          <w:tcPr>
            <w:tcW w:w="0" w:type="auto"/>
            <w:shd w:val="clear" w:color="auto" w:fill="auto"/>
            <w:tcMar>
              <w:top w:w="0" w:type="dxa"/>
              <w:left w:w="108" w:type="dxa"/>
              <w:bottom w:w="0" w:type="dxa"/>
              <w:right w:w="108" w:type="dxa"/>
            </w:tcMar>
            <w:hideMark/>
          </w:tcPr>
          <w:p w14:paraId="5195F04E" w14:textId="77777777" w:rsidR="001F2ACA" w:rsidRPr="00F0276B" w:rsidRDefault="001F2ACA" w:rsidP="0096518D">
            <w:pPr>
              <w:pStyle w:val="TableCell"/>
              <w:ind w:left="180"/>
              <w:jc w:val="center"/>
              <w:rPr>
                <w:rFonts w:ascii="Arial" w:hAnsi="Arial"/>
                <w:sz w:val="16"/>
              </w:rPr>
            </w:pPr>
            <w:r w:rsidRPr="00F0276B">
              <w:rPr>
                <w:rFonts w:ascii="Arial" w:hAnsi="Arial"/>
                <w:sz w:val="16"/>
              </w:rPr>
              <w:t>4.220***</w:t>
            </w:r>
          </w:p>
        </w:tc>
        <w:tc>
          <w:tcPr>
            <w:tcW w:w="0" w:type="auto"/>
            <w:shd w:val="clear" w:color="auto" w:fill="auto"/>
            <w:tcMar>
              <w:top w:w="0" w:type="dxa"/>
              <w:left w:w="108" w:type="dxa"/>
              <w:bottom w:w="0" w:type="dxa"/>
              <w:right w:w="108" w:type="dxa"/>
            </w:tcMar>
            <w:hideMark/>
          </w:tcPr>
          <w:p w14:paraId="0030C006" w14:textId="77777777" w:rsidR="001F2ACA" w:rsidRPr="00F0276B" w:rsidRDefault="001F2ACA" w:rsidP="0096518D">
            <w:pPr>
              <w:pStyle w:val="TableCell"/>
              <w:ind w:left="180"/>
              <w:jc w:val="center"/>
              <w:rPr>
                <w:rFonts w:ascii="Arial" w:hAnsi="Arial"/>
                <w:sz w:val="16"/>
              </w:rPr>
            </w:pPr>
            <w:r w:rsidRPr="00F0276B">
              <w:rPr>
                <w:rFonts w:ascii="Arial" w:hAnsi="Arial"/>
                <w:sz w:val="16"/>
              </w:rPr>
              <w:t>4.492***</w:t>
            </w:r>
          </w:p>
        </w:tc>
        <w:tc>
          <w:tcPr>
            <w:tcW w:w="0" w:type="auto"/>
            <w:shd w:val="clear" w:color="auto" w:fill="auto"/>
            <w:tcMar>
              <w:top w:w="0" w:type="dxa"/>
              <w:left w:w="108" w:type="dxa"/>
              <w:bottom w:w="0" w:type="dxa"/>
              <w:right w:w="108" w:type="dxa"/>
            </w:tcMar>
            <w:hideMark/>
          </w:tcPr>
          <w:p w14:paraId="694357EE" w14:textId="77777777" w:rsidR="001F2ACA" w:rsidRPr="00F0276B" w:rsidRDefault="001F2ACA" w:rsidP="0096518D">
            <w:pPr>
              <w:pStyle w:val="TableCell"/>
              <w:ind w:left="180"/>
              <w:jc w:val="center"/>
              <w:rPr>
                <w:rFonts w:ascii="Arial" w:hAnsi="Arial"/>
                <w:sz w:val="16"/>
              </w:rPr>
            </w:pPr>
            <w:r w:rsidRPr="00F0276B">
              <w:rPr>
                <w:rFonts w:ascii="Arial" w:hAnsi="Arial"/>
                <w:sz w:val="16"/>
              </w:rPr>
              <w:t>-1.224*</w:t>
            </w:r>
          </w:p>
        </w:tc>
        <w:tc>
          <w:tcPr>
            <w:tcW w:w="0" w:type="auto"/>
            <w:shd w:val="clear" w:color="auto" w:fill="auto"/>
            <w:tcMar>
              <w:top w:w="0" w:type="dxa"/>
              <w:left w:w="108" w:type="dxa"/>
              <w:bottom w:w="0" w:type="dxa"/>
              <w:right w:w="108" w:type="dxa"/>
            </w:tcMar>
            <w:hideMark/>
          </w:tcPr>
          <w:p w14:paraId="579136AE" w14:textId="77777777" w:rsidR="001F2ACA" w:rsidRPr="00F0276B" w:rsidRDefault="001F2ACA" w:rsidP="0096518D">
            <w:pPr>
              <w:pStyle w:val="TableCell"/>
              <w:ind w:left="180"/>
              <w:jc w:val="center"/>
              <w:rPr>
                <w:rFonts w:ascii="Arial" w:hAnsi="Arial"/>
                <w:sz w:val="16"/>
              </w:rPr>
            </w:pPr>
            <w:r w:rsidRPr="00F0276B">
              <w:rPr>
                <w:rFonts w:ascii="Arial" w:hAnsi="Arial"/>
                <w:sz w:val="16"/>
              </w:rPr>
              <w:t>-0.627</w:t>
            </w:r>
          </w:p>
        </w:tc>
      </w:tr>
      <w:tr w:rsidR="001F2ACA" w:rsidRPr="00F0276B" w14:paraId="21988709" w14:textId="77777777" w:rsidTr="0096518D">
        <w:trPr>
          <w:jc w:val="center"/>
        </w:trPr>
        <w:tc>
          <w:tcPr>
            <w:tcW w:w="0" w:type="auto"/>
            <w:shd w:val="clear" w:color="auto" w:fill="auto"/>
            <w:tcMar>
              <w:top w:w="0" w:type="dxa"/>
              <w:left w:w="108" w:type="dxa"/>
              <w:bottom w:w="0" w:type="dxa"/>
              <w:right w:w="108" w:type="dxa"/>
            </w:tcMar>
            <w:hideMark/>
          </w:tcPr>
          <w:p w14:paraId="7E4DEE62" w14:textId="77777777" w:rsidR="001F2ACA" w:rsidRPr="00F0276B" w:rsidRDefault="001F2ACA" w:rsidP="0096518D">
            <w:pPr>
              <w:pStyle w:val="TableRow"/>
              <w:ind w:left="180"/>
              <w:rPr>
                <w:rFonts w:ascii="Arial" w:hAnsi="Arial"/>
                <w:sz w:val="16"/>
              </w:rPr>
            </w:pPr>
            <w:r w:rsidRPr="00F0276B">
              <w:rPr>
                <w:rFonts w:ascii="Arial" w:hAnsi="Arial"/>
                <w:sz w:val="16"/>
              </w:rPr>
              <w:t>Sweden</w:t>
            </w:r>
          </w:p>
        </w:tc>
        <w:tc>
          <w:tcPr>
            <w:tcW w:w="0" w:type="auto"/>
            <w:shd w:val="clear" w:color="auto" w:fill="auto"/>
            <w:tcMar>
              <w:top w:w="0" w:type="dxa"/>
              <w:left w:w="108" w:type="dxa"/>
              <w:bottom w:w="0" w:type="dxa"/>
              <w:right w:w="108" w:type="dxa"/>
            </w:tcMar>
            <w:hideMark/>
          </w:tcPr>
          <w:p w14:paraId="0EBF2A74" w14:textId="77777777" w:rsidR="001F2ACA" w:rsidRPr="00F0276B" w:rsidRDefault="001F2ACA" w:rsidP="0096518D">
            <w:pPr>
              <w:pStyle w:val="TableCell"/>
              <w:ind w:left="180"/>
              <w:jc w:val="center"/>
              <w:rPr>
                <w:rFonts w:ascii="Arial" w:hAnsi="Arial"/>
                <w:sz w:val="16"/>
              </w:rPr>
            </w:pPr>
            <w:r w:rsidRPr="00F0276B">
              <w:rPr>
                <w:rFonts w:ascii="Arial" w:hAnsi="Arial"/>
                <w:sz w:val="16"/>
              </w:rPr>
              <w:t>4.379***</w:t>
            </w:r>
          </w:p>
        </w:tc>
        <w:tc>
          <w:tcPr>
            <w:tcW w:w="0" w:type="auto"/>
            <w:shd w:val="clear" w:color="auto" w:fill="auto"/>
            <w:tcMar>
              <w:top w:w="0" w:type="dxa"/>
              <w:left w:w="108" w:type="dxa"/>
              <w:bottom w:w="0" w:type="dxa"/>
              <w:right w:w="108" w:type="dxa"/>
            </w:tcMar>
            <w:hideMark/>
          </w:tcPr>
          <w:p w14:paraId="56CC5990" w14:textId="77777777" w:rsidR="001F2ACA" w:rsidRPr="00F0276B" w:rsidRDefault="001F2ACA" w:rsidP="0096518D">
            <w:pPr>
              <w:pStyle w:val="TableCell"/>
              <w:ind w:left="180"/>
              <w:jc w:val="center"/>
              <w:rPr>
                <w:rFonts w:ascii="Arial" w:hAnsi="Arial"/>
                <w:sz w:val="16"/>
              </w:rPr>
            </w:pPr>
            <w:r w:rsidRPr="00F0276B">
              <w:rPr>
                <w:rFonts w:ascii="Arial" w:hAnsi="Arial"/>
                <w:sz w:val="16"/>
              </w:rPr>
              <w:t>4.842***</w:t>
            </w:r>
          </w:p>
        </w:tc>
        <w:tc>
          <w:tcPr>
            <w:tcW w:w="0" w:type="auto"/>
            <w:shd w:val="clear" w:color="auto" w:fill="auto"/>
            <w:tcMar>
              <w:top w:w="0" w:type="dxa"/>
              <w:left w:w="108" w:type="dxa"/>
              <w:bottom w:w="0" w:type="dxa"/>
              <w:right w:w="108" w:type="dxa"/>
            </w:tcMar>
            <w:hideMark/>
          </w:tcPr>
          <w:p w14:paraId="7894D6B4" w14:textId="77777777" w:rsidR="001F2ACA" w:rsidRPr="00F0276B" w:rsidRDefault="001F2ACA" w:rsidP="0096518D">
            <w:pPr>
              <w:pStyle w:val="TableCell"/>
              <w:ind w:left="180"/>
              <w:jc w:val="center"/>
              <w:rPr>
                <w:rFonts w:ascii="Arial" w:hAnsi="Arial"/>
                <w:sz w:val="16"/>
              </w:rPr>
            </w:pPr>
            <w:r w:rsidRPr="00F0276B">
              <w:rPr>
                <w:rFonts w:ascii="Arial" w:hAnsi="Arial"/>
                <w:sz w:val="16"/>
              </w:rPr>
              <w:t>-2.096***</w:t>
            </w:r>
          </w:p>
        </w:tc>
        <w:tc>
          <w:tcPr>
            <w:tcW w:w="0" w:type="auto"/>
            <w:shd w:val="clear" w:color="auto" w:fill="auto"/>
            <w:tcMar>
              <w:top w:w="0" w:type="dxa"/>
              <w:left w:w="108" w:type="dxa"/>
              <w:bottom w:w="0" w:type="dxa"/>
              <w:right w:w="108" w:type="dxa"/>
            </w:tcMar>
            <w:hideMark/>
          </w:tcPr>
          <w:p w14:paraId="00FDBF17" w14:textId="77777777" w:rsidR="001F2ACA" w:rsidRPr="00F0276B" w:rsidRDefault="001F2ACA" w:rsidP="0096518D">
            <w:pPr>
              <w:pStyle w:val="TableCell"/>
              <w:ind w:left="180"/>
              <w:jc w:val="center"/>
              <w:rPr>
                <w:rFonts w:ascii="Arial" w:hAnsi="Arial"/>
                <w:sz w:val="16"/>
              </w:rPr>
            </w:pPr>
            <w:r w:rsidRPr="00F0276B">
              <w:rPr>
                <w:rFonts w:ascii="Arial" w:hAnsi="Arial"/>
                <w:sz w:val="16"/>
              </w:rPr>
              <w:t>-1.372**</w:t>
            </w:r>
          </w:p>
        </w:tc>
      </w:tr>
      <w:tr w:rsidR="001F2ACA" w:rsidRPr="00F0276B" w14:paraId="6A000CC8" w14:textId="77777777" w:rsidTr="0096518D">
        <w:trPr>
          <w:jc w:val="center"/>
        </w:trPr>
        <w:tc>
          <w:tcPr>
            <w:tcW w:w="0" w:type="auto"/>
            <w:shd w:val="clear" w:color="auto" w:fill="auto"/>
            <w:tcMar>
              <w:top w:w="0" w:type="dxa"/>
              <w:left w:w="108" w:type="dxa"/>
              <w:bottom w:w="0" w:type="dxa"/>
              <w:right w:w="108" w:type="dxa"/>
            </w:tcMar>
            <w:hideMark/>
          </w:tcPr>
          <w:p w14:paraId="73812827" w14:textId="77777777" w:rsidR="001F2ACA" w:rsidRPr="00F0276B" w:rsidRDefault="001F2ACA" w:rsidP="0096518D">
            <w:pPr>
              <w:pStyle w:val="TableRow"/>
              <w:ind w:left="180"/>
              <w:rPr>
                <w:rFonts w:ascii="Arial" w:hAnsi="Arial"/>
                <w:sz w:val="16"/>
              </w:rPr>
            </w:pPr>
            <w:r w:rsidRPr="00F0276B">
              <w:rPr>
                <w:rFonts w:ascii="Arial" w:hAnsi="Arial"/>
                <w:sz w:val="16"/>
              </w:rPr>
              <w:t>Switzerland</w:t>
            </w:r>
          </w:p>
        </w:tc>
        <w:tc>
          <w:tcPr>
            <w:tcW w:w="0" w:type="auto"/>
            <w:shd w:val="clear" w:color="auto" w:fill="auto"/>
            <w:tcMar>
              <w:top w:w="0" w:type="dxa"/>
              <w:left w:w="108" w:type="dxa"/>
              <w:bottom w:w="0" w:type="dxa"/>
              <w:right w:w="108" w:type="dxa"/>
            </w:tcMar>
            <w:hideMark/>
          </w:tcPr>
          <w:p w14:paraId="3CEE5B3D" w14:textId="77777777" w:rsidR="001F2ACA" w:rsidRPr="00F0276B" w:rsidRDefault="001F2ACA" w:rsidP="0096518D">
            <w:pPr>
              <w:pStyle w:val="TableCell"/>
              <w:ind w:left="180"/>
              <w:jc w:val="center"/>
              <w:rPr>
                <w:rFonts w:ascii="Arial" w:hAnsi="Arial"/>
                <w:sz w:val="16"/>
              </w:rPr>
            </w:pPr>
            <w:r w:rsidRPr="00F0276B">
              <w:rPr>
                <w:rFonts w:ascii="Arial" w:hAnsi="Arial"/>
                <w:sz w:val="16"/>
              </w:rPr>
              <w:t>4.584***</w:t>
            </w:r>
          </w:p>
        </w:tc>
        <w:tc>
          <w:tcPr>
            <w:tcW w:w="0" w:type="auto"/>
            <w:shd w:val="clear" w:color="auto" w:fill="auto"/>
            <w:tcMar>
              <w:top w:w="0" w:type="dxa"/>
              <w:left w:w="108" w:type="dxa"/>
              <w:bottom w:w="0" w:type="dxa"/>
              <w:right w:w="108" w:type="dxa"/>
            </w:tcMar>
            <w:hideMark/>
          </w:tcPr>
          <w:p w14:paraId="1F2F0728" w14:textId="77777777" w:rsidR="001F2ACA" w:rsidRPr="00F0276B" w:rsidRDefault="001F2ACA" w:rsidP="0096518D">
            <w:pPr>
              <w:pStyle w:val="TableCell"/>
              <w:ind w:left="180"/>
              <w:jc w:val="center"/>
              <w:rPr>
                <w:rFonts w:ascii="Arial" w:hAnsi="Arial"/>
                <w:sz w:val="16"/>
              </w:rPr>
            </w:pPr>
            <w:r w:rsidRPr="00F0276B">
              <w:rPr>
                <w:rFonts w:ascii="Arial" w:hAnsi="Arial"/>
                <w:sz w:val="16"/>
              </w:rPr>
              <w:t>4.515***</w:t>
            </w:r>
          </w:p>
        </w:tc>
        <w:tc>
          <w:tcPr>
            <w:tcW w:w="0" w:type="auto"/>
            <w:shd w:val="clear" w:color="auto" w:fill="auto"/>
            <w:tcMar>
              <w:top w:w="0" w:type="dxa"/>
              <w:left w:w="108" w:type="dxa"/>
              <w:bottom w:w="0" w:type="dxa"/>
              <w:right w:w="108" w:type="dxa"/>
            </w:tcMar>
            <w:hideMark/>
          </w:tcPr>
          <w:p w14:paraId="6A3254C2" w14:textId="77777777" w:rsidR="001F2ACA" w:rsidRPr="00F0276B" w:rsidRDefault="001F2ACA" w:rsidP="0096518D">
            <w:pPr>
              <w:pStyle w:val="TableCell"/>
              <w:ind w:left="180"/>
              <w:jc w:val="center"/>
              <w:rPr>
                <w:rFonts w:ascii="Arial" w:hAnsi="Arial"/>
                <w:sz w:val="16"/>
              </w:rPr>
            </w:pPr>
            <w:r w:rsidRPr="00F0276B">
              <w:rPr>
                <w:rFonts w:ascii="Arial" w:hAnsi="Arial"/>
                <w:sz w:val="16"/>
              </w:rPr>
              <w:t>-2.167***</w:t>
            </w:r>
          </w:p>
        </w:tc>
        <w:tc>
          <w:tcPr>
            <w:tcW w:w="0" w:type="auto"/>
            <w:shd w:val="clear" w:color="auto" w:fill="auto"/>
            <w:tcMar>
              <w:top w:w="0" w:type="dxa"/>
              <w:left w:w="108" w:type="dxa"/>
              <w:bottom w:w="0" w:type="dxa"/>
              <w:right w:w="108" w:type="dxa"/>
            </w:tcMar>
            <w:hideMark/>
          </w:tcPr>
          <w:p w14:paraId="27EA7E67" w14:textId="77777777" w:rsidR="001F2ACA" w:rsidRPr="00F0276B" w:rsidRDefault="001F2ACA" w:rsidP="0096518D">
            <w:pPr>
              <w:pStyle w:val="TableCell"/>
              <w:ind w:left="180"/>
              <w:jc w:val="center"/>
              <w:rPr>
                <w:rFonts w:ascii="Arial" w:hAnsi="Arial"/>
                <w:sz w:val="16"/>
              </w:rPr>
            </w:pPr>
            <w:r w:rsidRPr="00F0276B">
              <w:rPr>
                <w:rFonts w:ascii="Arial" w:hAnsi="Arial"/>
                <w:sz w:val="16"/>
              </w:rPr>
              <w:t>-0.995</w:t>
            </w:r>
          </w:p>
        </w:tc>
      </w:tr>
      <w:tr w:rsidR="001F2ACA" w:rsidRPr="00F0276B" w14:paraId="39D76098" w14:textId="77777777" w:rsidTr="0096518D">
        <w:trPr>
          <w:jc w:val="center"/>
        </w:trPr>
        <w:tc>
          <w:tcPr>
            <w:tcW w:w="0" w:type="auto"/>
            <w:shd w:val="clear" w:color="auto" w:fill="auto"/>
            <w:tcMar>
              <w:top w:w="0" w:type="dxa"/>
              <w:left w:w="108" w:type="dxa"/>
              <w:bottom w:w="0" w:type="dxa"/>
              <w:right w:w="108" w:type="dxa"/>
            </w:tcMar>
            <w:hideMark/>
          </w:tcPr>
          <w:p w14:paraId="1EF74CEB" w14:textId="77777777" w:rsidR="001F2ACA" w:rsidRPr="00F0276B" w:rsidRDefault="001F2ACA" w:rsidP="0096518D">
            <w:pPr>
              <w:pStyle w:val="TableRow"/>
              <w:ind w:left="180"/>
              <w:rPr>
                <w:rFonts w:ascii="Arial" w:hAnsi="Arial"/>
                <w:sz w:val="16"/>
              </w:rPr>
            </w:pPr>
            <w:r w:rsidRPr="00F0276B">
              <w:rPr>
                <w:rFonts w:ascii="Arial" w:hAnsi="Arial"/>
                <w:sz w:val="16"/>
              </w:rPr>
              <w:t>Turkey</w:t>
            </w:r>
          </w:p>
        </w:tc>
        <w:tc>
          <w:tcPr>
            <w:tcW w:w="0" w:type="auto"/>
            <w:shd w:val="clear" w:color="auto" w:fill="auto"/>
            <w:tcMar>
              <w:top w:w="0" w:type="dxa"/>
              <w:left w:w="108" w:type="dxa"/>
              <w:bottom w:w="0" w:type="dxa"/>
              <w:right w:w="108" w:type="dxa"/>
            </w:tcMar>
            <w:hideMark/>
          </w:tcPr>
          <w:p w14:paraId="104E9B4E" w14:textId="77777777" w:rsidR="001F2ACA" w:rsidRPr="00F0276B" w:rsidRDefault="001F2ACA" w:rsidP="0096518D">
            <w:pPr>
              <w:pStyle w:val="TableCell"/>
              <w:ind w:left="180"/>
              <w:jc w:val="center"/>
              <w:rPr>
                <w:rFonts w:ascii="Arial" w:hAnsi="Arial"/>
                <w:sz w:val="16"/>
              </w:rPr>
            </w:pPr>
            <w:r w:rsidRPr="00F0276B">
              <w:rPr>
                <w:rFonts w:ascii="Arial" w:hAnsi="Arial"/>
                <w:sz w:val="16"/>
              </w:rPr>
              <w:t>4.425***</w:t>
            </w:r>
          </w:p>
        </w:tc>
        <w:tc>
          <w:tcPr>
            <w:tcW w:w="0" w:type="auto"/>
            <w:shd w:val="clear" w:color="auto" w:fill="auto"/>
            <w:tcMar>
              <w:top w:w="0" w:type="dxa"/>
              <w:left w:w="108" w:type="dxa"/>
              <w:bottom w:w="0" w:type="dxa"/>
              <w:right w:w="108" w:type="dxa"/>
            </w:tcMar>
            <w:hideMark/>
          </w:tcPr>
          <w:p w14:paraId="32A8C133" w14:textId="77777777" w:rsidR="001F2ACA" w:rsidRPr="00F0276B" w:rsidRDefault="001F2ACA" w:rsidP="0096518D">
            <w:pPr>
              <w:pStyle w:val="TableCell"/>
              <w:ind w:left="180"/>
              <w:jc w:val="center"/>
              <w:rPr>
                <w:rFonts w:ascii="Arial" w:hAnsi="Arial"/>
                <w:sz w:val="16"/>
              </w:rPr>
            </w:pPr>
            <w:r w:rsidRPr="00F0276B">
              <w:rPr>
                <w:rFonts w:ascii="Arial" w:hAnsi="Arial"/>
                <w:sz w:val="16"/>
              </w:rPr>
              <w:t>4.562***</w:t>
            </w:r>
          </w:p>
        </w:tc>
        <w:tc>
          <w:tcPr>
            <w:tcW w:w="0" w:type="auto"/>
            <w:shd w:val="clear" w:color="auto" w:fill="auto"/>
            <w:tcMar>
              <w:top w:w="0" w:type="dxa"/>
              <w:left w:w="108" w:type="dxa"/>
              <w:bottom w:w="0" w:type="dxa"/>
              <w:right w:w="108" w:type="dxa"/>
            </w:tcMar>
            <w:hideMark/>
          </w:tcPr>
          <w:p w14:paraId="0F088E68" w14:textId="77777777" w:rsidR="001F2ACA" w:rsidRPr="00F0276B" w:rsidRDefault="001F2ACA" w:rsidP="0096518D">
            <w:pPr>
              <w:pStyle w:val="TableCell"/>
              <w:ind w:left="180"/>
              <w:jc w:val="center"/>
              <w:rPr>
                <w:rFonts w:ascii="Arial" w:hAnsi="Arial"/>
                <w:sz w:val="16"/>
              </w:rPr>
            </w:pPr>
            <w:r w:rsidRPr="00F0276B">
              <w:rPr>
                <w:rFonts w:ascii="Arial" w:hAnsi="Arial"/>
                <w:sz w:val="16"/>
              </w:rPr>
              <w:t>-1.882***</w:t>
            </w:r>
          </w:p>
        </w:tc>
        <w:tc>
          <w:tcPr>
            <w:tcW w:w="0" w:type="auto"/>
            <w:shd w:val="clear" w:color="auto" w:fill="auto"/>
            <w:tcMar>
              <w:top w:w="0" w:type="dxa"/>
              <w:left w:w="108" w:type="dxa"/>
              <w:bottom w:w="0" w:type="dxa"/>
              <w:right w:w="108" w:type="dxa"/>
            </w:tcMar>
            <w:hideMark/>
          </w:tcPr>
          <w:p w14:paraId="564BED31" w14:textId="77777777" w:rsidR="001F2ACA" w:rsidRPr="00F0276B" w:rsidRDefault="001F2ACA" w:rsidP="0096518D">
            <w:pPr>
              <w:pStyle w:val="TableCell"/>
              <w:ind w:left="180"/>
              <w:jc w:val="center"/>
              <w:rPr>
                <w:rFonts w:ascii="Arial" w:hAnsi="Arial"/>
                <w:sz w:val="16"/>
              </w:rPr>
            </w:pPr>
            <w:r w:rsidRPr="00F0276B">
              <w:rPr>
                <w:rFonts w:ascii="Arial" w:hAnsi="Arial"/>
                <w:sz w:val="16"/>
              </w:rPr>
              <w:t>-0.919</w:t>
            </w:r>
          </w:p>
        </w:tc>
      </w:tr>
      <w:tr w:rsidR="001F2ACA" w:rsidRPr="00F0276B" w14:paraId="14727F85" w14:textId="77777777" w:rsidTr="0096518D">
        <w:trPr>
          <w:jc w:val="center"/>
        </w:trPr>
        <w:tc>
          <w:tcPr>
            <w:tcW w:w="0" w:type="auto"/>
            <w:shd w:val="clear" w:color="auto" w:fill="auto"/>
            <w:tcMar>
              <w:top w:w="0" w:type="dxa"/>
              <w:left w:w="108" w:type="dxa"/>
              <w:bottom w:w="0" w:type="dxa"/>
              <w:right w:w="108" w:type="dxa"/>
            </w:tcMar>
            <w:hideMark/>
          </w:tcPr>
          <w:p w14:paraId="16A1815C" w14:textId="77777777" w:rsidR="001F2ACA" w:rsidRPr="00F0276B" w:rsidRDefault="001F2ACA" w:rsidP="0096518D">
            <w:pPr>
              <w:pStyle w:val="TableRow"/>
              <w:ind w:left="180"/>
              <w:rPr>
                <w:rFonts w:ascii="Arial" w:hAnsi="Arial"/>
                <w:sz w:val="16"/>
              </w:rPr>
            </w:pPr>
            <w:r w:rsidRPr="00F0276B">
              <w:rPr>
                <w:rFonts w:ascii="Arial" w:hAnsi="Arial"/>
                <w:sz w:val="16"/>
              </w:rPr>
              <w:t>United Kingdom</w:t>
            </w:r>
          </w:p>
        </w:tc>
        <w:tc>
          <w:tcPr>
            <w:tcW w:w="0" w:type="auto"/>
            <w:shd w:val="clear" w:color="auto" w:fill="auto"/>
            <w:tcMar>
              <w:top w:w="0" w:type="dxa"/>
              <w:left w:w="108" w:type="dxa"/>
              <w:bottom w:w="0" w:type="dxa"/>
              <w:right w:w="108" w:type="dxa"/>
            </w:tcMar>
            <w:hideMark/>
          </w:tcPr>
          <w:p w14:paraId="4CEC6D9A" w14:textId="77777777" w:rsidR="001F2ACA" w:rsidRPr="00F0276B" w:rsidRDefault="001F2ACA" w:rsidP="0096518D">
            <w:pPr>
              <w:pStyle w:val="TableCell"/>
              <w:ind w:left="180"/>
              <w:jc w:val="center"/>
              <w:rPr>
                <w:rFonts w:ascii="Arial" w:hAnsi="Arial"/>
                <w:sz w:val="16"/>
              </w:rPr>
            </w:pPr>
            <w:r w:rsidRPr="00F0276B">
              <w:rPr>
                <w:rFonts w:ascii="Arial" w:hAnsi="Arial"/>
                <w:sz w:val="16"/>
              </w:rPr>
              <w:t>5.217***</w:t>
            </w:r>
          </w:p>
        </w:tc>
        <w:tc>
          <w:tcPr>
            <w:tcW w:w="0" w:type="auto"/>
            <w:shd w:val="clear" w:color="auto" w:fill="auto"/>
            <w:tcMar>
              <w:top w:w="0" w:type="dxa"/>
              <w:left w:w="108" w:type="dxa"/>
              <w:bottom w:w="0" w:type="dxa"/>
              <w:right w:w="108" w:type="dxa"/>
            </w:tcMar>
            <w:hideMark/>
          </w:tcPr>
          <w:p w14:paraId="25359C37" w14:textId="77777777" w:rsidR="001F2ACA" w:rsidRPr="00F0276B" w:rsidRDefault="001F2ACA" w:rsidP="0096518D">
            <w:pPr>
              <w:pStyle w:val="TableCell"/>
              <w:ind w:left="180"/>
              <w:jc w:val="center"/>
              <w:rPr>
                <w:rFonts w:ascii="Arial" w:hAnsi="Arial"/>
                <w:sz w:val="16"/>
              </w:rPr>
            </w:pPr>
            <w:r w:rsidRPr="00F0276B">
              <w:rPr>
                <w:rFonts w:ascii="Arial" w:hAnsi="Arial"/>
                <w:sz w:val="16"/>
              </w:rPr>
              <w:t>5.327***</w:t>
            </w:r>
          </w:p>
        </w:tc>
        <w:tc>
          <w:tcPr>
            <w:tcW w:w="0" w:type="auto"/>
            <w:shd w:val="clear" w:color="auto" w:fill="auto"/>
            <w:tcMar>
              <w:top w:w="0" w:type="dxa"/>
              <w:left w:w="108" w:type="dxa"/>
              <w:bottom w:w="0" w:type="dxa"/>
              <w:right w:w="108" w:type="dxa"/>
            </w:tcMar>
            <w:hideMark/>
          </w:tcPr>
          <w:p w14:paraId="14B6B9B5" w14:textId="77777777" w:rsidR="001F2ACA" w:rsidRPr="00F0276B" w:rsidRDefault="001F2ACA" w:rsidP="0096518D">
            <w:pPr>
              <w:pStyle w:val="TableCell"/>
              <w:ind w:left="180"/>
              <w:jc w:val="center"/>
              <w:rPr>
                <w:rFonts w:ascii="Arial" w:hAnsi="Arial"/>
                <w:sz w:val="16"/>
              </w:rPr>
            </w:pPr>
            <w:r w:rsidRPr="00F0276B">
              <w:rPr>
                <w:rFonts w:ascii="Arial" w:hAnsi="Arial"/>
                <w:sz w:val="16"/>
              </w:rPr>
              <w:t>-3.545***</w:t>
            </w:r>
          </w:p>
        </w:tc>
        <w:tc>
          <w:tcPr>
            <w:tcW w:w="0" w:type="auto"/>
            <w:shd w:val="clear" w:color="auto" w:fill="auto"/>
            <w:tcMar>
              <w:top w:w="0" w:type="dxa"/>
              <w:left w:w="108" w:type="dxa"/>
              <w:bottom w:w="0" w:type="dxa"/>
              <w:right w:w="108" w:type="dxa"/>
            </w:tcMar>
            <w:hideMark/>
          </w:tcPr>
          <w:p w14:paraId="40FF126C" w14:textId="77777777" w:rsidR="001F2ACA" w:rsidRPr="00F0276B" w:rsidRDefault="001F2ACA" w:rsidP="0096518D">
            <w:pPr>
              <w:pStyle w:val="TableCell"/>
              <w:ind w:left="180"/>
              <w:jc w:val="center"/>
              <w:rPr>
                <w:rFonts w:ascii="Arial" w:hAnsi="Arial"/>
                <w:sz w:val="16"/>
              </w:rPr>
            </w:pPr>
            <w:r w:rsidRPr="00F0276B">
              <w:rPr>
                <w:rFonts w:ascii="Arial" w:hAnsi="Arial"/>
                <w:sz w:val="16"/>
              </w:rPr>
              <w:t>-2.663***</w:t>
            </w:r>
          </w:p>
        </w:tc>
      </w:tr>
      <w:tr w:rsidR="001F2ACA" w:rsidRPr="00F0276B" w14:paraId="533FAC87" w14:textId="77777777" w:rsidTr="0096518D">
        <w:trPr>
          <w:jc w:val="center"/>
        </w:trPr>
        <w:tc>
          <w:tcPr>
            <w:tcW w:w="0" w:type="auto"/>
            <w:shd w:val="clear" w:color="auto" w:fill="auto"/>
            <w:tcMar>
              <w:top w:w="0" w:type="dxa"/>
              <w:left w:w="108" w:type="dxa"/>
              <w:bottom w:w="0" w:type="dxa"/>
              <w:right w:w="108" w:type="dxa"/>
            </w:tcMar>
            <w:hideMark/>
          </w:tcPr>
          <w:p w14:paraId="0792D355" w14:textId="77777777" w:rsidR="001F2ACA" w:rsidRPr="00F0276B" w:rsidRDefault="001F2ACA" w:rsidP="0096518D">
            <w:pPr>
              <w:pStyle w:val="TableRow"/>
              <w:ind w:left="180"/>
              <w:rPr>
                <w:rFonts w:ascii="Arial" w:hAnsi="Arial"/>
                <w:sz w:val="16"/>
              </w:rPr>
            </w:pPr>
            <w:r w:rsidRPr="00F0276B">
              <w:rPr>
                <w:rFonts w:ascii="Arial" w:hAnsi="Arial"/>
                <w:sz w:val="16"/>
              </w:rPr>
              <w:t>United States</w:t>
            </w:r>
          </w:p>
        </w:tc>
        <w:tc>
          <w:tcPr>
            <w:tcW w:w="0" w:type="auto"/>
            <w:shd w:val="clear" w:color="auto" w:fill="auto"/>
            <w:tcMar>
              <w:top w:w="0" w:type="dxa"/>
              <w:left w:w="108" w:type="dxa"/>
              <w:bottom w:w="0" w:type="dxa"/>
              <w:right w:w="108" w:type="dxa"/>
            </w:tcMar>
            <w:hideMark/>
          </w:tcPr>
          <w:p w14:paraId="26C21855" w14:textId="77777777" w:rsidR="001F2ACA" w:rsidRPr="00F0276B" w:rsidRDefault="001F2ACA" w:rsidP="0096518D">
            <w:pPr>
              <w:pStyle w:val="TableCell"/>
              <w:ind w:left="180"/>
              <w:jc w:val="center"/>
              <w:rPr>
                <w:rFonts w:ascii="Arial" w:hAnsi="Arial"/>
                <w:sz w:val="16"/>
              </w:rPr>
            </w:pPr>
            <w:r w:rsidRPr="00F0276B">
              <w:rPr>
                <w:rFonts w:ascii="Arial" w:hAnsi="Arial"/>
                <w:sz w:val="16"/>
              </w:rPr>
              <w:t>4.776***</w:t>
            </w:r>
          </w:p>
        </w:tc>
        <w:tc>
          <w:tcPr>
            <w:tcW w:w="0" w:type="auto"/>
            <w:shd w:val="clear" w:color="auto" w:fill="auto"/>
            <w:tcMar>
              <w:top w:w="0" w:type="dxa"/>
              <w:left w:w="108" w:type="dxa"/>
              <w:bottom w:w="0" w:type="dxa"/>
              <w:right w:w="108" w:type="dxa"/>
            </w:tcMar>
            <w:hideMark/>
          </w:tcPr>
          <w:p w14:paraId="7F2C2E0C" w14:textId="77777777" w:rsidR="001F2ACA" w:rsidRPr="00F0276B" w:rsidRDefault="001F2ACA" w:rsidP="0096518D">
            <w:pPr>
              <w:pStyle w:val="TableCell"/>
              <w:ind w:left="180"/>
              <w:jc w:val="center"/>
              <w:rPr>
                <w:rFonts w:ascii="Arial" w:hAnsi="Arial"/>
                <w:sz w:val="16"/>
              </w:rPr>
            </w:pPr>
            <w:r w:rsidRPr="00F0276B">
              <w:rPr>
                <w:rFonts w:ascii="Arial" w:hAnsi="Arial"/>
                <w:sz w:val="16"/>
              </w:rPr>
              <w:t>4.658***</w:t>
            </w:r>
          </w:p>
        </w:tc>
        <w:tc>
          <w:tcPr>
            <w:tcW w:w="0" w:type="auto"/>
            <w:shd w:val="clear" w:color="auto" w:fill="auto"/>
            <w:tcMar>
              <w:top w:w="0" w:type="dxa"/>
              <w:left w:w="108" w:type="dxa"/>
              <w:bottom w:w="0" w:type="dxa"/>
              <w:right w:w="108" w:type="dxa"/>
            </w:tcMar>
            <w:hideMark/>
          </w:tcPr>
          <w:p w14:paraId="5CEF72E6" w14:textId="77777777" w:rsidR="001F2ACA" w:rsidRPr="00F0276B" w:rsidRDefault="001F2ACA" w:rsidP="0096518D">
            <w:pPr>
              <w:pStyle w:val="TableCell"/>
              <w:ind w:left="180"/>
              <w:jc w:val="center"/>
              <w:rPr>
                <w:rFonts w:ascii="Arial" w:hAnsi="Arial"/>
                <w:sz w:val="16"/>
              </w:rPr>
            </w:pPr>
            <w:r w:rsidRPr="00F0276B">
              <w:rPr>
                <w:rFonts w:ascii="Arial" w:hAnsi="Arial"/>
                <w:sz w:val="16"/>
              </w:rPr>
              <w:t>-2.220***</w:t>
            </w:r>
          </w:p>
        </w:tc>
        <w:tc>
          <w:tcPr>
            <w:tcW w:w="0" w:type="auto"/>
            <w:shd w:val="clear" w:color="auto" w:fill="auto"/>
            <w:tcMar>
              <w:top w:w="0" w:type="dxa"/>
              <w:left w:w="108" w:type="dxa"/>
              <w:bottom w:w="0" w:type="dxa"/>
              <w:right w:w="108" w:type="dxa"/>
            </w:tcMar>
            <w:hideMark/>
          </w:tcPr>
          <w:p w14:paraId="6917DB29" w14:textId="77777777" w:rsidR="001F2ACA" w:rsidRPr="00F0276B" w:rsidRDefault="001F2ACA" w:rsidP="0096518D">
            <w:pPr>
              <w:pStyle w:val="TableCell"/>
              <w:ind w:left="180"/>
              <w:jc w:val="center"/>
              <w:rPr>
                <w:rFonts w:ascii="Arial" w:hAnsi="Arial"/>
                <w:sz w:val="16"/>
              </w:rPr>
            </w:pPr>
            <w:r w:rsidRPr="00F0276B">
              <w:rPr>
                <w:rFonts w:ascii="Arial" w:hAnsi="Arial"/>
                <w:sz w:val="16"/>
              </w:rPr>
              <w:t>-1.086*</w:t>
            </w:r>
          </w:p>
        </w:tc>
      </w:tr>
      <w:tr w:rsidR="001F2ACA" w:rsidRPr="00F0276B" w14:paraId="7D2D1F16" w14:textId="77777777" w:rsidTr="0096518D">
        <w:trPr>
          <w:jc w:val="center"/>
        </w:trPr>
        <w:tc>
          <w:tcPr>
            <w:tcW w:w="0" w:type="auto"/>
            <w:shd w:val="clear" w:color="auto" w:fill="auto"/>
            <w:tcMar>
              <w:top w:w="0" w:type="dxa"/>
              <w:left w:w="108" w:type="dxa"/>
              <w:bottom w:w="0" w:type="dxa"/>
              <w:right w:w="108" w:type="dxa"/>
            </w:tcMar>
            <w:hideMark/>
          </w:tcPr>
          <w:p w14:paraId="4CCAA1D1" w14:textId="77777777" w:rsidR="001F2ACA" w:rsidRPr="00F0276B" w:rsidRDefault="001F2ACA" w:rsidP="0096518D">
            <w:pPr>
              <w:pStyle w:val="TableRow"/>
              <w:ind w:left="180"/>
              <w:rPr>
                <w:rFonts w:ascii="Arial" w:hAnsi="Arial"/>
                <w:sz w:val="16"/>
              </w:rPr>
            </w:pPr>
            <w:r w:rsidRPr="00F0276B">
              <w:rPr>
                <w:rFonts w:ascii="Arial" w:hAnsi="Arial"/>
                <w:sz w:val="16"/>
              </w:rPr>
              <w:t>Ireland and United Kingdom</w:t>
            </w:r>
          </w:p>
        </w:tc>
        <w:tc>
          <w:tcPr>
            <w:tcW w:w="0" w:type="auto"/>
            <w:shd w:val="clear" w:color="auto" w:fill="auto"/>
            <w:tcMar>
              <w:top w:w="0" w:type="dxa"/>
              <w:left w:w="108" w:type="dxa"/>
              <w:bottom w:w="0" w:type="dxa"/>
              <w:right w:w="108" w:type="dxa"/>
            </w:tcMar>
            <w:hideMark/>
          </w:tcPr>
          <w:p w14:paraId="14AEA28C" w14:textId="77777777" w:rsidR="001F2ACA" w:rsidRPr="00F0276B" w:rsidRDefault="001F2ACA" w:rsidP="0096518D">
            <w:pPr>
              <w:pStyle w:val="TableCell"/>
              <w:ind w:left="180"/>
              <w:jc w:val="center"/>
              <w:rPr>
                <w:rFonts w:ascii="Arial" w:hAnsi="Arial"/>
                <w:sz w:val="16"/>
              </w:rPr>
            </w:pPr>
            <w:r w:rsidRPr="00F0276B">
              <w:rPr>
                <w:rFonts w:ascii="Arial" w:hAnsi="Arial"/>
                <w:sz w:val="16"/>
              </w:rPr>
              <w:t>2.907**</w:t>
            </w:r>
          </w:p>
        </w:tc>
        <w:tc>
          <w:tcPr>
            <w:tcW w:w="0" w:type="auto"/>
            <w:shd w:val="clear" w:color="auto" w:fill="auto"/>
            <w:tcMar>
              <w:top w:w="0" w:type="dxa"/>
              <w:left w:w="108" w:type="dxa"/>
              <w:bottom w:w="0" w:type="dxa"/>
              <w:right w:w="108" w:type="dxa"/>
            </w:tcMar>
            <w:hideMark/>
          </w:tcPr>
          <w:p w14:paraId="0A9EA39D" w14:textId="77777777" w:rsidR="001F2ACA" w:rsidRPr="00F0276B" w:rsidRDefault="001F2ACA" w:rsidP="0096518D">
            <w:pPr>
              <w:pStyle w:val="TableCell"/>
              <w:ind w:left="180"/>
              <w:jc w:val="center"/>
              <w:rPr>
                <w:rFonts w:ascii="Arial" w:hAnsi="Arial"/>
                <w:sz w:val="16"/>
              </w:rPr>
            </w:pPr>
            <w:r w:rsidRPr="00F0276B">
              <w:rPr>
                <w:rFonts w:ascii="Arial" w:hAnsi="Arial"/>
                <w:sz w:val="16"/>
              </w:rPr>
              <w:t>3.127**</w:t>
            </w:r>
          </w:p>
        </w:tc>
        <w:tc>
          <w:tcPr>
            <w:tcW w:w="0" w:type="auto"/>
            <w:shd w:val="clear" w:color="auto" w:fill="auto"/>
            <w:tcMar>
              <w:top w:w="0" w:type="dxa"/>
              <w:left w:w="108" w:type="dxa"/>
              <w:bottom w:w="0" w:type="dxa"/>
              <w:right w:w="108" w:type="dxa"/>
            </w:tcMar>
            <w:hideMark/>
          </w:tcPr>
          <w:p w14:paraId="02F76DD8" w14:textId="77777777" w:rsidR="001F2ACA" w:rsidRPr="00F0276B" w:rsidRDefault="001F2ACA" w:rsidP="0096518D">
            <w:pPr>
              <w:pStyle w:val="TableCell"/>
              <w:ind w:left="180"/>
              <w:jc w:val="center"/>
              <w:rPr>
                <w:rFonts w:ascii="Arial" w:hAnsi="Arial"/>
                <w:sz w:val="16"/>
              </w:rPr>
            </w:pPr>
            <w:r w:rsidRPr="00F0276B">
              <w:rPr>
                <w:rFonts w:ascii="Arial" w:hAnsi="Arial"/>
                <w:sz w:val="16"/>
              </w:rPr>
              <w:t>-2.303**</w:t>
            </w:r>
          </w:p>
        </w:tc>
        <w:tc>
          <w:tcPr>
            <w:tcW w:w="0" w:type="auto"/>
            <w:shd w:val="clear" w:color="auto" w:fill="auto"/>
            <w:tcMar>
              <w:top w:w="0" w:type="dxa"/>
              <w:left w:w="108" w:type="dxa"/>
              <w:bottom w:w="0" w:type="dxa"/>
              <w:right w:w="108" w:type="dxa"/>
            </w:tcMar>
            <w:hideMark/>
          </w:tcPr>
          <w:p w14:paraId="693DA699" w14:textId="77777777" w:rsidR="001F2ACA" w:rsidRPr="00F0276B" w:rsidRDefault="001F2ACA" w:rsidP="0096518D">
            <w:pPr>
              <w:pStyle w:val="TableCell"/>
              <w:ind w:left="180"/>
              <w:jc w:val="center"/>
              <w:rPr>
                <w:rFonts w:ascii="Arial" w:hAnsi="Arial"/>
                <w:sz w:val="16"/>
              </w:rPr>
            </w:pPr>
            <w:r w:rsidRPr="00F0276B">
              <w:rPr>
                <w:rFonts w:ascii="Arial" w:hAnsi="Arial"/>
                <w:sz w:val="16"/>
              </w:rPr>
              <w:t>-1.481</w:t>
            </w:r>
          </w:p>
        </w:tc>
      </w:tr>
    </w:tbl>
    <w:p w14:paraId="470E883A" w14:textId="77777777" w:rsidR="001F2ACA" w:rsidRPr="00266C98" w:rsidRDefault="001F2ACA" w:rsidP="001F2ACA">
      <w:pPr>
        <w:pStyle w:val="Sourcenotes"/>
        <w:rPr>
          <w:rFonts w:ascii="Arial" w:hAnsi="Arial"/>
        </w:rPr>
      </w:pPr>
      <w:r w:rsidRPr="003F2574">
        <w:rPr>
          <w:rFonts w:ascii="Arial" w:hAnsi="Arial"/>
          <w:i/>
        </w:rPr>
        <w:t>Note</w:t>
      </w:r>
      <w:r w:rsidRPr="003F2574">
        <w:rPr>
          <w:rFonts w:ascii="Arial" w:hAnsi="Arial"/>
        </w:rPr>
        <w:t>: ***, **, *: statistically significant at the 1, 5 and 10% levels, respectively. Robust standard errors in parentheses. OLS regressions including country and time dummies, institutional variables (Tax wedges, PMR in seven sectors, EPL (both temporary and permanent), minimum wage/median wage and gross replacement rate) log of average years of education and female employment share.</w:t>
      </w:r>
    </w:p>
    <w:p w14:paraId="39F58268" w14:textId="77777777" w:rsidR="00E60F59" w:rsidRDefault="00E60F59"/>
    <w:sectPr w:rsidR="00E60F59" w:rsidSect="001F2ACA">
      <w:footerReference w:type="default" r:id="rId25"/>
      <w:pgSz w:w="11907" w:h="16840" w:code="9"/>
      <w:pgMar w:top="1985" w:right="1247" w:bottom="1814" w:left="1191" w:header="1247" w:footer="12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69ACC" w14:textId="77777777" w:rsidR="006A0DCF" w:rsidRDefault="006A0DCF">
      <w:r>
        <w:separator/>
      </w:r>
    </w:p>
  </w:endnote>
  <w:endnote w:type="continuationSeparator" w:id="0">
    <w:p w14:paraId="1EE51275" w14:textId="77777777" w:rsidR="006A0DCF" w:rsidRDefault="006A0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73547"/>
      <w:docPartObj>
        <w:docPartGallery w:val="Page Numbers (Bottom of Page)"/>
        <w:docPartUnique/>
      </w:docPartObj>
    </w:sdtPr>
    <w:sdtEndPr/>
    <w:sdtContent>
      <w:p w14:paraId="138CEF04" w14:textId="77777777" w:rsidR="00F418F3" w:rsidRDefault="001F2ACA">
        <w:pPr>
          <w:pStyle w:val="Footer"/>
          <w:jc w:val="center"/>
        </w:pPr>
        <w:r w:rsidRPr="00EF4431">
          <w:rPr>
            <w:sz w:val="20"/>
          </w:rPr>
          <w:fldChar w:fldCharType="begin"/>
        </w:r>
        <w:r w:rsidRPr="00EF4431">
          <w:rPr>
            <w:sz w:val="20"/>
          </w:rPr>
          <w:instrText xml:space="preserve"> PAGE   \* MERGEFORMAT </w:instrText>
        </w:r>
        <w:r w:rsidRPr="00EF4431">
          <w:rPr>
            <w:sz w:val="20"/>
          </w:rPr>
          <w:fldChar w:fldCharType="separate"/>
        </w:r>
        <w:r>
          <w:rPr>
            <w:noProof/>
            <w:sz w:val="20"/>
          </w:rPr>
          <w:t>24</w:t>
        </w:r>
        <w:r w:rsidRPr="00EF4431">
          <w:rPr>
            <w:noProof/>
            <w:sz w:val="20"/>
          </w:rPr>
          <w:fldChar w:fldCharType="end"/>
        </w:r>
      </w:p>
    </w:sdtContent>
  </w:sdt>
  <w:p w14:paraId="20BA2D0B" w14:textId="77777777" w:rsidR="00F418F3" w:rsidRDefault="006A0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599CC" w14:textId="77777777" w:rsidR="006A0DCF" w:rsidRDefault="006A0DCF">
      <w:r>
        <w:separator/>
      </w:r>
    </w:p>
  </w:footnote>
  <w:footnote w:type="continuationSeparator" w:id="0">
    <w:p w14:paraId="09E8D02F" w14:textId="77777777" w:rsidR="006A0DCF" w:rsidRDefault="006A0D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A7980"/>
    <w:multiLevelType w:val="hybridMultilevel"/>
    <w:tmpl w:val="DCF2D7A0"/>
    <w:lvl w:ilvl="0" w:tplc="0809000F">
      <w:start w:val="1"/>
      <w:numFmt w:val="decimal"/>
      <w:lvlText w:val="%1."/>
      <w:lvlJc w:val="left"/>
      <w:pPr>
        <w:ind w:left="1162" w:hanging="360"/>
      </w:pPr>
    </w:lvl>
    <w:lvl w:ilvl="1" w:tplc="08090019" w:tentative="1">
      <w:start w:val="1"/>
      <w:numFmt w:val="lowerLetter"/>
      <w:lvlText w:val="%2."/>
      <w:lvlJc w:val="left"/>
      <w:pPr>
        <w:ind w:left="1882" w:hanging="360"/>
      </w:pPr>
    </w:lvl>
    <w:lvl w:ilvl="2" w:tplc="0809001B" w:tentative="1">
      <w:start w:val="1"/>
      <w:numFmt w:val="lowerRoman"/>
      <w:lvlText w:val="%3."/>
      <w:lvlJc w:val="right"/>
      <w:pPr>
        <w:ind w:left="2602" w:hanging="180"/>
      </w:pPr>
    </w:lvl>
    <w:lvl w:ilvl="3" w:tplc="0809000F" w:tentative="1">
      <w:start w:val="1"/>
      <w:numFmt w:val="decimal"/>
      <w:lvlText w:val="%4."/>
      <w:lvlJc w:val="left"/>
      <w:pPr>
        <w:ind w:left="3322" w:hanging="360"/>
      </w:pPr>
    </w:lvl>
    <w:lvl w:ilvl="4" w:tplc="08090019" w:tentative="1">
      <w:start w:val="1"/>
      <w:numFmt w:val="lowerLetter"/>
      <w:lvlText w:val="%5."/>
      <w:lvlJc w:val="left"/>
      <w:pPr>
        <w:ind w:left="4042" w:hanging="360"/>
      </w:pPr>
    </w:lvl>
    <w:lvl w:ilvl="5" w:tplc="0809001B" w:tentative="1">
      <w:start w:val="1"/>
      <w:numFmt w:val="lowerRoman"/>
      <w:lvlText w:val="%6."/>
      <w:lvlJc w:val="right"/>
      <w:pPr>
        <w:ind w:left="4762" w:hanging="180"/>
      </w:pPr>
    </w:lvl>
    <w:lvl w:ilvl="6" w:tplc="0809000F" w:tentative="1">
      <w:start w:val="1"/>
      <w:numFmt w:val="decimal"/>
      <w:lvlText w:val="%7."/>
      <w:lvlJc w:val="left"/>
      <w:pPr>
        <w:ind w:left="5482" w:hanging="360"/>
      </w:pPr>
    </w:lvl>
    <w:lvl w:ilvl="7" w:tplc="08090019" w:tentative="1">
      <w:start w:val="1"/>
      <w:numFmt w:val="lowerLetter"/>
      <w:lvlText w:val="%8."/>
      <w:lvlJc w:val="left"/>
      <w:pPr>
        <w:ind w:left="6202" w:hanging="360"/>
      </w:pPr>
    </w:lvl>
    <w:lvl w:ilvl="8" w:tplc="0809001B" w:tentative="1">
      <w:start w:val="1"/>
      <w:numFmt w:val="lowerRoman"/>
      <w:lvlText w:val="%9."/>
      <w:lvlJc w:val="right"/>
      <w:pPr>
        <w:ind w:left="69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ACA"/>
    <w:rsid w:val="001F2ACA"/>
    <w:rsid w:val="00574443"/>
    <w:rsid w:val="006A0DCF"/>
    <w:rsid w:val="00BA03A9"/>
    <w:rsid w:val="00CC72B9"/>
    <w:rsid w:val="00E60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70965"/>
  <w15:chartTrackingRefBased/>
  <w15:docId w15:val="{A006909C-D95A-4325-9976-490644F17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nhideWhenUsed/>
    <w:rsid w:val="001F2ACA"/>
    <w:pPr>
      <w:tabs>
        <w:tab w:val="left" w:pos="850"/>
        <w:tab w:val="left" w:pos="1191"/>
        <w:tab w:val="left" w:pos="1531"/>
      </w:tabs>
      <w:spacing w:after="0" w:line="240" w:lineRule="auto"/>
      <w:jc w:val="both"/>
    </w:pPr>
    <w:rPr>
      <w:rFonts w:ascii="Times New Roman" w:hAnsi="Times New Roman" w:cs="Times New Roman"/>
      <w:szCs w:val="20"/>
    </w:rPr>
  </w:style>
  <w:style w:type="paragraph" w:styleId="Heading2">
    <w:name w:val="heading 2"/>
    <w:basedOn w:val="Normal"/>
    <w:next w:val="Normal"/>
    <w:link w:val="Heading2Char"/>
    <w:qFormat/>
    <w:rsid w:val="001F2ACA"/>
    <w:pPr>
      <w:keepNext/>
      <w:spacing w:before="240" w:after="2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2ACA"/>
    <w:rPr>
      <w:rFonts w:ascii="Times New Roman" w:hAnsi="Times New Roman" w:cs="Times New Roman"/>
      <w:b/>
      <w:bCs/>
      <w:szCs w:val="20"/>
    </w:rPr>
  </w:style>
  <w:style w:type="paragraph" w:styleId="Footer">
    <w:name w:val="footer"/>
    <w:basedOn w:val="Normal"/>
    <w:link w:val="FooterChar"/>
    <w:uiPriority w:val="99"/>
    <w:unhideWhenUsed/>
    <w:rsid w:val="001F2ACA"/>
    <w:pPr>
      <w:tabs>
        <w:tab w:val="clear" w:pos="850"/>
        <w:tab w:val="clear" w:pos="1191"/>
        <w:tab w:val="clear" w:pos="1531"/>
        <w:tab w:val="center" w:pos="4680"/>
        <w:tab w:val="right" w:pos="9360"/>
      </w:tabs>
    </w:pPr>
  </w:style>
  <w:style w:type="character" w:customStyle="1" w:styleId="FooterChar">
    <w:name w:val="Footer Char"/>
    <w:basedOn w:val="DefaultParagraphFont"/>
    <w:link w:val="Footer"/>
    <w:uiPriority w:val="99"/>
    <w:rsid w:val="001F2ACA"/>
    <w:rPr>
      <w:rFonts w:ascii="Times New Roman" w:hAnsi="Times New Roman" w:cs="Times New Roman"/>
      <w:szCs w:val="20"/>
    </w:rPr>
  </w:style>
  <w:style w:type="paragraph" w:styleId="BodyText">
    <w:name w:val="Body Text"/>
    <w:basedOn w:val="Normal"/>
    <w:link w:val="BodyTextChar"/>
    <w:rsid w:val="001F2ACA"/>
    <w:pPr>
      <w:tabs>
        <w:tab w:val="clear" w:pos="850"/>
        <w:tab w:val="clear" w:pos="1191"/>
        <w:tab w:val="clear" w:pos="1531"/>
      </w:tabs>
      <w:ind w:firstLine="442"/>
    </w:pPr>
    <w:rPr>
      <w:rFonts w:eastAsia="SimSun"/>
    </w:rPr>
  </w:style>
  <w:style w:type="character" w:customStyle="1" w:styleId="BodyTextChar">
    <w:name w:val="Body Text Char"/>
    <w:basedOn w:val="DefaultParagraphFont"/>
    <w:link w:val="BodyText"/>
    <w:rsid w:val="001F2ACA"/>
    <w:rPr>
      <w:rFonts w:ascii="Times New Roman" w:eastAsia="SimSun" w:hAnsi="Times New Roman" w:cs="Times New Roman"/>
      <w:szCs w:val="20"/>
    </w:rPr>
  </w:style>
  <w:style w:type="paragraph" w:customStyle="1" w:styleId="TableCell">
    <w:name w:val="Table Cell"/>
    <w:basedOn w:val="Normal"/>
    <w:qFormat/>
    <w:rsid w:val="001F2ACA"/>
    <w:pPr>
      <w:keepNext/>
      <w:keepLines/>
      <w:tabs>
        <w:tab w:val="clear" w:pos="850"/>
        <w:tab w:val="clear" w:pos="1191"/>
        <w:tab w:val="clear" w:pos="1531"/>
        <w:tab w:val="left" w:pos="340"/>
        <w:tab w:val="left" w:pos="680"/>
      </w:tabs>
      <w:spacing w:before="20" w:after="20"/>
      <w:jc w:val="right"/>
    </w:pPr>
    <w:rPr>
      <w:rFonts w:ascii="Arial Narrow" w:eastAsia="SimSun" w:hAnsi="Arial Narrow" w:cs="Arial"/>
      <w:sz w:val="17"/>
      <w:szCs w:val="18"/>
    </w:rPr>
  </w:style>
  <w:style w:type="paragraph" w:customStyle="1" w:styleId="CaptionSubtitle">
    <w:name w:val="Caption Subtitle"/>
    <w:basedOn w:val="Normal"/>
    <w:next w:val="Para"/>
    <w:qFormat/>
    <w:rsid w:val="001F2ACA"/>
    <w:pPr>
      <w:keepNext/>
      <w:tabs>
        <w:tab w:val="clear" w:pos="850"/>
        <w:tab w:val="clear" w:pos="1191"/>
        <w:tab w:val="clear" w:pos="1531"/>
      </w:tabs>
      <w:spacing w:after="120"/>
      <w:ind w:left="680" w:right="680"/>
      <w:jc w:val="center"/>
    </w:pPr>
    <w:rPr>
      <w:rFonts w:eastAsia="SimSun" w:cs="Arial"/>
      <w:sz w:val="18"/>
    </w:rPr>
  </w:style>
  <w:style w:type="paragraph" w:styleId="FootnoteText">
    <w:name w:val="footnote text"/>
    <w:basedOn w:val="Normal"/>
    <w:link w:val="FootnoteTextChar"/>
    <w:rsid w:val="001F2ACA"/>
    <w:pPr>
      <w:tabs>
        <w:tab w:val="clear" w:pos="850"/>
        <w:tab w:val="clear" w:pos="1191"/>
        <w:tab w:val="clear" w:pos="1531"/>
      </w:tabs>
      <w:spacing w:after="120"/>
      <w:ind w:left="680" w:right="680"/>
    </w:pPr>
    <w:rPr>
      <w:rFonts w:eastAsia="SimSun"/>
      <w:sz w:val="20"/>
    </w:rPr>
  </w:style>
  <w:style w:type="character" w:customStyle="1" w:styleId="FootnoteTextChar">
    <w:name w:val="Footnote Text Char"/>
    <w:basedOn w:val="DefaultParagraphFont"/>
    <w:link w:val="FootnoteText"/>
    <w:rsid w:val="001F2ACA"/>
    <w:rPr>
      <w:rFonts w:ascii="Times New Roman" w:eastAsia="SimSun" w:hAnsi="Times New Roman" w:cs="Times New Roman"/>
      <w:sz w:val="20"/>
      <w:szCs w:val="20"/>
    </w:rPr>
  </w:style>
  <w:style w:type="paragraph" w:styleId="Index1">
    <w:name w:val="index 1"/>
    <w:basedOn w:val="Normal"/>
    <w:next w:val="Normal"/>
    <w:semiHidden/>
    <w:rsid w:val="001F2ACA"/>
    <w:pPr>
      <w:tabs>
        <w:tab w:val="clear" w:pos="850"/>
        <w:tab w:val="clear" w:pos="1191"/>
        <w:tab w:val="clear" w:pos="1531"/>
      </w:tabs>
      <w:ind w:left="220" w:hanging="220"/>
    </w:pPr>
    <w:rPr>
      <w:rFonts w:eastAsia="SimSun"/>
    </w:rPr>
  </w:style>
  <w:style w:type="paragraph" w:customStyle="1" w:styleId="Sourcenotes">
    <w:name w:val="Source &amp; notes"/>
    <w:basedOn w:val="Normal"/>
    <w:qFormat/>
    <w:rsid w:val="001F2ACA"/>
    <w:pPr>
      <w:keepLines/>
      <w:tabs>
        <w:tab w:val="clear" w:pos="850"/>
        <w:tab w:val="clear" w:pos="1191"/>
        <w:tab w:val="clear" w:pos="1531"/>
      </w:tabs>
      <w:spacing w:before="120" w:after="240"/>
      <w:ind w:left="680" w:right="680"/>
      <w:contextualSpacing/>
    </w:pPr>
    <w:rPr>
      <w:rFonts w:eastAsia="SimSun" w:cs="Arial"/>
      <w:sz w:val="18"/>
      <w:szCs w:val="18"/>
    </w:rPr>
  </w:style>
  <w:style w:type="paragraph" w:customStyle="1" w:styleId="Para">
    <w:name w:val="Para"/>
    <w:basedOn w:val="Normal"/>
    <w:link w:val="ParaChar"/>
    <w:uiPriority w:val="3"/>
    <w:qFormat/>
    <w:rsid w:val="001F2ACA"/>
    <w:pPr>
      <w:tabs>
        <w:tab w:val="clear" w:pos="850"/>
        <w:tab w:val="clear" w:pos="1191"/>
        <w:tab w:val="clear" w:pos="1531"/>
      </w:tabs>
      <w:spacing w:before="120" w:after="120"/>
      <w:ind w:left="680" w:right="680"/>
    </w:pPr>
    <w:rPr>
      <w:rFonts w:eastAsia="SimSun"/>
    </w:rPr>
  </w:style>
  <w:style w:type="paragraph" w:customStyle="1" w:styleId="TableRow">
    <w:name w:val="Table Row"/>
    <w:basedOn w:val="TableCell"/>
    <w:qFormat/>
    <w:rsid w:val="001F2ACA"/>
    <w:pPr>
      <w:jc w:val="left"/>
    </w:pPr>
  </w:style>
  <w:style w:type="paragraph" w:customStyle="1" w:styleId="TableColumn">
    <w:name w:val="Table Column"/>
    <w:basedOn w:val="TableRow"/>
    <w:qFormat/>
    <w:rsid w:val="001F2ACA"/>
    <w:pPr>
      <w:jc w:val="center"/>
    </w:pPr>
  </w:style>
  <w:style w:type="character" w:styleId="Hyperlink">
    <w:name w:val="Hyperlink"/>
    <w:basedOn w:val="DefaultParagraphFont"/>
    <w:uiPriority w:val="99"/>
    <w:unhideWhenUsed/>
    <w:rsid w:val="001F2ACA"/>
    <w:rPr>
      <w:color w:val="2B3ECD"/>
      <w:u w:val="single"/>
    </w:rPr>
  </w:style>
  <w:style w:type="paragraph" w:customStyle="1" w:styleId="Default">
    <w:name w:val="Default"/>
    <w:basedOn w:val="NoSpacing"/>
    <w:link w:val="DefaultChar"/>
    <w:qFormat/>
    <w:rsid w:val="001F2ACA"/>
    <w:pPr>
      <w:tabs>
        <w:tab w:val="clear" w:pos="850"/>
        <w:tab w:val="clear" w:pos="1191"/>
        <w:tab w:val="clear" w:pos="1531"/>
      </w:tabs>
      <w:jc w:val="left"/>
    </w:pPr>
    <w:rPr>
      <w:rFonts w:eastAsiaTheme="minorEastAsia"/>
      <w:szCs w:val="22"/>
      <w:lang w:eastAsia="en-GB"/>
    </w:rPr>
  </w:style>
  <w:style w:type="character" w:customStyle="1" w:styleId="DefaultChar">
    <w:name w:val="Default Char"/>
    <w:basedOn w:val="DefaultParagraphFont"/>
    <w:link w:val="Default"/>
    <w:rsid w:val="001F2ACA"/>
    <w:rPr>
      <w:rFonts w:ascii="Times New Roman" w:eastAsiaTheme="minorEastAsia" w:hAnsi="Times New Roman" w:cs="Times New Roman"/>
      <w:lang w:eastAsia="en-GB"/>
    </w:rPr>
  </w:style>
  <w:style w:type="character" w:customStyle="1" w:styleId="ParaChar">
    <w:name w:val="Para Char"/>
    <w:basedOn w:val="DefaultParagraphFont"/>
    <w:link w:val="Para"/>
    <w:uiPriority w:val="3"/>
    <w:locked/>
    <w:rsid w:val="001F2ACA"/>
    <w:rPr>
      <w:rFonts w:ascii="Times New Roman" w:eastAsia="SimSun" w:hAnsi="Times New Roman" w:cs="Times New Roman"/>
      <w:szCs w:val="20"/>
    </w:rPr>
  </w:style>
  <w:style w:type="paragraph" w:styleId="NoSpacing">
    <w:name w:val="No Spacing"/>
    <w:uiPriority w:val="1"/>
    <w:qFormat/>
    <w:rsid w:val="001F2ACA"/>
    <w:pPr>
      <w:tabs>
        <w:tab w:val="left" w:pos="850"/>
        <w:tab w:val="left" w:pos="1191"/>
        <w:tab w:val="left" w:pos="1531"/>
      </w:tabs>
      <w:spacing w:after="0" w:line="240" w:lineRule="auto"/>
      <w:jc w:val="both"/>
    </w:pPr>
    <w:rPr>
      <w:rFonts w:ascii="Times New Roman" w:hAnsi="Times New Roman" w:cs="Times New Roman"/>
      <w:szCs w:val="20"/>
    </w:rPr>
  </w:style>
  <w:style w:type="paragraph" w:styleId="Caption">
    <w:name w:val="caption"/>
    <w:basedOn w:val="Normal"/>
    <w:next w:val="Normal"/>
    <w:uiPriority w:val="35"/>
    <w:qFormat/>
    <w:rsid w:val="00BA03A9"/>
    <w:pPr>
      <w:spacing w:before="120" w:after="120"/>
    </w:pPr>
    <w:rPr>
      <w:b/>
      <w:bCs/>
      <w:sz w:val="20"/>
    </w:rPr>
  </w:style>
  <w:style w:type="paragraph" w:customStyle="1" w:styleId="Figure">
    <w:name w:val="Figure"/>
    <w:basedOn w:val="Normal"/>
    <w:rsid w:val="00BA03A9"/>
    <w:pPr>
      <w:keepNext/>
      <w:keepLines/>
      <w:jc w:val="center"/>
    </w:pPr>
    <w:rPr>
      <w:noProof/>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org/employment/emp/onlineoecdemploymentdatabase.htm" TargetMode="External"/><Relationship Id="rId13" Type="http://schemas.openxmlformats.org/officeDocument/2006/relationships/hyperlink" Target="http://stats.oecd.org/Index.aspx?DataSetCode=CBC" TargetMode="External"/><Relationship Id="rId18" Type="http://schemas.openxmlformats.org/officeDocument/2006/relationships/hyperlink" Target="http://www.oecd.org/employment/emp/onlineoecdemploymentdatabase.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barrolee.com/" TargetMode="External"/><Relationship Id="rId7" Type="http://schemas.openxmlformats.org/officeDocument/2006/relationships/hyperlink" Target="https://portal.oecd.org/eshare/els/pc/Deliverables/EMO2018/Chapter%204%20-%20Collective%20bargaining%20and%20labour%20market%20performance/www.oecd.org/els/emp/lfsnotes_sources.pdf" TargetMode="External"/><Relationship Id="rId12" Type="http://schemas.openxmlformats.org/officeDocument/2006/relationships/hyperlink" Target="http://dx.doi.org/10.1787/data-00685-en" TargetMode="External"/><Relationship Id="rId17" Type="http://schemas.openxmlformats.org/officeDocument/2006/relationships/hyperlink" Target="http://www.oecd.org/employment/emp/onlineoecdemploymentdatabase.ht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oecd.org/employment/protection" TargetMode="External"/><Relationship Id="rId20" Type="http://schemas.openxmlformats.org/officeDocument/2006/relationships/hyperlink" Target="http://www.oecd.org/employment/emp/onlineoecdemploymentdatabas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oecd.org/eshare/els/pc/Deliverables/EMO2018/Chapter%204%20-%20Collective%20bargaining%20and%20labour%20market%20performance/www.oecd.org/employment/emp/employmentdatabase-earningsandwages.htm" TargetMode="External"/><Relationship Id="rId24"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yperlink" Target="http://www.oecd.org/eco/growth/indicatorsofproductmarketregulationhomepage.htm" TargetMode="External"/><Relationship Id="rId23" Type="http://schemas.openxmlformats.org/officeDocument/2006/relationships/image" Target="media/image1.emf"/><Relationship Id="rId10" Type="http://schemas.openxmlformats.org/officeDocument/2006/relationships/hyperlink" Target="https://portal.oecd.org/eshare/els/pc/Deliverables/EMO2018/Chapter%204%20-%20Collective%20bargaining%20and%20labour%20market%20performance/www.oecd.org/employment/outlook" TargetMode="External"/><Relationship Id="rId19" Type="http://schemas.openxmlformats.org/officeDocument/2006/relationships/hyperlink" Target="http://dx.doi.org/10.1787/data-00201-en" TargetMode="External"/><Relationship Id="rId4" Type="http://schemas.openxmlformats.org/officeDocument/2006/relationships/webSettings" Target="webSettings.xml"/><Relationship Id="rId9" Type="http://schemas.openxmlformats.org/officeDocument/2006/relationships/hyperlink" Target="http://dx.doi.org/10.1787/889e8641-en" TargetMode="External"/><Relationship Id="rId14" Type="http://schemas.openxmlformats.org/officeDocument/2006/relationships/hyperlink" Target="http://www.uva-aias.net/en/ictwss/" TargetMode="External"/><Relationship Id="rId22" Type="http://schemas.openxmlformats.org/officeDocument/2006/relationships/hyperlink" Target="https://stats.oecd.org/index.aspx?QueryId=51655"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2145</Words>
  <Characters>12232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2020-03-05T19:55:00Z</dcterms:created>
  <dcterms:modified xsi:type="dcterms:W3CDTF">2020-03-15T12:55:00Z</dcterms:modified>
</cp:coreProperties>
</file>