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8BC5F" w14:textId="25EB35EB" w:rsidR="00F731AC" w:rsidRPr="002C0FC3" w:rsidRDefault="00F731AC" w:rsidP="00F731AC">
      <w:pPr>
        <w:spacing w:line="480" w:lineRule="auto"/>
        <w:jc w:val="center"/>
        <w:rPr>
          <w:b/>
          <w:color w:val="auto"/>
          <w:sz w:val="28"/>
          <w:szCs w:val="28"/>
        </w:rPr>
      </w:pPr>
      <w:bookmarkStart w:id="0" w:name="OLE_LINK15"/>
      <w:bookmarkStart w:id="1" w:name="OLE_LINK16"/>
      <w:bookmarkStart w:id="2" w:name="OLE_LINK17"/>
      <w:bookmarkStart w:id="3" w:name="_GoBack"/>
      <w:bookmarkEnd w:id="3"/>
      <w:r w:rsidRPr="002C0FC3">
        <w:rPr>
          <w:b/>
          <w:color w:val="auto"/>
          <w:sz w:val="28"/>
          <w:szCs w:val="28"/>
        </w:rPr>
        <w:t>WEB APPENDI</w:t>
      </w:r>
      <w:r w:rsidR="00770C8F" w:rsidRPr="002C0FC3">
        <w:rPr>
          <w:b/>
          <w:color w:val="auto"/>
          <w:sz w:val="28"/>
          <w:szCs w:val="28"/>
        </w:rPr>
        <w:t>CES</w:t>
      </w:r>
    </w:p>
    <w:p w14:paraId="0C0F6A72" w14:textId="52A42F6A" w:rsidR="00F731AC" w:rsidRPr="002D1654" w:rsidRDefault="00F731AC" w:rsidP="00F731AC">
      <w:pPr>
        <w:spacing w:after="0" w:line="276" w:lineRule="auto"/>
        <w:jc w:val="center"/>
        <w:rPr>
          <w:rFonts w:eastAsia="Calibri"/>
          <w:b/>
          <w:color w:val="auto"/>
          <w:sz w:val="28"/>
          <w:szCs w:val="24"/>
          <w:lang w:val="en-GB" w:eastAsia="en-US"/>
        </w:rPr>
      </w:pPr>
      <w:r w:rsidRPr="002D1654">
        <w:rPr>
          <w:rFonts w:eastAsia="Calibri"/>
          <w:b/>
          <w:color w:val="auto"/>
          <w:sz w:val="28"/>
          <w:szCs w:val="24"/>
          <w:lang w:val="en-GB" w:eastAsia="en-US"/>
        </w:rPr>
        <w:t xml:space="preserve">Customer Satisfaction and its Impact on the Future Cost of Selling </w:t>
      </w:r>
    </w:p>
    <w:p w14:paraId="46735A66" w14:textId="77777777" w:rsidR="00F731AC" w:rsidRPr="002D1654" w:rsidRDefault="00F731AC" w:rsidP="00F731AC">
      <w:pPr>
        <w:spacing w:before="120" w:after="0" w:line="240" w:lineRule="auto"/>
        <w:jc w:val="center"/>
        <w:rPr>
          <w:b/>
          <w:color w:val="auto"/>
          <w:sz w:val="24"/>
          <w:szCs w:val="24"/>
        </w:rPr>
      </w:pPr>
    </w:p>
    <w:p w14:paraId="38CC611E" w14:textId="77777777" w:rsidR="00EA499E" w:rsidRDefault="00EA499E">
      <w:pPr>
        <w:rPr>
          <w:b/>
          <w:color w:val="auto"/>
          <w:sz w:val="24"/>
          <w:szCs w:val="24"/>
        </w:rPr>
      </w:pPr>
    </w:p>
    <w:p w14:paraId="40EDAC8B" w14:textId="77777777" w:rsidR="00EA499E" w:rsidRDefault="00EA499E">
      <w:pPr>
        <w:rPr>
          <w:b/>
          <w:color w:val="auto"/>
          <w:sz w:val="24"/>
          <w:szCs w:val="24"/>
        </w:rPr>
      </w:pPr>
    </w:p>
    <w:p w14:paraId="64045816" w14:textId="36A0634E" w:rsidR="00EA499E" w:rsidRDefault="002962BD" w:rsidP="002C0FC3">
      <w:pPr>
        <w:jc w:val="center"/>
        <w:rPr>
          <w:color w:val="auto"/>
          <w:sz w:val="24"/>
          <w:szCs w:val="24"/>
        </w:rPr>
      </w:pPr>
      <w:r>
        <w:rPr>
          <w:color w:val="auto"/>
          <w:sz w:val="24"/>
          <w:szCs w:val="24"/>
        </w:rPr>
        <w:t>Lim Leon Gim</w:t>
      </w:r>
    </w:p>
    <w:p w14:paraId="420E812D" w14:textId="0985DBDA" w:rsidR="002962BD" w:rsidRDefault="002962BD" w:rsidP="002C0FC3">
      <w:pPr>
        <w:jc w:val="center"/>
        <w:rPr>
          <w:color w:val="auto"/>
          <w:sz w:val="24"/>
          <w:szCs w:val="24"/>
        </w:rPr>
      </w:pPr>
      <w:r>
        <w:rPr>
          <w:color w:val="auto"/>
          <w:sz w:val="24"/>
          <w:szCs w:val="24"/>
        </w:rPr>
        <w:t>Kapil R. Tuli</w:t>
      </w:r>
    </w:p>
    <w:p w14:paraId="6F4FF084" w14:textId="39FFEBF1" w:rsidR="002962BD" w:rsidRDefault="002962BD" w:rsidP="002C0FC3">
      <w:pPr>
        <w:jc w:val="center"/>
        <w:rPr>
          <w:color w:val="auto"/>
          <w:sz w:val="24"/>
          <w:szCs w:val="24"/>
        </w:rPr>
      </w:pPr>
      <w:r>
        <w:rPr>
          <w:color w:val="auto"/>
          <w:sz w:val="24"/>
          <w:szCs w:val="24"/>
        </w:rPr>
        <w:t>Rajdeep Grewal</w:t>
      </w:r>
    </w:p>
    <w:p w14:paraId="2A0B5A70" w14:textId="77777777" w:rsidR="002962BD" w:rsidRPr="002C0FC3" w:rsidRDefault="002962BD" w:rsidP="002C0FC3">
      <w:pPr>
        <w:jc w:val="center"/>
        <w:rPr>
          <w:color w:val="auto"/>
          <w:sz w:val="24"/>
          <w:szCs w:val="24"/>
        </w:rPr>
      </w:pPr>
    </w:p>
    <w:p w14:paraId="71AF7E3D" w14:textId="67039C96" w:rsidR="00EA499E" w:rsidRDefault="00EA499E" w:rsidP="002C0FC3">
      <w:pPr>
        <w:jc w:val="center"/>
        <w:rPr>
          <w:b/>
          <w:color w:val="auto"/>
          <w:sz w:val="24"/>
          <w:szCs w:val="24"/>
        </w:rPr>
      </w:pPr>
    </w:p>
    <w:p w14:paraId="109B0BB9" w14:textId="7E48E691" w:rsidR="00EA499E" w:rsidRDefault="00EA499E" w:rsidP="002C0FC3">
      <w:pPr>
        <w:jc w:val="center"/>
        <w:rPr>
          <w:b/>
          <w:color w:val="auto"/>
          <w:sz w:val="24"/>
          <w:szCs w:val="24"/>
        </w:rPr>
      </w:pPr>
      <w:r>
        <w:rPr>
          <w:b/>
          <w:color w:val="auto"/>
          <w:sz w:val="24"/>
          <w:szCs w:val="24"/>
        </w:rPr>
        <w:t>Table of Content</w:t>
      </w:r>
      <w:r w:rsidR="002C0FC3">
        <w:rPr>
          <w:b/>
          <w:color w:val="auto"/>
          <w:sz w:val="24"/>
          <w:szCs w:val="24"/>
        </w:rPr>
        <w:t>s</w:t>
      </w:r>
    </w:p>
    <w:p w14:paraId="3A1F4AD4" w14:textId="3B77DDE4" w:rsidR="00EA499E" w:rsidRDefault="00EA499E">
      <w:pPr>
        <w:rPr>
          <w:b/>
          <w:color w:val="auto"/>
          <w:sz w:val="24"/>
          <w:szCs w:val="24"/>
        </w:rPr>
      </w:pPr>
    </w:p>
    <w:tbl>
      <w:tblPr>
        <w:tblStyle w:val="TableGrid"/>
        <w:tblW w:w="8829" w:type="dxa"/>
        <w:tblLook w:val="04A0" w:firstRow="1" w:lastRow="0" w:firstColumn="1" w:lastColumn="0" w:noHBand="0" w:noVBand="1"/>
      </w:tblPr>
      <w:tblGrid>
        <w:gridCol w:w="1885"/>
        <w:gridCol w:w="6234"/>
        <w:gridCol w:w="710"/>
      </w:tblGrid>
      <w:tr w:rsidR="00A93024" w14:paraId="29ABF858" w14:textId="77777777" w:rsidTr="00A93024">
        <w:trPr>
          <w:trHeight w:val="235"/>
        </w:trPr>
        <w:tc>
          <w:tcPr>
            <w:tcW w:w="1885" w:type="dxa"/>
            <w:vAlign w:val="center"/>
          </w:tcPr>
          <w:p w14:paraId="482F9578" w14:textId="47C58044" w:rsidR="00EA499E" w:rsidRDefault="002962BD" w:rsidP="002C0FC3">
            <w:pPr>
              <w:jc w:val="center"/>
              <w:rPr>
                <w:b/>
                <w:color w:val="auto"/>
                <w:sz w:val="24"/>
                <w:szCs w:val="24"/>
              </w:rPr>
            </w:pPr>
            <w:r>
              <w:rPr>
                <w:b/>
                <w:color w:val="auto"/>
                <w:sz w:val="24"/>
                <w:szCs w:val="24"/>
              </w:rPr>
              <w:t xml:space="preserve">Web </w:t>
            </w:r>
            <w:r w:rsidR="00EA499E">
              <w:rPr>
                <w:b/>
                <w:color w:val="auto"/>
                <w:sz w:val="24"/>
                <w:szCs w:val="24"/>
              </w:rPr>
              <w:t>Appendix</w:t>
            </w:r>
          </w:p>
        </w:tc>
        <w:tc>
          <w:tcPr>
            <w:tcW w:w="6234" w:type="dxa"/>
            <w:vAlign w:val="center"/>
          </w:tcPr>
          <w:p w14:paraId="6485FF1F" w14:textId="3D90493F" w:rsidR="00EA499E" w:rsidRDefault="00EA499E" w:rsidP="002C0FC3">
            <w:pPr>
              <w:jc w:val="center"/>
              <w:rPr>
                <w:b/>
                <w:color w:val="auto"/>
                <w:sz w:val="24"/>
                <w:szCs w:val="24"/>
              </w:rPr>
            </w:pPr>
            <w:r>
              <w:rPr>
                <w:b/>
                <w:color w:val="auto"/>
                <w:sz w:val="24"/>
                <w:szCs w:val="24"/>
              </w:rPr>
              <w:t>Title</w:t>
            </w:r>
          </w:p>
        </w:tc>
        <w:tc>
          <w:tcPr>
            <w:tcW w:w="710" w:type="dxa"/>
            <w:vAlign w:val="center"/>
          </w:tcPr>
          <w:p w14:paraId="03994300" w14:textId="19A23149" w:rsidR="00EA499E" w:rsidRDefault="00EA499E" w:rsidP="002C0FC3">
            <w:pPr>
              <w:jc w:val="center"/>
              <w:rPr>
                <w:b/>
                <w:color w:val="auto"/>
                <w:sz w:val="24"/>
                <w:szCs w:val="24"/>
              </w:rPr>
            </w:pPr>
            <w:r>
              <w:rPr>
                <w:b/>
                <w:color w:val="auto"/>
                <w:sz w:val="24"/>
                <w:szCs w:val="24"/>
              </w:rPr>
              <w:t>Page</w:t>
            </w:r>
          </w:p>
        </w:tc>
      </w:tr>
      <w:tr w:rsidR="002C7E02" w14:paraId="16345B01" w14:textId="77777777" w:rsidTr="00A93024">
        <w:trPr>
          <w:trHeight w:val="235"/>
        </w:trPr>
        <w:tc>
          <w:tcPr>
            <w:tcW w:w="1885" w:type="dxa"/>
            <w:vMerge w:val="restart"/>
            <w:vAlign w:val="center"/>
          </w:tcPr>
          <w:p w14:paraId="45631B4A" w14:textId="27046C0F" w:rsidR="002C7E02" w:rsidRPr="002D1E7E" w:rsidRDefault="002C7E02" w:rsidP="002C0FC3">
            <w:pPr>
              <w:jc w:val="center"/>
              <w:rPr>
                <w:bCs/>
                <w:color w:val="auto"/>
                <w:sz w:val="24"/>
                <w:szCs w:val="24"/>
              </w:rPr>
            </w:pPr>
            <w:r w:rsidRPr="002D1E7E">
              <w:rPr>
                <w:bCs/>
                <w:color w:val="auto"/>
                <w:sz w:val="24"/>
                <w:szCs w:val="24"/>
              </w:rPr>
              <w:t>A</w:t>
            </w:r>
          </w:p>
        </w:tc>
        <w:tc>
          <w:tcPr>
            <w:tcW w:w="6234" w:type="dxa"/>
            <w:vAlign w:val="center"/>
          </w:tcPr>
          <w:p w14:paraId="061ABF20" w14:textId="1A11E837" w:rsidR="002C7E02" w:rsidRPr="002D1E7E" w:rsidRDefault="002C7E02">
            <w:pPr>
              <w:rPr>
                <w:bCs/>
                <w:color w:val="auto"/>
                <w:sz w:val="24"/>
                <w:szCs w:val="24"/>
              </w:rPr>
            </w:pPr>
            <w:r>
              <w:rPr>
                <w:bCs/>
                <w:color w:val="auto"/>
                <w:sz w:val="24"/>
                <w:szCs w:val="24"/>
              </w:rPr>
              <w:t xml:space="preserve">Table A1: </w:t>
            </w:r>
            <w:r w:rsidRPr="002D1E7E">
              <w:rPr>
                <w:bCs/>
                <w:color w:val="auto"/>
                <w:sz w:val="24"/>
                <w:szCs w:val="24"/>
              </w:rPr>
              <w:t>Comparing the Cost Related Concepts</w:t>
            </w:r>
          </w:p>
        </w:tc>
        <w:tc>
          <w:tcPr>
            <w:tcW w:w="710" w:type="dxa"/>
            <w:vAlign w:val="center"/>
          </w:tcPr>
          <w:p w14:paraId="4B22EEEA" w14:textId="00FB19C9" w:rsidR="002C7E02" w:rsidRPr="002D1E7E" w:rsidRDefault="002C7E02" w:rsidP="002C0FC3">
            <w:pPr>
              <w:jc w:val="center"/>
              <w:rPr>
                <w:bCs/>
                <w:color w:val="auto"/>
                <w:sz w:val="24"/>
                <w:szCs w:val="24"/>
              </w:rPr>
            </w:pPr>
            <w:r>
              <w:rPr>
                <w:bCs/>
                <w:color w:val="auto"/>
                <w:sz w:val="24"/>
                <w:szCs w:val="24"/>
              </w:rPr>
              <w:t>1</w:t>
            </w:r>
          </w:p>
        </w:tc>
      </w:tr>
      <w:tr w:rsidR="002C7E02" w14:paraId="7E3077C6" w14:textId="77777777" w:rsidTr="00A93024">
        <w:trPr>
          <w:trHeight w:val="235"/>
        </w:trPr>
        <w:tc>
          <w:tcPr>
            <w:tcW w:w="1885" w:type="dxa"/>
            <w:vMerge/>
            <w:vAlign w:val="center"/>
          </w:tcPr>
          <w:p w14:paraId="4307B578" w14:textId="77777777" w:rsidR="002C7E02" w:rsidRPr="002D1E7E" w:rsidRDefault="002C7E02" w:rsidP="002C0FC3">
            <w:pPr>
              <w:jc w:val="center"/>
              <w:rPr>
                <w:bCs/>
                <w:color w:val="auto"/>
                <w:sz w:val="24"/>
                <w:szCs w:val="24"/>
              </w:rPr>
            </w:pPr>
          </w:p>
        </w:tc>
        <w:tc>
          <w:tcPr>
            <w:tcW w:w="6234" w:type="dxa"/>
            <w:vAlign w:val="center"/>
          </w:tcPr>
          <w:p w14:paraId="19C99A08" w14:textId="7B1648D1" w:rsidR="002C7E02" w:rsidRPr="002D1E7E" w:rsidRDefault="002C7E02">
            <w:pPr>
              <w:rPr>
                <w:bCs/>
                <w:color w:val="auto"/>
                <w:sz w:val="24"/>
                <w:szCs w:val="24"/>
              </w:rPr>
            </w:pPr>
            <w:r>
              <w:rPr>
                <w:bCs/>
                <w:color w:val="auto"/>
                <w:sz w:val="24"/>
                <w:szCs w:val="24"/>
              </w:rPr>
              <w:t xml:space="preserve">Table A2: </w:t>
            </w:r>
            <w:r w:rsidRPr="002D1E7E">
              <w:rPr>
                <w:bCs/>
                <w:color w:val="auto"/>
                <w:sz w:val="24"/>
                <w:szCs w:val="24"/>
              </w:rPr>
              <w:t>Exemplifying the Cos Measure</w:t>
            </w:r>
          </w:p>
        </w:tc>
        <w:tc>
          <w:tcPr>
            <w:tcW w:w="710" w:type="dxa"/>
            <w:vAlign w:val="center"/>
          </w:tcPr>
          <w:p w14:paraId="6626EBC9" w14:textId="20F47B08" w:rsidR="002C7E02" w:rsidRDefault="002C7E02" w:rsidP="002C0FC3">
            <w:pPr>
              <w:jc w:val="center"/>
              <w:rPr>
                <w:bCs/>
                <w:color w:val="auto"/>
                <w:sz w:val="24"/>
                <w:szCs w:val="24"/>
              </w:rPr>
            </w:pPr>
            <w:r>
              <w:rPr>
                <w:bCs/>
                <w:color w:val="auto"/>
                <w:sz w:val="24"/>
                <w:szCs w:val="24"/>
              </w:rPr>
              <w:t>2</w:t>
            </w:r>
          </w:p>
        </w:tc>
      </w:tr>
      <w:tr w:rsidR="00A93024" w14:paraId="2EAFEFF3" w14:textId="77777777" w:rsidTr="00A93024">
        <w:trPr>
          <w:trHeight w:val="235"/>
        </w:trPr>
        <w:tc>
          <w:tcPr>
            <w:tcW w:w="1885" w:type="dxa"/>
            <w:vAlign w:val="center"/>
          </w:tcPr>
          <w:p w14:paraId="71940097" w14:textId="7CBA6CED" w:rsidR="00EA499E" w:rsidRPr="002D1E7E" w:rsidRDefault="002D1E7E" w:rsidP="002C0FC3">
            <w:pPr>
              <w:jc w:val="center"/>
              <w:rPr>
                <w:bCs/>
                <w:color w:val="auto"/>
                <w:sz w:val="24"/>
                <w:szCs w:val="24"/>
              </w:rPr>
            </w:pPr>
            <w:r w:rsidRPr="002D1E7E">
              <w:rPr>
                <w:bCs/>
                <w:color w:val="auto"/>
                <w:sz w:val="24"/>
                <w:szCs w:val="24"/>
              </w:rPr>
              <w:t>B</w:t>
            </w:r>
          </w:p>
        </w:tc>
        <w:tc>
          <w:tcPr>
            <w:tcW w:w="6234" w:type="dxa"/>
            <w:vAlign w:val="center"/>
          </w:tcPr>
          <w:p w14:paraId="55E788C8" w14:textId="127BFF49" w:rsidR="00EA499E" w:rsidRPr="002D1E7E" w:rsidRDefault="002D1E7E">
            <w:pPr>
              <w:rPr>
                <w:bCs/>
                <w:color w:val="auto"/>
                <w:sz w:val="24"/>
                <w:szCs w:val="24"/>
              </w:rPr>
            </w:pPr>
            <w:r w:rsidRPr="002D1E7E">
              <w:rPr>
                <w:bCs/>
                <w:color w:val="auto"/>
                <w:sz w:val="24"/>
                <w:szCs w:val="24"/>
              </w:rPr>
              <w:t>Text Analyses Using WRDS SEC Analytics Suite</w:t>
            </w:r>
          </w:p>
        </w:tc>
        <w:tc>
          <w:tcPr>
            <w:tcW w:w="710" w:type="dxa"/>
            <w:vAlign w:val="center"/>
          </w:tcPr>
          <w:p w14:paraId="2E773819" w14:textId="3C18D1D7" w:rsidR="00EA499E" w:rsidRPr="002D1E7E" w:rsidRDefault="002D1E7E" w:rsidP="002C0FC3">
            <w:pPr>
              <w:jc w:val="center"/>
              <w:rPr>
                <w:bCs/>
                <w:color w:val="auto"/>
                <w:sz w:val="24"/>
                <w:szCs w:val="24"/>
              </w:rPr>
            </w:pPr>
            <w:r>
              <w:rPr>
                <w:bCs/>
                <w:color w:val="auto"/>
                <w:sz w:val="24"/>
                <w:szCs w:val="24"/>
              </w:rPr>
              <w:t>3</w:t>
            </w:r>
          </w:p>
        </w:tc>
      </w:tr>
      <w:tr w:rsidR="00A93024" w14:paraId="653C0392" w14:textId="77777777" w:rsidTr="00A93024">
        <w:trPr>
          <w:trHeight w:val="245"/>
        </w:trPr>
        <w:tc>
          <w:tcPr>
            <w:tcW w:w="1885" w:type="dxa"/>
            <w:vAlign w:val="center"/>
          </w:tcPr>
          <w:p w14:paraId="2E950117" w14:textId="16F1CDB7" w:rsidR="00EA499E" w:rsidRPr="002D1E7E" w:rsidRDefault="002D1E7E" w:rsidP="002C0FC3">
            <w:pPr>
              <w:jc w:val="center"/>
              <w:rPr>
                <w:bCs/>
                <w:color w:val="auto"/>
                <w:sz w:val="24"/>
                <w:szCs w:val="24"/>
              </w:rPr>
            </w:pPr>
            <w:r w:rsidRPr="002D1E7E">
              <w:rPr>
                <w:bCs/>
                <w:color w:val="auto"/>
                <w:sz w:val="24"/>
                <w:szCs w:val="24"/>
              </w:rPr>
              <w:t>C</w:t>
            </w:r>
          </w:p>
        </w:tc>
        <w:tc>
          <w:tcPr>
            <w:tcW w:w="6234" w:type="dxa"/>
            <w:vAlign w:val="center"/>
          </w:tcPr>
          <w:p w14:paraId="25579198" w14:textId="3B2E0FB1" w:rsidR="00EA499E" w:rsidRPr="00A93024" w:rsidRDefault="00A93024" w:rsidP="00A93024">
            <w:pPr>
              <w:spacing w:line="245" w:lineRule="auto"/>
              <w:rPr>
                <w:rFonts w:eastAsia="Times New Roman"/>
                <w:color w:val="auto"/>
                <w:sz w:val="24"/>
                <w:szCs w:val="24"/>
                <w:lang w:eastAsia="en-SG"/>
              </w:rPr>
            </w:pPr>
            <w:r w:rsidRPr="00A93024">
              <w:rPr>
                <w:rFonts w:eastAsia="Times New Roman"/>
                <w:color w:val="auto"/>
                <w:sz w:val="24"/>
                <w:szCs w:val="24"/>
                <w:lang w:eastAsia="en-SG"/>
              </w:rPr>
              <w:t>Table C1: Control Variables, Measures and Data Sources</w:t>
            </w:r>
          </w:p>
        </w:tc>
        <w:tc>
          <w:tcPr>
            <w:tcW w:w="710" w:type="dxa"/>
            <w:vAlign w:val="center"/>
          </w:tcPr>
          <w:p w14:paraId="2B793D93" w14:textId="6F8FD2DB" w:rsidR="00EA499E" w:rsidRPr="002D1E7E" w:rsidRDefault="00A93024" w:rsidP="002C0FC3">
            <w:pPr>
              <w:jc w:val="center"/>
              <w:rPr>
                <w:bCs/>
                <w:color w:val="auto"/>
                <w:sz w:val="24"/>
                <w:szCs w:val="24"/>
              </w:rPr>
            </w:pPr>
            <w:r>
              <w:rPr>
                <w:bCs/>
                <w:color w:val="auto"/>
                <w:sz w:val="24"/>
                <w:szCs w:val="24"/>
              </w:rPr>
              <w:t>5</w:t>
            </w:r>
          </w:p>
        </w:tc>
      </w:tr>
      <w:tr w:rsidR="00A57E42" w14:paraId="574CBD79" w14:textId="77777777" w:rsidTr="00A93024">
        <w:trPr>
          <w:trHeight w:val="225"/>
        </w:trPr>
        <w:tc>
          <w:tcPr>
            <w:tcW w:w="1885" w:type="dxa"/>
            <w:vMerge w:val="restart"/>
            <w:vAlign w:val="center"/>
          </w:tcPr>
          <w:p w14:paraId="4A61E9B4" w14:textId="556DA4A5" w:rsidR="00A57E42" w:rsidRPr="002D1E7E" w:rsidRDefault="00A57E42" w:rsidP="002C0FC3">
            <w:pPr>
              <w:jc w:val="center"/>
              <w:rPr>
                <w:bCs/>
                <w:color w:val="auto"/>
                <w:sz w:val="24"/>
                <w:szCs w:val="24"/>
              </w:rPr>
            </w:pPr>
            <w:r w:rsidRPr="002D1E7E">
              <w:rPr>
                <w:bCs/>
                <w:color w:val="auto"/>
                <w:sz w:val="24"/>
                <w:szCs w:val="24"/>
              </w:rPr>
              <w:t>D</w:t>
            </w:r>
          </w:p>
        </w:tc>
        <w:tc>
          <w:tcPr>
            <w:tcW w:w="6234" w:type="dxa"/>
            <w:vAlign w:val="center"/>
          </w:tcPr>
          <w:p w14:paraId="294F8D49" w14:textId="24D45B52" w:rsidR="00A57E42" w:rsidRPr="002D1E7E" w:rsidRDefault="00A57E42">
            <w:pPr>
              <w:rPr>
                <w:bCs/>
                <w:color w:val="auto"/>
                <w:sz w:val="24"/>
                <w:szCs w:val="24"/>
              </w:rPr>
            </w:pPr>
            <w:r w:rsidRPr="00A93024">
              <w:rPr>
                <w:bCs/>
                <w:color w:val="auto"/>
                <w:sz w:val="24"/>
                <w:szCs w:val="24"/>
              </w:rPr>
              <w:t>Operationalization of the Weights</w:t>
            </w:r>
          </w:p>
        </w:tc>
        <w:tc>
          <w:tcPr>
            <w:tcW w:w="710" w:type="dxa"/>
            <w:vAlign w:val="center"/>
          </w:tcPr>
          <w:p w14:paraId="6BEBFCC3" w14:textId="01C02512" w:rsidR="00A57E42" w:rsidRPr="002D1E7E" w:rsidRDefault="00A57E42" w:rsidP="002C0FC3">
            <w:pPr>
              <w:jc w:val="center"/>
              <w:rPr>
                <w:bCs/>
                <w:color w:val="auto"/>
                <w:sz w:val="24"/>
                <w:szCs w:val="24"/>
              </w:rPr>
            </w:pPr>
            <w:r>
              <w:rPr>
                <w:bCs/>
                <w:color w:val="auto"/>
                <w:sz w:val="24"/>
                <w:szCs w:val="24"/>
              </w:rPr>
              <w:t>6</w:t>
            </w:r>
          </w:p>
        </w:tc>
      </w:tr>
      <w:tr w:rsidR="00A57E42" w14:paraId="614C41D0" w14:textId="77777777" w:rsidTr="00A93024">
        <w:trPr>
          <w:trHeight w:val="235"/>
        </w:trPr>
        <w:tc>
          <w:tcPr>
            <w:tcW w:w="1885" w:type="dxa"/>
            <w:vMerge/>
            <w:vAlign w:val="center"/>
          </w:tcPr>
          <w:p w14:paraId="360DB5E1" w14:textId="77777777" w:rsidR="00A57E42" w:rsidRPr="002D1E7E" w:rsidRDefault="00A57E42" w:rsidP="002C0FC3">
            <w:pPr>
              <w:jc w:val="center"/>
              <w:rPr>
                <w:bCs/>
                <w:color w:val="auto"/>
                <w:sz w:val="24"/>
                <w:szCs w:val="24"/>
              </w:rPr>
            </w:pPr>
          </w:p>
        </w:tc>
        <w:tc>
          <w:tcPr>
            <w:tcW w:w="6234" w:type="dxa"/>
            <w:vAlign w:val="center"/>
          </w:tcPr>
          <w:p w14:paraId="47075A4B" w14:textId="67AD9560" w:rsidR="00A57E42" w:rsidRPr="002D1E7E" w:rsidRDefault="00A57E42" w:rsidP="00A93024">
            <w:pPr>
              <w:rPr>
                <w:bCs/>
                <w:color w:val="auto"/>
                <w:sz w:val="24"/>
                <w:szCs w:val="24"/>
              </w:rPr>
            </w:pPr>
            <w:r w:rsidRPr="00A93024">
              <w:rPr>
                <w:bCs/>
                <w:color w:val="auto"/>
                <w:sz w:val="24"/>
                <w:szCs w:val="24"/>
              </w:rPr>
              <w:t xml:space="preserve">Table D1: Examples of </w:t>
            </w:r>
            <w:r>
              <w:rPr>
                <w:bCs/>
                <w:color w:val="auto"/>
                <w:sz w:val="24"/>
                <w:szCs w:val="24"/>
              </w:rPr>
              <w:t>t</w:t>
            </w:r>
            <w:r w:rsidRPr="00A93024">
              <w:rPr>
                <w:bCs/>
                <w:color w:val="auto"/>
                <w:sz w:val="24"/>
                <w:szCs w:val="24"/>
              </w:rPr>
              <w:t xml:space="preserve">he Measurement </w:t>
            </w:r>
            <w:r>
              <w:rPr>
                <w:bCs/>
                <w:color w:val="auto"/>
                <w:sz w:val="24"/>
                <w:szCs w:val="24"/>
              </w:rPr>
              <w:t>o</w:t>
            </w:r>
            <w:r w:rsidRPr="00A93024">
              <w:rPr>
                <w:bCs/>
                <w:color w:val="auto"/>
                <w:sz w:val="24"/>
                <w:szCs w:val="24"/>
              </w:rPr>
              <w:t xml:space="preserve">f </w:t>
            </w:r>
            <w:r>
              <w:rPr>
                <w:bCs/>
                <w:color w:val="auto"/>
                <w:sz w:val="24"/>
                <w:szCs w:val="24"/>
              </w:rPr>
              <w:t>t</w:t>
            </w:r>
            <w:r w:rsidRPr="00A93024">
              <w:rPr>
                <w:bCs/>
                <w:color w:val="auto"/>
                <w:sz w:val="24"/>
                <w:szCs w:val="24"/>
              </w:rPr>
              <w:t xml:space="preserve">he Weighted Peers’ Customer Satisfaction Scores </w:t>
            </w:r>
            <w:r>
              <w:rPr>
                <w:bCs/>
                <w:color w:val="auto"/>
                <w:sz w:val="24"/>
                <w:szCs w:val="24"/>
              </w:rPr>
              <w:t>i</w:t>
            </w:r>
            <w:r w:rsidRPr="00A93024">
              <w:rPr>
                <w:bCs/>
                <w:color w:val="auto"/>
                <w:sz w:val="24"/>
                <w:szCs w:val="24"/>
              </w:rPr>
              <w:t xml:space="preserve">n </w:t>
            </w:r>
            <w:r>
              <w:rPr>
                <w:bCs/>
                <w:color w:val="auto"/>
                <w:sz w:val="24"/>
                <w:szCs w:val="24"/>
              </w:rPr>
              <w:t>ACSI</w:t>
            </w:r>
            <w:r w:rsidRPr="00A93024">
              <w:rPr>
                <w:bCs/>
                <w:color w:val="auto"/>
                <w:sz w:val="24"/>
                <w:szCs w:val="24"/>
              </w:rPr>
              <w:t xml:space="preserve"> Transportation Sector (2010)</w:t>
            </w:r>
          </w:p>
        </w:tc>
        <w:tc>
          <w:tcPr>
            <w:tcW w:w="710" w:type="dxa"/>
            <w:vAlign w:val="center"/>
          </w:tcPr>
          <w:p w14:paraId="001FDC1F" w14:textId="168C0660" w:rsidR="00A57E42" w:rsidRPr="002D1E7E" w:rsidRDefault="00A57E42" w:rsidP="002C0FC3">
            <w:pPr>
              <w:jc w:val="center"/>
              <w:rPr>
                <w:bCs/>
                <w:color w:val="auto"/>
                <w:sz w:val="24"/>
                <w:szCs w:val="24"/>
              </w:rPr>
            </w:pPr>
            <w:r>
              <w:rPr>
                <w:bCs/>
                <w:color w:val="auto"/>
                <w:sz w:val="24"/>
                <w:szCs w:val="24"/>
              </w:rPr>
              <w:t>7</w:t>
            </w:r>
          </w:p>
        </w:tc>
      </w:tr>
      <w:tr w:rsidR="00A57E42" w14:paraId="6D740260" w14:textId="77777777" w:rsidTr="00A93024">
        <w:trPr>
          <w:trHeight w:val="235"/>
        </w:trPr>
        <w:tc>
          <w:tcPr>
            <w:tcW w:w="1885" w:type="dxa"/>
            <w:vMerge w:val="restart"/>
            <w:vAlign w:val="center"/>
          </w:tcPr>
          <w:p w14:paraId="3E6BC3A7" w14:textId="1C8C2F39" w:rsidR="00A57E42" w:rsidRPr="002D1E7E" w:rsidRDefault="00A57E42" w:rsidP="002C0FC3">
            <w:pPr>
              <w:jc w:val="center"/>
              <w:rPr>
                <w:bCs/>
                <w:color w:val="auto"/>
                <w:sz w:val="24"/>
                <w:szCs w:val="24"/>
              </w:rPr>
            </w:pPr>
            <w:r>
              <w:rPr>
                <w:bCs/>
                <w:color w:val="auto"/>
                <w:sz w:val="24"/>
                <w:szCs w:val="24"/>
              </w:rPr>
              <w:t>E</w:t>
            </w:r>
          </w:p>
        </w:tc>
        <w:tc>
          <w:tcPr>
            <w:tcW w:w="6234" w:type="dxa"/>
            <w:vAlign w:val="center"/>
          </w:tcPr>
          <w:p w14:paraId="473DAD9E" w14:textId="3797835F" w:rsidR="00A57E42" w:rsidRPr="00A93024" w:rsidRDefault="00A57E42" w:rsidP="00A93024">
            <w:pPr>
              <w:spacing w:line="245" w:lineRule="auto"/>
              <w:rPr>
                <w:rFonts w:eastAsia="Times New Roman"/>
                <w:color w:val="auto"/>
                <w:sz w:val="24"/>
                <w:szCs w:val="23"/>
              </w:rPr>
            </w:pPr>
            <w:r w:rsidRPr="00A93024">
              <w:rPr>
                <w:rFonts w:eastAsia="Times New Roman"/>
                <w:color w:val="auto"/>
                <w:sz w:val="24"/>
                <w:szCs w:val="23"/>
              </w:rPr>
              <w:t>Table E1: Results from Auxiliary Regression</w:t>
            </w:r>
          </w:p>
        </w:tc>
        <w:tc>
          <w:tcPr>
            <w:tcW w:w="710" w:type="dxa"/>
            <w:vAlign w:val="center"/>
          </w:tcPr>
          <w:p w14:paraId="243A58F9" w14:textId="4A97B6F1" w:rsidR="00A57E42" w:rsidRPr="002D1E7E" w:rsidRDefault="00A57E42" w:rsidP="002C0FC3">
            <w:pPr>
              <w:jc w:val="center"/>
              <w:rPr>
                <w:bCs/>
                <w:color w:val="auto"/>
                <w:sz w:val="24"/>
                <w:szCs w:val="24"/>
              </w:rPr>
            </w:pPr>
            <w:r>
              <w:rPr>
                <w:bCs/>
                <w:color w:val="auto"/>
                <w:sz w:val="24"/>
                <w:szCs w:val="24"/>
              </w:rPr>
              <w:t>8</w:t>
            </w:r>
          </w:p>
        </w:tc>
      </w:tr>
      <w:tr w:rsidR="00A57E42" w14:paraId="65B6A1F2" w14:textId="77777777" w:rsidTr="00A93024">
        <w:trPr>
          <w:trHeight w:val="235"/>
        </w:trPr>
        <w:tc>
          <w:tcPr>
            <w:tcW w:w="1885" w:type="dxa"/>
            <w:vMerge/>
            <w:vAlign w:val="center"/>
          </w:tcPr>
          <w:p w14:paraId="2593BA68" w14:textId="77777777" w:rsidR="00A57E42" w:rsidRDefault="00A57E42" w:rsidP="002C0FC3">
            <w:pPr>
              <w:jc w:val="center"/>
              <w:rPr>
                <w:bCs/>
                <w:color w:val="auto"/>
                <w:sz w:val="24"/>
                <w:szCs w:val="24"/>
              </w:rPr>
            </w:pPr>
          </w:p>
        </w:tc>
        <w:tc>
          <w:tcPr>
            <w:tcW w:w="6234" w:type="dxa"/>
            <w:vAlign w:val="center"/>
          </w:tcPr>
          <w:p w14:paraId="2F62FD5A" w14:textId="1352BCA2" w:rsidR="00A57E42" w:rsidRPr="00A93024" w:rsidRDefault="00A57E42" w:rsidP="00A93024">
            <w:pPr>
              <w:spacing w:line="245" w:lineRule="auto"/>
              <w:rPr>
                <w:rFonts w:eastAsia="Times New Roman"/>
                <w:color w:val="auto"/>
                <w:sz w:val="24"/>
                <w:szCs w:val="23"/>
              </w:rPr>
            </w:pPr>
            <w:r>
              <w:rPr>
                <w:rFonts w:eastAsia="Times New Roman"/>
                <w:color w:val="auto"/>
                <w:sz w:val="24"/>
                <w:szCs w:val="23"/>
              </w:rPr>
              <w:t xml:space="preserve">Figure E1: </w:t>
            </w:r>
            <w:r w:rsidRPr="00A57E42">
              <w:rPr>
                <w:rFonts w:eastAsia="Times New Roman"/>
                <w:color w:val="auto"/>
                <w:sz w:val="24"/>
                <w:szCs w:val="23"/>
              </w:rPr>
              <w:t>Histogram of Weighted Peers’ Customer Satisfaction By A</w:t>
            </w:r>
            <w:r>
              <w:rPr>
                <w:rFonts w:eastAsia="Times New Roman"/>
                <w:color w:val="auto"/>
                <w:sz w:val="24"/>
                <w:szCs w:val="23"/>
              </w:rPr>
              <w:t>CSI</w:t>
            </w:r>
            <w:r w:rsidRPr="00A57E42">
              <w:rPr>
                <w:rFonts w:eastAsia="Times New Roman"/>
                <w:color w:val="auto"/>
                <w:sz w:val="24"/>
                <w:szCs w:val="23"/>
              </w:rPr>
              <w:t>-Defined Sectors</w:t>
            </w:r>
          </w:p>
        </w:tc>
        <w:tc>
          <w:tcPr>
            <w:tcW w:w="710" w:type="dxa"/>
            <w:vAlign w:val="center"/>
          </w:tcPr>
          <w:p w14:paraId="039E29CF" w14:textId="681B602D" w:rsidR="00A57E42" w:rsidRDefault="00A57E42" w:rsidP="002C0FC3">
            <w:pPr>
              <w:jc w:val="center"/>
              <w:rPr>
                <w:bCs/>
                <w:color w:val="auto"/>
                <w:sz w:val="24"/>
                <w:szCs w:val="24"/>
              </w:rPr>
            </w:pPr>
            <w:r>
              <w:rPr>
                <w:bCs/>
                <w:color w:val="auto"/>
                <w:sz w:val="24"/>
                <w:szCs w:val="24"/>
              </w:rPr>
              <w:t>9</w:t>
            </w:r>
          </w:p>
        </w:tc>
      </w:tr>
      <w:tr w:rsidR="009615C0" w14:paraId="4E910037" w14:textId="77777777" w:rsidTr="00A93024">
        <w:trPr>
          <w:trHeight w:val="235"/>
        </w:trPr>
        <w:tc>
          <w:tcPr>
            <w:tcW w:w="1885" w:type="dxa"/>
            <w:vMerge w:val="restart"/>
            <w:vAlign w:val="center"/>
          </w:tcPr>
          <w:p w14:paraId="61CB97F8" w14:textId="66784517" w:rsidR="009615C0" w:rsidRDefault="009615C0" w:rsidP="002C0FC3">
            <w:pPr>
              <w:jc w:val="center"/>
              <w:rPr>
                <w:bCs/>
                <w:color w:val="auto"/>
                <w:sz w:val="24"/>
                <w:szCs w:val="24"/>
              </w:rPr>
            </w:pPr>
            <w:r>
              <w:rPr>
                <w:bCs/>
                <w:color w:val="auto"/>
                <w:sz w:val="24"/>
                <w:szCs w:val="24"/>
              </w:rPr>
              <w:t>F</w:t>
            </w:r>
          </w:p>
        </w:tc>
        <w:tc>
          <w:tcPr>
            <w:tcW w:w="6234" w:type="dxa"/>
            <w:vAlign w:val="center"/>
          </w:tcPr>
          <w:p w14:paraId="5A91DFD5" w14:textId="6C940B26" w:rsidR="009615C0" w:rsidRPr="00F3308D" w:rsidRDefault="009615C0" w:rsidP="00F3308D">
            <w:pPr>
              <w:rPr>
                <w:bCs/>
                <w:color w:val="auto"/>
                <w:sz w:val="24"/>
                <w:szCs w:val="24"/>
              </w:rPr>
            </w:pPr>
            <w:r w:rsidRPr="00F3308D">
              <w:rPr>
                <w:bCs/>
                <w:color w:val="auto"/>
                <w:sz w:val="24"/>
                <w:szCs w:val="24"/>
              </w:rPr>
              <w:t>Detailed Explanation of Sensitivity Analyses</w:t>
            </w:r>
          </w:p>
        </w:tc>
        <w:tc>
          <w:tcPr>
            <w:tcW w:w="710" w:type="dxa"/>
            <w:vAlign w:val="center"/>
          </w:tcPr>
          <w:p w14:paraId="2944C6F2" w14:textId="77187D0F" w:rsidR="009615C0" w:rsidRDefault="009615C0" w:rsidP="002C0FC3">
            <w:pPr>
              <w:jc w:val="center"/>
              <w:rPr>
                <w:bCs/>
                <w:color w:val="auto"/>
                <w:sz w:val="24"/>
                <w:szCs w:val="24"/>
              </w:rPr>
            </w:pPr>
            <w:r>
              <w:rPr>
                <w:bCs/>
                <w:color w:val="auto"/>
                <w:sz w:val="24"/>
                <w:szCs w:val="24"/>
              </w:rPr>
              <w:t>10</w:t>
            </w:r>
          </w:p>
        </w:tc>
      </w:tr>
      <w:tr w:rsidR="009615C0" w14:paraId="1C85A356" w14:textId="77777777" w:rsidTr="00A93024">
        <w:trPr>
          <w:trHeight w:val="235"/>
        </w:trPr>
        <w:tc>
          <w:tcPr>
            <w:tcW w:w="1885" w:type="dxa"/>
            <w:vMerge/>
            <w:vAlign w:val="center"/>
          </w:tcPr>
          <w:p w14:paraId="63A7A096" w14:textId="77777777" w:rsidR="009615C0" w:rsidRDefault="009615C0" w:rsidP="002C0FC3">
            <w:pPr>
              <w:jc w:val="center"/>
              <w:rPr>
                <w:bCs/>
                <w:color w:val="auto"/>
                <w:sz w:val="24"/>
                <w:szCs w:val="24"/>
              </w:rPr>
            </w:pPr>
          </w:p>
        </w:tc>
        <w:tc>
          <w:tcPr>
            <w:tcW w:w="6234" w:type="dxa"/>
            <w:vAlign w:val="center"/>
          </w:tcPr>
          <w:p w14:paraId="30C89779" w14:textId="3B914FED" w:rsidR="009615C0" w:rsidRPr="00A93024" w:rsidRDefault="009615C0" w:rsidP="00A93024">
            <w:pPr>
              <w:spacing w:line="245" w:lineRule="auto"/>
              <w:rPr>
                <w:rFonts w:eastAsia="Times New Roman"/>
                <w:color w:val="auto"/>
                <w:sz w:val="24"/>
                <w:szCs w:val="23"/>
              </w:rPr>
            </w:pPr>
            <w:r>
              <w:rPr>
                <w:rFonts w:eastAsia="Times New Roman"/>
                <w:color w:val="auto"/>
                <w:sz w:val="24"/>
                <w:szCs w:val="23"/>
              </w:rPr>
              <w:t>Table F1: Results of Sensitivity Analyses</w:t>
            </w:r>
          </w:p>
        </w:tc>
        <w:tc>
          <w:tcPr>
            <w:tcW w:w="710" w:type="dxa"/>
            <w:vAlign w:val="center"/>
          </w:tcPr>
          <w:p w14:paraId="1A67D5E6" w14:textId="0B480F1B" w:rsidR="009615C0" w:rsidRDefault="009615C0" w:rsidP="002C0FC3">
            <w:pPr>
              <w:jc w:val="center"/>
              <w:rPr>
                <w:bCs/>
                <w:color w:val="auto"/>
                <w:sz w:val="24"/>
                <w:szCs w:val="24"/>
              </w:rPr>
            </w:pPr>
            <w:r>
              <w:rPr>
                <w:bCs/>
                <w:color w:val="auto"/>
                <w:sz w:val="24"/>
                <w:szCs w:val="24"/>
              </w:rPr>
              <w:t>11</w:t>
            </w:r>
          </w:p>
        </w:tc>
      </w:tr>
    </w:tbl>
    <w:p w14:paraId="0088565D" w14:textId="77777777" w:rsidR="00EA499E" w:rsidRDefault="00EA499E">
      <w:pPr>
        <w:rPr>
          <w:b/>
          <w:color w:val="auto"/>
          <w:sz w:val="24"/>
          <w:szCs w:val="24"/>
        </w:rPr>
      </w:pPr>
    </w:p>
    <w:p w14:paraId="4BA90D8A" w14:textId="25D4D9AD" w:rsidR="00EA499E" w:rsidRDefault="00EA499E">
      <w:pPr>
        <w:rPr>
          <w:b/>
          <w:color w:val="auto"/>
          <w:sz w:val="24"/>
          <w:szCs w:val="24"/>
        </w:rPr>
      </w:pPr>
      <w:r>
        <w:rPr>
          <w:b/>
          <w:color w:val="auto"/>
          <w:sz w:val="24"/>
          <w:szCs w:val="24"/>
        </w:rPr>
        <w:br w:type="page"/>
      </w:r>
    </w:p>
    <w:p w14:paraId="525FE3BB" w14:textId="6106599F" w:rsidR="00F731AC" w:rsidRDefault="00F731AC" w:rsidP="00F731AC">
      <w:pPr>
        <w:spacing w:before="120" w:line="240" w:lineRule="auto"/>
        <w:jc w:val="center"/>
        <w:rPr>
          <w:b/>
          <w:color w:val="auto"/>
          <w:sz w:val="24"/>
          <w:szCs w:val="24"/>
        </w:rPr>
      </w:pPr>
      <w:r>
        <w:rPr>
          <w:b/>
          <w:color w:val="auto"/>
          <w:sz w:val="24"/>
          <w:szCs w:val="24"/>
        </w:rPr>
        <w:lastRenderedPageBreak/>
        <w:t>Web Appendix A</w:t>
      </w:r>
    </w:p>
    <w:p w14:paraId="43B04D42" w14:textId="77777777" w:rsidR="00F731AC" w:rsidRDefault="00F731AC" w:rsidP="00F731AC">
      <w:pPr>
        <w:spacing w:before="120" w:line="240" w:lineRule="auto"/>
        <w:jc w:val="center"/>
        <w:rPr>
          <w:b/>
          <w:color w:val="auto"/>
          <w:sz w:val="24"/>
          <w:szCs w:val="24"/>
        </w:rPr>
      </w:pPr>
    </w:p>
    <w:tbl>
      <w:tblPr>
        <w:tblW w:w="4652" w:type="pct"/>
        <w:jc w:val="center"/>
        <w:tblLook w:val="04A0" w:firstRow="1" w:lastRow="0" w:firstColumn="1" w:lastColumn="0" w:noHBand="0" w:noVBand="1"/>
      </w:tblPr>
      <w:tblGrid>
        <w:gridCol w:w="318"/>
        <w:gridCol w:w="1598"/>
        <w:gridCol w:w="1620"/>
        <w:gridCol w:w="1620"/>
        <w:gridCol w:w="1621"/>
        <w:gridCol w:w="1621"/>
      </w:tblGrid>
      <w:tr w:rsidR="00F731AC" w:rsidRPr="002D1654" w14:paraId="16BFD3B8" w14:textId="77777777" w:rsidTr="00CC768C">
        <w:trPr>
          <w:trHeight w:val="604"/>
          <w:jc w:val="center"/>
        </w:trPr>
        <w:tc>
          <w:tcPr>
            <w:tcW w:w="5000" w:type="pct"/>
            <w:gridSpan w:val="6"/>
            <w:tcBorders>
              <w:top w:val="nil"/>
              <w:left w:val="nil"/>
              <w:bottom w:val="nil"/>
              <w:right w:val="nil"/>
            </w:tcBorders>
            <w:shd w:val="clear" w:color="000000" w:fill="FFFFFF"/>
            <w:noWrap/>
            <w:hideMark/>
          </w:tcPr>
          <w:p w14:paraId="5D90AC06" w14:textId="4489E39C" w:rsidR="00F731AC" w:rsidRDefault="00F609B3" w:rsidP="00CC768C">
            <w:pPr>
              <w:spacing w:after="0" w:line="240" w:lineRule="auto"/>
              <w:jc w:val="center"/>
              <w:rPr>
                <w:rFonts w:eastAsia="Times New Roman"/>
                <w:b/>
                <w:bCs/>
                <w:color w:val="auto"/>
                <w:sz w:val="24"/>
                <w:szCs w:val="24"/>
                <w:lang w:eastAsia="en-SG"/>
              </w:rPr>
            </w:pPr>
            <w:bookmarkStart w:id="4" w:name="_Hlk29300212"/>
            <w:r>
              <w:rPr>
                <w:rFonts w:eastAsia="Times New Roman"/>
                <w:b/>
                <w:bCs/>
                <w:color w:val="auto"/>
                <w:sz w:val="24"/>
                <w:szCs w:val="24"/>
                <w:lang w:eastAsia="en-SG"/>
              </w:rPr>
              <w:t xml:space="preserve">TABLE A1: </w:t>
            </w:r>
          </w:p>
          <w:p w14:paraId="12245439" w14:textId="53101121" w:rsidR="00F731AC" w:rsidRPr="002D1654" w:rsidRDefault="00F609B3" w:rsidP="00CC768C">
            <w:pPr>
              <w:spacing w:after="0" w:line="240" w:lineRule="auto"/>
              <w:jc w:val="center"/>
              <w:rPr>
                <w:rFonts w:eastAsia="Times New Roman"/>
                <w:b/>
                <w:bCs/>
                <w:color w:val="auto"/>
                <w:sz w:val="24"/>
                <w:szCs w:val="24"/>
                <w:lang w:eastAsia="en-SG"/>
              </w:rPr>
            </w:pPr>
            <w:r>
              <w:rPr>
                <w:rFonts w:eastAsia="Times New Roman"/>
                <w:b/>
                <w:bCs/>
                <w:color w:val="auto"/>
                <w:sz w:val="24"/>
                <w:szCs w:val="24"/>
                <w:lang w:eastAsia="en-SG"/>
              </w:rPr>
              <w:t>COMPARING THE COST RELATED CONCEPTS</w:t>
            </w:r>
          </w:p>
        </w:tc>
      </w:tr>
      <w:tr w:rsidR="00F731AC" w:rsidRPr="002D1654" w14:paraId="2E679C6A" w14:textId="77777777" w:rsidTr="00CC768C">
        <w:trPr>
          <w:trHeight w:val="261"/>
          <w:jc w:val="center"/>
        </w:trPr>
        <w:tc>
          <w:tcPr>
            <w:tcW w:w="188" w:type="pct"/>
            <w:tcBorders>
              <w:top w:val="single" w:sz="4" w:space="0" w:color="auto"/>
              <w:left w:val="nil"/>
              <w:bottom w:val="nil"/>
              <w:right w:val="nil"/>
            </w:tcBorders>
            <w:shd w:val="clear" w:color="000000" w:fill="FFFFFF"/>
            <w:noWrap/>
            <w:vAlign w:val="center"/>
            <w:hideMark/>
          </w:tcPr>
          <w:p w14:paraId="5829F87C" w14:textId="77777777" w:rsidR="00F731AC" w:rsidRPr="00CC2FC0" w:rsidRDefault="00F731AC" w:rsidP="00CC768C">
            <w:pPr>
              <w:spacing w:after="0" w:line="245" w:lineRule="auto"/>
              <w:jc w:val="right"/>
              <w:rPr>
                <w:rFonts w:eastAsia="Times New Roman"/>
                <w:color w:val="auto"/>
                <w:sz w:val="20"/>
                <w:szCs w:val="20"/>
                <w:lang w:eastAsia="en-SG"/>
              </w:rPr>
            </w:pPr>
            <w:r w:rsidRPr="00CC2FC0">
              <w:rPr>
                <w:rFonts w:eastAsia="Times New Roman"/>
                <w:color w:val="auto"/>
                <w:sz w:val="20"/>
                <w:szCs w:val="20"/>
                <w:lang w:eastAsia="en-SG"/>
              </w:rPr>
              <w:t> </w:t>
            </w:r>
          </w:p>
        </w:tc>
        <w:tc>
          <w:tcPr>
            <w:tcW w:w="951" w:type="pct"/>
            <w:tcBorders>
              <w:top w:val="single" w:sz="4" w:space="0" w:color="auto"/>
              <w:left w:val="nil"/>
              <w:bottom w:val="nil"/>
              <w:right w:val="nil"/>
            </w:tcBorders>
            <w:shd w:val="clear" w:color="000000" w:fill="FFFFFF"/>
            <w:noWrap/>
            <w:vAlign w:val="center"/>
            <w:hideMark/>
          </w:tcPr>
          <w:p w14:paraId="5D2E8131" w14:textId="77777777" w:rsidR="00F731AC" w:rsidRPr="00CC2FC0" w:rsidRDefault="00F731AC" w:rsidP="00CC768C">
            <w:pPr>
              <w:spacing w:after="0" w:line="245" w:lineRule="auto"/>
              <w:rPr>
                <w:rFonts w:eastAsia="Times New Roman"/>
                <w:color w:val="auto"/>
                <w:sz w:val="20"/>
                <w:szCs w:val="20"/>
                <w:lang w:eastAsia="en-SG"/>
              </w:rPr>
            </w:pPr>
            <w:r w:rsidRPr="00CC2FC0">
              <w:rPr>
                <w:rFonts w:eastAsia="Times New Roman"/>
                <w:color w:val="auto"/>
                <w:sz w:val="20"/>
                <w:szCs w:val="20"/>
                <w:lang w:eastAsia="en-SG"/>
              </w:rPr>
              <w:t> </w:t>
            </w:r>
          </w:p>
        </w:tc>
        <w:tc>
          <w:tcPr>
            <w:tcW w:w="3860" w:type="pct"/>
            <w:gridSpan w:val="4"/>
            <w:tcBorders>
              <w:top w:val="single" w:sz="4" w:space="0" w:color="auto"/>
              <w:left w:val="nil"/>
              <w:right w:val="nil"/>
            </w:tcBorders>
            <w:shd w:val="clear" w:color="000000" w:fill="FFFFFF"/>
            <w:noWrap/>
            <w:vAlign w:val="center"/>
            <w:hideMark/>
          </w:tcPr>
          <w:p w14:paraId="5C1F0DF7" w14:textId="259E737F" w:rsidR="00F731AC" w:rsidRPr="002C0FC3" w:rsidRDefault="00F731AC" w:rsidP="00CC768C">
            <w:pPr>
              <w:spacing w:after="0" w:line="245" w:lineRule="auto"/>
              <w:jc w:val="center"/>
              <w:rPr>
                <w:rFonts w:eastAsia="Times New Roman"/>
                <w:b/>
                <w:bCs/>
                <w:color w:val="auto"/>
                <w:sz w:val="20"/>
                <w:szCs w:val="20"/>
                <w:vertAlign w:val="superscript"/>
                <w:lang w:eastAsia="en-SG"/>
              </w:rPr>
            </w:pPr>
            <w:r w:rsidRPr="00CC2FC0">
              <w:rPr>
                <w:rFonts w:eastAsia="Times New Roman"/>
                <w:b/>
                <w:bCs/>
                <w:color w:val="auto"/>
                <w:sz w:val="20"/>
                <w:szCs w:val="20"/>
                <w:lang w:eastAsia="en-SG"/>
              </w:rPr>
              <w:t>Correlation Matrix</w:t>
            </w:r>
            <w:r w:rsidR="001672BA">
              <w:rPr>
                <w:rFonts w:eastAsia="Times New Roman"/>
                <w:b/>
                <w:bCs/>
                <w:color w:val="auto"/>
                <w:sz w:val="20"/>
                <w:szCs w:val="20"/>
                <w:vertAlign w:val="superscript"/>
                <w:lang w:eastAsia="en-SG"/>
              </w:rPr>
              <w:t>a</w:t>
            </w:r>
          </w:p>
        </w:tc>
      </w:tr>
      <w:tr w:rsidR="00F731AC" w:rsidRPr="002D1654" w14:paraId="29AD50DA" w14:textId="77777777" w:rsidTr="00CC768C">
        <w:trPr>
          <w:trHeight w:val="247"/>
          <w:jc w:val="center"/>
        </w:trPr>
        <w:tc>
          <w:tcPr>
            <w:tcW w:w="188" w:type="pct"/>
            <w:tcBorders>
              <w:top w:val="nil"/>
              <w:left w:val="nil"/>
              <w:bottom w:val="single" w:sz="4" w:space="0" w:color="auto"/>
              <w:right w:val="nil"/>
            </w:tcBorders>
            <w:shd w:val="clear" w:color="000000" w:fill="FFFFFF"/>
            <w:noWrap/>
            <w:vAlign w:val="center"/>
            <w:hideMark/>
          </w:tcPr>
          <w:p w14:paraId="57E8669F" w14:textId="77777777" w:rsidR="00F731AC" w:rsidRPr="00CC2FC0" w:rsidRDefault="00F731AC" w:rsidP="00CC768C">
            <w:pPr>
              <w:spacing w:after="0" w:line="245" w:lineRule="auto"/>
              <w:jc w:val="right"/>
              <w:rPr>
                <w:rFonts w:eastAsia="Times New Roman"/>
                <w:color w:val="auto"/>
                <w:sz w:val="20"/>
                <w:szCs w:val="20"/>
                <w:lang w:eastAsia="en-SG"/>
              </w:rPr>
            </w:pPr>
            <w:r w:rsidRPr="00CC2FC0">
              <w:rPr>
                <w:rFonts w:eastAsia="Times New Roman"/>
                <w:color w:val="auto"/>
                <w:sz w:val="20"/>
                <w:szCs w:val="20"/>
                <w:lang w:eastAsia="en-SG"/>
              </w:rPr>
              <w:t> </w:t>
            </w:r>
          </w:p>
        </w:tc>
        <w:tc>
          <w:tcPr>
            <w:tcW w:w="951" w:type="pct"/>
            <w:tcBorders>
              <w:top w:val="nil"/>
              <w:left w:val="nil"/>
              <w:bottom w:val="single" w:sz="4" w:space="0" w:color="auto"/>
              <w:right w:val="nil"/>
            </w:tcBorders>
            <w:shd w:val="clear" w:color="000000" w:fill="FFFFFF"/>
            <w:noWrap/>
            <w:vAlign w:val="center"/>
            <w:hideMark/>
          </w:tcPr>
          <w:p w14:paraId="09B5D2FB" w14:textId="77777777" w:rsidR="00F731AC" w:rsidRPr="00CC2FC0" w:rsidRDefault="00F731AC" w:rsidP="00CC768C">
            <w:pPr>
              <w:spacing w:after="0" w:line="245" w:lineRule="auto"/>
              <w:rPr>
                <w:rFonts w:eastAsia="Times New Roman"/>
                <w:b/>
                <w:bCs/>
                <w:color w:val="auto"/>
                <w:sz w:val="20"/>
                <w:szCs w:val="20"/>
                <w:lang w:eastAsia="en-SG"/>
              </w:rPr>
            </w:pPr>
            <w:r w:rsidRPr="00CC2FC0">
              <w:rPr>
                <w:rFonts w:eastAsia="Times New Roman"/>
                <w:b/>
                <w:bCs/>
                <w:color w:val="auto"/>
                <w:sz w:val="20"/>
                <w:szCs w:val="20"/>
                <w:lang w:eastAsia="en-SG"/>
              </w:rPr>
              <w:t>Variable</w:t>
            </w:r>
          </w:p>
        </w:tc>
        <w:tc>
          <w:tcPr>
            <w:tcW w:w="965" w:type="pct"/>
            <w:tcBorders>
              <w:top w:val="nil"/>
              <w:left w:val="nil"/>
              <w:bottom w:val="single" w:sz="4" w:space="0" w:color="auto"/>
              <w:right w:val="nil"/>
            </w:tcBorders>
            <w:shd w:val="clear" w:color="000000" w:fill="FFFFFF"/>
            <w:noWrap/>
            <w:vAlign w:val="center"/>
            <w:hideMark/>
          </w:tcPr>
          <w:p w14:paraId="1F6BAC45" w14:textId="77777777" w:rsidR="00F731AC" w:rsidRPr="00CC2FC0" w:rsidRDefault="00F731AC" w:rsidP="00CC768C">
            <w:pPr>
              <w:spacing w:after="0" w:line="245" w:lineRule="auto"/>
              <w:jc w:val="center"/>
              <w:rPr>
                <w:rFonts w:eastAsia="Times New Roman"/>
                <w:i/>
                <w:iCs/>
                <w:color w:val="auto"/>
                <w:sz w:val="20"/>
                <w:szCs w:val="20"/>
                <w:lang w:eastAsia="en-SG"/>
              </w:rPr>
            </w:pPr>
            <w:r w:rsidRPr="00CC2FC0">
              <w:rPr>
                <w:rFonts w:eastAsia="Times New Roman"/>
                <w:i/>
                <w:iCs/>
                <w:color w:val="auto"/>
                <w:sz w:val="20"/>
                <w:szCs w:val="20"/>
                <w:lang w:eastAsia="en-SG"/>
              </w:rPr>
              <w:t>1</w:t>
            </w:r>
          </w:p>
        </w:tc>
        <w:tc>
          <w:tcPr>
            <w:tcW w:w="965" w:type="pct"/>
            <w:tcBorders>
              <w:top w:val="nil"/>
              <w:left w:val="nil"/>
              <w:bottom w:val="single" w:sz="4" w:space="0" w:color="auto"/>
              <w:right w:val="nil"/>
            </w:tcBorders>
            <w:shd w:val="clear" w:color="000000" w:fill="FFFFFF"/>
            <w:noWrap/>
            <w:vAlign w:val="center"/>
            <w:hideMark/>
          </w:tcPr>
          <w:p w14:paraId="00BC98AE" w14:textId="77777777" w:rsidR="00F731AC" w:rsidRPr="00CC2FC0" w:rsidRDefault="00F731AC" w:rsidP="00CC768C">
            <w:pPr>
              <w:spacing w:after="0" w:line="245" w:lineRule="auto"/>
              <w:jc w:val="center"/>
              <w:rPr>
                <w:rFonts w:eastAsia="Times New Roman"/>
                <w:i/>
                <w:iCs/>
                <w:color w:val="auto"/>
                <w:sz w:val="20"/>
                <w:szCs w:val="20"/>
                <w:lang w:eastAsia="en-SG"/>
              </w:rPr>
            </w:pPr>
            <w:r w:rsidRPr="00CC2FC0">
              <w:rPr>
                <w:rFonts w:eastAsia="Times New Roman"/>
                <w:i/>
                <w:iCs/>
                <w:color w:val="auto"/>
                <w:sz w:val="20"/>
                <w:szCs w:val="20"/>
                <w:lang w:eastAsia="en-SG"/>
              </w:rPr>
              <w:t>2</w:t>
            </w:r>
          </w:p>
        </w:tc>
        <w:tc>
          <w:tcPr>
            <w:tcW w:w="965" w:type="pct"/>
            <w:tcBorders>
              <w:top w:val="nil"/>
              <w:left w:val="nil"/>
              <w:bottom w:val="single" w:sz="4" w:space="0" w:color="auto"/>
              <w:right w:val="nil"/>
            </w:tcBorders>
            <w:shd w:val="clear" w:color="000000" w:fill="FFFFFF"/>
            <w:vAlign w:val="center"/>
          </w:tcPr>
          <w:p w14:paraId="5E39F4DF" w14:textId="77777777" w:rsidR="00F731AC" w:rsidRPr="00CC2FC0" w:rsidRDefault="00F731AC" w:rsidP="00CC768C">
            <w:pPr>
              <w:spacing w:after="0" w:line="245" w:lineRule="auto"/>
              <w:jc w:val="center"/>
              <w:rPr>
                <w:rFonts w:eastAsia="Times New Roman"/>
                <w:i/>
                <w:iCs/>
                <w:color w:val="auto"/>
                <w:sz w:val="20"/>
                <w:szCs w:val="20"/>
                <w:lang w:eastAsia="en-SG"/>
              </w:rPr>
            </w:pPr>
            <w:r w:rsidRPr="00CC2FC0">
              <w:rPr>
                <w:rFonts w:eastAsia="Times New Roman"/>
                <w:i/>
                <w:iCs/>
                <w:color w:val="auto"/>
                <w:sz w:val="20"/>
                <w:szCs w:val="20"/>
                <w:lang w:eastAsia="en-SG"/>
              </w:rPr>
              <w:t>3</w:t>
            </w:r>
          </w:p>
        </w:tc>
        <w:tc>
          <w:tcPr>
            <w:tcW w:w="965" w:type="pct"/>
            <w:tcBorders>
              <w:top w:val="nil"/>
              <w:left w:val="nil"/>
              <w:bottom w:val="single" w:sz="4" w:space="0" w:color="auto"/>
              <w:right w:val="nil"/>
            </w:tcBorders>
            <w:shd w:val="clear" w:color="000000" w:fill="FFFFFF"/>
            <w:noWrap/>
            <w:vAlign w:val="center"/>
            <w:hideMark/>
          </w:tcPr>
          <w:p w14:paraId="7073E88D" w14:textId="77777777" w:rsidR="00F731AC" w:rsidRPr="00CC2FC0" w:rsidRDefault="00F731AC" w:rsidP="00CC768C">
            <w:pPr>
              <w:spacing w:after="0" w:line="245" w:lineRule="auto"/>
              <w:jc w:val="center"/>
              <w:rPr>
                <w:rFonts w:eastAsia="Times New Roman"/>
                <w:i/>
                <w:iCs/>
                <w:color w:val="auto"/>
                <w:sz w:val="20"/>
                <w:szCs w:val="20"/>
                <w:lang w:eastAsia="en-SG"/>
              </w:rPr>
            </w:pPr>
            <w:r w:rsidRPr="00CC2FC0">
              <w:rPr>
                <w:rFonts w:eastAsia="Times New Roman"/>
                <w:i/>
                <w:iCs/>
                <w:color w:val="auto"/>
                <w:sz w:val="20"/>
                <w:szCs w:val="20"/>
                <w:lang w:eastAsia="en-SG"/>
              </w:rPr>
              <w:t>4</w:t>
            </w:r>
          </w:p>
        </w:tc>
      </w:tr>
      <w:tr w:rsidR="00F731AC" w:rsidRPr="002D1654" w14:paraId="50735676" w14:textId="77777777" w:rsidTr="00CC768C">
        <w:trPr>
          <w:trHeight w:val="247"/>
          <w:jc w:val="center"/>
        </w:trPr>
        <w:tc>
          <w:tcPr>
            <w:tcW w:w="188" w:type="pct"/>
            <w:tcBorders>
              <w:top w:val="nil"/>
              <w:left w:val="nil"/>
              <w:bottom w:val="nil"/>
              <w:right w:val="nil"/>
            </w:tcBorders>
            <w:shd w:val="clear" w:color="000000" w:fill="FFFFFF"/>
            <w:noWrap/>
            <w:vAlign w:val="center"/>
            <w:hideMark/>
          </w:tcPr>
          <w:p w14:paraId="790376C3" w14:textId="77777777" w:rsidR="00F731AC" w:rsidRPr="00CC2FC0" w:rsidRDefault="00F731AC" w:rsidP="00CC768C">
            <w:pPr>
              <w:spacing w:after="0" w:line="245" w:lineRule="auto"/>
              <w:jc w:val="right"/>
              <w:rPr>
                <w:rFonts w:eastAsia="Times New Roman"/>
                <w:color w:val="auto"/>
                <w:sz w:val="20"/>
                <w:szCs w:val="20"/>
                <w:lang w:eastAsia="en-SG"/>
              </w:rPr>
            </w:pPr>
            <w:r w:rsidRPr="00CC2FC0">
              <w:rPr>
                <w:rFonts w:eastAsia="Times New Roman"/>
                <w:color w:val="auto"/>
                <w:sz w:val="20"/>
                <w:szCs w:val="20"/>
                <w:lang w:eastAsia="en-SG"/>
              </w:rPr>
              <w:t>1</w:t>
            </w:r>
          </w:p>
        </w:tc>
        <w:tc>
          <w:tcPr>
            <w:tcW w:w="951" w:type="pct"/>
            <w:tcBorders>
              <w:top w:val="nil"/>
              <w:left w:val="nil"/>
              <w:bottom w:val="nil"/>
              <w:right w:val="nil"/>
            </w:tcBorders>
            <w:shd w:val="clear" w:color="000000" w:fill="FFFFFF"/>
            <w:noWrap/>
            <w:vAlign w:val="center"/>
          </w:tcPr>
          <w:p w14:paraId="14F00031" w14:textId="2CF87908" w:rsidR="00F731AC" w:rsidRPr="00CC2FC0" w:rsidRDefault="00F731AC" w:rsidP="00CC768C">
            <w:pPr>
              <w:spacing w:after="0" w:line="245" w:lineRule="auto"/>
              <w:rPr>
                <w:rFonts w:eastAsia="Times New Roman"/>
                <w:iCs/>
                <w:color w:val="auto"/>
                <w:sz w:val="20"/>
                <w:szCs w:val="20"/>
                <w:vertAlign w:val="superscript"/>
                <w:lang w:eastAsia="en-SG"/>
              </w:rPr>
            </w:pPr>
            <w:r w:rsidRPr="00CC2FC0">
              <w:rPr>
                <w:color w:val="auto"/>
                <w:sz w:val="20"/>
                <w:szCs w:val="20"/>
              </w:rPr>
              <w:t>C</w:t>
            </w:r>
            <w:r w:rsidR="00657348">
              <w:rPr>
                <w:color w:val="auto"/>
                <w:sz w:val="20"/>
                <w:szCs w:val="20"/>
              </w:rPr>
              <w:t>OS</w:t>
            </w:r>
          </w:p>
        </w:tc>
        <w:tc>
          <w:tcPr>
            <w:tcW w:w="965" w:type="pct"/>
            <w:tcBorders>
              <w:top w:val="nil"/>
              <w:left w:val="nil"/>
              <w:bottom w:val="nil"/>
              <w:right w:val="nil"/>
            </w:tcBorders>
            <w:shd w:val="clear" w:color="auto" w:fill="auto"/>
            <w:noWrap/>
            <w:vAlign w:val="bottom"/>
          </w:tcPr>
          <w:p w14:paraId="56441A43" w14:textId="77777777" w:rsidR="00F731AC" w:rsidRPr="00CC2FC0" w:rsidRDefault="00F731AC" w:rsidP="00CC768C">
            <w:pPr>
              <w:spacing w:after="0" w:line="245" w:lineRule="auto"/>
              <w:jc w:val="center"/>
              <w:rPr>
                <w:rFonts w:eastAsia="Times New Roman"/>
                <w:color w:val="auto"/>
                <w:sz w:val="20"/>
                <w:szCs w:val="20"/>
                <w:lang w:eastAsia="en-SG"/>
              </w:rPr>
            </w:pPr>
            <w:r w:rsidRPr="00CC2FC0">
              <w:rPr>
                <w:sz w:val="20"/>
                <w:szCs w:val="20"/>
              </w:rPr>
              <w:t>1.000</w:t>
            </w:r>
          </w:p>
        </w:tc>
        <w:tc>
          <w:tcPr>
            <w:tcW w:w="965" w:type="pct"/>
            <w:tcBorders>
              <w:top w:val="nil"/>
              <w:left w:val="nil"/>
              <w:bottom w:val="nil"/>
              <w:right w:val="nil"/>
            </w:tcBorders>
            <w:shd w:val="clear" w:color="auto" w:fill="auto"/>
            <w:noWrap/>
            <w:vAlign w:val="bottom"/>
          </w:tcPr>
          <w:p w14:paraId="0DB05A9A" w14:textId="77777777" w:rsidR="00F731AC" w:rsidRPr="00CC2FC0" w:rsidRDefault="00F731AC" w:rsidP="00CC768C">
            <w:pPr>
              <w:spacing w:after="0" w:line="245" w:lineRule="auto"/>
              <w:jc w:val="center"/>
              <w:rPr>
                <w:rFonts w:eastAsia="Times New Roman"/>
                <w:color w:val="auto"/>
                <w:sz w:val="20"/>
                <w:szCs w:val="20"/>
                <w:lang w:eastAsia="en-SG"/>
              </w:rPr>
            </w:pPr>
          </w:p>
        </w:tc>
        <w:tc>
          <w:tcPr>
            <w:tcW w:w="965" w:type="pct"/>
            <w:tcBorders>
              <w:top w:val="nil"/>
              <w:left w:val="nil"/>
              <w:bottom w:val="nil"/>
              <w:right w:val="nil"/>
            </w:tcBorders>
            <w:shd w:val="clear" w:color="auto" w:fill="auto"/>
            <w:vAlign w:val="bottom"/>
          </w:tcPr>
          <w:p w14:paraId="41908CC1" w14:textId="77777777" w:rsidR="00F731AC" w:rsidRPr="00CC2FC0" w:rsidRDefault="00F731AC" w:rsidP="00CC768C">
            <w:pPr>
              <w:spacing w:after="0" w:line="245" w:lineRule="auto"/>
              <w:jc w:val="center"/>
              <w:rPr>
                <w:rFonts w:eastAsia="Times New Roman"/>
                <w:color w:val="auto"/>
                <w:sz w:val="20"/>
                <w:szCs w:val="20"/>
                <w:lang w:eastAsia="en-SG"/>
              </w:rPr>
            </w:pPr>
          </w:p>
        </w:tc>
        <w:tc>
          <w:tcPr>
            <w:tcW w:w="965" w:type="pct"/>
            <w:tcBorders>
              <w:top w:val="nil"/>
              <w:left w:val="nil"/>
              <w:bottom w:val="nil"/>
              <w:right w:val="nil"/>
            </w:tcBorders>
            <w:shd w:val="clear" w:color="auto" w:fill="auto"/>
            <w:noWrap/>
            <w:vAlign w:val="bottom"/>
          </w:tcPr>
          <w:p w14:paraId="6174948A" w14:textId="77777777" w:rsidR="00F731AC" w:rsidRPr="00CC2FC0" w:rsidRDefault="00F731AC" w:rsidP="00CC768C">
            <w:pPr>
              <w:spacing w:after="0" w:line="245" w:lineRule="auto"/>
              <w:jc w:val="center"/>
              <w:rPr>
                <w:rFonts w:eastAsia="Times New Roman"/>
                <w:color w:val="auto"/>
                <w:sz w:val="20"/>
                <w:szCs w:val="20"/>
                <w:lang w:eastAsia="en-SG"/>
              </w:rPr>
            </w:pPr>
          </w:p>
        </w:tc>
      </w:tr>
      <w:tr w:rsidR="00F731AC" w:rsidRPr="002D1654" w14:paraId="7BD6F8A2" w14:textId="77777777" w:rsidTr="00CC768C">
        <w:trPr>
          <w:trHeight w:val="247"/>
          <w:jc w:val="center"/>
        </w:trPr>
        <w:tc>
          <w:tcPr>
            <w:tcW w:w="188" w:type="pct"/>
            <w:tcBorders>
              <w:top w:val="nil"/>
              <w:left w:val="nil"/>
              <w:bottom w:val="nil"/>
              <w:right w:val="nil"/>
            </w:tcBorders>
            <w:shd w:val="clear" w:color="000000" w:fill="FFFFFF"/>
            <w:noWrap/>
            <w:vAlign w:val="center"/>
            <w:hideMark/>
          </w:tcPr>
          <w:p w14:paraId="73C8CF05" w14:textId="77777777" w:rsidR="00F731AC" w:rsidRPr="00CC2FC0" w:rsidRDefault="00F731AC" w:rsidP="00CC768C">
            <w:pPr>
              <w:spacing w:after="0" w:line="245" w:lineRule="auto"/>
              <w:jc w:val="right"/>
              <w:rPr>
                <w:rFonts w:eastAsia="Times New Roman"/>
                <w:color w:val="auto"/>
                <w:sz w:val="20"/>
                <w:szCs w:val="20"/>
                <w:lang w:eastAsia="en-SG"/>
              </w:rPr>
            </w:pPr>
            <w:r w:rsidRPr="00CC2FC0">
              <w:rPr>
                <w:rFonts w:eastAsia="Times New Roman"/>
                <w:color w:val="auto"/>
                <w:sz w:val="20"/>
                <w:szCs w:val="20"/>
                <w:lang w:eastAsia="en-SG"/>
              </w:rPr>
              <w:t>2</w:t>
            </w:r>
          </w:p>
        </w:tc>
        <w:tc>
          <w:tcPr>
            <w:tcW w:w="951" w:type="pct"/>
            <w:tcBorders>
              <w:top w:val="nil"/>
              <w:left w:val="nil"/>
              <w:bottom w:val="nil"/>
              <w:right w:val="nil"/>
            </w:tcBorders>
            <w:shd w:val="clear" w:color="000000" w:fill="FFFFFF"/>
            <w:noWrap/>
            <w:vAlign w:val="center"/>
          </w:tcPr>
          <w:p w14:paraId="79BAF111" w14:textId="77777777" w:rsidR="00F731AC" w:rsidRPr="00CC2FC0" w:rsidRDefault="00F731AC" w:rsidP="00CC768C">
            <w:pPr>
              <w:spacing w:after="0" w:line="245" w:lineRule="auto"/>
              <w:rPr>
                <w:rFonts w:eastAsia="Times New Roman"/>
                <w:i/>
                <w:iCs/>
                <w:color w:val="auto"/>
                <w:sz w:val="20"/>
                <w:szCs w:val="20"/>
                <w:lang w:eastAsia="en-SG"/>
              </w:rPr>
            </w:pPr>
            <w:r w:rsidRPr="00CC2FC0">
              <w:rPr>
                <w:color w:val="auto"/>
                <w:sz w:val="20"/>
                <w:szCs w:val="20"/>
              </w:rPr>
              <w:t>SG&amp;A</w:t>
            </w:r>
          </w:p>
        </w:tc>
        <w:tc>
          <w:tcPr>
            <w:tcW w:w="965" w:type="pct"/>
            <w:tcBorders>
              <w:top w:val="nil"/>
              <w:left w:val="nil"/>
              <w:bottom w:val="nil"/>
              <w:right w:val="nil"/>
            </w:tcBorders>
            <w:shd w:val="clear" w:color="auto" w:fill="auto"/>
            <w:noWrap/>
            <w:vAlign w:val="bottom"/>
          </w:tcPr>
          <w:p w14:paraId="13BF1BEE" w14:textId="77777777" w:rsidR="00F731AC" w:rsidRPr="00CC2FC0" w:rsidRDefault="00F731AC" w:rsidP="00CC768C">
            <w:pPr>
              <w:spacing w:after="0" w:line="245" w:lineRule="auto"/>
              <w:jc w:val="center"/>
              <w:rPr>
                <w:rFonts w:eastAsia="Times New Roman"/>
                <w:color w:val="auto"/>
                <w:sz w:val="20"/>
                <w:szCs w:val="20"/>
                <w:lang w:eastAsia="en-SG"/>
              </w:rPr>
            </w:pPr>
            <w:r w:rsidRPr="00CC2FC0">
              <w:rPr>
                <w:b/>
                <w:bCs/>
                <w:sz w:val="20"/>
                <w:szCs w:val="20"/>
              </w:rPr>
              <w:t>.</w:t>
            </w:r>
            <w:r>
              <w:rPr>
                <w:b/>
                <w:bCs/>
                <w:sz w:val="20"/>
                <w:szCs w:val="20"/>
              </w:rPr>
              <w:t>295</w:t>
            </w:r>
          </w:p>
        </w:tc>
        <w:tc>
          <w:tcPr>
            <w:tcW w:w="965" w:type="pct"/>
            <w:tcBorders>
              <w:top w:val="nil"/>
              <w:left w:val="nil"/>
              <w:bottom w:val="nil"/>
              <w:right w:val="nil"/>
            </w:tcBorders>
            <w:shd w:val="clear" w:color="auto" w:fill="auto"/>
            <w:noWrap/>
            <w:vAlign w:val="bottom"/>
          </w:tcPr>
          <w:p w14:paraId="259F2B97" w14:textId="77777777" w:rsidR="00F731AC" w:rsidRPr="00CC2FC0" w:rsidRDefault="00F731AC" w:rsidP="00CC768C">
            <w:pPr>
              <w:spacing w:after="0" w:line="245" w:lineRule="auto"/>
              <w:jc w:val="center"/>
              <w:rPr>
                <w:rFonts w:eastAsia="Times New Roman"/>
                <w:color w:val="auto"/>
                <w:sz w:val="20"/>
                <w:szCs w:val="20"/>
                <w:lang w:eastAsia="en-SG"/>
              </w:rPr>
            </w:pPr>
            <w:r w:rsidRPr="00CC2FC0">
              <w:rPr>
                <w:sz w:val="20"/>
                <w:szCs w:val="20"/>
              </w:rPr>
              <w:t>1.000</w:t>
            </w:r>
          </w:p>
        </w:tc>
        <w:tc>
          <w:tcPr>
            <w:tcW w:w="965" w:type="pct"/>
            <w:tcBorders>
              <w:top w:val="nil"/>
              <w:left w:val="nil"/>
              <w:bottom w:val="nil"/>
              <w:right w:val="nil"/>
            </w:tcBorders>
            <w:shd w:val="clear" w:color="auto" w:fill="auto"/>
            <w:vAlign w:val="bottom"/>
          </w:tcPr>
          <w:p w14:paraId="6658072F" w14:textId="77777777" w:rsidR="00F731AC" w:rsidRPr="00CC2FC0" w:rsidRDefault="00F731AC" w:rsidP="00CC768C">
            <w:pPr>
              <w:spacing w:after="0" w:line="245" w:lineRule="auto"/>
              <w:jc w:val="center"/>
              <w:rPr>
                <w:rFonts w:eastAsia="Times New Roman"/>
                <w:color w:val="auto"/>
                <w:sz w:val="20"/>
                <w:szCs w:val="20"/>
                <w:lang w:eastAsia="en-SG"/>
              </w:rPr>
            </w:pPr>
          </w:p>
        </w:tc>
        <w:tc>
          <w:tcPr>
            <w:tcW w:w="965" w:type="pct"/>
            <w:tcBorders>
              <w:top w:val="nil"/>
              <w:left w:val="nil"/>
              <w:bottom w:val="nil"/>
              <w:right w:val="nil"/>
            </w:tcBorders>
            <w:shd w:val="clear" w:color="auto" w:fill="auto"/>
            <w:noWrap/>
            <w:vAlign w:val="bottom"/>
          </w:tcPr>
          <w:p w14:paraId="5A189347" w14:textId="77777777" w:rsidR="00F731AC" w:rsidRPr="00CC2FC0" w:rsidRDefault="00F731AC" w:rsidP="00CC768C">
            <w:pPr>
              <w:spacing w:after="0" w:line="245" w:lineRule="auto"/>
              <w:jc w:val="center"/>
              <w:rPr>
                <w:rFonts w:eastAsia="Times New Roman"/>
                <w:color w:val="auto"/>
                <w:sz w:val="20"/>
                <w:szCs w:val="20"/>
                <w:lang w:eastAsia="en-SG"/>
              </w:rPr>
            </w:pPr>
          </w:p>
        </w:tc>
      </w:tr>
      <w:tr w:rsidR="00F731AC" w:rsidRPr="002D1654" w14:paraId="23C6C94C" w14:textId="77777777" w:rsidTr="00CC768C">
        <w:trPr>
          <w:trHeight w:val="247"/>
          <w:jc w:val="center"/>
        </w:trPr>
        <w:tc>
          <w:tcPr>
            <w:tcW w:w="188" w:type="pct"/>
            <w:tcBorders>
              <w:top w:val="nil"/>
              <w:left w:val="nil"/>
              <w:right w:val="nil"/>
            </w:tcBorders>
            <w:shd w:val="clear" w:color="000000" w:fill="FFFFFF"/>
            <w:noWrap/>
            <w:vAlign w:val="center"/>
            <w:hideMark/>
          </w:tcPr>
          <w:p w14:paraId="010D69FF" w14:textId="77777777" w:rsidR="00F731AC" w:rsidRPr="00CC2FC0" w:rsidRDefault="00F731AC" w:rsidP="00CC768C">
            <w:pPr>
              <w:spacing w:after="0" w:line="245" w:lineRule="auto"/>
              <w:jc w:val="right"/>
              <w:rPr>
                <w:rFonts w:eastAsia="Times New Roman"/>
                <w:color w:val="auto"/>
                <w:sz w:val="20"/>
                <w:szCs w:val="20"/>
                <w:lang w:eastAsia="en-SG"/>
              </w:rPr>
            </w:pPr>
            <w:r w:rsidRPr="00CC2FC0">
              <w:rPr>
                <w:rFonts w:eastAsia="Times New Roman"/>
                <w:color w:val="auto"/>
                <w:sz w:val="20"/>
                <w:szCs w:val="20"/>
                <w:lang w:eastAsia="en-SG"/>
              </w:rPr>
              <w:t>3</w:t>
            </w:r>
          </w:p>
        </w:tc>
        <w:tc>
          <w:tcPr>
            <w:tcW w:w="951" w:type="pct"/>
            <w:tcBorders>
              <w:top w:val="nil"/>
              <w:left w:val="nil"/>
              <w:right w:val="nil"/>
            </w:tcBorders>
            <w:shd w:val="clear" w:color="000000" w:fill="FFFFFF"/>
            <w:noWrap/>
            <w:vAlign w:val="center"/>
          </w:tcPr>
          <w:p w14:paraId="7AA81AF3" w14:textId="77777777" w:rsidR="00F731AC" w:rsidRPr="00CC2FC0" w:rsidRDefault="00F731AC" w:rsidP="00CC768C">
            <w:pPr>
              <w:spacing w:after="0" w:line="245" w:lineRule="auto"/>
              <w:rPr>
                <w:rFonts w:eastAsia="Times New Roman"/>
                <w:i/>
                <w:iCs/>
                <w:color w:val="auto"/>
                <w:sz w:val="20"/>
                <w:szCs w:val="20"/>
                <w:lang w:eastAsia="en-SG"/>
              </w:rPr>
            </w:pPr>
            <w:r w:rsidRPr="00CC2FC0">
              <w:rPr>
                <w:color w:val="auto"/>
                <w:sz w:val="20"/>
                <w:szCs w:val="20"/>
              </w:rPr>
              <w:t>COGS</w:t>
            </w:r>
          </w:p>
        </w:tc>
        <w:tc>
          <w:tcPr>
            <w:tcW w:w="965" w:type="pct"/>
            <w:tcBorders>
              <w:top w:val="nil"/>
              <w:left w:val="nil"/>
              <w:right w:val="nil"/>
            </w:tcBorders>
            <w:shd w:val="clear" w:color="auto" w:fill="auto"/>
            <w:noWrap/>
            <w:vAlign w:val="bottom"/>
          </w:tcPr>
          <w:p w14:paraId="1E1EC8C7" w14:textId="77777777" w:rsidR="00F731AC" w:rsidRPr="00CC2FC0" w:rsidRDefault="00F731AC" w:rsidP="00CC768C">
            <w:pPr>
              <w:spacing w:after="0" w:line="245" w:lineRule="auto"/>
              <w:jc w:val="center"/>
              <w:rPr>
                <w:rFonts w:eastAsia="Times New Roman"/>
                <w:color w:val="auto"/>
                <w:sz w:val="20"/>
                <w:szCs w:val="20"/>
                <w:lang w:eastAsia="en-SG"/>
              </w:rPr>
            </w:pPr>
            <w:r w:rsidRPr="00CC2FC0">
              <w:rPr>
                <w:b/>
                <w:bCs/>
                <w:sz w:val="20"/>
                <w:szCs w:val="20"/>
              </w:rPr>
              <w:t>.877</w:t>
            </w:r>
          </w:p>
        </w:tc>
        <w:tc>
          <w:tcPr>
            <w:tcW w:w="965" w:type="pct"/>
            <w:tcBorders>
              <w:top w:val="nil"/>
              <w:left w:val="nil"/>
              <w:right w:val="nil"/>
            </w:tcBorders>
            <w:shd w:val="clear" w:color="auto" w:fill="auto"/>
            <w:noWrap/>
            <w:vAlign w:val="bottom"/>
          </w:tcPr>
          <w:p w14:paraId="1E0939E9" w14:textId="77777777" w:rsidR="00F731AC" w:rsidRPr="00CC2FC0" w:rsidRDefault="00F731AC" w:rsidP="00CC768C">
            <w:pPr>
              <w:spacing w:after="0" w:line="245" w:lineRule="auto"/>
              <w:jc w:val="center"/>
              <w:rPr>
                <w:rFonts w:eastAsia="Times New Roman"/>
                <w:color w:val="auto"/>
                <w:sz w:val="20"/>
                <w:szCs w:val="20"/>
                <w:lang w:eastAsia="en-SG"/>
              </w:rPr>
            </w:pPr>
            <w:r w:rsidRPr="00CC2FC0">
              <w:rPr>
                <w:b/>
                <w:bCs/>
                <w:sz w:val="20"/>
                <w:szCs w:val="20"/>
              </w:rPr>
              <w:t>.</w:t>
            </w:r>
            <w:r>
              <w:rPr>
                <w:b/>
                <w:bCs/>
                <w:sz w:val="20"/>
                <w:szCs w:val="20"/>
              </w:rPr>
              <w:t>26</w:t>
            </w:r>
            <w:r w:rsidRPr="00CC2FC0">
              <w:rPr>
                <w:b/>
                <w:bCs/>
                <w:sz w:val="20"/>
                <w:szCs w:val="20"/>
              </w:rPr>
              <w:t>0</w:t>
            </w:r>
          </w:p>
        </w:tc>
        <w:tc>
          <w:tcPr>
            <w:tcW w:w="965" w:type="pct"/>
            <w:tcBorders>
              <w:top w:val="nil"/>
              <w:left w:val="nil"/>
              <w:right w:val="nil"/>
            </w:tcBorders>
            <w:shd w:val="clear" w:color="auto" w:fill="auto"/>
            <w:vAlign w:val="bottom"/>
          </w:tcPr>
          <w:p w14:paraId="62FF5B49" w14:textId="77777777" w:rsidR="00F731AC" w:rsidRPr="00CC2FC0" w:rsidRDefault="00F731AC" w:rsidP="00CC768C">
            <w:pPr>
              <w:spacing w:after="0" w:line="245" w:lineRule="auto"/>
              <w:jc w:val="center"/>
              <w:rPr>
                <w:rFonts w:eastAsia="Times New Roman"/>
                <w:color w:val="auto"/>
                <w:sz w:val="20"/>
                <w:szCs w:val="20"/>
                <w:lang w:eastAsia="en-SG"/>
              </w:rPr>
            </w:pPr>
            <w:r w:rsidRPr="00CC2FC0">
              <w:rPr>
                <w:sz w:val="20"/>
                <w:szCs w:val="20"/>
              </w:rPr>
              <w:t>1.000</w:t>
            </w:r>
          </w:p>
        </w:tc>
        <w:tc>
          <w:tcPr>
            <w:tcW w:w="965" w:type="pct"/>
            <w:tcBorders>
              <w:top w:val="nil"/>
              <w:left w:val="nil"/>
              <w:right w:val="nil"/>
            </w:tcBorders>
            <w:shd w:val="clear" w:color="auto" w:fill="auto"/>
            <w:noWrap/>
            <w:vAlign w:val="bottom"/>
          </w:tcPr>
          <w:p w14:paraId="795DEFD5" w14:textId="77777777" w:rsidR="00F731AC" w:rsidRPr="00CC2FC0" w:rsidRDefault="00F731AC" w:rsidP="00CC768C">
            <w:pPr>
              <w:spacing w:after="0" w:line="245" w:lineRule="auto"/>
              <w:jc w:val="center"/>
              <w:rPr>
                <w:rFonts w:eastAsia="Times New Roman"/>
                <w:color w:val="auto"/>
                <w:sz w:val="20"/>
                <w:szCs w:val="20"/>
                <w:lang w:eastAsia="en-SG"/>
              </w:rPr>
            </w:pPr>
          </w:p>
        </w:tc>
      </w:tr>
      <w:tr w:rsidR="00F731AC" w:rsidRPr="002D1654" w14:paraId="2978E2F1" w14:textId="77777777" w:rsidTr="00CC768C">
        <w:trPr>
          <w:trHeight w:val="247"/>
          <w:jc w:val="center"/>
        </w:trPr>
        <w:tc>
          <w:tcPr>
            <w:tcW w:w="188" w:type="pct"/>
            <w:tcBorders>
              <w:top w:val="nil"/>
              <w:left w:val="nil"/>
              <w:bottom w:val="single" w:sz="4" w:space="0" w:color="auto"/>
              <w:right w:val="nil"/>
            </w:tcBorders>
            <w:shd w:val="clear" w:color="000000" w:fill="FFFFFF"/>
            <w:noWrap/>
            <w:vAlign w:val="center"/>
          </w:tcPr>
          <w:p w14:paraId="1C253976" w14:textId="77777777" w:rsidR="00F731AC" w:rsidRPr="00CC2FC0" w:rsidRDefault="00F731AC" w:rsidP="00CC768C">
            <w:pPr>
              <w:spacing w:after="0" w:line="245" w:lineRule="auto"/>
              <w:jc w:val="right"/>
              <w:rPr>
                <w:rFonts w:eastAsia="Times New Roman"/>
                <w:color w:val="auto"/>
                <w:sz w:val="20"/>
                <w:szCs w:val="20"/>
                <w:lang w:eastAsia="en-SG"/>
              </w:rPr>
            </w:pPr>
            <w:r w:rsidRPr="00CC2FC0">
              <w:rPr>
                <w:rFonts w:eastAsia="Times New Roman"/>
                <w:color w:val="auto"/>
                <w:sz w:val="20"/>
                <w:szCs w:val="20"/>
                <w:lang w:eastAsia="en-SG"/>
              </w:rPr>
              <w:t>4</w:t>
            </w:r>
          </w:p>
        </w:tc>
        <w:tc>
          <w:tcPr>
            <w:tcW w:w="951" w:type="pct"/>
            <w:tcBorders>
              <w:top w:val="nil"/>
              <w:left w:val="nil"/>
              <w:bottom w:val="single" w:sz="4" w:space="0" w:color="auto"/>
              <w:right w:val="nil"/>
            </w:tcBorders>
            <w:shd w:val="clear" w:color="000000" w:fill="FFFFFF"/>
            <w:noWrap/>
            <w:vAlign w:val="center"/>
          </w:tcPr>
          <w:p w14:paraId="5B1A16F8" w14:textId="77777777" w:rsidR="00F731AC" w:rsidRPr="00CC2FC0" w:rsidRDefault="00F731AC" w:rsidP="00CC768C">
            <w:pPr>
              <w:spacing w:after="0" w:line="245" w:lineRule="auto"/>
              <w:rPr>
                <w:color w:val="auto"/>
                <w:sz w:val="20"/>
                <w:szCs w:val="20"/>
              </w:rPr>
            </w:pPr>
            <w:r w:rsidRPr="00CC2FC0">
              <w:rPr>
                <w:color w:val="auto"/>
                <w:sz w:val="20"/>
                <w:szCs w:val="20"/>
              </w:rPr>
              <w:t>OPEX</w:t>
            </w:r>
          </w:p>
        </w:tc>
        <w:tc>
          <w:tcPr>
            <w:tcW w:w="965" w:type="pct"/>
            <w:tcBorders>
              <w:top w:val="nil"/>
              <w:left w:val="nil"/>
              <w:bottom w:val="single" w:sz="4" w:space="0" w:color="auto"/>
              <w:right w:val="nil"/>
            </w:tcBorders>
            <w:shd w:val="clear" w:color="auto" w:fill="auto"/>
            <w:noWrap/>
            <w:vAlign w:val="bottom"/>
          </w:tcPr>
          <w:p w14:paraId="12EFFD4A" w14:textId="77777777" w:rsidR="00F731AC" w:rsidRPr="00CC2FC0" w:rsidRDefault="00F731AC" w:rsidP="00CC768C">
            <w:pPr>
              <w:spacing w:after="0" w:line="245" w:lineRule="auto"/>
              <w:jc w:val="center"/>
              <w:rPr>
                <w:rFonts w:eastAsia="Times New Roman"/>
                <w:color w:val="auto"/>
                <w:sz w:val="20"/>
                <w:szCs w:val="20"/>
                <w:lang w:eastAsia="en-SG"/>
              </w:rPr>
            </w:pPr>
            <w:r w:rsidRPr="00CC2FC0">
              <w:rPr>
                <w:b/>
                <w:bCs/>
                <w:sz w:val="20"/>
                <w:szCs w:val="20"/>
              </w:rPr>
              <w:t>.</w:t>
            </w:r>
            <w:r>
              <w:rPr>
                <w:b/>
                <w:bCs/>
                <w:sz w:val="20"/>
                <w:szCs w:val="20"/>
              </w:rPr>
              <w:t>879</w:t>
            </w:r>
          </w:p>
        </w:tc>
        <w:tc>
          <w:tcPr>
            <w:tcW w:w="965" w:type="pct"/>
            <w:tcBorders>
              <w:top w:val="nil"/>
              <w:left w:val="nil"/>
              <w:bottom w:val="single" w:sz="4" w:space="0" w:color="auto"/>
              <w:right w:val="nil"/>
            </w:tcBorders>
            <w:shd w:val="clear" w:color="auto" w:fill="auto"/>
            <w:noWrap/>
            <w:vAlign w:val="bottom"/>
          </w:tcPr>
          <w:p w14:paraId="1BD4C784" w14:textId="77777777" w:rsidR="00F731AC" w:rsidRPr="00CC2FC0" w:rsidRDefault="00F731AC" w:rsidP="00CC768C">
            <w:pPr>
              <w:spacing w:after="0" w:line="245" w:lineRule="auto"/>
              <w:jc w:val="center"/>
              <w:rPr>
                <w:rFonts w:eastAsia="Times New Roman"/>
                <w:color w:val="auto"/>
                <w:sz w:val="20"/>
                <w:szCs w:val="20"/>
                <w:lang w:eastAsia="en-SG"/>
              </w:rPr>
            </w:pPr>
            <w:r w:rsidRPr="00CC2FC0">
              <w:rPr>
                <w:b/>
                <w:bCs/>
                <w:sz w:val="20"/>
                <w:szCs w:val="20"/>
              </w:rPr>
              <w:t>.</w:t>
            </w:r>
            <w:r>
              <w:rPr>
                <w:b/>
                <w:bCs/>
                <w:sz w:val="20"/>
                <w:szCs w:val="20"/>
              </w:rPr>
              <w:t>293</w:t>
            </w:r>
          </w:p>
        </w:tc>
        <w:tc>
          <w:tcPr>
            <w:tcW w:w="965" w:type="pct"/>
            <w:tcBorders>
              <w:top w:val="nil"/>
              <w:left w:val="nil"/>
              <w:bottom w:val="single" w:sz="4" w:space="0" w:color="auto"/>
              <w:right w:val="nil"/>
            </w:tcBorders>
            <w:shd w:val="clear" w:color="auto" w:fill="auto"/>
            <w:vAlign w:val="bottom"/>
          </w:tcPr>
          <w:p w14:paraId="4CF6DF4E" w14:textId="77777777" w:rsidR="00F731AC" w:rsidRPr="00CC2FC0" w:rsidRDefault="00F731AC" w:rsidP="00CC768C">
            <w:pPr>
              <w:spacing w:after="0" w:line="245" w:lineRule="auto"/>
              <w:jc w:val="center"/>
              <w:rPr>
                <w:rFonts w:eastAsia="Times New Roman"/>
                <w:color w:val="auto"/>
                <w:sz w:val="20"/>
                <w:szCs w:val="20"/>
                <w:lang w:eastAsia="en-SG"/>
              </w:rPr>
            </w:pPr>
            <w:r w:rsidRPr="00CC2FC0">
              <w:rPr>
                <w:b/>
                <w:bCs/>
                <w:sz w:val="20"/>
                <w:szCs w:val="20"/>
              </w:rPr>
              <w:t>.99</w:t>
            </w:r>
            <w:r>
              <w:rPr>
                <w:b/>
                <w:bCs/>
                <w:sz w:val="20"/>
                <w:szCs w:val="20"/>
              </w:rPr>
              <w:t>9</w:t>
            </w:r>
          </w:p>
        </w:tc>
        <w:tc>
          <w:tcPr>
            <w:tcW w:w="965" w:type="pct"/>
            <w:tcBorders>
              <w:top w:val="nil"/>
              <w:left w:val="nil"/>
              <w:bottom w:val="single" w:sz="4" w:space="0" w:color="auto"/>
              <w:right w:val="nil"/>
            </w:tcBorders>
            <w:shd w:val="clear" w:color="auto" w:fill="auto"/>
            <w:noWrap/>
            <w:vAlign w:val="bottom"/>
          </w:tcPr>
          <w:p w14:paraId="35E190B3" w14:textId="77777777" w:rsidR="00F731AC" w:rsidRPr="00CC2FC0" w:rsidRDefault="00F731AC" w:rsidP="00CC768C">
            <w:pPr>
              <w:spacing w:after="0" w:line="245" w:lineRule="auto"/>
              <w:jc w:val="center"/>
              <w:rPr>
                <w:rFonts w:eastAsia="Times New Roman"/>
                <w:color w:val="auto"/>
                <w:sz w:val="20"/>
                <w:szCs w:val="20"/>
                <w:lang w:eastAsia="en-SG"/>
              </w:rPr>
            </w:pPr>
            <w:r w:rsidRPr="00CC2FC0">
              <w:rPr>
                <w:sz w:val="20"/>
                <w:szCs w:val="20"/>
              </w:rPr>
              <w:t>1.000</w:t>
            </w:r>
          </w:p>
        </w:tc>
      </w:tr>
      <w:tr w:rsidR="00F731AC" w:rsidRPr="002D1654" w14:paraId="7362647B" w14:textId="77777777" w:rsidTr="00CC768C">
        <w:trPr>
          <w:trHeight w:val="247"/>
          <w:jc w:val="center"/>
        </w:trPr>
        <w:tc>
          <w:tcPr>
            <w:tcW w:w="1140" w:type="pct"/>
            <w:gridSpan w:val="2"/>
            <w:tcBorders>
              <w:top w:val="single" w:sz="4" w:space="0" w:color="auto"/>
              <w:left w:val="nil"/>
              <w:bottom w:val="nil"/>
              <w:right w:val="nil"/>
            </w:tcBorders>
            <w:shd w:val="clear" w:color="000000" w:fill="FFFFFF"/>
            <w:noWrap/>
            <w:vAlign w:val="center"/>
            <w:hideMark/>
          </w:tcPr>
          <w:p w14:paraId="1DA70F12" w14:textId="77777777" w:rsidR="00F731AC" w:rsidRPr="00CC2FC0" w:rsidRDefault="00F731AC" w:rsidP="00CC768C">
            <w:pPr>
              <w:spacing w:after="0" w:line="245" w:lineRule="auto"/>
              <w:rPr>
                <w:rFonts w:eastAsia="Times New Roman"/>
                <w:color w:val="auto"/>
                <w:sz w:val="20"/>
                <w:szCs w:val="20"/>
                <w:lang w:eastAsia="en-SG"/>
              </w:rPr>
            </w:pPr>
            <w:r w:rsidRPr="00CC2FC0">
              <w:rPr>
                <w:rFonts w:eastAsia="Times New Roman"/>
                <w:color w:val="auto"/>
                <w:sz w:val="20"/>
                <w:szCs w:val="20"/>
                <w:lang w:eastAsia="en-SG"/>
              </w:rPr>
              <w:t>Mean</w:t>
            </w:r>
          </w:p>
        </w:tc>
        <w:tc>
          <w:tcPr>
            <w:tcW w:w="965" w:type="pct"/>
            <w:tcBorders>
              <w:top w:val="single" w:sz="4" w:space="0" w:color="auto"/>
              <w:left w:val="nil"/>
              <w:bottom w:val="nil"/>
              <w:right w:val="nil"/>
            </w:tcBorders>
            <w:shd w:val="clear" w:color="auto" w:fill="auto"/>
            <w:noWrap/>
            <w:vAlign w:val="bottom"/>
          </w:tcPr>
          <w:p w14:paraId="2CF9DF03" w14:textId="77777777" w:rsidR="00F731AC" w:rsidRPr="00CC2FC0" w:rsidRDefault="00F731AC" w:rsidP="00CC768C">
            <w:pPr>
              <w:spacing w:after="0" w:line="245" w:lineRule="auto"/>
              <w:jc w:val="center"/>
              <w:rPr>
                <w:rFonts w:eastAsia="Times New Roman"/>
                <w:color w:val="auto"/>
                <w:sz w:val="20"/>
                <w:szCs w:val="20"/>
                <w:lang w:eastAsia="en-SG"/>
              </w:rPr>
            </w:pPr>
            <w:r w:rsidRPr="00CC2FC0">
              <w:rPr>
                <w:sz w:val="20"/>
                <w:szCs w:val="20"/>
              </w:rPr>
              <w:t>4681.0</w:t>
            </w:r>
            <w:r>
              <w:rPr>
                <w:sz w:val="20"/>
                <w:szCs w:val="20"/>
              </w:rPr>
              <w:t>37</w:t>
            </w:r>
          </w:p>
        </w:tc>
        <w:tc>
          <w:tcPr>
            <w:tcW w:w="965" w:type="pct"/>
            <w:tcBorders>
              <w:top w:val="single" w:sz="4" w:space="0" w:color="auto"/>
              <w:left w:val="nil"/>
              <w:bottom w:val="nil"/>
              <w:right w:val="nil"/>
            </w:tcBorders>
            <w:shd w:val="clear" w:color="auto" w:fill="auto"/>
            <w:noWrap/>
            <w:vAlign w:val="bottom"/>
          </w:tcPr>
          <w:p w14:paraId="08ED35C8" w14:textId="77777777" w:rsidR="00F731AC" w:rsidRPr="00CC2FC0" w:rsidRDefault="00F731AC" w:rsidP="00CC768C">
            <w:pPr>
              <w:spacing w:after="0" w:line="245" w:lineRule="auto"/>
              <w:jc w:val="center"/>
              <w:rPr>
                <w:rFonts w:eastAsia="Times New Roman"/>
                <w:color w:val="auto"/>
                <w:sz w:val="20"/>
                <w:szCs w:val="20"/>
                <w:lang w:eastAsia="en-SG"/>
              </w:rPr>
            </w:pPr>
            <w:r>
              <w:rPr>
                <w:sz w:val="20"/>
                <w:szCs w:val="20"/>
              </w:rPr>
              <w:t>432</w:t>
            </w:r>
            <w:r w:rsidRPr="00CC2FC0">
              <w:rPr>
                <w:sz w:val="20"/>
                <w:szCs w:val="20"/>
              </w:rPr>
              <w:t>.0</w:t>
            </w:r>
            <w:r>
              <w:rPr>
                <w:sz w:val="20"/>
                <w:szCs w:val="20"/>
              </w:rPr>
              <w:t>02</w:t>
            </w:r>
          </w:p>
        </w:tc>
        <w:tc>
          <w:tcPr>
            <w:tcW w:w="965" w:type="pct"/>
            <w:tcBorders>
              <w:top w:val="single" w:sz="4" w:space="0" w:color="auto"/>
              <w:left w:val="nil"/>
              <w:bottom w:val="nil"/>
              <w:right w:val="nil"/>
            </w:tcBorders>
            <w:shd w:val="clear" w:color="auto" w:fill="auto"/>
            <w:vAlign w:val="bottom"/>
          </w:tcPr>
          <w:p w14:paraId="0F34FC45" w14:textId="77777777" w:rsidR="00F731AC" w:rsidRPr="00CC2FC0" w:rsidRDefault="00F731AC" w:rsidP="00CC768C">
            <w:pPr>
              <w:spacing w:after="0" w:line="245" w:lineRule="auto"/>
              <w:jc w:val="center"/>
              <w:rPr>
                <w:rFonts w:eastAsia="Times New Roman"/>
                <w:color w:val="auto"/>
                <w:sz w:val="20"/>
                <w:szCs w:val="20"/>
                <w:lang w:eastAsia="en-SG"/>
              </w:rPr>
            </w:pPr>
            <w:r w:rsidRPr="00CC2FC0">
              <w:rPr>
                <w:sz w:val="20"/>
                <w:szCs w:val="20"/>
              </w:rPr>
              <w:t>16601.210</w:t>
            </w:r>
          </w:p>
        </w:tc>
        <w:tc>
          <w:tcPr>
            <w:tcW w:w="965" w:type="pct"/>
            <w:tcBorders>
              <w:top w:val="single" w:sz="4" w:space="0" w:color="auto"/>
              <w:left w:val="nil"/>
              <w:bottom w:val="nil"/>
              <w:right w:val="nil"/>
            </w:tcBorders>
            <w:shd w:val="clear" w:color="auto" w:fill="auto"/>
            <w:noWrap/>
            <w:vAlign w:val="bottom"/>
          </w:tcPr>
          <w:p w14:paraId="7EBEA8E5" w14:textId="77777777" w:rsidR="00F731AC" w:rsidRPr="00CC2FC0" w:rsidRDefault="00F731AC" w:rsidP="00CC768C">
            <w:pPr>
              <w:spacing w:after="0" w:line="245" w:lineRule="auto"/>
              <w:jc w:val="center"/>
              <w:rPr>
                <w:rFonts w:eastAsia="Times New Roman"/>
                <w:color w:val="auto"/>
                <w:sz w:val="20"/>
                <w:szCs w:val="20"/>
                <w:lang w:eastAsia="en-SG"/>
              </w:rPr>
            </w:pPr>
            <w:r>
              <w:rPr>
                <w:sz w:val="20"/>
                <w:szCs w:val="20"/>
              </w:rPr>
              <w:t>17033</w:t>
            </w:r>
            <w:r w:rsidRPr="00CC2FC0">
              <w:rPr>
                <w:sz w:val="20"/>
                <w:szCs w:val="20"/>
              </w:rPr>
              <w:t>.2</w:t>
            </w:r>
            <w:r>
              <w:rPr>
                <w:sz w:val="20"/>
                <w:szCs w:val="20"/>
              </w:rPr>
              <w:t>2</w:t>
            </w:r>
            <w:r w:rsidRPr="00CC2FC0">
              <w:rPr>
                <w:sz w:val="20"/>
                <w:szCs w:val="20"/>
              </w:rPr>
              <w:t>0</w:t>
            </w:r>
          </w:p>
        </w:tc>
      </w:tr>
      <w:tr w:rsidR="00F731AC" w:rsidRPr="002D1654" w14:paraId="1A1BD808" w14:textId="77777777" w:rsidTr="00CC768C">
        <w:trPr>
          <w:trHeight w:val="247"/>
          <w:jc w:val="center"/>
        </w:trPr>
        <w:tc>
          <w:tcPr>
            <w:tcW w:w="1140" w:type="pct"/>
            <w:gridSpan w:val="2"/>
            <w:tcBorders>
              <w:top w:val="nil"/>
              <w:left w:val="nil"/>
              <w:bottom w:val="nil"/>
              <w:right w:val="nil"/>
            </w:tcBorders>
            <w:shd w:val="clear" w:color="000000" w:fill="FFFFFF"/>
            <w:noWrap/>
            <w:vAlign w:val="center"/>
            <w:hideMark/>
          </w:tcPr>
          <w:p w14:paraId="20B5B64D" w14:textId="77777777" w:rsidR="00F731AC" w:rsidRPr="00CC2FC0" w:rsidRDefault="00F731AC" w:rsidP="00CC768C">
            <w:pPr>
              <w:spacing w:after="0" w:line="245" w:lineRule="auto"/>
              <w:rPr>
                <w:rFonts w:eastAsia="Times New Roman"/>
                <w:color w:val="auto"/>
                <w:sz w:val="20"/>
                <w:szCs w:val="20"/>
                <w:lang w:eastAsia="en-SG"/>
              </w:rPr>
            </w:pPr>
            <w:r w:rsidRPr="00CC2FC0">
              <w:rPr>
                <w:rFonts w:eastAsia="Times New Roman"/>
                <w:color w:val="auto"/>
                <w:sz w:val="20"/>
                <w:szCs w:val="20"/>
                <w:lang w:eastAsia="en-SG"/>
              </w:rPr>
              <w:t>Standard Deviation</w:t>
            </w:r>
          </w:p>
        </w:tc>
        <w:tc>
          <w:tcPr>
            <w:tcW w:w="965" w:type="pct"/>
            <w:tcBorders>
              <w:top w:val="nil"/>
              <w:left w:val="nil"/>
              <w:bottom w:val="nil"/>
              <w:right w:val="nil"/>
            </w:tcBorders>
            <w:shd w:val="clear" w:color="auto" w:fill="auto"/>
            <w:noWrap/>
            <w:vAlign w:val="bottom"/>
          </w:tcPr>
          <w:p w14:paraId="761F65EF" w14:textId="77777777" w:rsidR="00F731AC" w:rsidRPr="00CC2FC0" w:rsidRDefault="00F731AC" w:rsidP="00CC768C">
            <w:pPr>
              <w:spacing w:after="0" w:line="245" w:lineRule="auto"/>
              <w:jc w:val="center"/>
              <w:rPr>
                <w:rFonts w:eastAsia="Times New Roman"/>
                <w:color w:val="auto"/>
                <w:sz w:val="20"/>
                <w:szCs w:val="20"/>
                <w:lang w:eastAsia="en-SG"/>
              </w:rPr>
            </w:pPr>
            <w:r w:rsidRPr="00CC2FC0">
              <w:rPr>
                <w:sz w:val="20"/>
                <w:szCs w:val="20"/>
              </w:rPr>
              <w:t>7657.4</w:t>
            </w:r>
            <w:r>
              <w:rPr>
                <w:sz w:val="20"/>
                <w:szCs w:val="20"/>
              </w:rPr>
              <w:t>77</w:t>
            </w:r>
          </w:p>
        </w:tc>
        <w:tc>
          <w:tcPr>
            <w:tcW w:w="965" w:type="pct"/>
            <w:tcBorders>
              <w:top w:val="nil"/>
              <w:left w:val="nil"/>
              <w:bottom w:val="nil"/>
              <w:right w:val="nil"/>
            </w:tcBorders>
            <w:shd w:val="clear" w:color="auto" w:fill="auto"/>
            <w:noWrap/>
            <w:vAlign w:val="bottom"/>
          </w:tcPr>
          <w:p w14:paraId="2D968A58" w14:textId="77777777" w:rsidR="00F731AC" w:rsidRPr="00CC2FC0" w:rsidRDefault="00F731AC" w:rsidP="00CC768C">
            <w:pPr>
              <w:spacing w:after="0" w:line="245" w:lineRule="auto"/>
              <w:jc w:val="center"/>
              <w:rPr>
                <w:rFonts w:eastAsia="Times New Roman"/>
                <w:color w:val="auto"/>
                <w:sz w:val="20"/>
                <w:szCs w:val="20"/>
                <w:lang w:eastAsia="en-SG"/>
              </w:rPr>
            </w:pPr>
            <w:r>
              <w:rPr>
                <w:sz w:val="20"/>
                <w:szCs w:val="20"/>
              </w:rPr>
              <w:t>1083</w:t>
            </w:r>
            <w:r w:rsidRPr="00CC2FC0">
              <w:rPr>
                <w:sz w:val="20"/>
                <w:szCs w:val="20"/>
              </w:rPr>
              <w:t>.</w:t>
            </w:r>
            <w:r>
              <w:rPr>
                <w:sz w:val="20"/>
                <w:szCs w:val="20"/>
              </w:rPr>
              <w:t>776</w:t>
            </w:r>
          </w:p>
        </w:tc>
        <w:tc>
          <w:tcPr>
            <w:tcW w:w="965" w:type="pct"/>
            <w:tcBorders>
              <w:top w:val="nil"/>
              <w:left w:val="nil"/>
              <w:bottom w:val="nil"/>
              <w:right w:val="nil"/>
            </w:tcBorders>
            <w:shd w:val="clear" w:color="auto" w:fill="auto"/>
            <w:vAlign w:val="bottom"/>
          </w:tcPr>
          <w:p w14:paraId="03462A03" w14:textId="77777777" w:rsidR="00F731AC" w:rsidRPr="00CC2FC0" w:rsidRDefault="00F731AC" w:rsidP="00CC768C">
            <w:pPr>
              <w:spacing w:after="0" w:line="245" w:lineRule="auto"/>
              <w:jc w:val="center"/>
              <w:rPr>
                <w:rFonts w:eastAsia="Times New Roman"/>
                <w:color w:val="auto"/>
                <w:sz w:val="20"/>
                <w:szCs w:val="20"/>
                <w:lang w:eastAsia="en-SG"/>
              </w:rPr>
            </w:pPr>
            <w:r w:rsidRPr="00CC2FC0">
              <w:rPr>
                <w:sz w:val="20"/>
                <w:szCs w:val="20"/>
              </w:rPr>
              <w:t>30484.380</w:t>
            </w:r>
          </w:p>
        </w:tc>
        <w:tc>
          <w:tcPr>
            <w:tcW w:w="965" w:type="pct"/>
            <w:tcBorders>
              <w:top w:val="nil"/>
              <w:left w:val="nil"/>
              <w:bottom w:val="nil"/>
              <w:right w:val="nil"/>
            </w:tcBorders>
            <w:shd w:val="clear" w:color="auto" w:fill="auto"/>
            <w:noWrap/>
            <w:vAlign w:val="bottom"/>
          </w:tcPr>
          <w:p w14:paraId="35C678FA" w14:textId="77777777" w:rsidR="00F731AC" w:rsidRPr="00CC2FC0" w:rsidRDefault="00F731AC" w:rsidP="00CC768C">
            <w:pPr>
              <w:spacing w:after="0" w:line="245" w:lineRule="auto"/>
              <w:jc w:val="center"/>
              <w:rPr>
                <w:rFonts w:eastAsia="Times New Roman"/>
                <w:color w:val="auto"/>
                <w:sz w:val="20"/>
                <w:szCs w:val="20"/>
                <w:lang w:eastAsia="en-SG"/>
              </w:rPr>
            </w:pPr>
            <w:r w:rsidRPr="00CC2FC0">
              <w:rPr>
                <w:sz w:val="20"/>
                <w:szCs w:val="20"/>
              </w:rPr>
              <w:t>3</w:t>
            </w:r>
            <w:r>
              <w:rPr>
                <w:sz w:val="20"/>
                <w:szCs w:val="20"/>
              </w:rPr>
              <w:t>0784</w:t>
            </w:r>
            <w:r w:rsidRPr="00CC2FC0">
              <w:rPr>
                <w:sz w:val="20"/>
                <w:szCs w:val="20"/>
              </w:rPr>
              <w:t>.</w:t>
            </w:r>
            <w:r>
              <w:rPr>
                <w:sz w:val="20"/>
                <w:szCs w:val="20"/>
              </w:rPr>
              <w:t>85</w:t>
            </w:r>
            <w:r w:rsidRPr="00CC2FC0">
              <w:rPr>
                <w:sz w:val="20"/>
                <w:szCs w:val="20"/>
              </w:rPr>
              <w:t>0</w:t>
            </w:r>
          </w:p>
        </w:tc>
      </w:tr>
      <w:tr w:rsidR="00F731AC" w:rsidRPr="002D1654" w14:paraId="380B3E52" w14:textId="77777777" w:rsidTr="00CC768C">
        <w:trPr>
          <w:trHeight w:val="802"/>
          <w:jc w:val="center"/>
        </w:trPr>
        <w:tc>
          <w:tcPr>
            <w:tcW w:w="5000" w:type="pct"/>
            <w:gridSpan w:val="6"/>
            <w:tcBorders>
              <w:top w:val="single" w:sz="4" w:space="0" w:color="auto"/>
              <w:left w:val="nil"/>
              <w:bottom w:val="nil"/>
              <w:right w:val="nil"/>
            </w:tcBorders>
            <w:shd w:val="clear" w:color="000000" w:fill="FFFFFF"/>
            <w:hideMark/>
          </w:tcPr>
          <w:p w14:paraId="393B60C8" w14:textId="77777777" w:rsidR="00F731AC" w:rsidRPr="002D1654" w:rsidRDefault="00F731AC" w:rsidP="00CC768C">
            <w:pPr>
              <w:spacing w:after="0" w:line="245" w:lineRule="auto"/>
              <w:rPr>
                <w:rFonts w:eastAsia="Times New Roman"/>
                <w:i/>
                <w:iCs/>
                <w:color w:val="auto"/>
                <w:sz w:val="20"/>
                <w:szCs w:val="20"/>
                <w:lang w:eastAsia="en-SG"/>
              </w:rPr>
            </w:pPr>
          </w:p>
          <w:p w14:paraId="35FCA323" w14:textId="6026B942" w:rsidR="00F731AC" w:rsidRPr="002D1654" w:rsidRDefault="00F731AC" w:rsidP="00CC768C">
            <w:pPr>
              <w:spacing w:line="245" w:lineRule="auto"/>
              <w:rPr>
                <w:rFonts w:eastAsia="Times New Roman"/>
                <w:color w:val="auto"/>
                <w:lang w:eastAsia="en-SG"/>
              </w:rPr>
            </w:pPr>
            <w:r w:rsidRPr="002D1654">
              <w:rPr>
                <w:rFonts w:eastAsia="Times New Roman"/>
                <w:i/>
                <w:iCs/>
                <w:color w:val="auto"/>
                <w:lang w:eastAsia="en-SG"/>
              </w:rPr>
              <w:t>Notes.</w:t>
            </w:r>
            <w:r>
              <w:rPr>
                <w:rFonts w:eastAsia="Times New Roman"/>
                <w:color w:val="auto"/>
                <w:lang w:eastAsia="en-SG"/>
              </w:rPr>
              <w:t xml:space="preserve"> </w:t>
            </w:r>
            <w:r w:rsidR="00657348">
              <w:rPr>
                <w:rFonts w:eastAsia="Times New Roman"/>
                <w:color w:val="auto"/>
                <w:lang w:eastAsia="en-SG"/>
              </w:rPr>
              <w:t xml:space="preserve">COS = Cost of Selling; </w:t>
            </w:r>
            <w:r>
              <w:rPr>
                <w:rFonts w:eastAsia="Times New Roman"/>
                <w:color w:val="auto"/>
                <w:lang w:eastAsia="en-SG"/>
              </w:rPr>
              <w:t xml:space="preserve">SG&amp;A = Selling, General and Administrative Expenses minus </w:t>
            </w:r>
            <w:r w:rsidR="00DF2E64">
              <w:rPr>
                <w:rFonts w:eastAsia="Times New Roman"/>
                <w:color w:val="auto"/>
                <w:lang w:eastAsia="en-SG"/>
              </w:rPr>
              <w:t>COS</w:t>
            </w:r>
            <w:r>
              <w:rPr>
                <w:rFonts w:eastAsia="Times New Roman"/>
                <w:color w:val="auto"/>
                <w:lang w:eastAsia="en-SG"/>
              </w:rPr>
              <w:t xml:space="preserve">; COGS = Cost of Goods Sold; OPEX = Operating Expenses minus </w:t>
            </w:r>
            <w:r w:rsidR="006B49EC">
              <w:rPr>
                <w:rFonts w:eastAsia="Times New Roman"/>
                <w:color w:val="auto"/>
                <w:lang w:eastAsia="en-SG"/>
              </w:rPr>
              <w:t>COS</w:t>
            </w:r>
            <w:r>
              <w:rPr>
                <w:rFonts w:eastAsia="Times New Roman"/>
                <w:color w:val="auto"/>
                <w:lang w:eastAsia="en-SG"/>
              </w:rPr>
              <w:t>.</w:t>
            </w:r>
            <w:r w:rsidRPr="002D1654">
              <w:rPr>
                <w:rFonts w:eastAsia="Times New Roman"/>
                <w:color w:val="auto"/>
                <w:lang w:eastAsia="en-SG"/>
              </w:rPr>
              <w:t xml:space="preserve"> </w:t>
            </w:r>
            <w:r w:rsidR="001672BA">
              <w:rPr>
                <w:rFonts w:eastAsia="Times New Roman"/>
                <w:color w:val="auto"/>
                <w:vertAlign w:val="superscript"/>
                <w:lang w:eastAsia="en-SG"/>
              </w:rPr>
              <w:t>a</w:t>
            </w:r>
            <w:r>
              <w:rPr>
                <w:rFonts w:eastAsia="Times New Roman"/>
                <w:color w:val="auto"/>
                <w:lang w:eastAsia="en-SG"/>
              </w:rPr>
              <w:t xml:space="preserve">Note that to obtain meaningful correlations of </w:t>
            </w:r>
            <w:r w:rsidR="006B49EC">
              <w:rPr>
                <w:rFonts w:eastAsia="Times New Roman"/>
                <w:color w:val="auto"/>
                <w:lang w:eastAsia="en-SG"/>
              </w:rPr>
              <w:t>COS</w:t>
            </w:r>
            <w:r>
              <w:rPr>
                <w:rFonts w:eastAsia="Times New Roman"/>
                <w:color w:val="auto"/>
                <w:lang w:eastAsia="en-SG"/>
              </w:rPr>
              <w:t xml:space="preserve"> with the other cost related concepts, we subtract </w:t>
            </w:r>
            <w:r w:rsidR="006B49EC">
              <w:rPr>
                <w:rFonts w:eastAsia="Times New Roman"/>
                <w:color w:val="auto"/>
                <w:lang w:eastAsia="en-SG"/>
              </w:rPr>
              <w:t>COS</w:t>
            </w:r>
            <w:r>
              <w:rPr>
                <w:rFonts w:eastAsia="Times New Roman"/>
                <w:color w:val="auto"/>
                <w:lang w:eastAsia="en-SG"/>
              </w:rPr>
              <w:t xml:space="preserve"> from SG&amp;A and OPEX as it is a subset of SG&amp;A and OPEX (see </w:t>
            </w:r>
            <w:r w:rsidR="006B49EC">
              <w:rPr>
                <w:rFonts w:eastAsia="Times New Roman"/>
                <w:color w:val="auto"/>
                <w:lang w:eastAsia="en-SG"/>
              </w:rPr>
              <w:t xml:space="preserve">Table 1, </w:t>
            </w:r>
            <w:r w:rsidR="001C6E50">
              <w:rPr>
                <w:rFonts w:eastAsia="Times New Roman"/>
                <w:color w:val="auto"/>
                <w:lang w:eastAsia="en-SG"/>
              </w:rPr>
              <w:fldChar w:fldCharType="begin"/>
            </w:r>
            <w:r w:rsidR="001C6E50">
              <w:rPr>
                <w:rFonts w:eastAsia="Times New Roman"/>
                <w:color w:val="auto"/>
                <w:lang w:eastAsia="en-SG"/>
              </w:rPr>
              <w:instrText xml:space="preserve"> ADDIN EN.CITE &lt;EndNote&gt;&lt;Cite ExcludeYear="1"&gt;&lt;Author&gt;COMPUSTAT Online Help Manual SG&amp;amp;A&lt;/Author&gt;&lt;Year&gt;2017&lt;/Year&gt;&lt;RecNum&gt;2336&lt;/RecNum&gt;&lt;DisplayText&gt;COMPUSTAT Online Help Manual SG&amp;amp;A &lt;/DisplayText&gt;&lt;record&gt;&lt;rec-number&gt;2336&lt;/rec-number&gt;&lt;foreign-keys&gt;&lt;key app="EN" db-id="d05sxppah09pwxe9fpbva0972x9paswspf90" timestamp="1497351270" guid="2fd4987a-c125-41d1-a379-64cfa1917163"&gt;2336&lt;/key&gt;&lt;/foreign-keys&gt;&lt;ref-type name="Newspaper Article"&gt;23&lt;/ref-type&gt;&lt;contributors&gt;&lt;authors&gt;&lt;author&gt;COMPUSTAT Online Help Manual SG&amp;amp;A,&lt;/author&gt;&lt;/authors&gt;&lt;/contributors&gt;&lt;titles&gt;&lt;title&gt;Selling, General and Administrative Expense&lt;/title&gt;&lt;secondary-title&gt;Standard &amp;amp; Poor&amp;apos;s Xpressfeed&lt;/secondary-title&gt;&lt;/titles&gt;&lt;dates&gt;&lt;year&gt;2017&lt;/year&gt;&lt;/dates&gt;&lt;urls&gt;&lt;related-urls&gt;&lt;url&gt;&lt;style face="underline" font="default" size="100%"&gt;https://wrds-web.wharton.upenn.edu/wrds/support/Data/_001Manuals%20and%20Overviews/_001Compustat/_001North%20America%20-%20Global%20-%20Bank/_000dataguide/xsga.cfm&lt;/style&gt;&lt;/url&gt;&lt;/related-urls&gt;&lt;/urls&gt;&lt;access-date&gt;June 13, 2017&lt;/access-date&gt;&lt;/record&gt;&lt;/Cite&gt;&lt;/EndNote&gt;</w:instrText>
            </w:r>
            <w:r w:rsidR="001C6E50">
              <w:rPr>
                <w:rFonts w:eastAsia="Times New Roman"/>
                <w:color w:val="auto"/>
                <w:lang w:eastAsia="en-SG"/>
              </w:rPr>
              <w:fldChar w:fldCharType="separate"/>
            </w:r>
            <w:r w:rsidR="001C6E50">
              <w:rPr>
                <w:rFonts w:eastAsia="Times New Roman"/>
                <w:noProof/>
                <w:color w:val="auto"/>
                <w:lang w:eastAsia="en-SG"/>
              </w:rPr>
              <w:t xml:space="preserve">COMPUSTAT Online Help Manual SG&amp;A </w:t>
            </w:r>
            <w:r w:rsidR="001C6E50">
              <w:rPr>
                <w:rFonts w:eastAsia="Times New Roman"/>
                <w:color w:val="auto"/>
                <w:lang w:eastAsia="en-SG"/>
              </w:rPr>
              <w:fldChar w:fldCharType="end"/>
            </w:r>
            <w:r>
              <w:rPr>
                <w:rFonts w:eastAsia="Times New Roman"/>
                <w:color w:val="auto"/>
                <w:lang w:eastAsia="en-SG"/>
              </w:rPr>
              <w:t xml:space="preserve">and </w:t>
            </w:r>
            <w:r w:rsidR="001C6E50">
              <w:rPr>
                <w:rFonts w:eastAsia="Times New Roman"/>
                <w:color w:val="auto"/>
                <w:lang w:eastAsia="en-SG"/>
              </w:rPr>
              <w:fldChar w:fldCharType="begin"/>
            </w:r>
            <w:r w:rsidR="001C6E50">
              <w:rPr>
                <w:rFonts w:eastAsia="Times New Roman"/>
                <w:color w:val="auto"/>
                <w:lang w:eastAsia="en-SG"/>
              </w:rPr>
              <w:instrText xml:space="preserve"> ADDIN EN.CITE &lt;EndNote&gt;&lt;Cite ExcludeYear="1"&gt;&lt;Author&gt;COMPUSTAT Online Help Manual OPEX&lt;/Author&gt;&lt;Year&gt;2018&lt;/Year&gt;&lt;RecNum&gt;2634&lt;/RecNum&gt;&lt;DisplayText&gt;COMPUSTAT Online Help Manual OPEX &lt;/DisplayText&gt;&lt;record&gt;&lt;rec-number&gt;2634&lt;/rec-number&gt;&lt;foreign-keys&gt;&lt;key app="EN" db-id="d05sxppah09pwxe9fpbva0972x9paswspf90" timestamp="1540543332" guid="899dcca0-ea9f-4a62-bfef-38e7e125c8b9"&gt;2634&lt;/key&gt;&lt;/foreign-keys&gt;&lt;ref-type name="Newspaper Article"&gt;23&lt;/ref-type&gt;&lt;contributors&gt;&lt;authors&gt;&lt;author&gt;COMPUSTAT Online Help Manual OPEX,&lt;/author&gt;&lt;/authors&gt;&lt;/contributors&gt;&lt;titles&gt;&lt;title&gt;Operating Expense - Total&lt;/title&gt;&lt;secondary-title&gt;Standard &amp;amp; Poor&amp;apos;s Xpressfeed&lt;/secondary-title&gt;&lt;/titles&gt;&lt;dates&gt;&lt;year&gt;2018&lt;/year&gt;&lt;/dates&gt;&lt;urls&gt;&lt;related-urls&gt;&lt;url&gt;&lt;style face="underline" font="default" size="100%"&gt;https://wrds-web.wharton.upenn.edu/wrds/support/Data/_001Manuals%20and%20Overviews/_001Compustat/_001North%20America%20-%20Global%20-%20Bank/_000dataguide/xopr.cfm&lt;/style&gt;&lt;/url&gt;&lt;/related-urls&gt;&lt;/urls&gt;&lt;access-date&gt;October 25, 2018&lt;/access-date&gt;&lt;/record&gt;&lt;/Cite&gt;&lt;/EndNote&gt;</w:instrText>
            </w:r>
            <w:r w:rsidR="001C6E50">
              <w:rPr>
                <w:rFonts w:eastAsia="Times New Roman"/>
                <w:color w:val="auto"/>
                <w:lang w:eastAsia="en-SG"/>
              </w:rPr>
              <w:fldChar w:fldCharType="separate"/>
            </w:r>
            <w:r w:rsidR="001C6E50">
              <w:rPr>
                <w:rFonts w:eastAsia="Times New Roman"/>
                <w:noProof/>
                <w:color w:val="auto"/>
                <w:lang w:eastAsia="en-SG"/>
              </w:rPr>
              <w:t xml:space="preserve">COMPUSTAT Online Help Manual OPEX </w:t>
            </w:r>
            <w:r w:rsidR="001C6E50">
              <w:rPr>
                <w:rFonts w:eastAsia="Times New Roman"/>
                <w:color w:val="auto"/>
                <w:lang w:eastAsia="en-SG"/>
              </w:rPr>
              <w:fldChar w:fldCharType="end"/>
            </w:r>
            <w:r>
              <w:rPr>
                <w:rFonts w:eastAsia="Times New Roman"/>
                <w:color w:val="auto"/>
                <w:lang w:eastAsia="en-SG"/>
              </w:rPr>
              <w:t xml:space="preserve">for the definitions of </w:t>
            </w:r>
            <w:r w:rsidR="006B49EC">
              <w:rPr>
                <w:rFonts w:eastAsia="Times New Roman"/>
                <w:color w:val="auto"/>
                <w:lang w:eastAsia="en-SG"/>
              </w:rPr>
              <w:t xml:space="preserve">COS, </w:t>
            </w:r>
            <w:r>
              <w:rPr>
                <w:rFonts w:eastAsia="Times New Roman"/>
                <w:color w:val="auto"/>
                <w:lang w:eastAsia="en-SG"/>
              </w:rPr>
              <w:t>SG&amp;A and OPEX respectively). We do not subtract C</w:t>
            </w:r>
            <w:r w:rsidR="006B49EC">
              <w:rPr>
                <w:rFonts w:eastAsia="Times New Roman"/>
                <w:color w:val="auto"/>
                <w:lang w:eastAsia="en-SG"/>
              </w:rPr>
              <w:t>OS</w:t>
            </w:r>
            <w:r>
              <w:rPr>
                <w:rFonts w:eastAsia="Times New Roman"/>
                <w:color w:val="auto"/>
                <w:lang w:eastAsia="en-SG"/>
              </w:rPr>
              <w:t xml:space="preserve"> from COGS as there are no common cost elements between the two cost related concepts (see</w:t>
            </w:r>
            <w:r w:rsidR="00C37EEB">
              <w:rPr>
                <w:rFonts w:eastAsia="Times New Roman"/>
                <w:color w:val="auto"/>
                <w:lang w:eastAsia="en-SG"/>
              </w:rPr>
              <w:t xml:space="preserve"> Table 1 and</w:t>
            </w:r>
            <w:r>
              <w:rPr>
                <w:rFonts w:eastAsia="Times New Roman"/>
                <w:color w:val="auto"/>
                <w:lang w:eastAsia="en-SG"/>
              </w:rPr>
              <w:t xml:space="preserve"> </w:t>
            </w:r>
            <w:r w:rsidR="001C6E50">
              <w:rPr>
                <w:rFonts w:eastAsia="Times New Roman"/>
                <w:color w:val="auto"/>
                <w:lang w:eastAsia="en-SG"/>
              </w:rPr>
              <w:fldChar w:fldCharType="begin"/>
            </w:r>
            <w:r w:rsidR="001C6E50">
              <w:rPr>
                <w:rFonts w:eastAsia="Times New Roman"/>
                <w:color w:val="auto"/>
                <w:lang w:eastAsia="en-SG"/>
              </w:rPr>
              <w:instrText xml:space="preserve"> ADDIN EN.CITE &lt;EndNote&gt;&lt;Cite ExcludeYear="1"&gt;&lt;Author&gt;COMPUSTAT Online Help Manual COGS&lt;/Author&gt;&lt;Year&gt;2019&lt;/Year&gt;&lt;RecNum&gt;2656&lt;/RecNum&gt;&lt;DisplayText&gt;COMPUSTAT Online Help Manual COGS &lt;/DisplayText&gt;&lt;record&gt;&lt;rec-number&gt;2656&lt;/rec-number&gt;&lt;foreign-keys&gt;&lt;key app="EN" db-id="d05sxppah09pwxe9fpbva0972x9paswspf90" timestamp="1566632887" guid="e11250db-2a0c-4843-98b1-b58b21185e62"&gt;2656&lt;/key&gt;&lt;/foreign-keys&gt;&lt;ref-type name="Newspaper Article"&gt;23&lt;/ref-type&gt;&lt;contributors&gt;&lt;authors&gt;&lt;author&gt;COMPUSTAT Online Help Manual COGS,&lt;/author&gt;&lt;/authors&gt;&lt;/contributors&gt;&lt;titles&gt;&lt;title&gt;Cost of Goods Sold&lt;/title&gt;&lt;secondary-title&gt;Standard &amp;amp; Poor&amp;apos;s Xpressfeed&lt;/secondary-title&gt;&lt;/titles&gt;&lt;dates&gt;&lt;year&gt;2019&lt;/year&gt;&lt;/dates&gt;&lt;urls&gt;&lt;related-urls&gt;&lt;url&gt;&lt;style face="underline" font="default" size="100%"&gt;https://wrds-web.wharton.upenn.edu/wrds/support/Data/_001Manuals%20and%20Overviews/_001Compustat/_001North%20America%20-%20Global%20-%20Bank/_000dataguide/cogs.cfm&lt;/style&gt;&lt;/url&gt;&lt;/related-urls&gt;&lt;/urls&gt;&lt;access-date&gt;August 22, 2019&lt;/access-date&gt;&lt;/record&gt;&lt;/Cite&gt;&lt;/EndNote&gt;</w:instrText>
            </w:r>
            <w:r w:rsidR="001C6E50">
              <w:rPr>
                <w:rFonts w:eastAsia="Times New Roman"/>
                <w:color w:val="auto"/>
                <w:lang w:eastAsia="en-SG"/>
              </w:rPr>
              <w:fldChar w:fldCharType="separate"/>
            </w:r>
            <w:r w:rsidR="001C6E50">
              <w:rPr>
                <w:rFonts w:eastAsia="Times New Roman"/>
                <w:noProof/>
                <w:color w:val="auto"/>
                <w:lang w:eastAsia="en-SG"/>
              </w:rPr>
              <w:t xml:space="preserve">COMPUSTAT Online Help Manual COGS </w:t>
            </w:r>
            <w:r w:rsidR="001C6E50">
              <w:rPr>
                <w:rFonts w:eastAsia="Times New Roman"/>
                <w:color w:val="auto"/>
                <w:lang w:eastAsia="en-SG"/>
              </w:rPr>
              <w:fldChar w:fldCharType="end"/>
            </w:r>
            <w:r>
              <w:rPr>
                <w:rFonts w:eastAsia="Times New Roman"/>
                <w:color w:val="auto"/>
                <w:lang w:eastAsia="en-SG"/>
              </w:rPr>
              <w:t>for the definition</w:t>
            </w:r>
            <w:r w:rsidR="00C37EEB">
              <w:rPr>
                <w:rFonts w:eastAsia="Times New Roman"/>
                <w:color w:val="auto"/>
                <w:lang w:eastAsia="en-SG"/>
              </w:rPr>
              <w:t>s</w:t>
            </w:r>
            <w:r>
              <w:rPr>
                <w:rFonts w:eastAsia="Times New Roman"/>
                <w:color w:val="auto"/>
                <w:lang w:eastAsia="en-SG"/>
              </w:rPr>
              <w:t xml:space="preserve"> of</w:t>
            </w:r>
            <w:r w:rsidR="00C37EEB">
              <w:rPr>
                <w:rFonts w:eastAsia="Times New Roman"/>
                <w:color w:val="auto"/>
                <w:lang w:eastAsia="en-SG"/>
              </w:rPr>
              <w:t xml:space="preserve"> COS and</w:t>
            </w:r>
            <w:r>
              <w:rPr>
                <w:rFonts w:eastAsia="Times New Roman"/>
                <w:color w:val="auto"/>
                <w:lang w:eastAsia="en-SG"/>
              </w:rPr>
              <w:t xml:space="preserve"> COGS</w:t>
            </w:r>
            <w:r w:rsidR="00C37EEB">
              <w:rPr>
                <w:rFonts w:eastAsia="Times New Roman"/>
                <w:color w:val="auto"/>
                <w:lang w:eastAsia="en-SG"/>
              </w:rPr>
              <w:t xml:space="preserve"> respectively</w:t>
            </w:r>
            <w:r>
              <w:rPr>
                <w:rFonts w:eastAsia="Times New Roman"/>
                <w:color w:val="auto"/>
                <w:lang w:eastAsia="en-SG"/>
              </w:rPr>
              <w:t>).</w:t>
            </w:r>
            <w:r w:rsidRPr="002D1654">
              <w:rPr>
                <w:rFonts w:eastAsia="Times New Roman"/>
                <w:color w:val="auto"/>
                <w:vertAlign w:val="superscript"/>
                <w:lang w:eastAsia="en-SG"/>
              </w:rPr>
              <w:t xml:space="preserve"> </w:t>
            </w:r>
            <w:r>
              <w:rPr>
                <w:rFonts w:eastAsia="Times New Roman"/>
                <w:color w:val="auto"/>
                <w:lang w:eastAsia="en-SG"/>
              </w:rPr>
              <w:t>C</w:t>
            </w:r>
            <w:r w:rsidRPr="002D1654">
              <w:rPr>
                <w:rFonts w:eastAsia="Times New Roman"/>
                <w:color w:val="auto"/>
                <w:lang w:eastAsia="en-SG"/>
              </w:rPr>
              <w:t xml:space="preserve">orrelations that are significant at </w:t>
            </w:r>
            <w:r w:rsidRPr="002D1654">
              <w:rPr>
                <w:rFonts w:eastAsia="Times New Roman"/>
                <w:i/>
                <w:iCs/>
                <w:color w:val="auto"/>
                <w:lang w:eastAsia="en-SG"/>
              </w:rPr>
              <w:t>p</w:t>
            </w:r>
            <w:r w:rsidRPr="002D1654">
              <w:rPr>
                <w:rFonts w:eastAsia="Times New Roman"/>
                <w:color w:val="auto"/>
                <w:lang w:eastAsia="en-SG"/>
              </w:rPr>
              <w:t xml:space="preserve"> &lt; .10 (two-sided) </w:t>
            </w:r>
            <w:r>
              <w:rPr>
                <w:rFonts w:eastAsia="Times New Roman"/>
                <w:color w:val="auto"/>
                <w:lang w:eastAsia="en-SG"/>
              </w:rPr>
              <w:t>appear</w:t>
            </w:r>
            <w:r w:rsidRPr="002D1654">
              <w:rPr>
                <w:rFonts w:eastAsia="Times New Roman"/>
                <w:color w:val="auto"/>
                <w:lang w:eastAsia="en-SG"/>
              </w:rPr>
              <w:t xml:space="preserve"> in bold. The mean, standard deviation and correlation values of the variables </w:t>
            </w:r>
            <w:r>
              <w:rPr>
                <w:rFonts w:eastAsia="Times New Roman"/>
                <w:color w:val="auto"/>
                <w:lang w:eastAsia="en-SG"/>
              </w:rPr>
              <w:t>appear</w:t>
            </w:r>
            <w:r w:rsidRPr="002D1654">
              <w:rPr>
                <w:rFonts w:eastAsia="Times New Roman"/>
                <w:color w:val="auto"/>
                <w:lang w:eastAsia="en-SG"/>
              </w:rPr>
              <w:t xml:space="preserve"> in their </w:t>
            </w:r>
            <w:r>
              <w:rPr>
                <w:rFonts w:eastAsia="Times New Roman"/>
                <w:color w:val="auto"/>
                <w:lang w:eastAsia="en-SG"/>
              </w:rPr>
              <w:t>original values, i.e., before applying any variable transformations</w:t>
            </w:r>
            <w:r w:rsidRPr="002D1654">
              <w:rPr>
                <w:rFonts w:eastAsia="Times New Roman"/>
                <w:color w:val="auto"/>
                <w:lang w:eastAsia="en-SG"/>
              </w:rPr>
              <w:t xml:space="preserve">. </w:t>
            </w:r>
            <w:r>
              <w:rPr>
                <w:rFonts w:eastAsia="Times New Roman"/>
                <w:color w:val="auto"/>
                <w:lang w:eastAsia="en-SG"/>
              </w:rPr>
              <w:t>There are 1,207 observations from 128 firms</w:t>
            </w:r>
            <w:r w:rsidRPr="002D1654">
              <w:rPr>
                <w:rFonts w:eastAsia="Times New Roman"/>
                <w:color w:val="auto"/>
                <w:lang w:eastAsia="en-SG"/>
              </w:rPr>
              <w:t>.</w:t>
            </w:r>
          </w:p>
        </w:tc>
      </w:tr>
      <w:bookmarkEnd w:id="4"/>
    </w:tbl>
    <w:p w14:paraId="2262AA01" w14:textId="77777777" w:rsidR="00F731AC" w:rsidRDefault="00F731AC" w:rsidP="00F731AC">
      <w:pPr>
        <w:spacing w:before="120" w:after="0" w:line="240" w:lineRule="auto"/>
        <w:jc w:val="center"/>
        <w:rPr>
          <w:b/>
          <w:color w:val="auto"/>
          <w:sz w:val="24"/>
          <w:szCs w:val="24"/>
        </w:rPr>
      </w:pPr>
    </w:p>
    <w:p w14:paraId="3E20B684" w14:textId="77777777" w:rsidR="00F731AC" w:rsidRDefault="00F731AC" w:rsidP="00F731AC">
      <w:pPr>
        <w:rPr>
          <w:b/>
          <w:color w:val="auto"/>
          <w:sz w:val="24"/>
          <w:szCs w:val="24"/>
        </w:rPr>
      </w:pPr>
    </w:p>
    <w:p w14:paraId="0806AABE" w14:textId="77777777" w:rsidR="00F731AC" w:rsidRDefault="00F731AC" w:rsidP="00F731AC">
      <w:pPr>
        <w:rPr>
          <w:b/>
          <w:color w:val="auto"/>
          <w:sz w:val="24"/>
          <w:szCs w:val="24"/>
        </w:rPr>
      </w:pPr>
    </w:p>
    <w:p w14:paraId="02D0E4C3" w14:textId="77777777" w:rsidR="00F731AC" w:rsidRDefault="00F731AC" w:rsidP="00F731AC">
      <w:pPr>
        <w:rPr>
          <w:b/>
          <w:color w:val="auto"/>
          <w:sz w:val="24"/>
          <w:szCs w:val="24"/>
        </w:rPr>
        <w:sectPr w:rsidR="00F731AC" w:rsidSect="001D6EBD">
          <w:headerReference w:type="default" r:id="rId8"/>
          <w:footerReference w:type="default" r:id="rId9"/>
          <w:pgSz w:w="11906" w:h="16838" w:code="9"/>
          <w:pgMar w:top="1440" w:right="1440" w:bottom="1440" w:left="1440" w:header="709" w:footer="709" w:gutter="0"/>
          <w:pgNumType w:start="0"/>
          <w:cols w:space="708"/>
          <w:noEndnote/>
          <w:titlePg/>
          <w:docGrid w:linePitch="360"/>
        </w:sectPr>
      </w:pPr>
      <w:r>
        <w:rPr>
          <w:b/>
          <w:color w:val="auto"/>
          <w:sz w:val="24"/>
          <w:szCs w:val="24"/>
        </w:rPr>
        <w:br w:type="page"/>
      </w:r>
    </w:p>
    <w:tbl>
      <w:tblPr>
        <w:tblW w:w="4977" w:type="pct"/>
        <w:jc w:val="center"/>
        <w:tblLayout w:type="fixed"/>
        <w:tblLook w:val="04A0" w:firstRow="1" w:lastRow="0" w:firstColumn="1" w:lastColumn="0" w:noHBand="0" w:noVBand="1"/>
      </w:tblPr>
      <w:tblGrid>
        <w:gridCol w:w="763"/>
        <w:gridCol w:w="764"/>
        <w:gridCol w:w="1865"/>
        <w:gridCol w:w="1951"/>
        <w:gridCol w:w="2137"/>
        <w:gridCol w:w="2140"/>
        <w:gridCol w:w="2134"/>
        <w:gridCol w:w="2140"/>
      </w:tblGrid>
      <w:tr w:rsidR="00F731AC" w:rsidRPr="002D1654" w14:paraId="055540BF" w14:textId="77777777" w:rsidTr="00CC768C">
        <w:trPr>
          <w:trHeight w:val="614"/>
          <w:jc w:val="center"/>
        </w:trPr>
        <w:tc>
          <w:tcPr>
            <w:tcW w:w="5000" w:type="pct"/>
            <w:gridSpan w:val="8"/>
            <w:tcBorders>
              <w:top w:val="nil"/>
              <w:left w:val="nil"/>
              <w:bottom w:val="nil"/>
              <w:right w:val="nil"/>
            </w:tcBorders>
            <w:shd w:val="clear" w:color="000000" w:fill="FFFFFF"/>
            <w:noWrap/>
            <w:hideMark/>
          </w:tcPr>
          <w:p w14:paraId="22E4C6FC" w14:textId="5A5C92C0" w:rsidR="00F731AC" w:rsidRDefault="00F609B3" w:rsidP="00CC768C">
            <w:pPr>
              <w:spacing w:after="0" w:line="240" w:lineRule="auto"/>
              <w:jc w:val="center"/>
              <w:rPr>
                <w:rFonts w:eastAsia="Times New Roman"/>
                <w:b/>
                <w:bCs/>
                <w:color w:val="auto"/>
                <w:sz w:val="24"/>
                <w:szCs w:val="24"/>
                <w:lang w:eastAsia="en-SG"/>
              </w:rPr>
            </w:pPr>
            <w:r>
              <w:rPr>
                <w:rFonts w:eastAsia="Times New Roman"/>
                <w:b/>
                <w:bCs/>
                <w:color w:val="auto"/>
                <w:sz w:val="24"/>
                <w:szCs w:val="24"/>
                <w:lang w:eastAsia="en-SG"/>
              </w:rPr>
              <w:lastRenderedPageBreak/>
              <w:t xml:space="preserve">TABLE A2: </w:t>
            </w:r>
          </w:p>
          <w:p w14:paraId="3DB28997" w14:textId="7247750F" w:rsidR="00F731AC" w:rsidRPr="002D1654" w:rsidRDefault="00F609B3" w:rsidP="00CC768C">
            <w:pPr>
              <w:spacing w:after="0" w:line="240" w:lineRule="auto"/>
              <w:jc w:val="center"/>
              <w:rPr>
                <w:rFonts w:eastAsia="Times New Roman"/>
                <w:b/>
                <w:bCs/>
                <w:color w:val="auto"/>
                <w:sz w:val="24"/>
                <w:szCs w:val="24"/>
                <w:lang w:eastAsia="en-SG"/>
              </w:rPr>
            </w:pPr>
            <w:r>
              <w:rPr>
                <w:rFonts w:eastAsia="Times New Roman"/>
                <w:b/>
                <w:bCs/>
                <w:color w:val="auto"/>
                <w:sz w:val="24"/>
                <w:szCs w:val="24"/>
                <w:lang w:eastAsia="en-SG"/>
              </w:rPr>
              <w:t>EXEMPLIFYING THE COS MEASURE</w:t>
            </w:r>
          </w:p>
        </w:tc>
      </w:tr>
      <w:tr w:rsidR="00F731AC" w:rsidRPr="002D1654" w14:paraId="2399B456" w14:textId="77777777" w:rsidTr="00272A43">
        <w:trPr>
          <w:trHeight w:val="368"/>
          <w:jc w:val="center"/>
        </w:trPr>
        <w:tc>
          <w:tcPr>
            <w:tcW w:w="275" w:type="pct"/>
            <w:tcBorders>
              <w:top w:val="single" w:sz="4" w:space="0" w:color="auto"/>
              <w:left w:val="nil"/>
              <w:right w:val="nil"/>
            </w:tcBorders>
            <w:shd w:val="clear" w:color="000000" w:fill="FFFFFF"/>
            <w:noWrap/>
            <w:vAlign w:val="center"/>
            <w:hideMark/>
          </w:tcPr>
          <w:p w14:paraId="32A19F87" w14:textId="77777777" w:rsidR="00F731AC" w:rsidRPr="008B2148" w:rsidRDefault="00F731AC" w:rsidP="00CC768C">
            <w:pPr>
              <w:spacing w:after="0" w:line="245" w:lineRule="auto"/>
              <w:jc w:val="right"/>
              <w:rPr>
                <w:rFonts w:eastAsia="Times New Roman"/>
                <w:color w:val="auto"/>
                <w:sz w:val="20"/>
                <w:szCs w:val="20"/>
                <w:lang w:eastAsia="en-SG"/>
              </w:rPr>
            </w:pPr>
            <w:r w:rsidRPr="008B2148">
              <w:rPr>
                <w:rFonts w:eastAsia="Times New Roman"/>
                <w:color w:val="auto"/>
                <w:sz w:val="20"/>
                <w:szCs w:val="20"/>
                <w:lang w:eastAsia="en-SG"/>
              </w:rPr>
              <w:t> </w:t>
            </w:r>
          </w:p>
        </w:tc>
        <w:tc>
          <w:tcPr>
            <w:tcW w:w="946" w:type="pct"/>
            <w:gridSpan w:val="2"/>
            <w:tcBorders>
              <w:top w:val="single" w:sz="4" w:space="0" w:color="auto"/>
              <w:left w:val="nil"/>
              <w:right w:val="single" w:sz="4" w:space="0" w:color="auto"/>
            </w:tcBorders>
            <w:shd w:val="clear" w:color="000000" w:fill="FFFFFF"/>
            <w:noWrap/>
            <w:vAlign w:val="center"/>
            <w:hideMark/>
          </w:tcPr>
          <w:p w14:paraId="7D71C419" w14:textId="77777777" w:rsidR="00F731AC" w:rsidRPr="008B2148" w:rsidRDefault="00F731AC" w:rsidP="00CC768C">
            <w:pPr>
              <w:spacing w:after="0" w:line="245" w:lineRule="auto"/>
              <w:rPr>
                <w:rFonts w:eastAsia="Times New Roman"/>
                <w:color w:val="auto"/>
                <w:sz w:val="20"/>
                <w:szCs w:val="20"/>
                <w:lang w:eastAsia="en-SG"/>
              </w:rPr>
            </w:pPr>
            <w:r w:rsidRPr="008B2148">
              <w:rPr>
                <w:rFonts w:eastAsia="Times New Roman"/>
                <w:color w:val="auto"/>
                <w:sz w:val="20"/>
                <w:szCs w:val="20"/>
                <w:lang w:eastAsia="en-SG"/>
              </w:rPr>
              <w:t> </w:t>
            </w:r>
          </w:p>
        </w:tc>
        <w:tc>
          <w:tcPr>
            <w:tcW w:w="3779" w:type="pct"/>
            <w:gridSpan w:val="5"/>
            <w:tcBorders>
              <w:top w:val="single" w:sz="4" w:space="0" w:color="auto"/>
              <w:left w:val="single" w:sz="4" w:space="0" w:color="auto"/>
              <w:right w:val="nil"/>
            </w:tcBorders>
            <w:shd w:val="clear" w:color="000000" w:fill="FFFFFF"/>
            <w:noWrap/>
            <w:vAlign w:val="center"/>
            <w:hideMark/>
          </w:tcPr>
          <w:p w14:paraId="107CECEB" w14:textId="77777777" w:rsidR="00F731AC" w:rsidRPr="008B2148" w:rsidRDefault="00F731AC" w:rsidP="00CC768C">
            <w:pPr>
              <w:spacing w:after="0" w:line="245" w:lineRule="auto"/>
              <w:jc w:val="center"/>
              <w:rPr>
                <w:rFonts w:eastAsia="Times New Roman"/>
                <w:b/>
                <w:bCs/>
                <w:color w:val="auto"/>
                <w:sz w:val="20"/>
                <w:szCs w:val="20"/>
                <w:lang w:eastAsia="en-SG"/>
              </w:rPr>
            </w:pPr>
            <w:r>
              <w:rPr>
                <w:rFonts w:eastAsia="Times New Roman"/>
                <w:b/>
                <w:bCs/>
                <w:color w:val="auto"/>
                <w:sz w:val="20"/>
                <w:szCs w:val="20"/>
                <w:lang w:eastAsia="en-SG"/>
              </w:rPr>
              <w:t>Components of COS</w:t>
            </w:r>
            <w:r w:rsidRPr="00AE45EE">
              <w:rPr>
                <w:rFonts w:eastAsia="Times New Roman"/>
                <w:bCs/>
                <w:color w:val="auto"/>
                <w:sz w:val="20"/>
                <w:szCs w:val="20"/>
                <w:vertAlign w:val="superscript"/>
                <w:lang w:eastAsia="en-SG"/>
              </w:rPr>
              <w:t>a</w:t>
            </w:r>
          </w:p>
        </w:tc>
      </w:tr>
      <w:tr w:rsidR="00F731AC" w:rsidRPr="002D1654" w14:paraId="1187D310" w14:textId="77777777" w:rsidTr="00CC768C">
        <w:trPr>
          <w:trHeight w:val="265"/>
          <w:jc w:val="center"/>
        </w:trPr>
        <w:tc>
          <w:tcPr>
            <w:tcW w:w="275" w:type="pct"/>
            <w:tcBorders>
              <w:left w:val="nil"/>
              <w:bottom w:val="nil"/>
              <w:right w:val="nil"/>
            </w:tcBorders>
            <w:shd w:val="clear" w:color="000000" w:fill="FFFFFF"/>
            <w:noWrap/>
            <w:vAlign w:val="center"/>
          </w:tcPr>
          <w:p w14:paraId="5AA80D39" w14:textId="77777777" w:rsidR="00F731AC" w:rsidRPr="008B2148" w:rsidRDefault="00F731AC" w:rsidP="00CC768C">
            <w:pPr>
              <w:spacing w:after="0" w:line="245" w:lineRule="auto"/>
              <w:jc w:val="right"/>
              <w:rPr>
                <w:rFonts w:eastAsia="Times New Roman"/>
                <w:color w:val="auto"/>
                <w:sz w:val="20"/>
                <w:szCs w:val="20"/>
                <w:lang w:eastAsia="en-SG"/>
              </w:rPr>
            </w:pPr>
          </w:p>
        </w:tc>
        <w:tc>
          <w:tcPr>
            <w:tcW w:w="946" w:type="pct"/>
            <w:gridSpan w:val="2"/>
            <w:tcBorders>
              <w:left w:val="nil"/>
              <w:right w:val="single" w:sz="4" w:space="0" w:color="auto"/>
            </w:tcBorders>
            <w:shd w:val="clear" w:color="000000" w:fill="FFFFFF"/>
            <w:noWrap/>
            <w:vAlign w:val="center"/>
          </w:tcPr>
          <w:p w14:paraId="7C103692" w14:textId="77777777" w:rsidR="00F731AC" w:rsidRPr="008B2148" w:rsidRDefault="00F731AC" w:rsidP="00CC768C">
            <w:pPr>
              <w:spacing w:after="0" w:line="245" w:lineRule="auto"/>
              <w:rPr>
                <w:rFonts w:eastAsia="Times New Roman"/>
                <w:color w:val="auto"/>
                <w:sz w:val="20"/>
                <w:szCs w:val="20"/>
                <w:lang w:eastAsia="en-SG"/>
              </w:rPr>
            </w:pPr>
          </w:p>
        </w:tc>
        <w:tc>
          <w:tcPr>
            <w:tcW w:w="2241" w:type="pct"/>
            <w:gridSpan w:val="3"/>
            <w:tcBorders>
              <w:top w:val="single" w:sz="4" w:space="0" w:color="auto"/>
              <w:left w:val="single" w:sz="4" w:space="0" w:color="auto"/>
              <w:right w:val="single" w:sz="4" w:space="0" w:color="auto"/>
            </w:tcBorders>
            <w:shd w:val="clear" w:color="000000" w:fill="FFFFFF"/>
            <w:noWrap/>
            <w:vAlign w:val="center"/>
          </w:tcPr>
          <w:p w14:paraId="150A6A57" w14:textId="77777777" w:rsidR="00F731AC" w:rsidRPr="008B2148" w:rsidRDefault="00F731AC" w:rsidP="00CC768C">
            <w:pPr>
              <w:spacing w:after="0" w:line="245" w:lineRule="auto"/>
              <w:jc w:val="center"/>
              <w:rPr>
                <w:rFonts w:eastAsia="Times New Roman"/>
                <w:b/>
                <w:bCs/>
                <w:color w:val="auto"/>
                <w:sz w:val="20"/>
                <w:szCs w:val="20"/>
                <w:lang w:eastAsia="en-SG"/>
              </w:rPr>
            </w:pPr>
            <w:r w:rsidRPr="008B2148">
              <w:rPr>
                <w:rFonts w:eastAsia="Times New Roman"/>
                <w:b/>
                <w:bCs/>
                <w:color w:val="auto"/>
                <w:sz w:val="20"/>
                <w:szCs w:val="20"/>
                <w:lang w:eastAsia="en-SG"/>
              </w:rPr>
              <w:t>Cost of Persuasion</w:t>
            </w:r>
          </w:p>
        </w:tc>
        <w:tc>
          <w:tcPr>
            <w:tcW w:w="1538" w:type="pct"/>
            <w:gridSpan w:val="2"/>
            <w:tcBorders>
              <w:top w:val="single" w:sz="4" w:space="0" w:color="auto"/>
              <w:left w:val="single" w:sz="4" w:space="0" w:color="auto"/>
              <w:right w:val="nil"/>
            </w:tcBorders>
            <w:shd w:val="clear" w:color="000000" w:fill="FFFFFF"/>
            <w:vAlign w:val="center"/>
          </w:tcPr>
          <w:p w14:paraId="4B9E4347" w14:textId="77777777" w:rsidR="00F731AC" w:rsidRPr="008B2148" w:rsidRDefault="00F731AC" w:rsidP="00CC768C">
            <w:pPr>
              <w:spacing w:after="0" w:line="245" w:lineRule="auto"/>
              <w:jc w:val="center"/>
              <w:rPr>
                <w:rFonts w:eastAsia="Times New Roman"/>
                <w:b/>
                <w:bCs/>
                <w:color w:val="auto"/>
                <w:sz w:val="20"/>
                <w:szCs w:val="20"/>
                <w:lang w:eastAsia="en-SG"/>
              </w:rPr>
            </w:pPr>
            <w:r w:rsidRPr="008B2148">
              <w:rPr>
                <w:rFonts w:eastAsia="Times New Roman"/>
                <w:b/>
                <w:bCs/>
                <w:color w:val="auto"/>
                <w:sz w:val="20"/>
                <w:szCs w:val="20"/>
                <w:lang w:eastAsia="en-SG"/>
              </w:rPr>
              <w:t>Cost of Convenience</w:t>
            </w:r>
          </w:p>
        </w:tc>
      </w:tr>
      <w:tr w:rsidR="00F731AC" w:rsidRPr="002D1654" w14:paraId="211F91CC" w14:textId="77777777" w:rsidTr="00272A43">
        <w:trPr>
          <w:trHeight w:val="360"/>
          <w:jc w:val="center"/>
        </w:trPr>
        <w:tc>
          <w:tcPr>
            <w:tcW w:w="275" w:type="pct"/>
            <w:tcBorders>
              <w:top w:val="nil"/>
              <w:left w:val="nil"/>
              <w:bottom w:val="single" w:sz="4" w:space="0" w:color="auto"/>
              <w:right w:val="nil"/>
            </w:tcBorders>
            <w:shd w:val="clear" w:color="000000" w:fill="FFFFFF"/>
            <w:noWrap/>
            <w:vAlign w:val="center"/>
          </w:tcPr>
          <w:p w14:paraId="22B8BF3E" w14:textId="77777777" w:rsidR="00F731AC" w:rsidRPr="00B1006D" w:rsidRDefault="00F731AC" w:rsidP="00CC768C">
            <w:pPr>
              <w:spacing w:after="0" w:line="245" w:lineRule="auto"/>
              <w:jc w:val="right"/>
              <w:rPr>
                <w:rFonts w:eastAsia="Times New Roman"/>
                <w:color w:val="auto"/>
                <w:sz w:val="20"/>
                <w:szCs w:val="20"/>
                <w:lang w:eastAsia="en-SG"/>
              </w:rPr>
            </w:pPr>
          </w:p>
        </w:tc>
        <w:tc>
          <w:tcPr>
            <w:tcW w:w="275" w:type="pct"/>
            <w:tcBorders>
              <w:top w:val="nil"/>
              <w:left w:val="nil"/>
              <w:bottom w:val="single" w:sz="4" w:space="0" w:color="auto"/>
              <w:right w:val="nil"/>
            </w:tcBorders>
            <w:shd w:val="clear" w:color="000000" w:fill="FFFFFF"/>
            <w:noWrap/>
            <w:vAlign w:val="center"/>
          </w:tcPr>
          <w:p w14:paraId="248D6A5E" w14:textId="77777777" w:rsidR="00F731AC" w:rsidRPr="00B1006D"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Year</w:t>
            </w:r>
          </w:p>
        </w:tc>
        <w:tc>
          <w:tcPr>
            <w:tcW w:w="671" w:type="pct"/>
            <w:tcBorders>
              <w:top w:val="nil"/>
              <w:left w:val="nil"/>
              <w:bottom w:val="single" w:sz="4" w:space="0" w:color="auto"/>
              <w:right w:val="single" w:sz="4" w:space="0" w:color="auto"/>
            </w:tcBorders>
            <w:shd w:val="clear" w:color="000000" w:fill="FFFFFF"/>
            <w:vAlign w:val="center"/>
          </w:tcPr>
          <w:p w14:paraId="60365E81" w14:textId="77777777" w:rsidR="00F731AC" w:rsidRPr="00B1006D"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Firm</w:t>
            </w:r>
          </w:p>
        </w:tc>
        <w:tc>
          <w:tcPr>
            <w:tcW w:w="702" w:type="pct"/>
            <w:tcBorders>
              <w:top w:val="nil"/>
              <w:left w:val="single" w:sz="4" w:space="0" w:color="auto"/>
              <w:bottom w:val="single" w:sz="4" w:space="0" w:color="auto"/>
              <w:right w:val="nil"/>
            </w:tcBorders>
            <w:shd w:val="clear" w:color="000000" w:fill="FFFFFF"/>
            <w:noWrap/>
            <w:vAlign w:val="center"/>
            <w:hideMark/>
          </w:tcPr>
          <w:p w14:paraId="20D46A35" w14:textId="77777777" w:rsidR="00F731AC" w:rsidRPr="00A553EE" w:rsidRDefault="00F731AC" w:rsidP="00CC768C">
            <w:pPr>
              <w:spacing w:after="0" w:line="245" w:lineRule="auto"/>
              <w:jc w:val="center"/>
              <w:rPr>
                <w:rFonts w:eastAsia="Times New Roman"/>
                <w:i/>
                <w:iCs/>
                <w:color w:val="auto"/>
                <w:sz w:val="20"/>
                <w:szCs w:val="20"/>
                <w:vertAlign w:val="superscript"/>
                <w:lang w:eastAsia="en-SG"/>
              </w:rPr>
            </w:pPr>
            <w:r>
              <w:rPr>
                <w:rFonts w:eastAsia="Times New Roman"/>
                <w:i/>
                <w:iCs/>
                <w:color w:val="auto"/>
                <w:sz w:val="20"/>
                <w:szCs w:val="20"/>
                <w:lang w:eastAsia="en-SG"/>
              </w:rPr>
              <w:t>Commissions</w:t>
            </w:r>
          </w:p>
        </w:tc>
        <w:tc>
          <w:tcPr>
            <w:tcW w:w="769" w:type="pct"/>
            <w:tcBorders>
              <w:top w:val="nil"/>
              <w:left w:val="nil"/>
              <w:bottom w:val="single" w:sz="4" w:space="0" w:color="auto"/>
              <w:right w:val="nil"/>
            </w:tcBorders>
            <w:shd w:val="clear" w:color="000000" w:fill="FFFFFF"/>
            <w:vAlign w:val="center"/>
          </w:tcPr>
          <w:p w14:paraId="0FFB49F3" w14:textId="77777777" w:rsidR="00F731AC" w:rsidRPr="00B66571" w:rsidRDefault="00F731AC" w:rsidP="00CC768C">
            <w:pPr>
              <w:spacing w:after="0" w:line="245" w:lineRule="auto"/>
              <w:jc w:val="center"/>
              <w:rPr>
                <w:rFonts w:eastAsia="Times New Roman"/>
                <w:i/>
                <w:iCs/>
                <w:color w:val="auto"/>
                <w:sz w:val="20"/>
                <w:szCs w:val="20"/>
                <w:vertAlign w:val="superscript"/>
                <w:lang w:eastAsia="en-SG"/>
              </w:rPr>
            </w:pPr>
            <w:r w:rsidRPr="00B66571">
              <w:rPr>
                <w:rFonts w:eastAsia="Times New Roman"/>
                <w:i/>
                <w:iCs/>
                <w:color w:val="auto"/>
                <w:sz w:val="20"/>
                <w:szCs w:val="20"/>
                <w:lang w:eastAsia="en-SG"/>
              </w:rPr>
              <w:t>Marketing Expense</w:t>
            </w:r>
          </w:p>
        </w:tc>
        <w:tc>
          <w:tcPr>
            <w:tcW w:w="770" w:type="pct"/>
            <w:tcBorders>
              <w:top w:val="nil"/>
              <w:left w:val="nil"/>
              <w:bottom w:val="single" w:sz="4" w:space="0" w:color="auto"/>
              <w:right w:val="single" w:sz="4" w:space="0" w:color="auto"/>
            </w:tcBorders>
            <w:shd w:val="clear" w:color="000000" w:fill="FFFFFF"/>
            <w:noWrap/>
            <w:vAlign w:val="center"/>
            <w:hideMark/>
          </w:tcPr>
          <w:p w14:paraId="3650A8D3" w14:textId="77777777" w:rsidR="00F731AC" w:rsidRPr="00A553EE" w:rsidRDefault="00F731AC" w:rsidP="00CC768C">
            <w:pPr>
              <w:spacing w:after="0" w:line="245" w:lineRule="auto"/>
              <w:jc w:val="center"/>
              <w:rPr>
                <w:rFonts w:eastAsia="Times New Roman"/>
                <w:i/>
                <w:iCs/>
                <w:color w:val="auto"/>
                <w:sz w:val="20"/>
                <w:szCs w:val="20"/>
                <w:vertAlign w:val="superscript"/>
                <w:lang w:eastAsia="en-SG"/>
              </w:rPr>
            </w:pPr>
            <w:r>
              <w:rPr>
                <w:rFonts w:eastAsia="Times New Roman"/>
                <w:i/>
                <w:iCs/>
                <w:color w:val="auto"/>
                <w:sz w:val="20"/>
                <w:szCs w:val="20"/>
                <w:lang w:eastAsia="en-SG"/>
              </w:rPr>
              <w:t>Advertising Expense</w:t>
            </w:r>
          </w:p>
        </w:tc>
        <w:tc>
          <w:tcPr>
            <w:tcW w:w="768" w:type="pct"/>
            <w:tcBorders>
              <w:top w:val="nil"/>
              <w:left w:val="single" w:sz="4" w:space="0" w:color="auto"/>
              <w:bottom w:val="single" w:sz="4" w:space="0" w:color="auto"/>
              <w:right w:val="nil"/>
            </w:tcBorders>
            <w:shd w:val="clear" w:color="000000" w:fill="FFFFFF"/>
            <w:vAlign w:val="center"/>
          </w:tcPr>
          <w:p w14:paraId="4F696D4F" w14:textId="77777777" w:rsidR="00F731AC" w:rsidRPr="003D5BD4" w:rsidRDefault="00F731AC" w:rsidP="00CC768C">
            <w:pPr>
              <w:spacing w:after="0" w:line="245" w:lineRule="auto"/>
              <w:jc w:val="center"/>
              <w:rPr>
                <w:rFonts w:eastAsia="Times New Roman"/>
                <w:i/>
                <w:iCs/>
                <w:color w:val="auto"/>
                <w:sz w:val="20"/>
                <w:szCs w:val="20"/>
                <w:lang w:eastAsia="en-SG"/>
              </w:rPr>
            </w:pPr>
            <w:r>
              <w:rPr>
                <w:rFonts w:eastAsia="Times New Roman"/>
                <w:i/>
                <w:iCs/>
                <w:color w:val="auto"/>
                <w:sz w:val="20"/>
                <w:szCs w:val="20"/>
                <w:lang w:eastAsia="en-SG"/>
              </w:rPr>
              <w:t>Freight-Out Expense</w:t>
            </w:r>
          </w:p>
        </w:tc>
        <w:tc>
          <w:tcPr>
            <w:tcW w:w="770" w:type="pct"/>
            <w:tcBorders>
              <w:top w:val="nil"/>
              <w:left w:val="nil"/>
              <w:bottom w:val="single" w:sz="4" w:space="0" w:color="auto"/>
              <w:right w:val="nil"/>
            </w:tcBorders>
            <w:shd w:val="clear" w:color="000000" w:fill="FFFFFF"/>
            <w:noWrap/>
            <w:vAlign w:val="center"/>
            <w:hideMark/>
          </w:tcPr>
          <w:p w14:paraId="1A93548E" w14:textId="77777777" w:rsidR="00F731AC" w:rsidRPr="00A553EE" w:rsidRDefault="00F731AC" w:rsidP="00CC768C">
            <w:pPr>
              <w:spacing w:after="0" w:line="245" w:lineRule="auto"/>
              <w:jc w:val="center"/>
              <w:rPr>
                <w:rFonts w:eastAsia="Times New Roman"/>
                <w:i/>
                <w:iCs/>
                <w:color w:val="auto"/>
                <w:sz w:val="20"/>
                <w:szCs w:val="20"/>
                <w:vertAlign w:val="superscript"/>
                <w:lang w:eastAsia="en-SG"/>
              </w:rPr>
            </w:pPr>
            <w:r>
              <w:rPr>
                <w:rFonts w:eastAsia="Times New Roman"/>
                <w:i/>
                <w:iCs/>
                <w:color w:val="auto"/>
                <w:sz w:val="20"/>
                <w:szCs w:val="20"/>
                <w:lang w:eastAsia="en-SG"/>
              </w:rPr>
              <w:t>Bad Debt Expense</w:t>
            </w:r>
          </w:p>
        </w:tc>
      </w:tr>
      <w:tr w:rsidR="00F731AC" w:rsidRPr="002D1654" w14:paraId="644C4E15" w14:textId="77777777" w:rsidTr="00CC768C">
        <w:trPr>
          <w:trHeight w:val="527"/>
          <w:jc w:val="center"/>
        </w:trPr>
        <w:tc>
          <w:tcPr>
            <w:tcW w:w="275" w:type="pct"/>
            <w:vMerge w:val="restart"/>
            <w:tcBorders>
              <w:top w:val="single" w:sz="4" w:space="0" w:color="auto"/>
              <w:left w:val="nil"/>
              <w:right w:val="nil"/>
            </w:tcBorders>
            <w:shd w:val="clear" w:color="000000" w:fill="FFFFFF"/>
            <w:noWrap/>
            <w:vAlign w:val="center"/>
          </w:tcPr>
          <w:p w14:paraId="5328FA27" w14:textId="77777777" w:rsidR="00F731AC" w:rsidRPr="005D48DD" w:rsidRDefault="00F731AC" w:rsidP="00CC768C">
            <w:pPr>
              <w:spacing w:after="0" w:line="245" w:lineRule="auto"/>
              <w:jc w:val="center"/>
              <w:rPr>
                <w:rFonts w:eastAsia="Times New Roman"/>
                <w:color w:val="auto"/>
                <w:sz w:val="20"/>
                <w:szCs w:val="20"/>
                <w:lang w:eastAsia="en-SG"/>
              </w:rPr>
            </w:pPr>
            <w:r w:rsidRPr="005D48DD">
              <w:rPr>
                <w:rFonts w:eastAsia="Times New Roman"/>
                <w:color w:val="auto"/>
                <w:sz w:val="20"/>
                <w:szCs w:val="20"/>
                <w:lang w:eastAsia="en-SG"/>
              </w:rPr>
              <w:t>Low COS</w:t>
            </w:r>
          </w:p>
        </w:tc>
        <w:tc>
          <w:tcPr>
            <w:tcW w:w="275" w:type="pct"/>
            <w:tcBorders>
              <w:top w:val="single" w:sz="4" w:space="0" w:color="auto"/>
              <w:left w:val="nil"/>
              <w:right w:val="nil"/>
            </w:tcBorders>
            <w:shd w:val="clear" w:color="000000" w:fill="FFFFFF"/>
            <w:noWrap/>
            <w:tcMar>
              <w:top w:w="28" w:type="dxa"/>
              <w:bottom w:w="28" w:type="dxa"/>
            </w:tcMar>
            <w:vAlign w:val="center"/>
          </w:tcPr>
          <w:p w14:paraId="6611891A" w14:textId="77777777" w:rsidR="00F731AC" w:rsidRPr="009253AC" w:rsidRDefault="00F731AC" w:rsidP="00CC768C">
            <w:pPr>
              <w:spacing w:after="0" w:line="245" w:lineRule="auto"/>
              <w:jc w:val="center"/>
              <w:rPr>
                <w:rFonts w:eastAsia="Times New Roman"/>
                <w:iCs/>
                <w:color w:val="auto"/>
                <w:sz w:val="20"/>
                <w:szCs w:val="20"/>
                <w:lang w:eastAsia="en-SG"/>
              </w:rPr>
            </w:pPr>
            <w:r>
              <w:rPr>
                <w:rFonts w:eastAsia="Times New Roman"/>
                <w:iCs/>
                <w:color w:val="auto"/>
                <w:sz w:val="20"/>
                <w:szCs w:val="20"/>
                <w:lang w:eastAsia="en-SG"/>
              </w:rPr>
              <w:t>2000</w:t>
            </w:r>
          </w:p>
        </w:tc>
        <w:tc>
          <w:tcPr>
            <w:tcW w:w="671" w:type="pct"/>
            <w:tcBorders>
              <w:top w:val="single" w:sz="4" w:space="0" w:color="auto"/>
              <w:left w:val="nil"/>
              <w:right w:val="single" w:sz="4" w:space="0" w:color="auto"/>
            </w:tcBorders>
            <w:shd w:val="clear" w:color="000000" w:fill="FFFFFF"/>
            <w:tcMar>
              <w:top w:w="28" w:type="dxa"/>
              <w:bottom w:w="28" w:type="dxa"/>
            </w:tcMar>
            <w:vAlign w:val="center"/>
          </w:tcPr>
          <w:p w14:paraId="49C5899B" w14:textId="77777777" w:rsidR="00F731AC" w:rsidRPr="009253AC" w:rsidRDefault="00F731AC" w:rsidP="00CC768C">
            <w:pPr>
              <w:spacing w:after="0" w:line="245" w:lineRule="auto"/>
              <w:jc w:val="center"/>
              <w:rPr>
                <w:rFonts w:eastAsia="Times New Roman"/>
                <w:iCs/>
                <w:color w:val="auto"/>
                <w:sz w:val="20"/>
                <w:szCs w:val="20"/>
                <w:lang w:eastAsia="en-SG"/>
              </w:rPr>
            </w:pPr>
            <w:r>
              <w:rPr>
                <w:rFonts w:eastAsia="Times New Roman"/>
                <w:iCs/>
                <w:color w:val="auto"/>
                <w:sz w:val="20"/>
                <w:szCs w:val="20"/>
                <w:lang w:eastAsia="en-SG"/>
              </w:rPr>
              <w:t>VF Corp</w:t>
            </w:r>
          </w:p>
        </w:tc>
        <w:tc>
          <w:tcPr>
            <w:tcW w:w="702" w:type="pct"/>
            <w:tcBorders>
              <w:top w:val="single" w:sz="4" w:space="0" w:color="auto"/>
              <w:left w:val="single" w:sz="4" w:space="0" w:color="auto"/>
              <w:right w:val="nil"/>
            </w:tcBorders>
            <w:shd w:val="clear" w:color="000000" w:fill="FFFFFF"/>
            <w:noWrap/>
            <w:tcMar>
              <w:top w:w="28" w:type="dxa"/>
              <w:bottom w:w="28" w:type="dxa"/>
            </w:tcMar>
            <w:vAlign w:val="center"/>
          </w:tcPr>
          <w:p w14:paraId="3A3CCD03" w14:textId="77777777" w:rsidR="00F731AC" w:rsidRPr="009253AC"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NM</w:t>
            </w:r>
          </w:p>
        </w:tc>
        <w:tc>
          <w:tcPr>
            <w:tcW w:w="769" w:type="pct"/>
            <w:tcBorders>
              <w:top w:val="single" w:sz="4" w:space="0" w:color="auto"/>
              <w:left w:val="nil"/>
              <w:right w:val="nil"/>
            </w:tcBorders>
            <w:shd w:val="clear" w:color="000000" w:fill="FFFFFF"/>
            <w:tcMar>
              <w:top w:w="28" w:type="dxa"/>
              <w:bottom w:w="28" w:type="dxa"/>
            </w:tcMar>
            <w:vAlign w:val="center"/>
          </w:tcPr>
          <w:p w14:paraId="4991AD6D" w14:textId="77777777" w:rsidR="00F731AC" w:rsidRPr="009253AC"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NM</w:t>
            </w:r>
          </w:p>
        </w:tc>
        <w:tc>
          <w:tcPr>
            <w:tcW w:w="770" w:type="pct"/>
            <w:tcBorders>
              <w:top w:val="single" w:sz="4" w:space="0" w:color="auto"/>
              <w:left w:val="nil"/>
              <w:right w:val="single" w:sz="4" w:space="0" w:color="auto"/>
            </w:tcBorders>
            <w:shd w:val="clear" w:color="auto" w:fill="auto"/>
            <w:noWrap/>
            <w:tcMar>
              <w:top w:w="28" w:type="dxa"/>
              <w:bottom w:w="28" w:type="dxa"/>
            </w:tcMar>
            <w:vAlign w:val="center"/>
          </w:tcPr>
          <w:p w14:paraId="74B7176B" w14:textId="77777777" w:rsidR="00F731AC" w:rsidRPr="009253AC"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$252 million</w:t>
            </w:r>
          </w:p>
        </w:tc>
        <w:tc>
          <w:tcPr>
            <w:tcW w:w="768" w:type="pct"/>
            <w:tcBorders>
              <w:top w:val="single" w:sz="4" w:space="0" w:color="auto"/>
              <w:left w:val="single" w:sz="4" w:space="0" w:color="auto"/>
              <w:right w:val="nil"/>
            </w:tcBorders>
            <w:shd w:val="clear" w:color="auto" w:fill="auto"/>
            <w:tcMar>
              <w:top w:w="28" w:type="dxa"/>
              <w:bottom w:w="28" w:type="dxa"/>
            </w:tcMar>
            <w:vAlign w:val="center"/>
          </w:tcPr>
          <w:p w14:paraId="2F0A687F" w14:textId="77777777" w:rsidR="00F731AC" w:rsidRPr="009253AC"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$54 million</w:t>
            </w:r>
          </w:p>
        </w:tc>
        <w:tc>
          <w:tcPr>
            <w:tcW w:w="770" w:type="pct"/>
            <w:tcBorders>
              <w:top w:val="single" w:sz="4" w:space="0" w:color="auto"/>
              <w:left w:val="nil"/>
              <w:right w:val="nil"/>
            </w:tcBorders>
            <w:shd w:val="clear" w:color="auto" w:fill="auto"/>
            <w:noWrap/>
            <w:tcMar>
              <w:top w:w="28" w:type="dxa"/>
              <w:bottom w:w="28" w:type="dxa"/>
            </w:tcMar>
            <w:vAlign w:val="center"/>
          </w:tcPr>
          <w:p w14:paraId="3D579718" w14:textId="77777777" w:rsidR="00F731AC" w:rsidRPr="009253AC"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$13 million</w:t>
            </w:r>
          </w:p>
        </w:tc>
      </w:tr>
      <w:tr w:rsidR="00F731AC" w:rsidRPr="002D1654" w14:paraId="47D4B2D4" w14:textId="77777777" w:rsidTr="00CC768C">
        <w:trPr>
          <w:trHeight w:val="527"/>
          <w:jc w:val="center"/>
        </w:trPr>
        <w:tc>
          <w:tcPr>
            <w:tcW w:w="275" w:type="pct"/>
            <w:vMerge/>
            <w:tcBorders>
              <w:left w:val="nil"/>
              <w:bottom w:val="single" w:sz="4" w:space="0" w:color="auto"/>
              <w:right w:val="nil"/>
            </w:tcBorders>
            <w:shd w:val="clear" w:color="000000" w:fill="FFFFFF"/>
            <w:noWrap/>
            <w:vAlign w:val="center"/>
          </w:tcPr>
          <w:p w14:paraId="5E5C57B7" w14:textId="77777777" w:rsidR="00F731AC" w:rsidRPr="00B1006D" w:rsidRDefault="00F731AC" w:rsidP="00CC768C">
            <w:pPr>
              <w:spacing w:after="0" w:line="245" w:lineRule="auto"/>
              <w:jc w:val="center"/>
              <w:rPr>
                <w:rFonts w:eastAsia="Times New Roman"/>
                <w:color w:val="auto"/>
                <w:sz w:val="20"/>
                <w:szCs w:val="20"/>
                <w:lang w:eastAsia="en-SG"/>
              </w:rPr>
            </w:pPr>
          </w:p>
        </w:tc>
        <w:tc>
          <w:tcPr>
            <w:tcW w:w="275" w:type="pct"/>
            <w:tcBorders>
              <w:left w:val="nil"/>
              <w:right w:val="nil"/>
            </w:tcBorders>
            <w:shd w:val="clear" w:color="000000" w:fill="FFFFFF"/>
            <w:noWrap/>
            <w:tcMar>
              <w:top w:w="28" w:type="dxa"/>
              <w:bottom w:w="28" w:type="dxa"/>
            </w:tcMar>
            <w:vAlign w:val="center"/>
          </w:tcPr>
          <w:p w14:paraId="179DEA63" w14:textId="77777777" w:rsidR="00F731AC" w:rsidRPr="00C910CB" w:rsidRDefault="00F731AC" w:rsidP="00CC768C">
            <w:pPr>
              <w:spacing w:after="0" w:line="245" w:lineRule="auto"/>
              <w:jc w:val="center"/>
              <w:rPr>
                <w:rFonts w:eastAsia="Times New Roman"/>
                <w:color w:val="auto"/>
                <w:sz w:val="20"/>
                <w:szCs w:val="20"/>
                <w:lang w:eastAsia="en-SG"/>
              </w:rPr>
            </w:pPr>
            <w:r w:rsidRPr="00C910CB">
              <w:rPr>
                <w:rFonts w:eastAsia="Times New Roman"/>
                <w:color w:val="auto"/>
                <w:sz w:val="20"/>
                <w:szCs w:val="20"/>
                <w:lang w:eastAsia="en-SG"/>
              </w:rPr>
              <w:t>20</w:t>
            </w:r>
            <w:r>
              <w:rPr>
                <w:rFonts w:eastAsia="Times New Roman"/>
                <w:color w:val="auto"/>
                <w:sz w:val="20"/>
                <w:szCs w:val="20"/>
                <w:lang w:eastAsia="en-SG"/>
              </w:rPr>
              <w:t>06</w:t>
            </w:r>
          </w:p>
        </w:tc>
        <w:tc>
          <w:tcPr>
            <w:tcW w:w="671" w:type="pct"/>
            <w:tcBorders>
              <w:left w:val="nil"/>
              <w:right w:val="single" w:sz="4" w:space="0" w:color="auto"/>
            </w:tcBorders>
            <w:shd w:val="clear" w:color="000000" w:fill="FFFFFF"/>
            <w:tcMar>
              <w:top w:w="28" w:type="dxa"/>
              <w:bottom w:w="28" w:type="dxa"/>
            </w:tcMar>
            <w:vAlign w:val="center"/>
          </w:tcPr>
          <w:p w14:paraId="2035A8D1" w14:textId="77777777" w:rsidR="00F731AC" w:rsidRPr="003B1258" w:rsidRDefault="00F731AC" w:rsidP="00CC768C">
            <w:pPr>
              <w:spacing w:after="0" w:line="245" w:lineRule="auto"/>
              <w:jc w:val="center"/>
              <w:rPr>
                <w:rFonts w:eastAsia="Times New Roman"/>
                <w:color w:val="auto"/>
                <w:sz w:val="20"/>
                <w:szCs w:val="20"/>
                <w:lang w:eastAsia="en-SG"/>
              </w:rPr>
            </w:pPr>
            <w:r w:rsidRPr="003B1258">
              <w:rPr>
                <w:rFonts w:eastAsia="Times New Roman"/>
                <w:color w:val="auto"/>
                <w:sz w:val="20"/>
                <w:szCs w:val="20"/>
                <w:lang w:eastAsia="en-SG"/>
              </w:rPr>
              <w:t>Delta Air Lines Inc</w:t>
            </w:r>
          </w:p>
        </w:tc>
        <w:tc>
          <w:tcPr>
            <w:tcW w:w="702" w:type="pct"/>
            <w:tcBorders>
              <w:left w:val="single" w:sz="4" w:space="0" w:color="auto"/>
              <w:right w:val="nil"/>
            </w:tcBorders>
            <w:shd w:val="clear" w:color="000000" w:fill="FFFFFF"/>
            <w:noWrap/>
            <w:tcMar>
              <w:top w:w="28" w:type="dxa"/>
              <w:bottom w:w="28" w:type="dxa"/>
            </w:tcMar>
            <w:vAlign w:val="center"/>
          </w:tcPr>
          <w:p w14:paraId="459A0D07" w14:textId="77777777" w:rsidR="00F731AC" w:rsidRPr="003B1258"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w:t>
            </w:r>
            <w:r w:rsidRPr="003B1258">
              <w:rPr>
                <w:rFonts w:eastAsia="Times New Roman"/>
                <w:color w:val="auto"/>
                <w:sz w:val="20"/>
                <w:szCs w:val="20"/>
                <w:lang w:eastAsia="en-SG"/>
              </w:rPr>
              <w:t>888</w:t>
            </w:r>
            <w:r>
              <w:rPr>
                <w:rFonts w:eastAsia="Times New Roman"/>
                <w:color w:val="auto"/>
                <w:sz w:val="20"/>
                <w:szCs w:val="20"/>
                <w:lang w:eastAsia="en-SG"/>
              </w:rPr>
              <w:t xml:space="preserve"> million</w:t>
            </w:r>
          </w:p>
        </w:tc>
        <w:tc>
          <w:tcPr>
            <w:tcW w:w="769" w:type="pct"/>
            <w:tcBorders>
              <w:left w:val="nil"/>
              <w:right w:val="nil"/>
            </w:tcBorders>
            <w:shd w:val="clear" w:color="000000" w:fill="FFFFFF"/>
            <w:tcMar>
              <w:top w:w="28" w:type="dxa"/>
              <w:bottom w:w="28" w:type="dxa"/>
            </w:tcMar>
            <w:vAlign w:val="center"/>
          </w:tcPr>
          <w:p w14:paraId="41F29ABD" w14:textId="77777777" w:rsidR="00F731AC"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NM</w:t>
            </w:r>
          </w:p>
        </w:tc>
        <w:tc>
          <w:tcPr>
            <w:tcW w:w="770" w:type="pct"/>
            <w:tcBorders>
              <w:top w:val="nil"/>
              <w:left w:val="nil"/>
              <w:right w:val="single" w:sz="4" w:space="0" w:color="auto"/>
            </w:tcBorders>
            <w:shd w:val="clear" w:color="auto" w:fill="auto"/>
            <w:noWrap/>
            <w:tcMar>
              <w:top w:w="28" w:type="dxa"/>
              <w:bottom w:w="28" w:type="dxa"/>
            </w:tcMar>
            <w:vAlign w:val="center"/>
          </w:tcPr>
          <w:p w14:paraId="13270C4B" w14:textId="77777777" w:rsidR="00F731AC" w:rsidRPr="003B1258"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w:t>
            </w:r>
            <w:r w:rsidRPr="003B1258">
              <w:rPr>
                <w:rFonts w:eastAsia="Times New Roman"/>
                <w:color w:val="auto"/>
                <w:sz w:val="20"/>
                <w:szCs w:val="20"/>
                <w:lang w:eastAsia="en-SG"/>
              </w:rPr>
              <w:t>150</w:t>
            </w:r>
            <w:r>
              <w:rPr>
                <w:rFonts w:eastAsia="Times New Roman"/>
                <w:color w:val="auto"/>
                <w:sz w:val="20"/>
                <w:szCs w:val="20"/>
                <w:lang w:eastAsia="en-SG"/>
              </w:rPr>
              <w:t xml:space="preserve"> million</w:t>
            </w:r>
          </w:p>
        </w:tc>
        <w:tc>
          <w:tcPr>
            <w:tcW w:w="768" w:type="pct"/>
            <w:tcBorders>
              <w:top w:val="nil"/>
              <w:left w:val="single" w:sz="4" w:space="0" w:color="auto"/>
              <w:right w:val="nil"/>
            </w:tcBorders>
            <w:shd w:val="clear" w:color="auto" w:fill="auto"/>
            <w:tcMar>
              <w:top w:w="28" w:type="dxa"/>
              <w:bottom w:w="28" w:type="dxa"/>
            </w:tcMar>
            <w:vAlign w:val="center"/>
          </w:tcPr>
          <w:p w14:paraId="5C0F6599" w14:textId="77777777" w:rsidR="00F731AC"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NM</w:t>
            </w:r>
          </w:p>
        </w:tc>
        <w:tc>
          <w:tcPr>
            <w:tcW w:w="770" w:type="pct"/>
            <w:tcBorders>
              <w:top w:val="nil"/>
              <w:left w:val="nil"/>
              <w:right w:val="nil"/>
            </w:tcBorders>
            <w:shd w:val="clear" w:color="auto" w:fill="auto"/>
            <w:noWrap/>
            <w:tcMar>
              <w:top w:w="28" w:type="dxa"/>
              <w:bottom w:w="28" w:type="dxa"/>
            </w:tcMar>
            <w:vAlign w:val="center"/>
          </w:tcPr>
          <w:p w14:paraId="55B97BF1" w14:textId="77777777" w:rsidR="00F731AC"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$5 million</w:t>
            </w:r>
            <w:r>
              <w:rPr>
                <w:rFonts w:eastAsia="Times New Roman"/>
                <w:color w:val="auto"/>
                <w:sz w:val="20"/>
                <w:szCs w:val="20"/>
                <w:vertAlign w:val="superscript"/>
                <w:lang w:eastAsia="en-SG"/>
              </w:rPr>
              <w:t>b</w:t>
            </w:r>
          </w:p>
        </w:tc>
      </w:tr>
      <w:tr w:rsidR="00F731AC" w:rsidRPr="002D1654" w14:paraId="67D7F450" w14:textId="77777777" w:rsidTr="00CC768C">
        <w:trPr>
          <w:trHeight w:val="527"/>
          <w:jc w:val="center"/>
        </w:trPr>
        <w:tc>
          <w:tcPr>
            <w:tcW w:w="275" w:type="pct"/>
            <w:vMerge/>
            <w:tcBorders>
              <w:left w:val="nil"/>
              <w:bottom w:val="single" w:sz="4" w:space="0" w:color="auto"/>
              <w:right w:val="nil"/>
            </w:tcBorders>
            <w:shd w:val="clear" w:color="000000" w:fill="FFFFFF"/>
            <w:noWrap/>
            <w:vAlign w:val="center"/>
          </w:tcPr>
          <w:p w14:paraId="45DD4688" w14:textId="77777777" w:rsidR="00F731AC" w:rsidRPr="00B1006D" w:rsidRDefault="00F731AC" w:rsidP="00CC768C">
            <w:pPr>
              <w:spacing w:after="0" w:line="245" w:lineRule="auto"/>
              <w:jc w:val="center"/>
              <w:rPr>
                <w:rFonts w:eastAsia="Times New Roman"/>
                <w:color w:val="auto"/>
                <w:sz w:val="20"/>
                <w:szCs w:val="20"/>
                <w:lang w:eastAsia="en-SG"/>
              </w:rPr>
            </w:pPr>
          </w:p>
        </w:tc>
        <w:tc>
          <w:tcPr>
            <w:tcW w:w="275" w:type="pct"/>
            <w:tcBorders>
              <w:left w:val="nil"/>
              <w:right w:val="nil"/>
            </w:tcBorders>
            <w:shd w:val="clear" w:color="000000" w:fill="FFFFFF"/>
            <w:noWrap/>
            <w:tcMar>
              <w:top w:w="28" w:type="dxa"/>
              <w:bottom w:w="28" w:type="dxa"/>
            </w:tcMar>
            <w:vAlign w:val="center"/>
          </w:tcPr>
          <w:p w14:paraId="54E7AF3D" w14:textId="77777777" w:rsidR="00F731AC" w:rsidRPr="00C910CB"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2008</w:t>
            </w:r>
          </w:p>
        </w:tc>
        <w:tc>
          <w:tcPr>
            <w:tcW w:w="671" w:type="pct"/>
            <w:tcBorders>
              <w:left w:val="nil"/>
              <w:right w:val="single" w:sz="4" w:space="0" w:color="auto"/>
            </w:tcBorders>
            <w:shd w:val="clear" w:color="000000" w:fill="FFFFFF"/>
            <w:tcMar>
              <w:top w:w="28" w:type="dxa"/>
              <w:bottom w:w="28" w:type="dxa"/>
            </w:tcMar>
            <w:vAlign w:val="center"/>
          </w:tcPr>
          <w:p w14:paraId="573A9D36" w14:textId="77777777" w:rsidR="00F731AC" w:rsidRPr="003B1258"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Overstock.com Inc</w:t>
            </w:r>
          </w:p>
        </w:tc>
        <w:tc>
          <w:tcPr>
            <w:tcW w:w="702" w:type="pct"/>
            <w:tcBorders>
              <w:left w:val="single" w:sz="4" w:space="0" w:color="auto"/>
              <w:right w:val="nil"/>
            </w:tcBorders>
            <w:shd w:val="clear" w:color="000000" w:fill="FFFFFF"/>
            <w:noWrap/>
            <w:tcMar>
              <w:top w:w="28" w:type="dxa"/>
              <w:bottom w:w="28" w:type="dxa"/>
            </w:tcMar>
            <w:vAlign w:val="center"/>
          </w:tcPr>
          <w:p w14:paraId="7EAE0997" w14:textId="77777777" w:rsidR="00F731AC" w:rsidRPr="003B1258"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NM</w:t>
            </w:r>
          </w:p>
        </w:tc>
        <w:tc>
          <w:tcPr>
            <w:tcW w:w="769" w:type="pct"/>
            <w:tcBorders>
              <w:left w:val="nil"/>
              <w:right w:val="nil"/>
            </w:tcBorders>
            <w:shd w:val="clear" w:color="000000" w:fill="FFFFFF"/>
            <w:tcMar>
              <w:top w:w="28" w:type="dxa"/>
              <w:bottom w:w="28" w:type="dxa"/>
            </w:tcMar>
            <w:vAlign w:val="center"/>
          </w:tcPr>
          <w:p w14:paraId="75B2D20D" w14:textId="77777777" w:rsidR="00F731AC"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$58 million</w:t>
            </w:r>
          </w:p>
        </w:tc>
        <w:tc>
          <w:tcPr>
            <w:tcW w:w="770" w:type="pct"/>
            <w:tcBorders>
              <w:top w:val="nil"/>
              <w:left w:val="nil"/>
              <w:right w:val="single" w:sz="4" w:space="0" w:color="auto"/>
            </w:tcBorders>
            <w:shd w:val="clear" w:color="auto" w:fill="auto"/>
            <w:noWrap/>
            <w:tcMar>
              <w:top w:w="28" w:type="dxa"/>
              <w:bottom w:w="28" w:type="dxa"/>
            </w:tcMar>
            <w:vAlign w:val="center"/>
          </w:tcPr>
          <w:p w14:paraId="683121A6" w14:textId="77777777" w:rsidR="00F731AC" w:rsidRPr="003B1258"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$53 million</w:t>
            </w:r>
          </w:p>
        </w:tc>
        <w:tc>
          <w:tcPr>
            <w:tcW w:w="768" w:type="pct"/>
            <w:tcBorders>
              <w:top w:val="nil"/>
              <w:left w:val="single" w:sz="4" w:space="0" w:color="auto"/>
              <w:right w:val="nil"/>
            </w:tcBorders>
            <w:shd w:val="clear" w:color="auto" w:fill="auto"/>
            <w:tcMar>
              <w:top w:w="28" w:type="dxa"/>
              <w:bottom w:w="28" w:type="dxa"/>
            </w:tcMar>
            <w:vAlign w:val="center"/>
          </w:tcPr>
          <w:p w14:paraId="3FE4D0EB" w14:textId="77777777" w:rsidR="00F731AC"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NM</w:t>
            </w:r>
          </w:p>
        </w:tc>
        <w:tc>
          <w:tcPr>
            <w:tcW w:w="770" w:type="pct"/>
            <w:tcBorders>
              <w:top w:val="nil"/>
              <w:left w:val="nil"/>
              <w:right w:val="nil"/>
            </w:tcBorders>
            <w:shd w:val="clear" w:color="auto" w:fill="auto"/>
            <w:noWrap/>
            <w:tcMar>
              <w:top w:w="28" w:type="dxa"/>
              <w:bottom w:w="28" w:type="dxa"/>
            </w:tcMar>
            <w:vAlign w:val="center"/>
          </w:tcPr>
          <w:p w14:paraId="482FABA0" w14:textId="77777777" w:rsidR="00F731AC"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$1 million</w:t>
            </w:r>
          </w:p>
        </w:tc>
      </w:tr>
      <w:tr w:rsidR="00F731AC" w:rsidRPr="002D1654" w14:paraId="4929BF94" w14:textId="77777777" w:rsidTr="00CC768C">
        <w:trPr>
          <w:trHeight w:val="527"/>
          <w:jc w:val="center"/>
        </w:trPr>
        <w:tc>
          <w:tcPr>
            <w:tcW w:w="275" w:type="pct"/>
            <w:vMerge/>
            <w:tcBorders>
              <w:left w:val="nil"/>
              <w:bottom w:val="single" w:sz="4" w:space="0" w:color="auto"/>
              <w:right w:val="nil"/>
            </w:tcBorders>
            <w:shd w:val="clear" w:color="000000" w:fill="FFFFFF"/>
            <w:noWrap/>
            <w:vAlign w:val="center"/>
          </w:tcPr>
          <w:p w14:paraId="62C47D13" w14:textId="77777777" w:rsidR="00F731AC" w:rsidRPr="00B1006D" w:rsidRDefault="00F731AC" w:rsidP="00CC768C">
            <w:pPr>
              <w:spacing w:after="0" w:line="245" w:lineRule="auto"/>
              <w:jc w:val="center"/>
              <w:rPr>
                <w:rFonts w:eastAsia="Times New Roman"/>
                <w:color w:val="auto"/>
                <w:sz w:val="20"/>
                <w:szCs w:val="20"/>
                <w:lang w:eastAsia="en-SG"/>
              </w:rPr>
            </w:pPr>
          </w:p>
        </w:tc>
        <w:tc>
          <w:tcPr>
            <w:tcW w:w="275" w:type="pct"/>
            <w:tcBorders>
              <w:left w:val="nil"/>
              <w:right w:val="nil"/>
            </w:tcBorders>
            <w:shd w:val="clear" w:color="000000" w:fill="FFFFFF"/>
            <w:noWrap/>
            <w:tcMar>
              <w:top w:w="28" w:type="dxa"/>
              <w:bottom w:w="28" w:type="dxa"/>
            </w:tcMar>
            <w:vAlign w:val="center"/>
          </w:tcPr>
          <w:p w14:paraId="26FF1DD7" w14:textId="77777777" w:rsidR="00F731AC" w:rsidRPr="00C910CB"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2009</w:t>
            </w:r>
          </w:p>
        </w:tc>
        <w:tc>
          <w:tcPr>
            <w:tcW w:w="671" w:type="pct"/>
            <w:tcBorders>
              <w:left w:val="nil"/>
              <w:right w:val="single" w:sz="4" w:space="0" w:color="auto"/>
            </w:tcBorders>
            <w:shd w:val="clear" w:color="000000" w:fill="FFFFFF"/>
            <w:tcMar>
              <w:top w:w="28" w:type="dxa"/>
              <w:bottom w:w="28" w:type="dxa"/>
            </w:tcMar>
            <w:vAlign w:val="center"/>
          </w:tcPr>
          <w:p w14:paraId="24289614" w14:textId="77777777" w:rsidR="00F731AC" w:rsidRPr="003B1258" w:rsidRDefault="00F731AC" w:rsidP="00CC768C">
            <w:pPr>
              <w:spacing w:after="0" w:line="245" w:lineRule="auto"/>
              <w:jc w:val="center"/>
              <w:rPr>
                <w:rFonts w:eastAsia="Times New Roman"/>
                <w:color w:val="auto"/>
                <w:sz w:val="20"/>
                <w:szCs w:val="20"/>
                <w:lang w:eastAsia="en-SG"/>
              </w:rPr>
            </w:pPr>
            <w:r>
              <w:rPr>
                <w:rFonts w:eastAsia="Times New Roman"/>
                <w:iCs/>
                <w:color w:val="auto"/>
                <w:sz w:val="20"/>
                <w:szCs w:val="20"/>
                <w:lang w:eastAsia="en-SG"/>
              </w:rPr>
              <w:t>Kade Spade &amp; Co</w:t>
            </w:r>
          </w:p>
        </w:tc>
        <w:tc>
          <w:tcPr>
            <w:tcW w:w="702" w:type="pct"/>
            <w:tcBorders>
              <w:left w:val="single" w:sz="4" w:space="0" w:color="auto"/>
              <w:right w:val="nil"/>
            </w:tcBorders>
            <w:shd w:val="clear" w:color="000000" w:fill="FFFFFF"/>
            <w:noWrap/>
            <w:tcMar>
              <w:top w:w="28" w:type="dxa"/>
              <w:bottom w:w="28" w:type="dxa"/>
            </w:tcMar>
            <w:vAlign w:val="center"/>
          </w:tcPr>
          <w:p w14:paraId="44122FFE" w14:textId="77777777" w:rsidR="00F731AC" w:rsidRPr="003B1258"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NM</w:t>
            </w:r>
          </w:p>
        </w:tc>
        <w:tc>
          <w:tcPr>
            <w:tcW w:w="769" w:type="pct"/>
            <w:tcBorders>
              <w:left w:val="nil"/>
              <w:right w:val="nil"/>
            </w:tcBorders>
            <w:shd w:val="clear" w:color="000000" w:fill="FFFFFF"/>
            <w:tcMar>
              <w:top w:w="28" w:type="dxa"/>
              <w:bottom w:w="28" w:type="dxa"/>
            </w:tcMar>
            <w:vAlign w:val="center"/>
          </w:tcPr>
          <w:p w14:paraId="08C7FBFE" w14:textId="77777777" w:rsidR="00F731AC"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$27 million</w:t>
            </w:r>
          </w:p>
        </w:tc>
        <w:tc>
          <w:tcPr>
            <w:tcW w:w="770" w:type="pct"/>
            <w:tcBorders>
              <w:top w:val="nil"/>
              <w:left w:val="nil"/>
              <w:right w:val="single" w:sz="4" w:space="0" w:color="auto"/>
            </w:tcBorders>
            <w:shd w:val="clear" w:color="auto" w:fill="auto"/>
            <w:noWrap/>
            <w:tcMar>
              <w:top w:w="28" w:type="dxa"/>
              <w:bottom w:w="28" w:type="dxa"/>
            </w:tcMar>
            <w:vAlign w:val="center"/>
          </w:tcPr>
          <w:p w14:paraId="7B1AF525" w14:textId="77777777" w:rsidR="00F731AC" w:rsidRPr="003B1258"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$85 million</w:t>
            </w:r>
          </w:p>
        </w:tc>
        <w:tc>
          <w:tcPr>
            <w:tcW w:w="768" w:type="pct"/>
            <w:tcBorders>
              <w:top w:val="nil"/>
              <w:left w:val="single" w:sz="4" w:space="0" w:color="auto"/>
              <w:right w:val="nil"/>
            </w:tcBorders>
            <w:shd w:val="clear" w:color="auto" w:fill="auto"/>
            <w:tcMar>
              <w:top w:w="28" w:type="dxa"/>
              <w:bottom w:w="28" w:type="dxa"/>
            </w:tcMar>
            <w:vAlign w:val="center"/>
          </w:tcPr>
          <w:p w14:paraId="543B7D48" w14:textId="77777777" w:rsidR="00F731AC"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$118 million</w:t>
            </w:r>
          </w:p>
        </w:tc>
        <w:tc>
          <w:tcPr>
            <w:tcW w:w="770" w:type="pct"/>
            <w:tcBorders>
              <w:top w:val="nil"/>
              <w:left w:val="nil"/>
              <w:right w:val="nil"/>
            </w:tcBorders>
            <w:shd w:val="clear" w:color="auto" w:fill="auto"/>
            <w:noWrap/>
            <w:tcMar>
              <w:top w:w="28" w:type="dxa"/>
              <w:bottom w:w="28" w:type="dxa"/>
            </w:tcMar>
            <w:vAlign w:val="center"/>
          </w:tcPr>
          <w:p w14:paraId="09422247" w14:textId="77777777" w:rsidR="00F731AC"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$20 million</w:t>
            </w:r>
          </w:p>
        </w:tc>
      </w:tr>
      <w:tr w:rsidR="00F731AC" w:rsidRPr="002D1654" w14:paraId="20D5AD27" w14:textId="77777777" w:rsidTr="00CC768C">
        <w:trPr>
          <w:trHeight w:val="527"/>
          <w:jc w:val="center"/>
        </w:trPr>
        <w:tc>
          <w:tcPr>
            <w:tcW w:w="275" w:type="pct"/>
            <w:vMerge/>
            <w:tcBorders>
              <w:left w:val="nil"/>
              <w:bottom w:val="single" w:sz="4" w:space="0" w:color="auto"/>
              <w:right w:val="nil"/>
            </w:tcBorders>
            <w:shd w:val="clear" w:color="000000" w:fill="FFFFFF"/>
            <w:noWrap/>
            <w:vAlign w:val="center"/>
          </w:tcPr>
          <w:p w14:paraId="61A77D09" w14:textId="77777777" w:rsidR="00F731AC" w:rsidRPr="00B1006D" w:rsidRDefault="00F731AC" w:rsidP="00CC768C">
            <w:pPr>
              <w:spacing w:after="0" w:line="245" w:lineRule="auto"/>
              <w:jc w:val="center"/>
              <w:rPr>
                <w:rFonts w:eastAsia="Times New Roman"/>
                <w:color w:val="auto"/>
                <w:sz w:val="20"/>
                <w:szCs w:val="20"/>
                <w:lang w:eastAsia="en-SG"/>
              </w:rPr>
            </w:pPr>
          </w:p>
        </w:tc>
        <w:tc>
          <w:tcPr>
            <w:tcW w:w="275" w:type="pct"/>
            <w:tcBorders>
              <w:left w:val="nil"/>
              <w:bottom w:val="single" w:sz="4" w:space="0" w:color="auto"/>
              <w:right w:val="nil"/>
            </w:tcBorders>
            <w:shd w:val="clear" w:color="000000" w:fill="FFFFFF"/>
            <w:noWrap/>
            <w:tcMar>
              <w:top w:w="28" w:type="dxa"/>
              <w:bottom w:w="28" w:type="dxa"/>
            </w:tcMar>
            <w:vAlign w:val="center"/>
          </w:tcPr>
          <w:p w14:paraId="7174AE2A" w14:textId="77777777" w:rsidR="00F731AC" w:rsidRPr="00C910CB"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2012</w:t>
            </w:r>
          </w:p>
        </w:tc>
        <w:tc>
          <w:tcPr>
            <w:tcW w:w="671" w:type="pct"/>
            <w:tcBorders>
              <w:left w:val="nil"/>
              <w:bottom w:val="single" w:sz="4" w:space="0" w:color="auto"/>
              <w:right w:val="single" w:sz="4" w:space="0" w:color="auto"/>
            </w:tcBorders>
            <w:shd w:val="clear" w:color="000000" w:fill="FFFFFF"/>
            <w:tcMar>
              <w:top w:w="28" w:type="dxa"/>
              <w:bottom w:w="28" w:type="dxa"/>
            </w:tcMar>
            <w:vAlign w:val="center"/>
          </w:tcPr>
          <w:p w14:paraId="244A70AE" w14:textId="77777777" w:rsidR="00F731AC" w:rsidRPr="00C910CB"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Facebook Inc</w:t>
            </w:r>
          </w:p>
        </w:tc>
        <w:tc>
          <w:tcPr>
            <w:tcW w:w="702" w:type="pct"/>
            <w:tcBorders>
              <w:left w:val="single" w:sz="4" w:space="0" w:color="auto"/>
              <w:bottom w:val="single" w:sz="4" w:space="0" w:color="auto"/>
              <w:right w:val="nil"/>
            </w:tcBorders>
            <w:shd w:val="clear" w:color="000000" w:fill="FFFFFF"/>
            <w:noWrap/>
            <w:tcMar>
              <w:top w:w="28" w:type="dxa"/>
              <w:bottom w:w="28" w:type="dxa"/>
            </w:tcMar>
            <w:vAlign w:val="center"/>
          </w:tcPr>
          <w:p w14:paraId="56D17A95" w14:textId="77777777" w:rsidR="00F731AC" w:rsidRPr="00C910CB"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NM</w:t>
            </w:r>
          </w:p>
        </w:tc>
        <w:tc>
          <w:tcPr>
            <w:tcW w:w="769" w:type="pct"/>
            <w:tcBorders>
              <w:left w:val="nil"/>
              <w:bottom w:val="single" w:sz="4" w:space="0" w:color="auto"/>
              <w:right w:val="nil"/>
            </w:tcBorders>
            <w:shd w:val="clear" w:color="000000" w:fill="FFFFFF"/>
            <w:tcMar>
              <w:top w:w="28" w:type="dxa"/>
              <w:bottom w:w="28" w:type="dxa"/>
            </w:tcMar>
            <w:vAlign w:val="center"/>
          </w:tcPr>
          <w:p w14:paraId="3D5888E3" w14:textId="77777777" w:rsidR="00F731AC" w:rsidRPr="00C910CB"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$896 million</w:t>
            </w:r>
          </w:p>
        </w:tc>
        <w:tc>
          <w:tcPr>
            <w:tcW w:w="770" w:type="pct"/>
            <w:tcBorders>
              <w:left w:val="nil"/>
              <w:bottom w:val="single" w:sz="4" w:space="0" w:color="auto"/>
              <w:right w:val="single" w:sz="4" w:space="0" w:color="auto"/>
            </w:tcBorders>
            <w:shd w:val="clear" w:color="auto" w:fill="auto"/>
            <w:noWrap/>
            <w:tcMar>
              <w:top w:w="28" w:type="dxa"/>
              <w:bottom w:w="28" w:type="dxa"/>
            </w:tcMar>
            <w:vAlign w:val="center"/>
          </w:tcPr>
          <w:p w14:paraId="08882F61" w14:textId="77777777" w:rsidR="00F731AC" w:rsidRPr="00C910CB"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$67 million</w:t>
            </w:r>
          </w:p>
        </w:tc>
        <w:tc>
          <w:tcPr>
            <w:tcW w:w="768" w:type="pct"/>
            <w:tcBorders>
              <w:left w:val="single" w:sz="4" w:space="0" w:color="auto"/>
              <w:bottom w:val="single" w:sz="4" w:space="0" w:color="auto"/>
              <w:right w:val="nil"/>
            </w:tcBorders>
            <w:shd w:val="clear" w:color="auto" w:fill="auto"/>
            <w:tcMar>
              <w:top w:w="28" w:type="dxa"/>
              <w:bottom w:w="28" w:type="dxa"/>
            </w:tcMar>
            <w:vAlign w:val="center"/>
          </w:tcPr>
          <w:p w14:paraId="6B8E5794" w14:textId="77777777" w:rsidR="00F731AC" w:rsidRPr="000D492A"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NM</w:t>
            </w:r>
          </w:p>
        </w:tc>
        <w:tc>
          <w:tcPr>
            <w:tcW w:w="770" w:type="pct"/>
            <w:tcBorders>
              <w:left w:val="nil"/>
              <w:bottom w:val="single" w:sz="4" w:space="0" w:color="auto"/>
              <w:right w:val="nil"/>
            </w:tcBorders>
            <w:shd w:val="clear" w:color="auto" w:fill="auto"/>
            <w:noWrap/>
            <w:tcMar>
              <w:top w:w="28" w:type="dxa"/>
              <w:bottom w:w="28" w:type="dxa"/>
            </w:tcMar>
            <w:vAlign w:val="center"/>
          </w:tcPr>
          <w:p w14:paraId="4EC2C393" w14:textId="77777777" w:rsidR="00F731AC" w:rsidRPr="000D492A"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w:t>
            </w:r>
            <w:r w:rsidRPr="000D492A">
              <w:rPr>
                <w:rFonts w:eastAsia="Times New Roman"/>
                <w:color w:val="auto"/>
                <w:sz w:val="20"/>
                <w:szCs w:val="20"/>
                <w:lang w:eastAsia="en-SG"/>
              </w:rPr>
              <w:t>9 million</w:t>
            </w:r>
          </w:p>
        </w:tc>
      </w:tr>
      <w:tr w:rsidR="00F731AC" w:rsidRPr="002D1654" w14:paraId="47F5E497" w14:textId="77777777" w:rsidTr="00CC768C">
        <w:trPr>
          <w:trHeight w:val="527"/>
          <w:jc w:val="center"/>
        </w:trPr>
        <w:tc>
          <w:tcPr>
            <w:tcW w:w="275" w:type="pct"/>
            <w:vMerge w:val="restart"/>
            <w:tcBorders>
              <w:top w:val="single" w:sz="4" w:space="0" w:color="auto"/>
              <w:left w:val="nil"/>
              <w:right w:val="nil"/>
            </w:tcBorders>
            <w:shd w:val="clear" w:color="000000" w:fill="FFFFFF"/>
            <w:noWrap/>
            <w:vAlign w:val="center"/>
          </w:tcPr>
          <w:p w14:paraId="40608756" w14:textId="77777777" w:rsidR="00F731AC" w:rsidRPr="00B1006D"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High COS</w:t>
            </w:r>
          </w:p>
        </w:tc>
        <w:tc>
          <w:tcPr>
            <w:tcW w:w="275" w:type="pct"/>
            <w:tcBorders>
              <w:top w:val="single" w:sz="4" w:space="0" w:color="auto"/>
              <w:left w:val="nil"/>
              <w:right w:val="nil"/>
            </w:tcBorders>
            <w:shd w:val="clear" w:color="000000" w:fill="FFFFFF"/>
            <w:noWrap/>
            <w:tcMar>
              <w:top w:w="28" w:type="dxa"/>
              <w:bottom w:w="28" w:type="dxa"/>
            </w:tcMar>
            <w:vAlign w:val="center"/>
          </w:tcPr>
          <w:p w14:paraId="5234C3BC" w14:textId="77777777" w:rsidR="00F731AC" w:rsidRPr="00C910CB"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2000</w:t>
            </w:r>
          </w:p>
        </w:tc>
        <w:tc>
          <w:tcPr>
            <w:tcW w:w="671" w:type="pct"/>
            <w:tcBorders>
              <w:top w:val="single" w:sz="4" w:space="0" w:color="auto"/>
              <w:left w:val="nil"/>
              <w:right w:val="single" w:sz="4" w:space="0" w:color="auto"/>
            </w:tcBorders>
            <w:shd w:val="clear" w:color="000000" w:fill="FFFFFF"/>
            <w:tcMar>
              <w:top w:w="28" w:type="dxa"/>
              <w:bottom w:w="28" w:type="dxa"/>
            </w:tcMar>
            <w:vAlign w:val="center"/>
          </w:tcPr>
          <w:p w14:paraId="4D45E6CD" w14:textId="77777777" w:rsidR="00F731AC" w:rsidRPr="00DB0597" w:rsidRDefault="00F731AC" w:rsidP="00CC768C">
            <w:pPr>
              <w:pStyle w:val="Default"/>
              <w:jc w:val="center"/>
              <w:rPr>
                <w:sz w:val="20"/>
                <w:szCs w:val="20"/>
                <w:lang w:val="en-US"/>
              </w:rPr>
            </w:pPr>
            <w:r>
              <w:rPr>
                <w:sz w:val="20"/>
                <w:szCs w:val="20"/>
                <w:lang w:val="en-US"/>
              </w:rPr>
              <w:t>Colgate-Palmolive Co</w:t>
            </w:r>
          </w:p>
        </w:tc>
        <w:tc>
          <w:tcPr>
            <w:tcW w:w="702" w:type="pct"/>
            <w:tcBorders>
              <w:top w:val="single" w:sz="4" w:space="0" w:color="auto"/>
              <w:left w:val="single" w:sz="4" w:space="0" w:color="auto"/>
              <w:right w:val="nil"/>
            </w:tcBorders>
            <w:shd w:val="clear" w:color="000000" w:fill="FFFFFF"/>
            <w:noWrap/>
            <w:tcMar>
              <w:top w:w="28" w:type="dxa"/>
              <w:bottom w:w="28" w:type="dxa"/>
            </w:tcMar>
            <w:vAlign w:val="center"/>
          </w:tcPr>
          <w:p w14:paraId="0DB428B5" w14:textId="77777777" w:rsidR="00F731AC" w:rsidRPr="00C910CB"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NM</w:t>
            </w:r>
          </w:p>
        </w:tc>
        <w:tc>
          <w:tcPr>
            <w:tcW w:w="769" w:type="pct"/>
            <w:tcBorders>
              <w:top w:val="single" w:sz="4" w:space="0" w:color="auto"/>
              <w:left w:val="nil"/>
              <w:right w:val="nil"/>
            </w:tcBorders>
            <w:shd w:val="clear" w:color="000000" w:fill="FFFFFF"/>
            <w:tcMar>
              <w:top w:w="28" w:type="dxa"/>
              <w:bottom w:w="28" w:type="dxa"/>
            </w:tcMar>
            <w:vAlign w:val="center"/>
          </w:tcPr>
          <w:p w14:paraId="538A6040" w14:textId="77777777" w:rsidR="00F731AC" w:rsidRPr="00C910CB"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NM</w:t>
            </w:r>
          </w:p>
        </w:tc>
        <w:tc>
          <w:tcPr>
            <w:tcW w:w="770" w:type="pct"/>
            <w:tcBorders>
              <w:top w:val="single" w:sz="4" w:space="0" w:color="auto"/>
              <w:left w:val="nil"/>
              <w:right w:val="single" w:sz="4" w:space="0" w:color="auto"/>
            </w:tcBorders>
            <w:shd w:val="clear" w:color="auto" w:fill="auto"/>
            <w:noWrap/>
            <w:tcMar>
              <w:top w:w="28" w:type="dxa"/>
              <w:bottom w:w="28" w:type="dxa"/>
            </w:tcMar>
            <w:vAlign w:val="center"/>
          </w:tcPr>
          <w:p w14:paraId="7E9B4F70" w14:textId="77777777" w:rsidR="00F731AC" w:rsidRPr="00C910CB"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$551 million</w:t>
            </w:r>
          </w:p>
        </w:tc>
        <w:tc>
          <w:tcPr>
            <w:tcW w:w="768" w:type="pct"/>
            <w:tcBorders>
              <w:top w:val="single" w:sz="4" w:space="0" w:color="auto"/>
              <w:left w:val="single" w:sz="4" w:space="0" w:color="auto"/>
              <w:right w:val="nil"/>
            </w:tcBorders>
            <w:shd w:val="clear" w:color="auto" w:fill="auto"/>
            <w:tcMar>
              <w:top w:w="28" w:type="dxa"/>
              <w:bottom w:w="28" w:type="dxa"/>
            </w:tcMar>
            <w:vAlign w:val="center"/>
          </w:tcPr>
          <w:p w14:paraId="274373E0" w14:textId="77777777" w:rsidR="00F731AC" w:rsidRPr="00C910CB"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$620 million</w:t>
            </w:r>
          </w:p>
        </w:tc>
        <w:tc>
          <w:tcPr>
            <w:tcW w:w="770" w:type="pct"/>
            <w:tcBorders>
              <w:top w:val="single" w:sz="4" w:space="0" w:color="auto"/>
              <w:left w:val="nil"/>
              <w:right w:val="nil"/>
            </w:tcBorders>
            <w:shd w:val="clear" w:color="auto" w:fill="auto"/>
            <w:noWrap/>
            <w:tcMar>
              <w:top w:w="28" w:type="dxa"/>
              <w:bottom w:w="28" w:type="dxa"/>
            </w:tcMar>
            <w:vAlign w:val="center"/>
          </w:tcPr>
          <w:p w14:paraId="61C11956" w14:textId="77777777" w:rsidR="00F731AC" w:rsidRPr="00C910CB"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$10 million</w:t>
            </w:r>
          </w:p>
        </w:tc>
      </w:tr>
      <w:tr w:rsidR="00F731AC" w:rsidRPr="002D1654" w14:paraId="142E6474" w14:textId="77777777" w:rsidTr="00CC768C">
        <w:trPr>
          <w:trHeight w:val="527"/>
          <w:jc w:val="center"/>
        </w:trPr>
        <w:tc>
          <w:tcPr>
            <w:tcW w:w="275" w:type="pct"/>
            <w:vMerge/>
            <w:tcBorders>
              <w:left w:val="nil"/>
              <w:bottom w:val="single" w:sz="4" w:space="0" w:color="auto"/>
              <w:right w:val="nil"/>
            </w:tcBorders>
            <w:shd w:val="clear" w:color="000000" w:fill="FFFFFF"/>
            <w:noWrap/>
            <w:vAlign w:val="center"/>
          </w:tcPr>
          <w:p w14:paraId="3F4F415C" w14:textId="77777777" w:rsidR="00F731AC" w:rsidRPr="00B1006D" w:rsidRDefault="00F731AC" w:rsidP="00CC768C">
            <w:pPr>
              <w:spacing w:after="0" w:line="245" w:lineRule="auto"/>
              <w:jc w:val="center"/>
              <w:rPr>
                <w:rFonts w:eastAsia="Times New Roman"/>
                <w:color w:val="auto"/>
                <w:sz w:val="20"/>
                <w:szCs w:val="20"/>
                <w:lang w:eastAsia="en-SG"/>
              </w:rPr>
            </w:pPr>
          </w:p>
        </w:tc>
        <w:tc>
          <w:tcPr>
            <w:tcW w:w="275" w:type="pct"/>
            <w:tcBorders>
              <w:left w:val="nil"/>
              <w:right w:val="nil"/>
            </w:tcBorders>
            <w:shd w:val="clear" w:color="000000" w:fill="FFFFFF"/>
            <w:noWrap/>
            <w:tcMar>
              <w:top w:w="28" w:type="dxa"/>
              <w:bottom w:w="28" w:type="dxa"/>
            </w:tcMar>
            <w:vAlign w:val="center"/>
          </w:tcPr>
          <w:p w14:paraId="5E8B2B5B" w14:textId="77777777" w:rsidR="00F731AC"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2006</w:t>
            </w:r>
          </w:p>
        </w:tc>
        <w:tc>
          <w:tcPr>
            <w:tcW w:w="671" w:type="pct"/>
            <w:tcBorders>
              <w:left w:val="nil"/>
              <w:right w:val="single" w:sz="4" w:space="0" w:color="auto"/>
            </w:tcBorders>
            <w:shd w:val="clear" w:color="000000" w:fill="FFFFFF"/>
            <w:tcMar>
              <w:top w:w="28" w:type="dxa"/>
              <w:bottom w:w="28" w:type="dxa"/>
            </w:tcMar>
            <w:vAlign w:val="center"/>
          </w:tcPr>
          <w:p w14:paraId="1C0B2019" w14:textId="77777777" w:rsidR="00F731AC" w:rsidRPr="005B68EF" w:rsidRDefault="00F731AC" w:rsidP="00CC768C">
            <w:pPr>
              <w:spacing w:after="0" w:line="245" w:lineRule="auto"/>
              <w:jc w:val="center"/>
              <w:rPr>
                <w:sz w:val="20"/>
                <w:szCs w:val="20"/>
              </w:rPr>
            </w:pPr>
            <w:r>
              <w:rPr>
                <w:rFonts w:eastAsia="Times New Roman"/>
                <w:color w:val="auto"/>
                <w:sz w:val="20"/>
                <w:szCs w:val="20"/>
                <w:lang w:eastAsia="en-SG"/>
              </w:rPr>
              <w:t>eBay Inc</w:t>
            </w:r>
          </w:p>
        </w:tc>
        <w:tc>
          <w:tcPr>
            <w:tcW w:w="702" w:type="pct"/>
            <w:tcBorders>
              <w:left w:val="single" w:sz="4" w:space="0" w:color="auto"/>
              <w:right w:val="nil"/>
            </w:tcBorders>
            <w:shd w:val="clear" w:color="000000" w:fill="FFFFFF"/>
            <w:noWrap/>
            <w:tcMar>
              <w:top w:w="28" w:type="dxa"/>
              <w:bottom w:w="28" w:type="dxa"/>
            </w:tcMar>
            <w:vAlign w:val="center"/>
          </w:tcPr>
          <w:p w14:paraId="71DB10FB" w14:textId="77777777" w:rsidR="00F731AC"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NM</w:t>
            </w:r>
          </w:p>
        </w:tc>
        <w:tc>
          <w:tcPr>
            <w:tcW w:w="769" w:type="pct"/>
            <w:tcBorders>
              <w:left w:val="nil"/>
              <w:right w:val="nil"/>
            </w:tcBorders>
            <w:shd w:val="clear" w:color="000000" w:fill="FFFFFF"/>
            <w:tcMar>
              <w:top w:w="28" w:type="dxa"/>
              <w:bottom w:w="28" w:type="dxa"/>
            </w:tcMar>
            <w:vAlign w:val="center"/>
          </w:tcPr>
          <w:p w14:paraId="7C276C55" w14:textId="77777777" w:rsidR="00F731AC"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w:t>
            </w:r>
            <w:r w:rsidRPr="002E4A5C">
              <w:rPr>
                <w:rFonts w:eastAsia="Times New Roman"/>
                <w:color w:val="auto"/>
                <w:sz w:val="20"/>
                <w:szCs w:val="20"/>
                <w:lang w:eastAsia="en-SG"/>
              </w:rPr>
              <w:t>16</w:t>
            </w:r>
            <w:r>
              <w:rPr>
                <w:rFonts w:eastAsia="Times New Roman"/>
                <w:color w:val="auto"/>
                <w:sz w:val="20"/>
                <w:szCs w:val="20"/>
                <w:lang w:eastAsia="en-SG"/>
              </w:rPr>
              <w:t>20</w:t>
            </w:r>
            <w:r w:rsidRPr="002E4A5C">
              <w:rPr>
                <w:rFonts w:eastAsia="Times New Roman"/>
                <w:color w:val="auto"/>
                <w:sz w:val="20"/>
                <w:szCs w:val="20"/>
                <w:lang w:eastAsia="en-SG"/>
              </w:rPr>
              <w:t xml:space="preserve"> </w:t>
            </w:r>
            <w:r>
              <w:rPr>
                <w:rFonts w:eastAsia="Times New Roman"/>
                <w:color w:val="auto"/>
                <w:sz w:val="20"/>
                <w:szCs w:val="20"/>
                <w:lang w:eastAsia="en-SG"/>
              </w:rPr>
              <w:t>million</w:t>
            </w:r>
          </w:p>
        </w:tc>
        <w:tc>
          <w:tcPr>
            <w:tcW w:w="770" w:type="pct"/>
            <w:tcBorders>
              <w:top w:val="nil"/>
              <w:left w:val="nil"/>
              <w:right w:val="single" w:sz="4" w:space="0" w:color="auto"/>
            </w:tcBorders>
            <w:shd w:val="clear" w:color="auto" w:fill="auto"/>
            <w:noWrap/>
            <w:tcMar>
              <w:top w:w="28" w:type="dxa"/>
              <w:bottom w:w="28" w:type="dxa"/>
            </w:tcMar>
            <w:vAlign w:val="center"/>
          </w:tcPr>
          <w:p w14:paraId="0F740287" w14:textId="77777777" w:rsidR="00F731AC"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$871 million</w:t>
            </w:r>
          </w:p>
        </w:tc>
        <w:tc>
          <w:tcPr>
            <w:tcW w:w="768" w:type="pct"/>
            <w:tcBorders>
              <w:top w:val="nil"/>
              <w:left w:val="single" w:sz="4" w:space="0" w:color="auto"/>
              <w:right w:val="nil"/>
            </w:tcBorders>
            <w:shd w:val="clear" w:color="auto" w:fill="auto"/>
            <w:tcMar>
              <w:top w:w="28" w:type="dxa"/>
              <w:bottom w:w="28" w:type="dxa"/>
            </w:tcMar>
            <w:vAlign w:val="center"/>
          </w:tcPr>
          <w:p w14:paraId="70919C14" w14:textId="77777777" w:rsidR="00F731AC"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NM</w:t>
            </w:r>
          </w:p>
        </w:tc>
        <w:tc>
          <w:tcPr>
            <w:tcW w:w="770" w:type="pct"/>
            <w:tcBorders>
              <w:top w:val="nil"/>
              <w:left w:val="nil"/>
              <w:right w:val="nil"/>
            </w:tcBorders>
            <w:shd w:val="clear" w:color="auto" w:fill="auto"/>
            <w:noWrap/>
            <w:tcMar>
              <w:top w:w="28" w:type="dxa"/>
              <w:bottom w:w="28" w:type="dxa"/>
            </w:tcMar>
            <w:vAlign w:val="center"/>
          </w:tcPr>
          <w:p w14:paraId="1D1D9D75" w14:textId="77777777" w:rsidR="00F731AC"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w:t>
            </w:r>
            <w:r w:rsidRPr="002E4A5C">
              <w:rPr>
                <w:rFonts w:eastAsia="Times New Roman"/>
                <w:color w:val="auto"/>
                <w:sz w:val="20"/>
                <w:szCs w:val="20"/>
                <w:lang w:eastAsia="en-SG"/>
              </w:rPr>
              <w:t>10</w:t>
            </w:r>
            <w:r>
              <w:rPr>
                <w:rFonts w:eastAsia="Times New Roman"/>
                <w:color w:val="auto"/>
                <w:sz w:val="20"/>
                <w:szCs w:val="20"/>
                <w:lang w:eastAsia="en-SG"/>
              </w:rPr>
              <w:t>1 million</w:t>
            </w:r>
          </w:p>
        </w:tc>
      </w:tr>
      <w:tr w:rsidR="00F731AC" w:rsidRPr="002D1654" w14:paraId="5A95ECCC" w14:textId="77777777" w:rsidTr="00CC768C">
        <w:trPr>
          <w:trHeight w:val="527"/>
          <w:jc w:val="center"/>
        </w:trPr>
        <w:tc>
          <w:tcPr>
            <w:tcW w:w="275" w:type="pct"/>
            <w:vMerge/>
            <w:tcBorders>
              <w:left w:val="nil"/>
              <w:bottom w:val="single" w:sz="4" w:space="0" w:color="auto"/>
              <w:right w:val="nil"/>
            </w:tcBorders>
            <w:shd w:val="clear" w:color="000000" w:fill="FFFFFF"/>
            <w:noWrap/>
            <w:vAlign w:val="center"/>
          </w:tcPr>
          <w:p w14:paraId="52D06C8A" w14:textId="77777777" w:rsidR="00F731AC" w:rsidRPr="00B1006D" w:rsidRDefault="00F731AC" w:rsidP="00CC768C">
            <w:pPr>
              <w:spacing w:after="0" w:line="245" w:lineRule="auto"/>
              <w:jc w:val="center"/>
              <w:rPr>
                <w:rFonts w:eastAsia="Times New Roman"/>
                <w:color w:val="auto"/>
                <w:sz w:val="20"/>
                <w:szCs w:val="20"/>
                <w:lang w:eastAsia="en-SG"/>
              </w:rPr>
            </w:pPr>
          </w:p>
        </w:tc>
        <w:tc>
          <w:tcPr>
            <w:tcW w:w="275" w:type="pct"/>
            <w:tcBorders>
              <w:left w:val="nil"/>
              <w:right w:val="nil"/>
            </w:tcBorders>
            <w:shd w:val="clear" w:color="000000" w:fill="FFFFFF"/>
            <w:noWrap/>
            <w:tcMar>
              <w:top w:w="28" w:type="dxa"/>
              <w:bottom w:w="28" w:type="dxa"/>
            </w:tcMar>
            <w:vAlign w:val="center"/>
          </w:tcPr>
          <w:p w14:paraId="20E0BF07" w14:textId="77777777" w:rsidR="00F731AC"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2008</w:t>
            </w:r>
          </w:p>
        </w:tc>
        <w:tc>
          <w:tcPr>
            <w:tcW w:w="671" w:type="pct"/>
            <w:tcBorders>
              <w:left w:val="nil"/>
              <w:right w:val="single" w:sz="4" w:space="0" w:color="auto"/>
            </w:tcBorders>
            <w:shd w:val="clear" w:color="000000" w:fill="FFFFFF"/>
            <w:tcMar>
              <w:top w:w="28" w:type="dxa"/>
              <w:bottom w:w="28" w:type="dxa"/>
            </w:tcMar>
            <w:vAlign w:val="center"/>
          </w:tcPr>
          <w:p w14:paraId="690D41AA" w14:textId="77777777" w:rsidR="00F731AC" w:rsidRDefault="00F731AC" w:rsidP="00CC768C">
            <w:pPr>
              <w:spacing w:after="0" w:line="245" w:lineRule="auto"/>
              <w:jc w:val="center"/>
              <w:rPr>
                <w:rFonts w:eastAsia="Times New Roman"/>
                <w:color w:val="auto"/>
                <w:sz w:val="20"/>
                <w:szCs w:val="20"/>
                <w:lang w:eastAsia="en-SG"/>
              </w:rPr>
            </w:pPr>
            <w:r w:rsidRPr="005B68EF">
              <w:rPr>
                <w:sz w:val="20"/>
                <w:szCs w:val="20"/>
              </w:rPr>
              <w:t>American Airlines Group Inc</w:t>
            </w:r>
          </w:p>
        </w:tc>
        <w:tc>
          <w:tcPr>
            <w:tcW w:w="702" w:type="pct"/>
            <w:tcBorders>
              <w:left w:val="single" w:sz="4" w:space="0" w:color="auto"/>
              <w:right w:val="nil"/>
            </w:tcBorders>
            <w:shd w:val="clear" w:color="000000" w:fill="FFFFFF"/>
            <w:noWrap/>
            <w:tcMar>
              <w:top w:w="28" w:type="dxa"/>
              <w:bottom w:w="28" w:type="dxa"/>
            </w:tcMar>
            <w:vAlign w:val="center"/>
          </w:tcPr>
          <w:p w14:paraId="3C9CF398" w14:textId="77777777" w:rsidR="00F731AC"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$997 million</w:t>
            </w:r>
          </w:p>
        </w:tc>
        <w:tc>
          <w:tcPr>
            <w:tcW w:w="769" w:type="pct"/>
            <w:tcBorders>
              <w:left w:val="nil"/>
              <w:right w:val="nil"/>
            </w:tcBorders>
            <w:shd w:val="clear" w:color="000000" w:fill="FFFFFF"/>
            <w:tcMar>
              <w:top w:w="28" w:type="dxa"/>
              <w:bottom w:w="28" w:type="dxa"/>
            </w:tcMar>
            <w:vAlign w:val="center"/>
          </w:tcPr>
          <w:p w14:paraId="6C39EA14" w14:textId="77777777" w:rsidR="00F731AC" w:rsidRPr="00E4440A"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NM</w:t>
            </w:r>
          </w:p>
        </w:tc>
        <w:tc>
          <w:tcPr>
            <w:tcW w:w="770" w:type="pct"/>
            <w:tcBorders>
              <w:top w:val="nil"/>
              <w:left w:val="nil"/>
              <w:right w:val="single" w:sz="4" w:space="0" w:color="auto"/>
            </w:tcBorders>
            <w:shd w:val="clear" w:color="auto" w:fill="auto"/>
            <w:noWrap/>
            <w:tcMar>
              <w:top w:w="28" w:type="dxa"/>
              <w:bottom w:w="28" w:type="dxa"/>
            </w:tcMar>
            <w:vAlign w:val="center"/>
          </w:tcPr>
          <w:p w14:paraId="04D5F5A2" w14:textId="77777777" w:rsidR="00F731AC" w:rsidRPr="00E4440A"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$153 million</w:t>
            </w:r>
          </w:p>
        </w:tc>
        <w:tc>
          <w:tcPr>
            <w:tcW w:w="768" w:type="pct"/>
            <w:tcBorders>
              <w:top w:val="nil"/>
              <w:left w:val="single" w:sz="4" w:space="0" w:color="auto"/>
              <w:right w:val="nil"/>
            </w:tcBorders>
            <w:shd w:val="clear" w:color="auto" w:fill="auto"/>
            <w:tcMar>
              <w:top w:w="28" w:type="dxa"/>
              <w:bottom w:w="28" w:type="dxa"/>
            </w:tcMar>
            <w:vAlign w:val="center"/>
          </w:tcPr>
          <w:p w14:paraId="1F3CFEC7" w14:textId="77777777" w:rsidR="00F731AC" w:rsidRPr="00E4440A"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NM</w:t>
            </w:r>
          </w:p>
        </w:tc>
        <w:tc>
          <w:tcPr>
            <w:tcW w:w="770" w:type="pct"/>
            <w:tcBorders>
              <w:top w:val="nil"/>
              <w:left w:val="nil"/>
              <w:right w:val="nil"/>
            </w:tcBorders>
            <w:shd w:val="clear" w:color="auto" w:fill="auto"/>
            <w:noWrap/>
            <w:tcMar>
              <w:top w:w="28" w:type="dxa"/>
              <w:bottom w:w="28" w:type="dxa"/>
            </w:tcMar>
            <w:vAlign w:val="center"/>
          </w:tcPr>
          <w:p w14:paraId="0206D13E" w14:textId="77777777" w:rsidR="00F731AC" w:rsidRPr="00E4440A"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$6 million</w:t>
            </w:r>
          </w:p>
        </w:tc>
      </w:tr>
      <w:tr w:rsidR="00F731AC" w:rsidRPr="002D1654" w14:paraId="26419E7B" w14:textId="77777777" w:rsidTr="00CC768C">
        <w:trPr>
          <w:trHeight w:val="527"/>
          <w:jc w:val="center"/>
        </w:trPr>
        <w:tc>
          <w:tcPr>
            <w:tcW w:w="275" w:type="pct"/>
            <w:vMerge/>
            <w:tcBorders>
              <w:left w:val="nil"/>
              <w:bottom w:val="single" w:sz="4" w:space="0" w:color="auto"/>
              <w:right w:val="nil"/>
            </w:tcBorders>
            <w:shd w:val="clear" w:color="000000" w:fill="FFFFFF"/>
            <w:noWrap/>
            <w:vAlign w:val="center"/>
          </w:tcPr>
          <w:p w14:paraId="44AA2D92" w14:textId="77777777" w:rsidR="00F731AC" w:rsidRPr="00B1006D" w:rsidRDefault="00F731AC" w:rsidP="00CC768C">
            <w:pPr>
              <w:spacing w:after="0" w:line="245" w:lineRule="auto"/>
              <w:jc w:val="center"/>
              <w:rPr>
                <w:rFonts w:eastAsia="Times New Roman"/>
                <w:color w:val="auto"/>
                <w:sz w:val="20"/>
                <w:szCs w:val="20"/>
                <w:lang w:eastAsia="en-SG"/>
              </w:rPr>
            </w:pPr>
          </w:p>
        </w:tc>
        <w:tc>
          <w:tcPr>
            <w:tcW w:w="275" w:type="pct"/>
            <w:tcBorders>
              <w:left w:val="nil"/>
              <w:right w:val="nil"/>
            </w:tcBorders>
            <w:shd w:val="clear" w:color="000000" w:fill="FFFFFF"/>
            <w:noWrap/>
            <w:tcMar>
              <w:top w:w="28" w:type="dxa"/>
              <w:bottom w:w="28" w:type="dxa"/>
            </w:tcMar>
            <w:vAlign w:val="center"/>
          </w:tcPr>
          <w:p w14:paraId="4FA31441" w14:textId="77777777" w:rsidR="00F731AC"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2009</w:t>
            </w:r>
          </w:p>
        </w:tc>
        <w:tc>
          <w:tcPr>
            <w:tcW w:w="671" w:type="pct"/>
            <w:tcBorders>
              <w:left w:val="nil"/>
              <w:right w:val="single" w:sz="4" w:space="0" w:color="auto"/>
            </w:tcBorders>
            <w:shd w:val="clear" w:color="000000" w:fill="FFFFFF"/>
            <w:tcMar>
              <w:top w:w="28" w:type="dxa"/>
              <w:bottom w:w="28" w:type="dxa"/>
            </w:tcMar>
            <w:vAlign w:val="center"/>
          </w:tcPr>
          <w:p w14:paraId="3E4CCFC4" w14:textId="77777777" w:rsidR="00F731AC"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Hillshire Brands Co</w:t>
            </w:r>
          </w:p>
        </w:tc>
        <w:tc>
          <w:tcPr>
            <w:tcW w:w="702" w:type="pct"/>
            <w:tcBorders>
              <w:left w:val="single" w:sz="4" w:space="0" w:color="auto"/>
              <w:right w:val="nil"/>
            </w:tcBorders>
            <w:shd w:val="clear" w:color="000000" w:fill="FFFFFF"/>
            <w:noWrap/>
            <w:tcMar>
              <w:top w:w="28" w:type="dxa"/>
              <w:bottom w:w="28" w:type="dxa"/>
            </w:tcMar>
            <w:vAlign w:val="center"/>
          </w:tcPr>
          <w:p w14:paraId="23CB56FD" w14:textId="77777777" w:rsidR="00F731AC"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NM</w:t>
            </w:r>
          </w:p>
        </w:tc>
        <w:tc>
          <w:tcPr>
            <w:tcW w:w="769" w:type="pct"/>
            <w:tcBorders>
              <w:left w:val="nil"/>
              <w:right w:val="nil"/>
            </w:tcBorders>
            <w:shd w:val="clear" w:color="000000" w:fill="FFFFFF"/>
            <w:tcMar>
              <w:top w:w="28" w:type="dxa"/>
              <w:bottom w:w="28" w:type="dxa"/>
            </w:tcMar>
            <w:vAlign w:val="center"/>
          </w:tcPr>
          <w:p w14:paraId="4AD4F802" w14:textId="77777777" w:rsidR="00F731AC" w:rsidRPr="00E4440A"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NM</w:t>
            </w:r>
          </w:p>
        </w:tc>
        <w:tc>
          <w:tcPr>
            <w:tcW w:w="770" w:type="pct"/>
            <w:tcBorders>
              <w:top w:val="nil"/>
              <w:left w:val="nil"/>
              <w:right w:val="single" w:sz="4" w:space="0" w:color="auto"/>
            </w:tcBorders>
            <w:shd w:val="clear" w:color="auto" w:fill="auto"/>
            <w:noWrap/>
            <w:tcMar>
              <w:top w:w="28" w:type="dxa"/>
              <w:bottom w:w="28" w:type="dxa"/>
            </w:tcMar>
            <w:vAlign w:val="center"/>
          </w:tcPr>
          <w:p w14:paraId="673B453B" w14:textId="77777777" w:rsidR="00F731AC" w:rsidRPr="00E4440A"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$282 million</w:t>
            </w:r>
          </w:p>
        </w:tc>
        <w:tc>
          <w:tcPr>
            <w:tcW w:w="768" w:type="pct"/>
            <w:tcBorders>
              <w:top w:val="nil"/>
              <w:left w:val="single" w:sz="4" w:space="0" w:color="auto"/>
              <w:right w:val="nil"/>
            </w:tcBorders>
            <w:shd w:val="clear" w:color="auto" w:fill="auto"/>
            <w:tcMar>
              <w:top w:w="28" w:type="dxa"/>
              <w:bottom w:w="28" w:type="dxa"/>
            </w:tcMar>
            <w:vAlign w:val="center"/>
          </w:tcPr>
          <w:p w14:paraId="67DBE6D6" w14:textId="77777777" w:rsidR="00F731AC" w:rsidRPr="00E4440A"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$693 million</w:t>
            </w:r>
          </w:p>
        </w:tc>
        <w:tc>
          <w:tcPr>
            <w:tcW w:w="770" w:type="pct"/>
            <w:tcBorders>
              <w:top w:val="nil"/>
              <w:left w:val="nil"/>
              <w:right w:val="nil"/>
            </w:tcBorders>
            <w:shd w:val="clear" w:color="auto" w:fill="auto"/>
            <w:noWrap/>
            <w:tcMar>
              <w:top w:w="28" w:type="dxa"/>
              <w:bottom w:w="28" w:type="dxa"/>
            </w:tcMar>
            <w:vAlign w:val="center"/>
          </w:tcPr>
          <w:p w14:paraId="7A3389FD" w14:textId="77777777" w:rsidR="00F731AC" w:rsidRPr="00E4440A"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$12 million</w:t>
            </w:r>
          </w:p>
        </w:tc>
      </w:tr>
      <w:tr w:rsidR="00F731AC" w:rsidRPr="002D1654" w14:paraId="7550E4FF" w14:textId="77777777" w:rsidTr="00CC768C">
        <w:trPr>
          <w:trHeight w:val="527"/>
          <w:jc w:val="center"/>
        </w:trPr>
        <w:tc>
          <w:tcPr>
            <w:tcW w:w="275" w:type="pct"/>
            <w:vMerge/>
            <w:tcBorders>
              <w:left w:val="nil"/>
              <w:bottom w:val="single" w:sz="4" w:space="0" w:color="auto"/>
              <w:right w:val="nil"/>
            </w:tcBorders>
            <w:shd w:val="clear" w:color="000000" w:fill="FFFFFF"/>
            <w:noWrap/>
            <w:vAlign w:val="center"/>
          </w:tcPr>
          <w:p w14:paraId="3E6999FE" w14:textId="77777777" w:rsidR="00F731AC" w:rsidRPr="00B1006D" w:rsidRDefault="00F731AC" w:rsidP="00CC768C">
            <w:pPr>
              <w:spacing w:after="0" w:line="245" w:lineRule="auto"/>
              <w:jc w:val="center"/>
              <w:rPr>
                <w:rFonts w:eastAsia="Times New Roman"/>
                <w:color w:val="auto"/>
                <w:sz w:val="20"/>
                <w:szCs w:val="20"/>
                <w:lang w:eastAsia="en-SG"/>
              </w:rPr>
            </w:pPr>
          </w:p>
        </w:tc>
        <w:tc>
          <w:tcPr>
            <w:tcW w:w="275" w:type="pct"/>
            <w:tcBorders>
              <w:left w:val="nil"/>
              <w:bottom w:val="single" w:sz="4" w:space="0" w:color="auto"/>
              <w:right w:val="nil"/>
            </w:tcBorders>
            <w:shd w:val="clear" w:color="000000" w:fill="FFFFFF"/>
            <w:noWrap/>
            <w:tcMar>
              <w:top w:w="28" w:type="dxa"/>
              <w:bottom w:w="28" w:type="dxa"/>
            </w:tcMar>
            <w:vAlign w:val="center"/>
          </w:tcPr>
          <w:p w14:paraId="74457FC9" w14:textId="77777777" w:rsidR="00F731AC" w:rsidRPr="00C910CB" w:rsidRDefault="00F731AC" w:rsidP="00CC768C">
            <w:pPr>
              <w:spacing w:after="0" w:line="245" w:lineRule="auto"/>
              <w:jc w:val="center"/>
              <w:rPr>
                <w:color w:val="auto"/>
                <w:sz w:val="20"/>
                <w:szCs w:val="20"/>
              </w:rPr>
            </w:pPr>
            <w:r>
              <w:rPr>
                <w:rFonts w:eastAsia="Times New Roman"/>
                <w:color w:val="auto"/>
                <w:sz w:val="20"/>
                <w:szCs w:val="20"/>
                <w:lang w:eastAsia="en-SG"/>
              </w:rPr>
              <w:t>2012</w:t>
            </w:r>
          </w:p>
        </w:tc>
        <w:tc>
          <w:tcPr>
            <w:tcW w:w="671" w:type="pct"/>
            <w:tcBorders>
              <w:left w:val="nil"/>
              <w:bottom w:val="single" w:sz="4" w:space="0" w:color="auto"/>
              <w:right w:val="single" w:sz="4" w:space="0" w:color="auto"/>
            </w:tcBorders>
            <w:shd w:val="clear" w:color="000000" w:fill="FFFFFF"/>
            <w:tcMar>
              <w:top w:w="28" w:type="dxa"/>
              <w:bottom w:w="28" w:type="dxa"/>
            </w:tcMar>
            <w:vAlign w:val="center"/>
          </w:tcPr>
          <w:p w14:paraId="29442C0B" w14:textId="77777777" w:rsidR="00F731AC" w:rsidRPr="00C910CB" w:rsidRDefault="00F731AC" w:rsidP="00CC768C">
            <w:pPr>
              <w:spacing w:after="0" w:line="245" w:lineRule="auto"/>
              <w:jc w:val="center"/>
              <w:rPr>
                <w:color w:val="auto"/>
                <w:sz w:val="20"/>
                <w:szCs w:val="20"/>
              </w:rPr>
            </w:pPr>
            <w:r>
              <w:rPr>
                <w:rFonts w:eastAsia="Times New Roman"/>
                <w:color w:val="auto"/>
                <w:sz w:val="20"/>
                <w:szCs w:val="20"/>
                <w:lang w:eastAsia="en-SG"/>
              </w:rPr>
              <w:t>Amazon.com Inc</w:t>
            </w:r>
          </w:p>
        </w:tc>
        <w:tc>
          <w:tcPr>
            <w:tcW w:w="702" w:type="pct"/>
            <w:tcBorders>
              <w:left w:val="single" w:sz="4" w:space="0" w:color="auto"/>
              <w:bottom w:val="single" w:sz="4" w:space="0" w:color="auto"/>
              <w:right w:val="nil"/>
            </w:tcBorders>
            <w:shd w:val="clear" w:color="000000" w:fill="FFFFFF"/>
            <w:noWrap/>
            <w:tcMar>
              <w:top w:w="28" w:type="dxa"/>
              <w:bottom w:w="28" w:type="dxa"/>
            </w:tcMar>
            <w:vAlign w:val="center"/>
          </w:tcPr>
          <w:p w14:paraId="375A7CBC" w14:textId="77777777" w:rsidR="00F731AC" w:rsidRPr="00C910CB"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NM</w:t>
            </w:r>
          </w:p>
        </w:tc>
        <w:tc>
          <w:tcPr>
            <w:tcW w:w="769" w:type="pct"/>
            <w:tcBorders>
              <w:left w:val="nil"/>
              <w:bottom w:val="single" w:sz="4" w:space="0" w:color="auto"/>
              <w:right w:val="nil"/>
            </w:tcBorders>
            <w:shd w:val="clear" w:color="000000" w:fill="FFFFFF"/>
            <w:tcMar>
              <w:top w:w="28" w:type="dxa"/>
              <w:bottom w:w="28" w:type="dxa"/>
            </w:tcMar>
            <w:vAlign w:val="center"/>
          </w:tcPr>
          <w:p w14:paraId="257010DD" w14:textId="77777777" w:rsidR="00F731AC" w:rsidRPr="00C910CB"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w:t>
            </w:r>
            <w:r w:rsidRPr="00E4440A">
              <w:rPr>
                <w:rFonts w:eastAsia="Times New Roman"/>
                <w:color w:val="auto"/>
                <w:sz w:val="20"/>
                <w:szCs w:val="20"/>
                <w:lang w:eastAsia="en-SG"/>
              </w:rPr>
              <w:t>2408</w:t>
            </w:r>
            <w:r>
              <w:rPr>
                <w:rFonts w:eastAsia="Times New Roman"/>
                <w:color w:val="auto"/>
                <w:sz w:val="20"/>
                <w:szCs w:val="20"/>
                <w:lang w:eastAsia="en-SG"/>
              </w:rPr>
              <w:t xml:space="preserve"> million</w:t>
            </w:r>
          </w:p>
        </w:tc>
        <w:tc>
          <w:tcPr>
            <w:tcW w:w="770" w:type="pct"/>
            <w:tcBorders>
              <w:left w:val="nil"/>
              <w:bottom w:val="single" w:sz="4" w:space="0" w:color="auto"/>
              <w:right w:val="single" w:sz="4" w:space="0" w:color="auto"/>
            </w:tcBorders>
            <w:shd w:val="clear" w:color="auto" w:fill="auto"/>
            <w:noWrap/>
            <w:tcMar>
              <w:top w:w="28" w:type="dxa"/>
              <w:bottom w:w="28" w:type="dxa"/>
            </w:tcMar>
            <w:vAlign w:val="center"/>
          </w:tcPr>
          <w:p w14:paraId="5743BC96" w14:textId="77777777" w:rsidR="00F731AC" w:rsidRPr="00C910CB"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w:t>
            </w:r>
            <w:r w:rsidRPr="00E4440A">
              <w:rPr>
                <w:rFonts w:eastAsia="Times New Roman"/>
                <w:color w:val="auto"/>
                <w:sz w:val="20"/>
                <w:szCs w:val="20"/>
                <w:lang w:eastAsia="en-SG"/>
              </w:rPr>
              <w:t>2</w:t>
            </w:r>
            <w:r>
              <w:rPr>
                <w:rFonts w:eastAsia="Times New Roman"/>
                <w:color w:val="auto"/>
                <w:sz w:val="20"/>
                <w:szCs w:val="20"/>
                <w:lang w:eastAsia="en-SG"/>
              </w:rPr>
              <w:t>000 million</w:t>
            </w:r>
          </w:p>
        </w:tc>
        <w:tc>
          <w:tcPr>
            <w:tcW w:w="768" w:type="pct"/>
            <w:tcBorders>
              <w:left w:val="single" w:sz="4" w:space="0" w:color="auto"/>
              <w:bottom w:val="single" w:sz="4" w:space="0" w:color="auto"/>
              <w:right w:val="nil"/>
            </w:tcBorders>
            <w:shd w:val="clear" w:color="auto" w:fill="auto"/>
            <w:tcMar>
              <w:top w:w="28" w:type="dxa"/>
              <w:bottom w:w="28" w:type="dxa"/>
            </w:tcMar>
            <w:vAlign w:val="center"/>
          </w:tcPr>
          <w:p w14:paraId="5CA69936" w14:textId="77777777" w:rsidR="00F731AC" w:rsidRPr="00C910CB"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w:t>
            </w:r>
            <w:r w:rsidRPr="00E4440A">
              <w:rPr>
                <w:rFonts w:eastAsia="Times New Roman"/>
                <w:color w:val="auto"/>
                <w:sz w:val="20"/>
                <w:szCs w:val="20"/>
                <w:lang w:eastAsia="en-SG"/>
              </w:rPr>
              <w:t>5134</w:t>
            </w:r>
            <w:r>
              <w:rPr>
                <w:rFonts w:eastAsia="Times New Roman"/>
                <w:color w:val="auto"/>
                <w:sz w:val="20"/>
                <w:szCs w:val="20"/>
                <w:lang w:eastAsia="en-SG"/>
              </w:rPr>
              <w:t xml:space="preserve"> million</w:t>
            </w:r>
          </w:p>
        </w:tc>
        <w:tc>
          <w:tcPr>
            <w:tcW w:w="770" w:type="pct"/>
            <w:tcBorders>
              <w:left w:val="nil"/>
              <w:bottom w:val="single" w:sz="4" w:space="0" w:color="auto"/>
              <w:right w:val="nil"/>
            </w:tcBorders>
            <w:shd w:val="clear" w:color="auto" w:fill="auto"/>
            <w:noWrap/>
            <w:tcMar>
              <w:top w:w="28" w:type="dxa"/>
              <w:bottom w:w="28" w:type="dxa"/>
            </w:tcMar>
            <w:vAlign w:val="center"/>
          </w:tcPr>
          <w:p w14:paraId="7E509AD5" w14:textId="77777777" w:rsidR="00F731AC" w:rsidRPr="00C910CB" w:rsidRDefault="00F731AC" w:rsidP="00CC768C">
            <w:pPr>
              <w:spacing w:after="0" w:line="245" w:lineRule="auto"/>
              <w:jc w:val="center"/>
              <w:rPr>
                <w:rFonts w:eastAsia="Times New Roman"/>
                <w:color w:val="auto"/>
                <w:sz w:val="20"/>
                <w:szCs w:val="20"/>
                <w:lang w:eastAsia="en-SG"/>
              </w:rPr>
            </w:pPr>
            <w:r>
              <w:rPr>
                <w:rFonts w:eastAsia="Times New Roman"/>
                <w:color w:val="auto"/>
                <w:sz w:val="20"/>
                <w:szCs w:val="20"/>
                <w:lang w:eastAsia="en-SG"/>
              </w:rPr>
              <w:t>$</w:t>
            </w:r>
            <w:r w:rsidRPr="00E4440A">
              <w:rPr>
                <w:rFonts w:eastAsia="Times New Roman"/>
                <w:color w:val="auto"/>
                <w:sz w:val="20"/>
                <w:szCs w:val="20"/>
                <w:lang w:eastAsia="en-SG"/>
              </w:rPr>
              <w:t>136</w:t>
            </w:r>
            <w:r>
              <w:rPr>
                <w:rFonts w:eastAsia="Times New Roman"/>
                <w:color w:val="auto"/>
                <w:sz w:val="20"/>
                <w:szCs w:val="20"/>
                <w:lang w:eastAsia="en-SG"/>
              </w:rPr>
              <w:t xml:space="preserve"> million</w:t>
            </w:r>
          </w:p>
        </w:tc>
      </w:tr>
      <w:tr w:rsidR="00F731AC" w:rsidRPr="002D1654" w14:paraId="0EBFAF3D" w14:textId="77777777" w:rsidTr="00CC768C">
        <w:trPr>
          <w:trHeight w:val="815"/>
          <w:jc w:val="center"/>
        </w:trPr>
        <w:tc>
          <w:tcPr>
            <w:tcW w:w="5000" w:type="pct"/>
            <w:gridSpan w:val="8"/>
            <w:tcBorders>
              <w:top w:val="single" w:sz="4" w:space="0" w:color="auto"/>
              <w:left w:val="nil"/>
              <w:bottom w:val="nil"/>
              <w:right w:val="nil"/>
            </w:tcBorders>
            <w:shd w:val="clear" w:color="000000" w:fill="FFFFFF"/>
            <w:hideMark/>
          </w:tcPr>
          <w:p w14:paraId="3B6E0226" w14:textId="77777777" w:rsidR="00F731AC" w:rsidRPr="002D1654" w:rsidRDefault="00F731AC" w:rsidP="00CC768C">
            <w:pPr>
              <w:spacing w:after="0" w:line="245" w:lineRule="auto"/>
              <w:rPr>
                <w:rFonts w:eastAsia="Times New Roman"/>
                <w:i/>
                <w:iCs/>
                <w:color w:val="auto"/>
                <w:sz w:val="20"/>
                <w:szCs w:val="20"/>
                <w:lang w:eastAsia="en-SG"/>
              </w:rPr>
            </w:pPr>
          </w:p>
          <w:p w14:paraId="06553ADC" w14:textId="4BE9136C" w:rsidR="00F731AC" w:rsidRPr="002D1654" w:rsidRDefault="00F731AC" w:rsidP="00CC768C">
            <w:pPr>
              <w:spacing w:line="245" w:lineRule="auto"/>
              <w:rPr>
                <w:rFonts w:eastAsia="Times New Roman"/>
                <w:color w:val="auto"/>
                <w:lang w:eastAsia="en-SG"/>
              </w:rPr>
            </w:pPr>
            <w:r w:rsidRPr="002D1654">
              <w:rPr>
                <w:rFonts w:eastAsia="Times New Roman"/>
                <w:i/>
                <w:iCs/>
                <w:color w:val="auto"/>
                <w:lang w:eastAsia="en-SG"/>
              </w:rPr>
              <w:t>Notes.</w:t>
            </w:r>
            <w:r>
              <w:rPr>
                <w:rFonts w:eastAsia="Times New Roman"/>
                <w:color w:val="auto"/>
                <w:lang w:eastAsia="en-SG"/>
              </w:rPr>
              <w:t xml:space="preserve"> COS = Cost of Selling; NM= Not Material: Following </w:t>
            </w:r>
            <w:r w:rsidRPr="00263D3D">
              <w:rPr>
                <w:rFonts w:eastAsia="Times New Roman" w:hint="eastAsia"/>
                <w:color w:val="auto"/>
                <w:lang w:eastAsia="en-SG"/>
              </w:rPr>
              <w:t>“</w:t>
            </w:r>
            <w:r w:rsidRPr="00263D3D">
              <w:rPr>
                <w:rFonts w:eastAsia="Times New Roman"/>
                <w:i/>
                <w:iCs/>
                <w:color w:val="auto"/>
                <w:lang w:eastAsia="en-SG"/>
              </w:rPr>
              <w:t>SEC Regulation S-X (17 CFR</w:t>
            </w:r>
            <w:r>
              <w:rPr>
                <w:rFonts w:eastAsia="Times New Roman"/>
                <w:i/>
                <w:iCs/>
                <w:color w:val="auto"/>
                <w:lang w:eastAsia="en-SG"/>
              </w:rPr>
              <w:t xml:space="preserve"> </w:t>
            </w:r>
            <w:r w:rsidRPr="00263D3D">
              <w:rPr>
                <w:rFonts w:eastAsia="Times New Roman"/>
                <w:i/>
                <w:iCs/>
                <w:color w:val="auto"/>
                <w:lang w:eastAsia="en-SG"/>
              </w:rPr>
              <w:t xml:space="preserve">Part 210) §210.402 Items not material” </w:t>
            </w:r>
            <w:r w:rsidRPr="00263D3D">
              <w:rPr>
                <w:rFonts w:eastAsia="Times New Roman"/>
                <w:color w:val="auto"/>
                <w:lang w:eastAsia="en-SG"/>
              </w:rPr>
              <w:t>and the materiality principle in accounting</w:t>
            </w:r>
            <w:r>
              <w:rPr>
                <w:rFonts w:eastAsia="Times New Roman"/>
                <w:color w:val="auto"/>
                <w:lang w:eastAsia="en-SG"/>
              </w:rPr>
              <w:t xml:space="preserve"> (for example, see</w:t>
            </w:r>
            <w:r w:rsidR="00852366">
              <w:rPr>
                <w:rFonts w:eastAsia="Times New Roman"/>
                <w:color w:val="auto"/>
                <w:lang w:eastAsia="en-SG"/>
              </w:rPr>
              <w:t xml:space="preserve"> </w:t>
            </w:r>
            <w:r w:rsidR="00852366">
              <w:rPr>
                <w:rFonts w:eastAsia="Times New Roman"/>
                <w:color w:val="auto"/>
                <w:lang w:eastAsia="en-SG"/>
              </w:rPr>
              <w:fldChar w:fldCharType="begin"/>
            </w:r>
            <w:r w:rsidR="00852366">
              <w:rPr>
                <w:rFonts w:eastAsia="Times New Roman"/>
                <w:color w:val="auto"/>
                <w:lang w:eastAsia="en-SG"/>
              </w:rPr>
              <w:instrText xml:space="preserve"> ADDIN EN.CITE &lt;EndNote&gt;&lt;Cite&gt;&lt;Author&gt;Etzion&lt;/Author&gt;&lt;Year&gt;2010&lt;/Year&gt;&lt;RecNum&gt;2504&lt;/RecNum&gt;&lt;DisplayText&gt;Etzion and Ferraro 2010&lt;/DisplayText&gt;&lt;record&gt;&lt;rec-number&gt;2504&lt;/rec-number&gt;&lt;foreign-keys&gt;&lt;key app="EN" db-id="d05sxppah09pwxe9fpbva0972x9paswspf90" timestamp="1532331446" guid="8d5c6868-e578-459c-8821-4ea149882da2"&gt;2504&lt;/key&gt;&lt;/foreign-keys&gt;&lt;ref-type name="Journal Article"&gt;17&lt;/ref-type&gt;&lt;contributors&gt;&lt;authors&gt;&lt;author&gt;Dror Etzion&lt;/author&gt;&lt;author&gt;Fabrizio Ferraro&lt;/author&gt;&lt;/authors&gt;&lt;/contributors&gt;&lt;titles&gt;&lt;title&gt;The Role of Analogy in the Institutionalization of Sustainability Reporting&lt;/title&gt;&lt;secondary-title&gt;Organization Science&lt;/secondary-title&gt;&lt;/titles&gt;&lt;periodical&gt;&lt;full-title&gt;Organization Science&lt;/full-title&gt;&lt;/periodical&gt;&lt;pages&gt;1092-1107&lt;/pages&gt;&lt;volume&gt;21&lt;/volume&gt;&lt;number&gt;5&lt;/number&gt;&lt;keywords&gt;&lt;keyword&gt;institutional theory,institutionalization,analogies,sustainability reporting&lt;/keyword&gt;&lt;/keywords&gt;&lt;dates&gt;&lt;year&gt;2010&lt;/year&gt;&lt;/dates&gt;&lt;urls&gt;&lt;related-urls&gt;&lt;url&gt;https://pubsonline.informs.org/doi/abs/10.1287/orsc.1090.0494&lt;/url&gt;&lt;/related-urls&gt;&lt;/urls&gt;&lt;electronic-resource-num&gt;10.1287/orsc.1090.0494&lt;/electronic-resource-num&gt;&lt;/record&gt;&lt;/Cite&gt;&lt;/EndNote&gt;</w:instrText>
            </w:r>
            <w:r w:rsidR="00852366">
              <w:rPr>
                <w:rFonts w:eastAsia="Times New Roman"/>
                <w:color w:val="auto"/>
                <w:lang w:eastAsia="en-SG"/>
              </w:rPr>
              <w:fldChar w:fldCharType="separate"/>
            </w:r>
            <w:r w:rsidR="00852366">
              <w:rPr>
                <w:rFonts w:eastAsia="Times New Roman"/>
                <w:noProof/>
                <w:color w:val="auto"/>
                <w:lang w:eastAsia="en-SG"/>
              </w:rPr>
              <w:t>Etzion and Ferraro 2010</w:t>
            </w:r>
            <w:r w:rsidR="00852366">
              <w:rPr>
                <w:rFonts w:eastAsia="Times New Roman"/>
                <w:color w:val="auto"/>
                <w:lang w:eastAsia="en-SG"/>
              </w:rPr>
              <w:fldChar w:fldCharType="end"/>
            </w:r>
            <w:r>
              <w:rPr>
                <w:rFonts w:eastAsia="Times New Roman"/>
                <w:color w:val="auto"/>
                <w:lang w:eastAsia="en-SG"/>
              </w:rPr>
              <w:t xml:space="preserve">), expense items that are not disclosed separately in the 10-K filings are considered to be not material, i.e., the amount is not significant enough to be disclosed as a separate item. Note that this is consistent with our approach to construct our focal measure of COS. </w:t>
            </w:r>
            <w:r>
              <w:rPr>
                <w:rFonts w:eastAsia="Times New Roman"/>
                <w:color w:val="auto"/>
                <w:vertAlign w:val="superscript"/>
                <w:lang w:eastAsia="en-SG"/>
              </w:rPr>
              <w:t>a</w:t>
            </w:r>
            <w:r>
              <w:rPr>
                <w:rFonts w:eastAsia="Times New Roman"/>
                <w:color w:val="auto"/>
                <w:lang w:eastAsia="en-SG"/>
              </w:rPr>
              <w:t xml:space="preserve">The corresponding values for each of the expense item (i.e., commissions, marketing, advertising, freight-out and bad debt expense) are obtained from the firm’s 10-K filing of the indicated fiscal year unless otherwise mentioned. We express all values in millions of dollars and round them off to the nearest whole number. </w:t>
            </w:r>
            <w:r>
              <w:rPr>
                <w:rFonts w:eastAsia="Times New Roman"/>
                <w:color w:val="auto"/>
                <w:vertAlign w:val="superscript"/>
                <w:lang w:eastAsia="en-SG"/>
              </w:rPr>
              <w:t>b</w:t>
            </w:r>
            <w:r>
              <w:rPr>
                <w:rFonts w:eastAsia="Times New Roman"/>
                <w:color w:val="auto"/>
                <w:lang w:eastAsia="en-SG"/>
              </w:rPr>
              <w:t xml:space="preserve">The bad debt expense recorded for Delta Air Lines Inc for fiscal year 2006 is as disclosed in its 10-K filing for the following fiscal year. </w:t>
            </w:r>
            <w:r w:rsidRPr="001209D5">
              <w:rPr>
                <w:rFonts w:eastAsia="Times New Roman"/>
                <w:color w:val="auto"/>
                <w:lang w:eastAsia="en-SG"/>
              </w:rPr>
              <w:t xml:space="preserve">We identify </w:t>
            </w:r>
            <w:r>
              <w:rPr>
                <w:rFonts w:eastAsia="Times New Roman"/>
                <w:color w:val="auto"/>
                <w:lang w:eastAsia="en-SG"/>
              </w:rPr>
              <w:t>a firm to have</w:t>
            </w:r>
            <w:r w:rsidRPr="001209D5">
              <w:rPr>
                <w:rFonts w:eastAsia="Times New Roman"/>
                <w:color w:val="auto"/>
                <w:lang w:eastAsia="en-SG"/>
              </w:rPr>
              <w:t xml:space="preserve"> </w:t>
            </w:r>
            <w:r>
              <w:rPr>
                <w:rFonts w:eastAsia="Times New Roman"/>
                <w:color w:val="auto"/>
                <w:lang w:eastAsia="en-SG"/>
              </w:rPr>
              <w:t>Low</w:t>
            </w:r>
            <w:r w:rsidRPr="001209D5">
              <w:rPr>
                <w:rFonts w:eastAsia="Times New Roman"/>
                <w:color w:val="auto"/>
                <w:lang w:eastAsia="en-SG"/>
              </w:rPr>
              <w:t xml:space="preserve"> (</w:t>
            </w:r>
            <w:r>
              <w:rPr>
                <w:rFonts w:eastAsia="Times New Roman"/>
                <w:color w:val="auto"/>
                <w:lang w:eastAsia="en-SG"/>
              </w:rPr>
              <w:t>High</w:t>
            </w:r>
            <w:r w:rsidRPr="001209D5">
              <w:rPr>
                <w:rFonts w:eastAsia="Times New Roman"/>
                <w:color w:val="auto"/>
                <w:lang w:eastAsia="en-SG"/>
              </w:rPr>
              <w:t>)</w:t>
            </w:r>
            <w:r>
              <w:rPr>
                <w:rFonts w:eastAsia="Times New Roman"/>
                <w:color w:val="auto"/>
                <w:lang w:eastAsia="en-SG"/>
              </w:rPr>
              <w:t xml:space="preserve"> COS</w:t>
            </w:r>
            <w:r w:rsidRPr="001209D5">
              <w:rPr>
                <w:rFonts w:eastAsia="Times New Roman"/>
                <w:color w:val="auto"/>
                <w:lang w:eastAsia="en-SG"/>
              </w:rPr>
              <w:t xml:space="preserve"> if </w:t>
            </w:r>
            <w:r>
              <w:rPr>
                <w:rFonts w:eastAsia="Times New Roman"/>
                <w:color w:val="auto"/>
                <w:lang w:eastAsia="en-SG"/>
              </w:rPr>
              <w:t>the</w:t>
            </w:r>
            <w:r w:rsidRPr="001209D5">
              <w:rPr>
                <w:rFonts w:eastAsia="Times New Roman"/>
                <w:color w:val="auto"/>
                <w:lang w:eastAsia="en-SG"/>
              </w:rPr>
              <w:t xml:space="preserve"> value</w:t>
            </w:r>
            <w:r>
              <w:rPr>
                <w:rFonts w:eastAsia="Times New Roman"/>
                <w:color w:val="auto"/>
                <w:lang w:eastAsia="en-SG"/>
              </w:rPr>
              <w:t xml:space="preserve"> of its COS</w:t>
            </w:r>
            <w:r w:rsidRPr="001209D5">
              <w:rPr>
                <w:rFonts w:eastAsia="Times New Roman"/>
                <w:color w:val="auto"/>
                <w:lang w:eastAsia="en-SG"/>
              </w:rPr>
              <w:t xml:space="preserve"> is </w:t>
            </w:r>
            <w:r>
              <w:rPr>
                <w:rFonts w:eastAsia="Times New Roman"/>
                <w:color w:val="auto"/>
                <w:lang w:eastAsia="en-SG"/>
              </w:rPr>
              <w:t>smaller (greater) than the</w:t>
            </w:r>
            <w:r w:rsidRPr="001209D5">
              <w:rPr>
                <w:rFonts w:eastAsia="Times New Roman"/>
                <w:color w:val="auto"/>
                <w:lang w:eastAsia="en-SG"/>
              </w:rPr>
              <w:t xml:space="preserve"> </w:t>
            </w:r>
            <w:r>
              <w:rPr>
                <w:rFonts w:eastAsia="Times New Roman"/>
                <w:color w:val="auto"/>
                <w:lang w:eastAsia="en-SG"/>
              </w:rPr>
              <w:t>5</w:t>
            </w:r>
            <w:r w:rsidRPr="001209D5">
              <w:rPr>
                <w:rFonts w:eastAsia="Times New Roman"/>
                <w:color w:val="auto"/>
                <w:lang w:eastAsia="en-SG"/>
              </w:rPr>
              <w:t xml:space="preserve">0th percentile value of the distribution of the </w:t>
            </w:r>
            <w:r>
              <w:rPr>
                <w:rFonts w:eastAsia="Times New Roman"/>
                <w:color w:val="auto"/>
                <w:lang w:eastAsia="en-SG"/>
              </w:rPr>
              <w:t>COS</w:t>
            </w:r>
            <w:r w:rsidRPr="001209D5">
              <w:rPr>
                <w:rFonts w:eastAsia="Times New Roman"/>
                <w:color w:val="auto"/>
                <w:lang w:eastAsia="en-SG"/>
              </w:rPr>
              <w:t xml:space="preserve"> variable within our sample of 1,207 observations from 128 firms</w:t>
            </w:r>
            <w:r>
              <w:rPr>
                <w:rFonts w:eastAsia="Times New Roman"/>
                <w:color w:val="auto"/>
                <w:lang w:eastAsia="en-SG"/>
              </w:rPr>
              <w:t xml:space="preserve">. </w:t>
            </w:r>
          </w:p>
        </w:tc>
      </w:tr>
    </w:tbl>
    <w:p w14:paraId="1A454A62" w14:textId="4D4FF0CF" w:rsidR="00F731AC" w:rsidRDefault="00F731AC" w:rsidP="009C1D25">
      <w:pPr>
        <w:spacing w:before="120" w:after="0" w:line="240" w:lineRule="auto"/>
        <w:rPr>
          <w:b/>
          <w:color w:val="auto"/>
          <w:sz w:val="24"/>
          <w:szCs w:val="24"/>
        </w:rPr>
        <w:sectPr w:rsidR="00F731AC" w:rsidSect="00CC768C">
          <w:pgSz w:w="16838" w:h="11906" w:orient="landscape" w:code="9"/>
          <w:pgMar w:top="1440" w:right="1440" w:bottom="1440" w:left="1440" w:header="709" w:footer="709" w:gutter="0"/>
          <w:cols w:space="708"/>
          <w:noEndnote/>
          <w:docGrid w:linePitch="360"/>
        </w:sectPr>
      </w:pPr>
    </w:p>
    <w:p w14:paraId="6F43406E" w14:textId="77777777" w:rsidR="00F731AC" w:rsidRPr="002D1654" w:rsidRDefault="00F731AC" w:rsidP="00F731AC">
      <w:pPr>
        <w:spacing w:line="240" w:lineRule="auto"/>
        <w:jc w:val="center"/>
        <w:rPr>
          <w:b/>
          <w:color w:val="auto"/>
          <w:sz w:val="24"/>
          <w:szCs w:val="24"/>
        </w:rPr>
      </w:pPr>
      <w:r w:rsidRPr="002D1654">
        <w:rPr>
          <w:b/>
          <w:color w:val="auto"/>
          <w:sz w:val="24"/>
          <w:szCs w:val="24"/>
        </w:rPr>
        <w:lastRenderedPageBreak/>
        <w:t xml:space="preserve">Web Appendix </w:t>
      </w:r>
      <w:r>
        <w:rPr>
          <w:b/>
          <w:color w:val="auto"/>
          <w:sz w:val="24"/>
          <w:szCs w:val="24"/>
        </w:rPr>
        <w:t>B</w:t>
      </w:r>
    </w:p>
    <w:p w14:paraId="020BA9F6" w14:textId="77777777" w:rsidR="00F731AC" w:rsidRPr="002D1654" w:rsidRDefault="00F731AC" w:rsidP="00F731AC">
      <w:pPr>
        <w:spacing w:before="240" w:line="240" w:lineRule="auto"/>
        <w:jc w:val="center"/>
        <w:rPr>
          <w:b/>
          <w:color w:val="auto"/>
          <w:sz w:val="24"/>
          <w:szCs w:val="24"/>
        </w:rPr>
      </w:pPr>
      <w:r w:rsidRPr="002D1654">
        <w:rPr>
          <w:b/>
          <w:color w:val="auto"/>
          <w:sz w:val="24"/>
          <w:szCs w:val="24"/>
        </w:rPr>
        <w:t>Text Analyses Using WRDS SEC Analytics Suite</w:t>
      </w:r>
    </w:p>
    <w:p w14:paraId="1483E85C" w14:textId="7C5B5497" w:rsidR="00F731AC" w:rsidRPr="002D1654" w:rsidRDefault="00F731AC" w:rsidP="00F731AC">
      <w:pPr>
        <w:spacing w:before="120" w:after="0" w:line="252" w:lineRule="auto"/>
        <w:rPr>
          <w:color w:val="auto"/>
          <w:sz w:val="24"/>
          <w:szCs w:val="24"/>
        </w:rPr>
      </w:pPr>
      <w:r w:rsidRPr="002D1654">
        <w:rPr>
          <w:color w:val="auto"/>
          <w:sz w:val="24"/>
          <w:szCs w:val="24"/>
        </w:rPr>
        <w:t>The WRDS SEC Analytics Suite allows for the mass extraction of data from the content of SEC filings into formats that can be analysed using standard statistical software packages like SAS and STATA (</w:t>
      </w:r>
      <w:r w:rsidR="00CC768C">
        <w:rPr>
          <w:color w:val="auto"/>
          <w:sz w:val="24"/>
          <w:szCs w:val="24"/>
        </w:rPr>
        <w:fldChar w:fldCharType="begin"/>
      </w:r>
      <w:r w:rsidR="00146C61">
        <w:rPr>
          <w:color w:val="auto"/>
          <w:sz w:val="24"/>
          <w:szCs w:val="24"/>
        </w:rPr>
        <w:instrText xml:space="preserve"> ADDIN EN.CITE &lt;EndNote&gt;&lt;Cite&gt;&lt;Author&gt;Moussawi&lt;/Author&gt;&lt;Year&gt;2011&lt;/Year&gt;&lt;RecNum&gt;2848&lt;/RecNum&gt;&lt;DisplayText&gt;Moussawi 2011&lt;/DisplayText&gt;&lt;record&gt;&lt;rec-number&gt;2848&lt;/rec-number&gt;&lt;foreign-keys&gt;&lt;key app="EN" db-id="d05sxppah09pwxe9fpbva0972x9paswspf90" timestamp="1585820226" guid="b90fe8cd-df25-4f20-a312-d233a756f69f"&gt;2848&lt;/key&gt;&lt;/foreign-keys&gt;&lt;ref-type name="Newspaper Article"&gt;23&lt;/ref-type&gt;&lt;contributors&gt;&lt;authors&gt;&lt;author&gt;Moussawi, Rabih&lt;/author&gt;&lt;/authors&gt;&lt;/contributors&gt;&lt;titles&gt;&lt;title&gt;Overview of Datasets and Parsing Concepts&lt;/title&gt;&lt;secondary-title&gt;WRDS SEC Platform&lt;/secondary-title&gt;&lt;/titles&gt;&lt;dates&gt;&lt;year&gt;2011&lt;/year&gt;&lt;pub-dates&gt;&lt;date&gt;January&lt;/date&gt;&lt;/pub-dates&gt;&lt;/dates&gt;&lt;urls&gt;&lt;related-urls&gt;&lt;url&gt;https://wrds-www.wharton.upenn.edu/documents/746/WRDS_SEC_Analytics_Suite_Manual_Jan_2011.pdf&lt;/url&gt;&lt;/related-urls&gt;&lt;/urls&gt;&lt;access-date&gt;July 19, 2018&lt;/access-date&gt;&lt;/record&gt;&lt;/Cite&gt;&lt;Cite Hidden="1"&gt;&lt;Author&gt;WRDS SEC Analytics Suite&lt;/Author&gt;&lt;RecNum&gt;2337&lt;/RecNum&gt;&lt;record&gt;&lt;rec-number&gt;2337&lt;/rec-number&gt;&lt;foreign-keys&gt;&lt;key app="EN" db-id="d05sxppah09pwxe9fpbva0972x9paswspf90" timestamp="1497351448" guid="658de5ae-871c-4947-9090-1e560bb09359"&gt;2337&lt;/key&gt;&lt;/foreign-keys&gt;&lt;ref-type name="Web Page"&gt;12&lt;/ref-type&gt;&lt;contributors&gt;&lt;authors&gt;&lt;author&gt;WRDS SEC Analytics Suite,&lt;/author&gt;&lt;/authors&gt;&lt;/contributors&gt;&lt;titles&gt;&lt;title&gt;WRDS SEC Analytics Suite&lt;/title&gt;&lt;/titles&gt;&lt;volume&gt;2017&lt;/volume&gt;&lt;number&gt;13 June&lt;/number&gt;&lt;dates&gt;&lt;/dates&gt;&lt;urls&gt;&lt;related-urls&gt;&lt;url&gt;http://www.whartonwrds.com/our-datasets/wrds-sec-analytics-suite/&lt;/url&gt;&lt;/related-urls&gt;&lt;/urls&gt;&lt;/record&gt;&lt;/Cite&gt;&lt;/EndNote&gt;</w:instrText>
      </w:r>
      <w:r w:rsidR="00CC768C">
        <w:rPr>
          <w:color w:val="auto"/>
          <w:sz w:val="24"/>
          <w:szCs w:val="24"/>
        </w:rPr>
        <w:fldChar w:fldCharType="separate"/>
      </w:r>
      <w:r w:rsidR="00CC768C">
        <w:rPr>
          <w:noProof/>
          <w:color w:val="auto"/>
          <w:sz w:val="24"/>
          <w:szCs w:val="24"/>
        </w:rPr>
        <w:t>Moussawi 2011</w:t>
      </w:r>
      <w:r w:rsidR="00CC768C">
        <w:rPr>
          <w:color w:val="auto"/>
          <w:sz w:val="24"/>
          <w:szCs w:val="24"/>
        </w:rPr>
        <w:fldChar w:fldCharType="end"/>
      </w:r>
      <w:r w:rsidRPr="002D1654">
        <w:rPr>
          <w:color w:val="auto"/>
          <w:sz w:val="24"/>
          <w:szCs w:val="24"/>
        </w:rPr>
        <w:t>; WRDS SEC Analytics Suite). With access to every filing in the SEC EDGAR database since 1994, the WRDS SEC Analytics Suite provides the ability to conduct text searches from more than 3.5 million text and html files for several types of SEC filings, including the 10-K filings, from more than 95,000 firms (</w:t>
      </w:r>
      <w:r w:rsidR="00146C61">
        <w:rPr>
          <w:color w:val="auto"/>
          <w:sz w:val="24"/>
          <w:szCs w:val="24"/>
        </w:rPr>
        <w:fldChar w:fldCharType="begin"/>
      </w:r>
      <w:r w:rsidR="00146C61">
        <w:rPr>
          <w:color w:val="auto"/>
          <w:sz w:val="24"/>
          <w:szCs w:val="24"/>
        </w:rPr>
        <w:instrText xml:space="preserve"> ADDIN EN.CITE &lt;EndNote&gt;&lt;Cite Hidden="1"&gt;&lt;Author&gt;WRDS SEC Analytics Suite&lt;/Author&gt;&lt;RecNum&gt;2337&lt;/RecNum&gt;&lt;record&gt;&lt;rec-number&gt;2337&lt;/rec-number&gt;&lt;foreign-keys&gt;&lt;key app="EN" db-id="d05sxppah09pwxe9fpbva0972x9paswspf90" timestamp="1497351448" guid="658de5ae-871c-4947-9090-1e560bb09359"&gt;2337&lt;/key&gt;&lt;/foreign-keys&gt;&lt;ref-type name="Web Page"&gt;12&lt;/ref-type&gt;&lt;contributors&gt;&lt;authors&gt;&lt;author&gt;WRDS SEC Analytics Suite,&lt;/author&gt;&lt;/authors&gt;&lt;/contributors&gt;&lt;titles&gt;&lt;title&gt;WRDS SEC Analytics Suite&lt;/title&gt;&lt;/titles&gt;&lt;volume&gt;2017&lt;/volume&gt;&lt;number&gt;13 June&lt;/number&gt;&lt;dates&gt;&lt;/dates&gt;&lt;urls&gt;&lt;related-urls&gt;&lt;url&gt;http://www.whartonwrds.com/our-datasets/wrds-sec-analytics-suite/&lt;/url&gt;&lt;/related-urls&gt;&lt;/urls&gt;&lt;/record&gt;&lt;/Cite&gt;&lt;/EndNote&gt;</w:instrText>
      </w:r>
      <w:r w:rsidR="00146C61">
        <w:rPr>
          <w:color w:val="auto"/>
          <w:sz w:val="24"/>
          <w:szCs w:val="24"/>
        </w:rPr>
        <w:fldChar w:fldCharType="end"/>
      </w:r>
      <w:r w:rsidRPr="002D1654">
        <w:rPr>
          <w:color w:val="auto"/>
          <w:sz w:val="24"/>
          <w:szCs w:val="24"/>
        </w:rPr>
        <w:t>WRDS SEC Analytics Suite). In conducting the text analyses to identify the different expense items within a firm’s Selling, General and Administrative Expenses (</w:t>
      </w:r>
      <w:r>
        <w:rPr>
          <w:color w:val="auto"/>
          <w:sz w:val="24"/>
          <w:szCs w:val="24"/>
        </w:rPr>
        <w:t>SG&amp;A</w:t>
      </w:r>
      <w:r w:rsidRPr="002D1654">
        <w:rPr>
          <w:color w:val="auto"/>
          <w:sz w:val="24"/>
          <w:szCs w:val="24"/>
        </w:rPr>
        <w:t xml:space="preserve">), we draw upon the search query tool, </w:t>
      </w:r>
      <w:r w:rsidRPr="002D1654">
        <w:rPr>
          <w:i/>
          <w:color w:val="auto"/>
          <w:sz w:val="24"/>
          <w:szCs w:val="24"/>
        </w:rPr>
        <w:t>SEC Filings Search</w:t>
      </w:r>
      <w:r w:rsidRPr="002D1654">
        <w:rPr>
          <w:color w:val="auto"/>
          <w:sz w:val="24"/>
          <w:szCs w:val="24"/>
        </w:rPr>
        <w:t xml:space="preserve">, within the WRDS SEC Analytics Suite. The SEC Filings Search is a powerful search query tool as it utilizes Apache Lucene and Solr to accommodate full-text searches of every filing, hence allowing query syntaxes ranging from simple searches, to phrase and vicinity searches, compound searches and even complex and advanced queries. More technical details can be found in </w:t>
      </w:r>
      <w:r w:rsidR="00146C61">
        <w:rPr>
          <w:color w:val="auto"/>
          <w:sz w:val="24"/>
          <w:szCs w:val="24"/>
        </w:rPr>
        <w:fldChar w:fldCharType="begin"/>
      </w:r>
      <w:r w:rsidR="001C6E50">
        <w:rPr>
          <w:color w:val="auto"/>
          <w:sz w:val="24"/>
          <w:szCs w:val="24"/>
        </w:rPr>
        <w:instrText xml:space="preserve"> ADDIN EN.CITE &lt;EndNote&gt;&lt;Cite AuthorYear="1"&gt;&lt;Author&gt;Wharton Research Data Services&lt;/Author&gt;&lt;Year&gt;2015&lt;/Year&gt;&lt;RecNum&gt;2849&lt;/RecNum&gt;&lt;DisplayText&gt;Wharton Research Data Services (2015)&lt;/DisplayText&gt;&lt;record&gt;&lt;rec-number&gt;2849&lt;/rec-number&gt;&lt;foreign-keys&gt;&lt;key app="EN" db-id="d05sxppah09pwxe9fpbva0972x9paswspf90" timestamp="1585820357" guid="c2653ace-71f4-49e0-a8c2-7daafbe90c76"&gt;2849&lt;/key&gt;&lt;/foreign-keys&gt;&lt;ref-type name="Newspaper Article"&gt;23&lt;/ref-type&gt;&lt;contributors&gt;&lt;authors&gt;&lt;author&gt;Wharton Research Data Services,&lt;/author&gt;&lt;/authors&gt;&lt;/contributors&gt;&lt;titles&gt;&lt;title&gt;Data Overview and Usage Manual&lt;/title&gt;&lt;secondary-title&gt;WRDS SEC Analytics Suite&lt;/secondary-title&gt;&lt;/titles&gt;&lt;dates&gt;&lt;year&gt;2015&lt;/year&gt;&lt;pub-dates&gt;&lt;date&gt;December&lt;/date&gt;&lt;/pub-dates&gt;&lt;/dates&gt;&lt;urls&gt;&lt;related-urls&gt;&lt;url&gt;https://wrds-www.wharton.upenn.edu/documents/745/_001WRDS_SEC_Analytics_Suite_Manual_Dec_2015.pdf&lt;/url&gt;&lt;/related-urls&gt;&lt;/urls&gt;&lt;access-date&gt;July 19, 2018&lt;/access-date&gt;&lt;/record&gt;&lt;/Cite&gt;&lt;/EndNote&gt;</w:instrText>
      </w:r>
      <w:r w:rsidR="00146C61">
        <w:rPr>
          <w:color w:val="auto"/>
          <w:sz w:val="24"/>
          <w:szCs w:val="24"/>
        </w:rPr>
        <w:fldChar w:fldCharType="separate"/>
      </w:r>
      <w:r w:rsidR="00146C61">
        <w:rPr>
          <w:noProof/>
          <w:color w:val="auto"/>
          <w:sz w:val="24"/>
          <w:szCs w:val="24"/>
        </w:rPr>
        <w:t>Wharton Research Data Services (2015)</w:t>
      </w:r>
      <w:r w:rsidR="00146C61">
        <w:rPr>
          <w:color w:val="auto"/>
          <w:sz w:val="24"/>
          <w:szCs w:val="24"/>
        </w:rPr>
        <w:fldChar w:fldCharType="end"/>
      </w:r>
      <w:r w:rsidRPr="002D1654">
        <w:rPr>
          <w:color w:val="auto"/>
          <w:sz w:val="24"/>
          <w:szCs w:val="24"/>
        </w:rPr>
        <w:t>. We briefly summarize our text analyses process using the SEC Filings Search below.</w:t>
      </w:r>
    </w:p>
    <w:p w14:paraId="2375C86C" w14:textId="008BBE78" w:rsidR="00F731AC" w:rsidRPr="002D1654" w:rsidRDefault="00F731AC" w:rsidP="00F731AC">
      <w:pPr>
        <w:spacing w:before="120" w:after="0" w:line="252" w:lineRule="auto"/>
        <w:ind w:firstLine="720"/>
        <w:rPr>
          <w:color w:val="auto"/>
          <w:sz w:val="24"/>
          <w:szCs w:val="24"/>
        </w:rPr>
      </w:pPr>
      <w:r w:rsidRPr="002D1654">
        <w:rPr>
          <w:color w:val="auto"/>
          <w:sz w:val="24"/>
          <w:szCs w:val="24"/>
        </w:rPr>
        <w:t>The SEC Filing Search query tool is available either through web queries or using WRDS Research Macros. As our text analyses utilize the latter, we will focus our discussion on the use of the query tool using WRDS Research Macros that are available in SAS as standardized routines (</w:t>
      </w:r>
      <w:r w:rsidR="00146C61">
        <w:rPr>
          <w:color w:val="auto"/>
          <w:sz w:val="24"/>
          <w:szCs w:val="24"/>
        </w:rPr>
        <w:fldChar w:fldCharType="begin"/>
      </w:r>
      <w:r w:rsidR="001C6E50">
        <w:rPr>
          <w:color w:val="auto"/>
          <w:sz w:val="24"/>
          <w:szCs w:val="24"/>
        </w:rPr>
        <w:instrText xml:space="preserve"> ADDIN EN.CITE &lt;EndNote&gt;&lt;Cite&gt;&lt;Author&gt;Wharton Research Data Services&lt;/Author&gt;&lt;Year&gt;2015&lt;/Year&gt;&lt;RecNum&gt;2849&lt;/RecNum&gt;&lt;DisplayText&gt;Wharton Research Data Services 2015&lt;/DisplayText&gt;&lt;record&gt;&lt;rec-number&gt;2849&lt;/rec-number&gt;&lt;foreign-keys&gt;&lt;key app="EN" db-id="d05sxppah09pwxe9fpbva0972x9paswspf90" timestamp="1585820357" guid="c2653ace-71f4-49e0-a8c2-7daafbe90c76"&gt;2849&lt;/key&gt;&lt;/foreign-keys&gt;&lt;ref-type name="Newspaper Article"&gt;23&lt;/ref-type&gt;&lt;contributors&gt;&lt;authors&gt;&lt;author&gt;Wharton Research Data Services,&lt;/author&gt;&lt;/authors&gt;&lt;/contributors&gt;&lt;titles&gt;&lt;title&gt;Data Overview and Usage Manual&lt;/title&gt;&lt;secondary-title&gt;WRDS SEC Analytics Suite&lt;/secondary-title&gt;&lt;/titles&gt;&lt;dates&gt;&lt;year&gt;2015&lt;/year&gt;&lt;pub-dates&gt;&lt;date&gt;December&lt;/date&gt;&lt;/pub-dates&gt;&lt;/dates&gt;&lt;urls&gt;&lt;related-urls&gt;&lt;url&gt;https://wrds-www.wharton.upenn.edu/documents/745/_001WRDS_SEC_Analytics_Suite_Manual_Dec_2015.pdf&lt;/url&gt;&lt;/related-urls&gt;&lt;/urls&gt;&lt;access-date&gt;July 19, 2018&lt;/access-date&gt;&lt;/record&gt;&lt;/Cite&gt;&lt;/EndNote&gt;</w:instrText>
      </w:r>
      <w:r w:rsidR="00146C61">
        <w:rPr>
          <w:color w:val="auto"/>
          <w:sz w:val="24"/>
          <w:szCs w:val="24"/>
        </w:rPr>
        <w:fldChar w:fldCharType="separate"/>
      </w:r>
      <w:r w:rsidR="00146C61">
        <w:rPr>
          <w:noProof/>
          <w:color w:val="auto"/>
          <w:sz w:val="24"/>
          <w:szCs w:val="24"/>
        </w:rPr>
        <w:t>Wharton Research Data Services 2015</w:t>
      </w:r>
      <w:r w:rsidR="00146C61">
        <w:rPr>
          <w:color w:val="auto"/>
          <w:sz w:val="24"/>
          <w:szCs w:val="24"/>
        </w:rPr>
        <w:fldChar w:fldCharType="end"/>
      </w:r>
      <w:r w:rsidRPr="002D1654">
        <w:rPr>
          <w:color w:val="auto"/>
          <w:sz w:val="24"/>
          <w:szCs w:val="24"/>
        </w:rPr>
        <w:t xml:space="preserve">). First, we conduct a line-by-line and case insensitive search using the Line Parse Macro (i.e., LINEPARSE.SAS). This allows us to identify the presence or absence of the particular expense item in the firm’s </w:t>
      </w:r>
      <w:r>
        <w:rPr>
          <w:color w:val="auto"/>
          <w:sz w:val="24"/>
          <w:szCs w:val="24"/>
        </w:rPr>
        <w:t>SG&amp;A</w:t>
      </w:r>
      <w:r w:rsidRPr="002D1654">
        <w:rPr>
          <w:color w:val="auto"/>
          <w:sz w:val="24"/>
          <w:szCs w:val="24"/>
        </w:rPr>
        <w:t xml:space="preserve">. If the search results in a match, it suggests that the expense item is disclosed as a separate item in the firm’s 10-K filings. However, we would require additional information in order to determine if this item is categorized under the firm’s </w:t>
      </w:r>
      <w:r>
        <w:rPr>
          <w:color w:val="auto"/>
          <w:sz w:val="24"/>
          <w:szCs w:val="24"/>
        </w:rPr>
        <w:t>SG&amp;A</w:t>
      </w:r>
      <w:r w:rsidRPr="002D1654">
        <w:rPr>
          <w:color w:val="auto"/>
          <w:sz w:val="24"/>
          <w:szCs w:val="24"/>
        </w:rPr>
        <w:t xml:space="preserve">. As such, in the second step, we use the Text Parse Macro (i.e., TEXTPARSE.SAS) to extract the preceding 1000 characters in addition to the match line so as to retrieve the information that occurs before the matched keyword(s) and/or phrase(s) of interest. Given that we have verified the presence of the specific expense item in the firm’s </w:t>
      </w:r>
      <w:r>
        <w:rPr>
          <w:color w:val="auto"/>
          <w:sz w:val="24"/>
          <w:szCs w:val="24"/>
        </w:rPr>
        <w:t>SG&amp;A</w:t>
      </w:r>
      <w:r w:rsidRPr="002D1654">
        <w:rPr>
          <w:color w:val="auto"/>
          <w:sz w:val="24"/>
          <w:szCs w:val="24"/>
        </w:rPr>
        <w:t xml:space="preserve"> in the first two steps, we can then proceed to gather the values associated with the expense item. Therefore, we draw upon the Paragraph Parse Macro (i.e., PARAPARSE.SAS) to extract the paragraph (i.e., 5 lines) before and after the match string in the final step.</w:t>
      </w:r>
    </w:p>
    <w:p w14:paraId="7896AE26" w14:textId="77777777" w:rsidR="00F731AC" w:rsidRPr="002D1654" w:rsidRDefault="00F731AC" w:rsidP="00F731AC">
      <w:pPr>
        <w:spacing w:before="120" w:after="0" w:line="252" w:lineRule="auto"/>
        <w:ind w:firstLine="720"/>
        <w:rPr>
          <w:color w:val="auto"/>
          <w:sz w:val="24"/>
          <w:szCs w:val="24"/>
        </w:rPr>
      </w:pPr>
      <w:r w:rsidRPr="002D1654">
        <w:rPr>
          <w:color w:val="auto"/>
          <w:sz w:val="24"/>
          <w:szCs w:val="24"/>
        </w:rPr>
        <w:t xml:space="preserve">We adopt a systematic approach in our text analyses process. In particular, we conduct text searches of each expense item in isolation. For instance, we first conduct the text searches to identify the presence of </w:t>
      </w:r>
      <w:r>
        <w:rPr>
          <w:i/>
          <w:color w:val="auto"/>
          <w:sz w:val="24"/>
          <w:szCs w:val="24"/>
        </w:rPr>
        <w:t>Engineering</w:t>
      </w:r>
      <w:r w:rsidRPr="002D1654">
        <w:rPr>
          <w:i/>
          <w:color w:val="auto"/>
          <w:sz w:val="24"/>
          <w:szCs w:val="24"/>
        </w:rPr>
        <w:t xml:space="preserve"> expense</w:t>
      </w:r>
      <w:r w:rsidRPr="002D1654">
        <w:rPr>
          <w:color w:val="auto"/>
          <w:sz w:val="24"/>
          <w:szCs w:val="24"/>
        </w:rPr>
        <w:t xml:space="preserve"> in firms’ </w:t>
      </w:r>
      <w:r>
        <w:rPr>
          <w:color w:val="auto"/>
          <w:sz w:val="24"/>
          <w:szCs w:val="24"/>
        </w:rPr>
        <w:t>SG&amp;A</w:t>
      </w:r>
      <w:r w:rsidRPr="002D1654">
        <w:rPr>
          <w:color w:val="auto"/>
          <w:sz w:val="24"/>
          <w:szCs w:val="24"/>
        </w:rPr>
        <w:t xml:space="preserve"> before moving on to each of the next </w:t>
      </w:r>
      <w:r>
        <w:rPr>
          <w:color w:val="auto"/>
          <w:sz w:val="24"/>
          <w:szCs w:val="24"/>
        </w:rPr>
        <w:t>4</w:t>
      </w:r>
      <w:r w:rsidRPr="002D1654">
        <w:rPr>
          <w:color w:val="auto"/>
          <w:sz w:val="24"/>
          <w:szCs w:val="24"/>
        </w:rPr>
        <w:t xml:space="preserve"> expense items. This increases the accuracy of the data gathered for each expense item. In addition, for further verification purposes</w:t>
      </w:r>
      <w:r>
        <w:rPr>
          <w:color w:val="auto"/>
          <w:sz w:val="24"/>
          <w:szCs w:val="24"/>
        </w:rPr>
        <w:t>, and for the sensitivity and post-hoc analyses</w:t>
      </w:r>
      <w:r w:rsidRPr="002D1654">
        <w:rPr>
          <w:color w:val="auto"/>
          <w:sz w:val="24"/>
          <w:szCs w:val="24"/>
        </w:rPr>
        <w:t xml:space="preserve">, we also conducted text searches for </w:t>
      </w:r>
      <w:r w:rsidRPr="002D1654">
        <w:rPr>
          <w:i/>
          <w:color w:val="auto"/>
          <w:sz w:val="24"/>
          <w:szCs w:val="24"/>
        </w:rPr>
        <w:t>General and Administrative expense</w:t>
      </w:r>
      <w:r>
        <w:rPr>
          <w:iCs/>
          <w:color w:val="auto"/>
          <w:sz w:val="24"/>
          <w:szCs w:val="24"/>
        </w:rPr>
        <w:t xml:space="preserve"> and</w:t>
      </w:r>
      <w:r w:rsidRPr="002D1654">
        <w:rPr>
          <w:color w:val="auto"/>
          <w:sz w:val="24"/>
          <w:szCs w:val="24"/>
        </w:rPr>
        <w:t xml:space="preserve"> </w:t>
      </w:r>
      <w:r w:rsidRPr="002D1654">
        <w:rPr>
          <w:i/>
          <w:color w:val="auto"/>
          <w:sz w:val="24"/>
          <w:szCs w:val="24"/>
        </w:rPr>
        <w:t>Selling expense</w:t>
      </w:r>
      <w:r>
        <w:rPr>
          <w:iCs/>
          <w:color w:val="auto"/>
          <w:sz w:val="24"/>
          <w:szCs w:val="24"/>
        </w:rPr>
        <w:t xml:space="preserve">, and </w:t>
      </w:r>
      <w:r>
        <w:rPr>
          <w:i/>
          <w:color w:val="auto"/>
          <w:sz w:val="24"/>
          <w:szCs w:val="24"/>
        </w:rPr>
        <w:t xml:space="preserve">Freight-out expense </w:t>
      </w:r>
      <w:r>
        <w:rPr>
          <w:iCs/>
          <w:color w:val="auto"/>
          <w:sz w:val="24"/>
          <w:szCs w:val="24"/>
        </w:rPr>
        <w:t xml:space="preserve">and </w:t>
      </w:r>
      <w:r>
        <w:rPr>
          <w:i/>
          <w:color w:val="auto"/>
          <w:sz w:val="24"/>
          <w:szCs w:val="24"/>
        </w:rPr>
        <w:t xml:space="preserve">Bad debt expense </w:t>
      </w:r>
      <w:r>
        <w:rPr>
          <w:iCs/>
          <w:color w:val="auto"/>
          <w:sz w:val="24"/>
          <w:szCs w:val="24"/>
        </w:rPr>
        <w:t>respectively</w:t>
      </w:r>
      <w:r w:rsidRPr="002D1654">
        <w:rPr>
          <w:color w:val="auto"/>
          <w:sz w:val="24"/>
          <w:szCs w:val="24"/>
        </w:rPr>
        <w:t>. Finally, to further ensure the accuracy and validity of the text analysis tool, we also performed manual checks of the different expense items to determine if the search results and the corresponding values accurately reflect the expense items of interest.</w:t>
      </w:r>
    </w:p>
    <w:p w14:paraId="47A3DC9E" w14:textId="77777777" w:rsidR="00F731AC" w:rsidRPr="00395629" w:rsidRDefault="00F731AC" w:rsidP="00F731AC">
      <w:pPr>
        <w:spacing w:before="120" w:after="0" w:line="252" w:lineRule="auto"/>
        <w:ind w:firstLine="720"/>
        <w:rPr>
          <w:color w:val="auto"/>
          <w:sz w:val="24"/>
          <w:szCs w:val="24"/>
        </w:rPr>
      </w:pPr>
      <w:r w:rsidRPr="002D1654">
        <w:rPr>
          <w:color w:val="auto"/>
          <w:sz w:val="24"/>
          <w:szCs w:val="24"/>
        </w:rPr>
        <w:t xml:space="preserve">In determining the keywords to be utilized in the text searches for each of the expense item, we first conduct a preliminary search of randomly selected 10-K filings of several firms within our sample. We then arrive at the current set of keywords based on the frequently used </w:t>
      </w:r>
      <w:r w:rsidRPr="002D1654">
        <w:rPr>
          <w:color w:val="auto"/>
          <w:sz w:val="24"/>
          <w:szCs w:val="24"/>
        </w:rPr>
        <w:lastRenderedPageBreak/>
        <w:t>words and phrases associated with each expense item from our preliminary investigation. The keywords specified for each of the expense items are as follows.</w:t>
      </w:r>
      <w:r>
        <w:rPr>
          <w:color w:val="auto"/>
          <w:sz w:val="24"/>
          <w:szCs w:val="24"/>
        </w:rPr>
        <w:t xml:space="preserve"> </w:t>
      </w:r>
      <w:r w:rsidRPr="002D1654">
        <w:rPr>
          <w:color w:val="auto"/>
          <w:sz w:val="24"/>
          <w:szCs w:val="24"/>
        </w:rPr>
        <w:t xml:space="preserve">For </w:t>
      </w:r>
      <w:r w:rsidRPr="002D1654">
        <w:rPr>
          <w:i/>
          <w:color w:val="auto"/>
          <w:sz w:val="24"/>
          <w:szCs w:val="24"/>
        </w:rPr>
        <w:t>Engineering expense</w:t>
      </w:r>
      <w:r w:rsidRPr="002D1654">
        <w:rPr>
          <w:color w:val="auto"/>
          <w:sz w:val="24"/>
          <w:szCs w:val="24"/>
        </w:rPr>
        <w:t xml:space="preserve">, we use combinations of “engineering”, “expense”, “cost”, and “spending”. For </w:t>
      </w:r>
      <w:r w:rsidRPr="002D1654">
        <w:rPr>
          <w:i/>
          <w:color w:val="auto"/>
          <w:sz w:val="24"/>
          <w:szCs w:val="24"/>
        </w:rPr>
        <w:t>Foreign currency adjustments</w:t>
      </w:r>
      <w:r w:rsidRPr="002D1654">
        <w:rPr>
          <w:color w:val="auto"/>
          <w:sz w:val="24"/>
          <w:szCs w:val="24"/>
        </w:rPr>
        <w:t xml:space="preserve">, we use combinations of “foreign currency”, “adjustment”, “cost”, and “loss”. For </w:t>
      </w:r>
      <w:r w:rsidRPr="002D1654">
        <w:rPr>
          <w:i/>
          <w:color w:val="auto"/>
          <w:sz w:val="24"/>
          <w:szCs w:val="24"/>
        </w:rPr>
        <w:t>Indirect costs</w:t>
      </w:r>
      <w:r w:rsidRPr="002D1654">
        <w:rPr>
          <w:color w:val="auto"/>
          <w:sz w:val="24"/>
          <w:szCs w:val="24"/>
        </w:rPr>
        <w:t xml:space="preserve">, we use combinations of “indirect”, “expense”, “cost”, and “spending”. For </w:t>
      </w:r>
      <w:r w:rsidRPr="002D1654">
        <w:rPr>
          <w:i/>
          <w:color w:val="auto"/>
          <w:sz w:val="24"/>
          <w:szCs w:val="24"/>
        </w:rPr>
        <w:t>Strike expense</w:t>
      </w:r>
      <w:r w:rsidRPr="002D1654">
        <w:rPr>
          <w:color w:val="auto"/>
          <w:sz w:val="24"/>
          <w:szCs w:val="24"/>
        </w:rPr>
        <w:t xml:space="preserve">, we use combinations of “strike”, “expense”, “cost”, and “spending”. For </w:t>
      </w:r>
      <w:r w:rsidRPr="002D1654">
        <w:rPr>
          <w:i/>
          <w:color w:val="auto"/>
          <w:sz w:val="24"/>
          <w:szCs w:val="24"/>
        </w:rPr>
        <w:t>Extractive industries' expenses</w:t>
      </w:r>
      <w:r w:rsidRPr="002D1654">
        <w:rPr>
          <w:color w:val="auto"/>
          <w:sz w:val="24"/>
          <w:szCs w:val="24"/>
        </w:rPr>
        <w:t xml:space="preserve">, we use combinations of “exploration”, “expense”, “cost”, and “spending”. For </w:t>
      </w:r>
      <w:r w:rsidRPr="002D1654">
        <w:rPr>
          <w:i/>
          <w:color w:val="auto"/>
          <w:sz w:val="24"/>
          <w:szCs w:val="24"/>
        </w:rPr>
        <w:t>General and Administrative expense</w:t>
      </w:r>
      <w:r w:rsidRPr="002D1654">
        <w:rPr>
          <w:color w:val="auto"/>
          <w:sz w:val="24"/>
          <w:szCs w:val="24"/>
        </w:rPr>
        <w:t xml:space="preserve">, we use combinations of “general”, “administrative”, “general and administrative”, and “expense”. For </w:t>
      </w:r>
      <w:r w:rsidRPr="002D1654">
        <w:rPr>
          <w:i/>
          <w:color w:val="auto"/>
          <w:sz w:val="24"/>
          <w:szCs w:val="24"/>
        </w:rPr>
        <w:t>Selling expense</w:t>
      </w:r>
      <w:r w:rsidRPr="002D1654">
        <w:rPr>
          <w:color w:val="auto"/>
          <w:sz w:val="24"/>
          <w:szCs w:val="24"/>
        </w:rPr>
        <w:t>, we use combinations of “selling”, “sales”, “sales and marketing”, “expense”, “cost”, and “spending”.</w:t>
      </w:r>
      <w:r>
        <w:rPr>
          <w:color w:val="auto"/>
          <w:sz w:val="24"/>
          <w:szCs w:val="24"/>
        </w:rPr>
        <w:t xml:space="preserve"> </w:t>
      </w:r>
      <w:r w:rsidRPr="002D1654">
        <w:rPr>
          <w:color w:val="auto"/>
          <w:sz w:val="24"/>
          <w:szCs w:val="24"/>
        </w:rPr>
        <w:t xml:space="preserve">For </w:t>
      </w:r>
      <w:r>
        <w:rPr>
          <w:i/>
          <w:color w:val="auto"/>
          <w:sz w:val="24"/>
          <w:szCs w:val="24"/>
        </w:rPr>
        <w:t>Freight-out</w:t>
      </w:r>
      <w:r w:rsidRPr="002D1654">
        <w:rPr>
          <w:i/>
          <w:color w:val="auto"/>
          <w:sz w:val="24"/>
          <w:szCs w:val="24"/>
        </w:rPr>
        <w:t xml:space="preserve"> expense</w:t>
      </w:r>
      <w:r w:rsidRPr="002D1654">
        <w:rPr>
          <w:color w:val="auto"/>
          <w:sz w:val="24"/>
          <w:szCs w:val="24"/>
        </w:rPr>
        <w:t>, we use combinations of “</w:t>
      </w:r>
      <w:r>
        <w:rPr>
          <w:color w:val="auto"/>
          <w:sz w:val="24"/>
          <w:szCs w:val="24"/>
        </w:rPr>
        <w:t>freight</w:t>
      </w:r>
      <w:r w:rsidRPr="002D1654">
        <w:rPr>
          <w:color w:val="auto"/>
          <w:sz w:val="24"/>
          <w:szCs w:val="24"/>
        </w:rPr>
        <w:t>”</w:t>
      </w:r>
      <w:r>
        <w:rPr>
          <w:color w:val="auto"/>
          <w:sz w:val="24"/>
          <w:szCs w:val="24"/>
        </w:rPr>
        <w:t>, “freight-out”</w:t>
      </w:r>
      <w:r w:rsidRPr="002D1654">
        <w:rPr>
          <w:color w:val="auto"/>
          <w:sz w:val="24"/>
          <w:szCs w:val="24"/>
        </w:rPr>
        <w:t xml:space="preserve">, </w:t>
      </w:r>
      <w:r>
        <w:rPr>
          <w:color w:val="auto"/>
          <w:sz w:val="24"/>
          <w:szCs w:val="24"/>
        </w:rPr>
        <w:t xml:space="preserve">“distribution”, “shipping”, “transportation”, “warehousing”, “handling”, </w:t>
      </w:r>
      <w:r w:rsidRPr="002D1654">
        <w:rPr>
          <w:color w:val="auto"/>
          <w:sz w:val="24"/>
          <w:szCs w:val="24"/>
        </w:rPr>
        <w:t xml:space="preserve">“expense”, “cost”, and “spending”. </w:t>
      </w:r>
      <w:r>
        <w:rPr>
          <w:color w:val="auto"/>
          <w:sz w:val="24"/>
          <w:szCs w:val="24"/>
        </w:rPr>
        <w:t xml:space="preserve">Finally, for </w:t>
      </w:r>
      <w:r>
        <w:rPr>
          <w:i/>
          <w:iCs/>
          <w:color w:val="auto"/>
          <w:sz w:val="24"/>
          <w:szCs w:val="24"/>
        </w:rPr>
        <w:t>Bad debt expense</w:t>
      </w:r>
      <w:r>
        <w:rPr>
          <w:color w:val="auto"/>
          <w:sz w:val="24"/>
          <w:szCs w:val="24"/>
        </w:rPr>
        <w:t>, we use combinations of “bad debt”, “uncollectible accounts”, “uncollectible debt”, “doubtful accounts”, “doubtful debt”, “credit losses”, “expense”</w:t>
      </w:r>
      <w:r w:rsidRPr="002D1654">
        <w:rPr>
          <w:color w:val="auto"/>
          <w:sz w:val="24"/>
          <w:szCs w:val="24"/>
        </w:rPr>
        <w:t>, “cost”, and “spending”.</w:t>
      </w:r>
    </w:p>
    <w:p w14:paraId="74537A21" w14:textId="77777777" w:rsidR="00F731AC" w:rsidRPr="002D1654" w:rsidRDefault="00F731AC" w:rsidP="00F731AC">
      <w:pPr>
        <w:rPr>
          <w:color w:val="auto"/>
          <w:sz w:val="24"/>
          <w:szCs w:val="24"/>
        </w:rPr>
      </w:pPr>
      <w:r w:rsidRPr="002D1654">
        <w:rPr>
          <w:color w:val="auto"/>
          <w:sz w:val="24"/>
          <w:szCs w:val="24"/>
        </w:rPr>
        <w:br w:type="page"/>
      </w:r>
    </w:p>
    <w:p w14:paraId="418130EF" w14:textId="77777777" w:rsidR="00F731AC" w:rsidRPr="002D1654" w:rsidRDefault="00F731AC" w:rsidP="00F731AC">
      <w:pPr>
        <w:spacing w:line="480" w:lineRule="auto"/>
        <w:jc w:val="center"/>
        <w:rPr>
          <w:b/>
          <w:color w:val="auto"/>
          <w:sz w:val="24"/>
          <w:szCs w:val="24"/>
          <w:lang w:val="en-GB"/>
        </w:rPr>
        <w:sectPr w:rsidR="00F731AC" w:rsidRPr="002D1654" w:rsidSect="00CC768C">
          <w:pgSz w:w="11906" w:h="16838" w:code="9"/>
          <w:pgMar w:top="1440" w:right="1440" w:bottom="1440" w:left="1440" w:header="709" w:footer="709" w:gutter="0"/>
          <w:cols w:space="708"/>
          <w:noEndnote/>
          <w:docGrid w:linePitch="360"/>
        </w:sectPr>
      </w:pPr>
    </w:p>
    <w:p w14:paraId="143F1EDD" w14:textId="77777777" w:rsidR="00F731AC" w:rsidRDefault="00F731AC" w:rsidP="00F731AC">
      <w:pPr>
        <w:jc w:val="center"/>
        <w:rPr>
          <w:b/>
          <w:color w:val="auto"/>
          <w:sz w:val="24"/>
          <w:szCs w:val="24"/>
          <w:lang w:val="en-GB"/>
        </w:rPr>
      </w:pPr>
      <w:r>
        <w:rPr>
          <w:b/>
          <w:color w:val="auto"/>
          <w:sz w:val="24"/>
          <w:szCs w:val="24"/>
          <w:lang w:val="en-GB"/>
        </w:rPr>
        <w:lastRenderedPageBreak/>
        <w:t>Web Appendix C</w:t>
      </w:r>
    </w:p>
    <w:tbl>
      <w:tblPr>
        <w:tblW w:w="4790" w:type="pct"/>
        <w:jc w:val="center"/>
        <w:tblCellMar>
          <w:top w:w="11" w:type="dxa"/>
          <w:bottom w:w="11" w:type="dxa"/>
        </w:tblCellMar>
        <w:tblLook w:val="04A0" w:firstRow="1" w:lastRow="0" w:firstColumn="1" w:lastColumn="0" w:noHBand="0" w:noVBand="1"/>
      </w:tblPr>
      <w:tblGrid>
        <w:gridCol w:w="2065"/>
        <w:gridCol w:w="7659"/>
        <w:gridCol w:w="1514"/>
        <w:gridCol w:w="2134"/>
      </w:tblGrid>
      <w:tr w:rsidR="00F731AC" w:rsidRPr="002D1654" w14:paraId="330D1C47" w14:textId="77777777" w:rsidTr="00CC768C">
        <w:trPr>
          <w:trHeight w:val="379"/>
          <w:jc w:val="center"/>
        </w:trPr>
        <w:tc>
          <w:tcPr>
            <w:tcW w:w="5000" w:type="pct"/>
            <w:gridSpan w:val="4"/>
            <w:tcBorders>
              <w:top w:val="nil"/>
              <w:left w:val="nil"/>
              <w:bottom w:val="nil"/>
              <w:right w:val="nil"/>
            </w:tcBorders>
            <w:shd w:val="clear" w:color="000000" w:fill="FFFFFF"/>
            <w:hideMark/>
          </w:tcPr>
          <w:p w14:paraId="548FB630" w14:textId="12892DB5" w:rsidR="00F731AC" w:rsidRDefault="007E0638" w:rsidP="00CC768C">
            <w:pPr>
              <w:spacing w:after="0" w:line="245" w:lineRule="auto"/>
              <w:jc w:val="center"/>
              <w:rPr>
                <w:rFonts w:eastAsia="Times New Roman"/>
                <w:b/>
                <w:bCs/>
                <w:color w:val="auto"/>
                <w:sz w:val="24"/>
                <w:szCs w:val="24"/>
                <w:lang w:eastAsia="en-SG"/>
              </w:rPr>
            </w:pPr>
            <w:r w:rsidRPr="002D1654">
              <w:rPr>
                <w:rFonts w:eastAsia="Times New Roman"/>
                <w:b/>
                <w:bCs/>
                <w:color w:val="auto"/>
                <w:sz w:val="24"/>
                <w:szCs w:val="24"/>
                <w:lang w:eastAsia="en-SG"/>
              </w:rPr>
              <w:t xml:space="preserve">TABLE </w:t>
            </w:r>
            <w:r>
              <w:rPr>
                <w:rFonts w:eastAsia="Times New Roman"/>
                <w:b/>
                <w:bCs/>
                <w:color w:val="auto"/>
                <w:sz w:val="24"/>
                <w:szCs w:val="24"/>
                <w:lang w:eastAsia="en-SG"/>
              </w:rPr>
              <w:t xml:space="preserve">C1: </w:t>
            </w:r>
          </w:p>
          <w:p w14:paraId="284D283B" w14:textId="1FDD74E2" w:rsidR="00F731AC" w:rsidRPr="002D1654" w:rsidRDefault="007E0638" w:rsidP="00CC768C">
            <w:pPr>
              <w:spacing w:after="120" w:line="245" w:lineRule="auto"/>
              <w:jc w:val="center"/>
              <w:rPr>
                <w:rFonts w:eastAsia="Times New Roman"/>
                <w:b/>
                <w:bCs/>
                <w:color w:val="auto"/>
                <w:sz w:val="24"/>
                <w:szCs w:val="24"/>
                <w:lang w:eastAsia="en-SG"/>
              </w:rPr>
            </w:pPr>
            <w:r>
              <w:rPr>
                <w:rFonts w:eastAsia="Times New Roman"/>
                <w:b/>
                <w:bCs/>
                <w:color w:val="auto"/>
                <w:sz w:val="24"/>
                <w:szCs w:val="24"/>
                <w:lang w:eastAsia="en-SG"/>
              </w:rPr>
              <w:t>CONTROL VARIABLES, MEASURES A</w:t>
            </w:r>
            <w:r w:rsidRPr="002D1654">
              <w:rPr>
                <w:rFonts w:eastAsia="Times New Roman"/>
                <w:b/>
                <w:bCs/>
                <w:color w:val="auto"/>
                <w:sz w:val="24"/>
                <w:szCs w:val="24"/>
                <w:lang w:eastAsia="en-SG"/>
              </w:rPr>
              <w:t>ND DATA SOURCES</w:t>
            </w:r>
          </w:p>
        </w:tc>
      </w:tr>
      <w:tr w:rsidR="00F731AC" w:rsidRPr="002D1654" w14:paraId="17A63E05" w14:textId="77777777" w:rsidTr="00CC768C">
        <w:trPr>
          <w:trHeight w:val="313"/>
          <w:jc w:val="center"/>
        </w:trPr>
        <w:tc>
          <w:tcPr>
            <w:tcW w:w="772" w:type="pct"/>
            <w:tcBorders>
              <w:top w:val="single" w:sz="4" w:space="0" w:color="auto"/>
              <w:left w:val="nil"/>
              <w:bottom w:val="single" w:sz="4" w:space="0" w:color="auto"/>
              <w:right w:val="nil"/>
            </w:tcBorders>
            <w:shd w:val="clear" w:color="000000" w:fill="FFFFFF"/>
            <w:vAlign w:val="center"/>
            <w:hideMark/>
          </w:tcPr>
          <w:p w14:paraId="19029627" w14:textId="77777777" w:rsidR="00F731AC" w:rsidRPr="002D1654" w:rsidRDefault="00F731AC" w:rsidP="00CC768C">
            <w:pPr>
              <w:spacing w:after="0" w:line="245" w:lineRule="auto"/>
              <w:rPr>
                <w:rFonts w:eastAsia="Times New Roman"/>
                <w:b/>
                <w:bCs/>
                <w:color w:val="auto"/>
                <w:lang w:eastAsia="en-SG"/>
              </w:rPr>
            </w:pPr>
            <w:r w:rsidRPr="002D1654">
              <w:rPr>
                <w:rFonts w:eastAsia="Times New Roman"/>
                <w:b/>
                <w:bCs/>
                <w:color w:val="auto"/>
                <w:lang w:eastAsia="en-SG"/>
              </w:rPr>
              <w:t>Variable</w:t>
            </w:r>
          </w:p>
        </w:tc>
        <w:tc>
          <w:tcPr>
            <w:tcW w:w="2864" w:type="pct"/>
            <w:tcBorders>
              <w:top w:val="single" w:sz="4" w:space="0" w:color="auto"/>
              <w:left w:val="nil"/>
              <w:bottom w:val="single" w:sz="4" w:space="0" w:color="auto"/>
              <w:right w:val="nil"/>
            </w:tcBorders>
            <w:shd w:val="clear" w:color="000000" w:fill="FFFFFF"/>
            <w:vAlign w:val="center"/>
            <w:hideMark/>
          </w:tcPr>
          <w:p w14:paraId="13471F27" w14:textId="77777777" w:rsidR="00F731AC" w:rsidRPr="002D1654" w:rsidRDefault="00F731AC" w:rsidP="00CC768C">
            <w:pPr>
              <w:spacing w:after="0" w:line="245" w:lineRule="auto"/>
              <w:jc w:val="center"/>
              <w:rPr>
                <w:rFonts w:eastAsia="Times New Roman"/>
                <w:b/>
                <w:bCs/>
                <w:color w:val="auto"/>
                <w:lang w:eastAsia="en-SG"/>
              </w:rPr>
            </w:pPr>
            <w:r w:rsidRPr="002D1654">
              <w:rPr>
                <w:rFonts w:eastAsia="Times New Roman"/>
                <w:b/>
                <w:bCs/>
                <w:color w:val="auto"/>
                <w:lang w:eastAsia="en-SG"/>
              </w:rPr>
              <w:t>Measure</w:t>
            </w:r>
          </w:p>
        </w:tc>
        <w:tc>
          <w:tcPr>
            <w:tcW w:w="566" w:type="pct"/>
            <w:tcBorders>
              <w:top w:val="single" w:sz="4" w:space="0" w:color="auto"/>
              <w:left w:val="nil"/>
              <w:bottom w:val="single" w:sz="4" w:space="0" w:color="auto"/>
              <w:right w:val="nil"/>
            </w:tcBorders>
            <w:shd w:val="clear" w:color="000000" w:fill="FFFFFF"/>
            <w:vAlign w:val="center"/>
            <w:hideMark/>
          </w:tcPr>
          <w:p w14:paraId="2A82CB80" w14:textId="77777777" w:rsidR="00F731AC" w:rsidRPr="002D1654" w:rsidRDefault="00F731AC" w:rsidP="00CC768C">
            <w:pPr>
              <w:spacing w:after="0" w:line="245" w:lineRule="auto"/>
              <w:jc w:val="center"/>
              <w:rPr>
                <w:rFonts w:eastAsia="Times New Roman"/>
                <w:b/>
                <w:bCs/>
                <w:color w:val="auto"/>
                <w:lang w:eastAsia="en-SG"/>
              </w:rPr>
            </w:pPr>
            <w:r w:rsidRPr="002D1654">
              <w:rPr>
                <w:rFonts w:eastAsia="Times New Roman"/>
                <w:b/>
                <w:bCs/>
                <w:color w:val="auto"/>
                <w:lang w:eastAsia="en-SG"/>
              </w:rPr>
              <w:t>Data Source</w:t>
            </w:r>
          </w:p>
        </w:tc>
        <w:tc>
          <w:tcPr>
            <w:tcW w:w="798" w:type="pct"/>
            <w:tcBorders>
              <w:top w:val="single" w:sz="4" w:space="0" w:color="auto"/>
              <w:left w:val="nil"/>
              <w:bottom w:val="single" w:sz="4" w:space="0" w:color="auto"/>
              <w:right w:val="nil"/>
            </w:tcBorders>
            <w:shd w:val="clear" w:color="000000" w:fill="FFFFFF"/>
            <w:vAlign w:val="center"/>
            <w:hideMark/>
          </w:tcPr>
          <w:p w14:paraId="76C5A70B" w14:textId="77777777" w:rsidR="00F731AC" w:rsidRPr="002D1654" w:rsidRDefault="00F731AC" w:rsidP="00CC768C">
            <w:pPr>
              <w:spacing w:after="0" w:line="245" w:lineRule="auto"/>
              <w:jc w:val="center"/>
              <w:rPr>
                <w:rFonts w:eastAsia="Times New Roman"/>
                <w:b/>
                <w:bCs/>
                <w:color w:val="auto"/>
                <w:lang w:eastAsia="en-SG"/>
              </w:rPr>
            </w:pPr>
            <w:r w:rsidRPr="002D1654">
              <w:rPr>
                <w:rFonts w:eastAsia="Times New Roman"/>
                <w:b/>
                <w:bCs/>
                <w:color w:val="auto"/>
                <w:lang w:eastAsia="en-SG"/>
              </w:rPr>
              <w:t>Reference</w:t>
            </w:r>
          </w:p>
        </w:tc>
      </w:tr>
      <w:tr w:rsidR="00F731AC" w:rsidRPr="002D1654" w14:paraId="2A016469" w14:textId="77777777" w:rsidTr="00CC768C">
        <w:trPr>
          <w:trHeight w:val="432"/>
          <w:jc w:val="center"/>
        </w:trPr>
        <w:tc>
          <w:tcPr>
            <w:tcW w:w="772" w:type="pct"/>
            <w:tcBorders>
              <w:top w:val="nil"/>
              <w:left w:val="nil"/>
              <w:bottom w:val="nil"/>
              <w:right w:val="nil"/>
            </w:tcBorders>
            <w:shd w:val="clear" w:color="000000" w:fill="FFFFFF"/>
            <w:noWrap/>
            <w:tcMar>
              <w:top w:w="28" w:type="dxa"/>
              <w:bottom w:w="28" w:type="dxa"/>
            </w:tcMar>
            <w:vAlign w:val="center"/>
          </w:tcPr>
          <w:p w14:paraId="5FA60461" w14:textId="77777777" w:rsidR="00F731AC" w:rsidRPr="002D1654" w:rsidRDefault="00F731AC" w:rsidP="00CC768C">
            <w:pPr>
              <w:spacing w:after="0" w:line="245" w:lineRule="auto"/>
              <w:rPr>
                <w:rFonts w:eastAsia="Times New Roman"/>
                <w:color w:val="auto"/>
                <w:lang w:eastAsia="en-SG"/>
              </w:rPr>
            </w:pPr>
            <w:r w:rsidRPr="002D1654">
              <w:rPr>
                <w:rFonts w:eastAsia="Times New Roman"/>
                <w:color w:val="auto"/>
                <w:lang w:eastAsia="en-SG"/>
              </w:rPr>
              <w:t>Firm Diversification</w:t>
            </w:r>
          </w:p>
        </w:tc>
        <w:tc>
          <w:tcPr>
            <w:tcW w:w="2864" w:type="pct"/>
            <w:tcBorders>
              <w:top w:val="nil"/>
              <w:left w:val="nil"/>
              <w:bottom w:val="nil"/>
              <w:right w:val="nil"/>
            </w:tcBorders>
            <w:shd w:val="clear" w:color="000000" w:fill="FFFFFF"/>
            <w:tcMar>
              <w:top w:w="28" w:type="dxa"/>
              <w:bottom w:w="28" w:type="dxa"/>
            </w:tcMar>
            <w:vAlign w:val="center"/>
          </w:tcPr>
          <w:p w14:paraId="7F02F0C6" w14:textId="77777777" w:rsidR="00F731AC" w:rsidRPr="002D1654" w:rsidRDefault="00F731AC" w:rsidP="00CC768C">
            <w:pPr>
              <w:spacing w:after="0" w:line="245" w:lineRule="auto"/>
              <w:rPr>
                <w:rFonts w:eastAsia="Times New Roman"/>
                <w:color w:val="auto"/>
                <w:lang w:eastAsia="en-SG"/>
              </w:rPr>
            </w:pPr>
            <w:r w:rsidRPr="002D1654">
              <w:rPr>
                <w:rFonts w:eastAsia="Times New Roman"/>
                <w:color w:val="auto"/>
                <w:lang w:eastAsia="en-SG"/>
              </w:rPr>
              <w:t>One minus the Herfindahl index of firm sales across all its business segments (DT: SALES).</w:t>
            </w:r>
          </w:p>
        </w:tc>
        <w:tc>
          <w:tcPr>
            <w:tcW w:w="566" w:type="pct"/>
            <w:tcBorders>
              <w:top w:val="nil"/>
              <w:left w:val="nil"/>
              <w:bottom w:val="nil"/>
              <w:right w:val="nil"/>
            </w:tcBorders>
            <w:shd w:val="clear" w:color="000000" w:fill="FFFFFF"/>
            <w:tcMar>
              <w:top w:w="28" w:type="dxa"/>
              <w:bottom w:w="28" w:type="dxa"/>
            </w:tcMar>
            <w:vAlign w:val="center"/>
          </w:tcPr>
          <w:p w14:paraId="2EDBDF94" w14:textId="77777777" w:rsidR="00F731AC" w:rsidRPr="002D1654" w:rsidRDefault="00F731AC" w:rsidP="00CC768C">
            <w:pPr>
              <w:spacing w:after="0" w:line="247" w:lineRule="auto"/>
              <w:jc w:val="center"/>
              <w:rPr>
                <w:rFonts w:eastAsia="Times New Roman"/>
                <w:color w:val="auto"/>
                <w:lang w:eastAsia="en-SG"/>
              </w:rPr>
            </w:pPr>
            <w:r w:rsidRPr="002D1654">
              <w:rPr>
                <w:rFonts w:eastAsia="Times New Roman"/>
                <w:color w:val="auto"/>
                <w:lang w:eastAsia="en-SG"/>
              </w:rPr>
              <w:t>COMPUSTAT Segment Database</w:t>
            </w:r>
          </w:p>
        </w:tc>
        <w:tc>
          <w:tcPr>
            <w:tcW w:w="798" w:type="pct"/>
            <w:tcBorders>
              <w:top w:val="nil"/>
              <w:left w:val="nil"/>
              <w:bottom w:val="nil"/>
              <w:right w:val="nil"/>
            </w:tcBorders>
            <w:shd w:val="clear" w:color="000000" w:fill="FFFFFF"/>
            <w:tcMar>
              <w:top w:w="28" w:type="dxa"/>
              <w:bottom w:w="28" w:type="dxa"/>
            </w:tcMar>
            <w:vAlign w:val="center"/>
          </w:tcPr>
          <w:p w14:paraId="441D1026" w14:textId="74D1CAD3" w:rsidR="00F731AC" w:rsidRPr="002D1654" w:rsidRDefault="009406BF" w:rsidP="00CC768C">
            <w:pPr>
              <w:spacing w:after="0" w:line="245" w:lineRule="auto"/>
              <w:jc w:val="center"/>
              <w:rPr>
                <w:rFonts w:eastAsia="Times New Roman"/>
                <w:color w:val="auto"/>
                <w:lang w:eastAsia="en-SG"/>
              </w:rPr>
            </w:pPr>
            <w:r>
              <w:rPr>
                <w:rFonts w:eastAsia="Times New Roman"/>
                <w:color w:val="auto"/>
                <w:lang w:eastAsia="en-SG"/>
              </w:rPr>
              <w:fldChar w:fldCharType="begin"/>
            </w:r>
            <w:r>
              <w:rPr>
                <w:rFonts w:eastAsia="Times New Roman"/>
                <w:color w:val="auto"/>
                <w:lang w:eastAsia="en-SG"/>
              </w:rPr>
              <w:instrText xml:space="preserve"> ADDIN EN.CITE &lt;EndNote&gt;&lt;Cite AuthorYear="1"&gt;&lt;Author&gt;Kovach&lt;/Author&gt;&lt;Year&gt;2015&lt;/Year&gt;&lt;RecNum&gt;2200&lt;/RecNum&gt;&lt;DisplayText&gt;Kovach et al. (2015)&lt;/DisplayText&gt;&lt;record&gt;&lt;rec-number&gt;2200&lt;/rec-number&gt;&lt;foreign-keys&gt;&lt;key app="EN" db-id="d05sxppah09pwxe9fpbva0972x9paswspf90" timestamp="1493698168" guid="69422d59-7bac-4c83-b997-f99dc6dddade"&gt;2200&lt;/key&gt;&lt;/foreign-keys&gt;&lt;ref-type name="Journal Article"&gt;17&lt;/ref-type&gt;&lt;contributors&gt;&lt;authors&gt;&lt;author&gt;Kovach, Jeremy J.&lt;/author&gt;&lt;author&gt;Hora, Manpreet&lt;/author&gt;&lt;author&gt;Manikas, Andrew&lt;/author&gt;&lt;author&gt;Patel, Pankaj C.&lt;/author&gt;&lt;/authors&gt;&lt;/contributors&gt;&lt;titles&gt;&lt;title&gt;Firm performance in dynamic environments: The role of operational slack and operational scope&lt;/title&gt;&lt;secondary-title&gt;Journal of Operations Management&lt;/secondary-title&gt;&lt;/titles&gt;&lt;periodical&gt;&lt;full-title&gt;Journal of Operations Management&lt;/full-title&gt;&lt;/periodical&gt;&lt;pages&gt;1-12&lt;/pages&gt;&lt;volume&gt;37&lt;/volume&gt;&lt;keywords&gt;&lt;keyword&gt;Operations strategy&lt;/keyword&gt;&lt;keyword&gt;Operational slack&lt;/keyword&gt;&lt;keyword&gt;Operational scope&lt;/keyword&gt;&lt;keyword&gt;Environmental dynamism&lt;/keyword&gt;&lt;/keywords&gt;&lt;dates&gt;&lt;year&gt;2015&lt;/year&gt;&lt;pub-dates&gt;&lt;date&gt;7//&lt;/date&gt;&lt;/pub-dates&gt;&lt;/dates&gt;&lt;isbn&gt;0272-6963&lt;/isbn&gt;&lt;urls&gt;&lt;related-urls&gt;&lt;url&gt;http://www.sciencedirect.com/science/article/pii/S0272696315000352&lt;/url&gt;&lt;/related-urls&gt;&lt;/urls&gt;&lt;electronic-resource-num&gt;https://doi.org/10.1016/j.jom.2015.04.002&lt;/electronic-resource-num&gt;&lt;/record&gt;&lt;/Cite&gt;&lt;/EndNote&gt;</w:instrText>
            </w:r>
            <w:r>
              <w:rPr>
                <w:rFonts w:eastAsia="Times New Roman"/>
                <w:color w:val="auto"/>
                <w:lang w:eastAsia="en-SG"/>
              </w:rPr>
              <w:fldChar w:fldCharType="separate"/>
            </w:r>
            <w:r>
              <w:rPr>
                <w:rFonts w:eastAsia="Times New Roman"/>
                <w:noProof/>
                <w:color w:val="auto"/>
                <w:lang w:eastAsia="en-SG"/>
              </w:rPr>
              <w:t>Kovach et al. (2015)</w:t>
            </w:r>
            <w:r>
              <w:rPr>
                <w:rFonts w:eastAsia="Times New Roman"/>
                <w:color w:val="auto"/>
                <w:lang w:eastAsia="en-SG"/>
              </w:rPr>
              <w:fldChar w:fldCharType="end"/>
            </w:r>
          </w:p>
        </w:tc>
      </w:tr>
      <w:tr w:rsidR="00F731AC" w:rsidRPr="002D1654" w14:paraId="05CD8CD1" w14:textId="77777777" w:rsidTr="009406BF">
        <w:trPr>
          <w:trHeight w:val="397"/>
          <w:jc w:val="center"/>
        </w:trPr>
        <w:tc>
          <w:tcPr>
            <w:tcW w:w="772" w:type="pct"/>
            <w:tcBorders>
              <w:top w:val="nil"/>
              <w:left w:val="nil"/>
              <w:bottom w:val="nil"/>
              <w:right w:val="nil"/>
            </w:tcBorders>
            <w:shd w:val="clear" w:color="000000" w:fill="FFFFFF"/>
            <w:noWrap/>
            <w:tcMar>
              <w:top w:w="28" w:type="dxa"/>
              <w:bottom w:w="28" w:type="dxa"/>
            </w:tcMar>
            <w:vAlign w:val="center"/>
          </w:tcPr>
          <w:p w14:paraId="1275EB7C" w14:textId="77777777" w:rsidR="00F731AC" w:rsidRPr="002D1654" w:rsidRDefault="00F731AC" w:rsidP="00CC768C">
            <w:pPr>
              <w:spacing w:after="0" w:line="245" w:lineRule="auto"/>
              <w:rPr>
                <w:rFonts w:eastAsia="Times New Roman"/>
                <w:color w:val="auto"/>
                <w:lang w:eastAsia="en-SG"/>
              </w:rPr>
            </w:pPr>
            <w:r w:rsidRPr="002D1654">
              <w:rPr>
                <w:rFonts w:eastAsia="Times New Roman"/>
                <w:color w:val="auto"/>
                <w:lang w:eastAsia="en-SG"/>
              </w:rPr>
              <w:t>Capital Intensity</w:t>
            </w:r>
          </w:p>
        </w:tc>
        <w:tc>
          <w:tcPr>
            <w:tcW w:w="2864" w:type="pct"/>
            <w:tcBorders>
              <w:top w:val="nil"/>
              <w:left w:val="nil"/>
              <w:bottom w:val="nil"/>
              <w:right w:val="nil"/>
            </w:tcBorders>
            <w:shd w:val="clear" w:color="000000" w:fill="FFFFFF"/>
            <w:tcMar>
              <w:top w:w="28" w:type="dxa"/>
              <w:bottom w:w="28" w:type="dxa"/>
            </w:tcMar>
            <w:vAlign w:val="center"/>
          </w:tcPr>
          <w:p w14:paraId="50D7B7A2" w14:textId="77777777" w:rsidR="00F731AC" w:rsidRPr="002D1654" w:rsidRDefault="00F731AC" w:rsidP="00CC768C">
            <w:pPr>
              <w:spacing w:after="0" w:line="245" w:lineRule="auto"/>
              <w:rPr>
                <w:rFonts w:eastAsia="Times New Roman"/>
                <w:color w:val="auto"/>
                <w:lang w:eastAsia="en-SG"/>
              </w:rPr>
            </w:pPr>
            <w:r w:rsidRPr="002D1654">
              <w:rPr>
                <w:rFonts w:eastAsia="Times New Roman"/>
                <w:color w:val="auto"/>
                <w:lang w:eastAsia="en-SG"/>
              </w:rPr>
              <w:t>Ratio of the firm’s net plant, property, and equipment (DT: PPENTQ) to its total assets (DT: ATQ).</w:t>
            </w:r>
          </w:p>
        </w:tc>
        <w:tc>
          <w:tcPr>
            <w:tcW w:w="566" w:type="pct"/>
            <w:tcBorders>
              <w:top w:val="nil"/>
              <w:left w:val="nil"/>
              <w:bottom w:val="nil"/>
              <w:right w:val="nil"/>
            </w:tcBorders>
            <w:shd w:val="clear" w:color="000000" w:fill="FFFFFF"/>
            <w:tcMar>
              <w:top w:w="28" w:type="dxa"/>
              <w:bottom w:w="28" w:type="dxa"/>
            </w:tcMar>
            <w:vAlign w:val="center"/>
          </w:tcPr>
          <w:p w14:paraId="7EAC958B" w14:textId="77777777" w:rsidR="00F731AC" w:rsidRPr="002D1654" w:rsidRDefault="00F731AC" w:rsidP="00CC768C">
            <w:pPr>
              <w:spacing w:after="0" w:line="245" w:lineRule="auto"/>
              <w:jc w:val="center"/>
              <w:rPr>
                <w:rFonts w:eastAsia="Times New Roman"/>
                <w:color w:val="auto"/>
                <w:lang w:eastAsia="en-SG"/>
              </w:rPr>
            </w:pPr>
            <w:r w:rsidRPr="002D1654">
              <w:rPr>
                <w:rFonts w:eastAsia="Times New Roman"/>
                <w:color w:val="auto"/>
                <w:lang w:eastAsia="en-SG"/>
              </w:rPr>
              <w:t>COMPUSTAT</w:t>
            </w:r>
          </w:p>
        </w:tc>
        <w:tc>
          <w:tcPr>
            <w:tcW w:w="798" w:type="pct"/>
            <w:tcBorders>
              <w:top w:val="nil"/>
              <w:left w:val="nil"/>
              <w:bottom w:val="nil"/>
              <w:right w:val="nil"/>
            </w:tcBorders>
            <w:shd w:val="clear" w:color="000000" w:fill="FFFFFF"/>
            <w:tcMar>
              <w:top w:w="28" w:type="dxa"/>
              <w:bottom w:w="28" w:type="dxa"/>
            </w:tcMar>
            <w:vAlign w:val="center"/>
          </w:tcPr>
          <w:p w14:paraId="3DF1F194" w14:textId="7FBDE017" w:rsidR="00F731AC" w:rsidRPr="002D1654" w:rsidRDefault="009406BF" w:rsidP="009406BF">
            <w:pPr>
              <w:spacing w:after="0" w:line="245" w:lineRule="auto"/>
              <w:jc w:val="center"/>
              <w:rPr>
                <w:rFonts w:eastAsia="Times New Roman"/>
                <w:color w:val="auto"/>
                <w:lang w:eastAsia="en-SG"/>
              </w:rPr>
            </w:pPr>
            <w:r>
              <w:fldChar w:fldCharType="begin"/>
            </w:r>
            <w:r>
              <w:instrText xml:space="preserve"> ADDIN EN.CITE &lt;EndNote&gt;&lt;Cite AuthorYear="1"&gt;&lt;Author&gt;McAlister&lt;/Author&gt;&lt;Year&gt;2016&lt;/Year&gt;&lt;RecNum&gt;1948&lt;/RecNum&gt;&lt;DisplayText&gt;McAlister et al. (2016)&lt;/DisplayText&gt;&lt;record&gt;&lt;rec-number&gt;1948&lt;/rec-number&gt;&lt;foreign-keys&gt;&lt;key app="EN" db-id="d05sxppah09pwxe9fpbva0972x9paswspf90" timestamp="1482290160" guid="5b125442-163f-46b0-8ee5-c7b9490fb7d3"&gt;1948&lt;/key&gt;&lt;/foreign-keys&gt;&lt;ref-type name="Journal Article"&gt;17&lt;/ref-type&gt;&lt;contributors&gt;&lt;authors&gt;&lt;author&gt;Leigh McAlister&lt;/author&gt;&lt;author&gt;Raji Srinivasan&lt;/author&gt;&lt;author&gt;Niket Jindal&lt;/author&gt;&lt;author&gt;Albert A. Cannella&lt;/author&gt;&lt;/authors&gt;&lt;/contributors&gt;&lt;titles&gt;&lt;title&gt;Advertising Effectiveness: The Moderating Effect of Firm Strategy&lt;/title&gt;&lt;secondary-title&gt;Journal of Marketing Research&lt;/secondary-title&gt;&lt;/titles&gt;&lt;periodical&gt;&lt;full-title&gt;Journal of Marketing Research&lt;/full-title&gt;&lt;/periodical&gt;&lt;pages&gt;207-224&lt;/pages&gt;&lt;volume&gt;53&lt;/volume&gt;&lt;number&gt;2&lt;/number&gt;&lt;keywords&gt;&lt;keyword&gt;advertising,differentiation,cost leadership,sales,firm value&lt;/keyword&gt;&lt;/keywords&gt;&lt;dates&gt;&lt;year&gt;2016&lt;/year&gt;&lt;/dates&gt;&lt;urls&gt;&lt;related-urls&gt;&lt;url&gt;http://journals.ama.org/doi/abs/10.1509/jmr.13.0285&lt;/url&gt;&lt;/related-urls&gt;&lt;/urls&gt;&lt;electronic-resource-num&gt;10.1509/jmr.13.0285&lt;/electronic-resource-num&gt;&lt;/record&gt;&lt;/Cite&gt;&lt;/EndNote&gt;</w:instrText>
            </w:r>
            <w:r>
              <w:fldChar w:fldCharType="separate"/>
            </w:r>
            <w:r>
              <w:rPr>
                <w:noProof/>
              </w:rPr>
              <w:t>McAlister et al. (2016)</w:t>
            </w:r>
            <w:r>
              <w:fldChar w:fldCharType="end"/>
            </w:r>
          </w:p>
        </w:tc>
      </w:tr>
      <w:tr w:rsidR="00F731AC" w:rsidRPr="002D1654" w14:paraId="289F2E4F" w14:textId="77777777" w:rsidTr="009406BF">
        <w:trPr>
          <w:trHeight w:val="323"/>
          <w:jc w:val="center"/>
        </w:trPr>
        <w:tc>
          <w:tcPr>
            <w:tcW w:w="772" w:type="pct"/>
            <w:tcBorders>
              <w:top w:val="nil"/>
              <w:left w:val="nil"/>
              <w:bottom w:val="nil"/>
              <w:right w:val="nil"/>
            </w:tcBorders>
            <w:shd w:val="clear" w:color="000000" w:fill="FFFFFF"/>
            <w:tcMar>
              <w:top w:w="28" w:type="dxa"/>
              <w:bottom w:w="28" w:type="dxa"/>
            </w:tcMar>
            <w:vAlign w:val="center"/>
          </w:tcPr>
          <w:p w14:paraId="399FDD6E" w14:textId="77777777" w:rsidR="00F731AC" w:rsidRPr="002D1654" w:rsidRDefault="00F731AC" w:rsidP="00CC768C">
            <w:pPr>
              <w:spacing w:after="0" w:line="245" w:lineRule="auto"/>
              <w:rPr>
                <w:rFonts w:eastAsia="Times New Roman"/>
                <w:color w:val="auto"/>
                <w:lang w:eastAsia="en-SG"/>
              </w:rPr>
            </w:pPr>
            <w:r w:rsidRPr="002D1654">
              <w:rPr>
                <w:rFonts w:eastAsia="Times New Roman"/>
                <w:color w:val="auto"/>
                <w:lang w:eastAsia="en-SG"/>
              </w:rPr>
              <w:t>Financial Leverage</w:t>
            </w:r>
          </w:p>
        </w:tc>
        <w:tc>
          <w:tcPr>
            <w:tcW w:w="2864" w:type="pct"/>
            <w:tcBorders>
              <w:top w:val="nil"/>
              <w:left w:val="nil"/>
              <w:bottom w:val="nil"/>
              <w:right w:val="nil"/>
            </w:tcBorders>
            <w:shd w:val="clear" w:color="000000" w:fill="FFFFFF"/>
            <w:tcMar>
              <w:top w:w="28" w:type="dxa"/>
              <w:bottom w:w="28" w:type="dxa"/>
            </w:tcMar>
            <w:vAlign w:val="center"/>
          </w:tcPr>
          <w:p w14:paraId="44FEA4F2" w14:textId="77777777" w:rsidR="00F731AC" w:rsidRPr="002D1654" w:rsidRDefault="00F731AC" w:rsidP="00CC768C">
            <w:pPr>
              <w:spacing w:after="0" w:line="245" w:lineRule="auto"/>
              <w:rPr>
                <w:rFonts w:eastAsia="Times New Roman"/>
                <w:color w:val="auto"/>
                <w:lang w:eastAsia="en-SG"/>
              </w:rPr>
            </w:pPr>
            <w:r w:rsidRPr="002D1654">
              <w:rPr>
                <w:rFonts w:eastAsia="Times New Roman"/>
                <w:color w:val="auto"/>
                <w:lang w:eastAsia="en-SG"/>
              </w:rPr>
              <w:t>Ratio of the firm’s total long-term debt (DT: DLTTQ) to its total assets (DT: ATQ).</w:t>
            </w:r>
          </w:p>
        </w:tc>
        <w:tc>
          <w:tcPr>
            <w:tcW w:w="566" w:type="pct"/>
            <w:tcBorders>
              <w:top w:val="nil"/>
              <w:left w:val="nil"/>
              <w:bottom w:val="nil"/>
              <w:right w:val="nil"/>
            </w:tcBorders>
            <w:shd w:val="clear" w:color="000000" w:fill="FFFFFF"/>
            <w:tcMar>
              <w:top w:w="28" w:type="dxa"/>
              <w:bottom w:w="28" w:type="dxa"/>
            </w:tcMar>
            <w:vAlign w:val="center"/>
          </w:tcPr>
          <w:p w14:paraId="780AA589" w14:textId="77777777" w:rsidR="00F731AC" w:rsidRPr="002D1654" w:rsidRDefault="00F731AC" w:rsidP="00CC768C">
            <w:pPr>
              <w:spacing w:after="0" w:line="245" w:lineRule="auto"/>
              <w:jc w:val="center"/>
              <w:rPr>
                <w:rFonts w:eastAsia="Times New Roman"/>
                <w:color w:val="auto"/>
                <w:lang w:eastAsia="en-SG"/>
              </w:rPr>
            </w:pPr>
            <w:r w:rsidRPr="002D1654">
              <w:rPr>
                <w:rFonts w:eastAsia="Times New Roman"/>
                <w:color w:val="auto"/>
                <w:lang w:eastAsia="en-SG"/>
              </w:rPr>
              <w:t>COMPUSTAT</w:t>
            </w:r>
          </w:p>
        </w:tc>
        <w:tc>
          <w:tcPr>
            <w:tcW w:w="798" w:type="pct"/>
            <w:tcBorders>
              <w:top w:val="nil"/>
              <w:left w:val="nil"/>
              <w:bottom w:val="nil"/>
              <w:right w:val="nil"/>
            </w:tcBorders>
            <w:shd w:val="clear" w:color="000000" w:fill="FFFFFF"/>
            <w:tcMar>
              <w:top w:w="28" w:type="dxa"/>
              <w:bottom w:w="28" w:type="dxa"/>
            </w:tcMar>
            <w:vAlign w:val="center"/>
          </w:tcPr>
          <w:p w14:paraId="4B7D7FDD" w14:textId="11708ACD" w:rsidR="00F731AC" w:rsidRPr="002D1654" w:rsidRDefault="005F5280" w:rsidP="009406BF">
            <w:pPr>
              <w:spacing w:after="0" w:line="245" w:lineRule="auto"/>
              <w:jc w:val="center"/>
              <w:rPr>
                <w:rFonts w:eastAsia="Times New Roman"/>
                <w:color w:val="auto"/>
                <w:lang w:eastAsia="en-SG"/>
              </w:rPr>
            </w:pPr>
            <w:r>
              <w:fldChar w:fldCharType="begin"/>
            </w:r>
            <w:r>
              <w:instrText xml:space="preserve"> ADDIN EN.CITE &lt;EndNote&gt;&lt;Cite AuthorYear="1"&gt;&lt;Author&gt;Wies&lt;/Author&gt;&lt;Year&gt;2019&lt;/Year&gt;&lt;RecNum&gt;2654&lt;/RecNum&gt;&lt;DisplayText&gt;Wies et al. (2019)&lt;/DisplayText&gt;&lt;record&gt;&lt;rec-number&gt;2654&lt;/rec-number&gt;&lt;foreign-keys&gt;&lt;key app="EN" db-id="d05sxppah09pwxe9fpbva0972x9paswspf90" timestamp="1566632827" guid="cac61ef1-43c0-4ea1-a5b9-ad4c6e95a1d7"&gt;2654&lt;/key&gt;&lt;/foreign-keys&gt;&lt;ref-type name="Journal Article"&gt;17&lt;/ref-type&gt;&lt;contributors&gt;&lt;authors&gt;&lt;author&gt;Wies, Simone&lt;/author&gt;&lt;author&gt;Hoffmann, Arvid Oskar Ivar&lt;/author&gt;&lt;author&gt;Aspara, Jaakko&lt;/author&gt;&lt;author&gt;Pennings, Joost M.E.&lt;/author&gt;&lt;/authors&gt;&lt;/contributors&gt;&lt;titles&gt;&lt;title&gt;Can Advertising Investments Counter the Negative Impact of Shareholder Complaints on Firm Value?&lt;/title&gt;&lt;secondary-title&gt;Journal of Marketing&lt;/secondary-title&gt;&lt;/titles&gt;&lt;periodical&gt;&lt;full-title&gt;Journal of Marketing&lt;/full-title&gt;&lt;/periodical&gt;&lt;pages&gt;58-80&lt;/pages&gt;&lt;volume&gt;83&lt;/volume&gt;&lt;number&gt;4&lt;/number&gt;&lt;keywords&gt;&lt;keyword&gt;advertising investments,firm value,market impact,marketing strategy,shareholder proposals,stock&lt;/keyword&gt;&lt;/keywords&gt;&lt;dates&gt;&lt;year&gt;2019&lt;/year&gt;&lt;/dates&gt;&lt;urls&gt;&lt;related-urls&gt;&lt;url&gt;https://journals.sagepub.com/doi/abs/10.1177/0022242919841584&lt;/url&gt;&lt;/related-urls&gt;&lt;/urls&gt;&lt;electronic-resource-num&gt;10.1177/0022242919841584&lt;/electronic-resource-num&gt;&lt;/record&gt;&lt;/Cite&gt;&lt;/EndNote&gt;</w:instrText>
            </w:r>
            <w:r>
              <w:fldChar w:fldCharType="separate"/>
            </w:r>
            <w:r>
              <w:rPr>
                <w:noProof/>
              </w:rPr>
              <w:t>Wies et al. (2019)</w:t>
            </w:r>
            <w:r>
              <w:fldChar w:fldCharType="end"/>
            </w:r>
          </w:p>
        </w:tc>
      </w:tr>
      <w:tr w:rsidR="00F731AC" w:rsidRPr="002D1654" w14:paraId="34DCE392" w14:textId="77777777" w:rsidTr="009406BF">
        <w:trPr>
          <w:trHeight w:val="665"/>
          <w:jc w:val="center"/>
        </w:trPr>
        <w:tc>
          <w:tcPr>
            <w:tcW w:w="772" w:type="pct"/>
            <w:tcBorders>
              <w:top w:val="nil"/>
              <w:left w:val="nil"/>
              <w:bottom w:val="nil"/>
              <w:right w:val="nil"/>
            </w:tcBorders>
            <w:shd w:val="clear" w:color="000000" w:fill="FFFFFF"/>
            <w:tcMar>
              <w:top w:w="28" w:type="dxa"/>
              <w:bottom w:w="28" w:type="dxa"/>
            </w:tcMar>
            <w:vAlign w:val="center"/>
          </w:tcPr>
          <w:p w14:paraId="7DC04B30" w14:textId="77777777" w:rsidR="00F731AC" w:rsidRPr="002D1654" w:rsidRDefault="00F731AC" w:rsidP="00CC768C">
            <w:pPr>
              <w:spacing w:after="0" w:line="245" w:lineRule="auto"/>
              <w:rPr>
                <w:rFonts w:eastAsia="Times New Roman"/>
                <w:color w:val="auto"/>
                <w:lang w:eastAsia="en-SG"/>
              </w:rPr>
            </w:pPr>
            <w:r w:rsidRPr="002D1654">
              <w:rPr>
                <w:rFonts w:eastAsia="Times New Roman"/>
                <w:color w:val="auto"/>
                <w:lang w:eastAsia="en-SG"/>
              </w:rPr>
              <w:t>Tobin’s Q</w:t>
            </w:r>
          </w:p>
        </w:tc>
        <w:tc>
          <w:tcPr>
            <w:tcW w:w="2864" w:type="pct"/>
            <w:tcBorders>
              <w:top w:val="nil"/>
              <w:left w:val="nil"/>
              <w:bottom w:val="nil"/>
              <w:right w:val="nil"/>
            </w:tcBorders>
            <w:shd w:val="clear" w:color="000000" w:fill="FFFFFF"/>
            <w:tcMar>
              <w:top w:w="28" w:type="dxa"/>
              <w:bottom w:w="28" w:type="dxa"/>
            </w:tcMar>
            <w:vAlign w:val="center"/>
          </w:tcPr>
          <w:p w14:paraId="55115D02" w14:textId="77777777" w:rsidR="00F731AC" w:rsidRPr="002D1654" w:rsidRDefault="00F731AC" w:rsidP="00CC768C">
            <w:pPr>
              <w:spacing w:after="0" w:line="245" w:lineRule="auto"/>
              <w:rPr>
                <w:rFonts w:eastAsia="Times New Roman"/>
                <w:color w:val="auto"/>
                <w:lang w:eastAsia="en-SG"/>
              </w:rPr>
            </w:pPr>
            <w:r w:rsidRPr="002D1654">
              <w:rPr>
                <w:rFonts w:eastAsia="Times New Roman"/>
                <w:color w:val="auto"/>
                <w:lang w:eastAsia="en-SG"/>
              </w:rPr>
              <w:t xml:space="preserve">The sum of the product of the firm’s share price (DT: PRCCQ) and its number of common stock outstanding at the end of the year (DT: CSHOQ), the firm’s preferred stock (DT: PSTKQ), its long-term debt (DT: DLTTQ), the firm’s </w:t>
            </w:r>
            <w:r>
              <w:rPr>
                <w:rFonts w:eastAsia="Times New Roman"/>
                <w:color w:val="auto"/>
                <w:lang w:eastAsia="en-SG"/>
              </w:rPr>
              <w:t>short-term debt</w:t>
            </w:r>
            <w:r w:rsidRPr="002D1654">
              <w:rPr>
                <w:rFonts w:eastAsia="Times New Roman"/>
                <w:color w:val="auto"/>
                <w:lang w:eastAsia="en-SG"/>
              </w:rPr>
              <w:t xml:space="preserve"> (DT: </w:t>
            </w:r>
            <w:r>
              <w:rPr>
                <w:rFonts w:eastAsia="Times New Roman"/>
                <w:color w:val="auto"/>
                <w:lang w:eastAsia="en-SG"/>
              </w:rPr>
              <w:t>DLC</w:t>
            </w:r>
            <w:r w:rsidRPr="002D1654">
              <w:rPr>
                <w:rFonts w:eastAsia="Times New Roman"/>
                <w:color w:val="auto"/>
                <w:lang w:eastAsia="en-SG"/>
              </w:rPr>
              <w:t>Q), scaled by the firm’s total assets (DT: ATQ).</w:t>
            </w:r>
          </w:p>
        </w:tc>
        <w:tc>
          <w:tcPr>
            <w:tcW w:w="566" w:type="pct"/>
            <w:tcBorders>
              <w:top w:val="nil"/>
              <w:left w:val="nil"/>
              <w:bottom w:val="nil"/>
              <w:right w:val="nil"/>
            </w:tcBorders>
            <w:shd w:val="clear" w:color="000000" w:fill="FFFFFF"/>
            <w:tcMar>
              <w:top w:w="28" w:type="dxa"/>
              <w:bottom w:w="28" w:type="dxa"/>
            </w:tcMar>
            <w:vAlign w:val="center"/>
          </w:tcPr>
          <w:p w14:paraId="1629F736" w14:textId="77777777" w:rsidR="00F731AC" w:rsidRPr="002D1654" w:rsidRDefault="00F731AC" w:rsidP="00CC768C">
            <w:pPr>
              <w:spacing w:after="0" w:line="245" w:lineRule="auto"/>
              <w:jc w:val="center"/>
              <w:rPr>
                <w:rFonts w:eastAsia="Times New Roman"/>
                <w:color w:val="auto"/>
                <w:lang w:eastAsia="en-SG"/>
              </w:rPr>
            </w:pPr>
            <w:r w:rsidRPr="002D1654">
              <w:rPr>
                <w:rFonts w:eastAsia="Times New Roman"/>
                <w:color w:val="auto"/>
                <w:lang w:eastAsia="en-SG"/>
              </w:rPr>
              <w:t>COMPUSTAT</w:t>
            </w:r>
          </w:p>
        </w:tc>
        <w:tc>
          <w:tcPr>
            <w:tcW w:w="798" w:type="pct"/>
            <w:tcBorders>
              <w:top w:val="nil"/>
              <w:left w:val="nil"/>
              <w:bottom w:val="nil"/>
              <w:right w:val="nil"/>
            </w:tcBorders>
            <w:shd w:val="clear" w:color="000000" w:fill="FFFFFF"/>
            <w:tcMar>
              <w:top w:w="28" w:type="dxa"/>
              <w:bottom w:w="28" w:type="dxa"/>
            </w:tcMar>
            <w:vAlign w:val="center"/>
          </w:tcPr>
          <w:p w14:paraId="62FD9228" w14:textId="56929B52" w:rsidR="00F731AC" w:rsidRPr="002D1654" w:rsidRDefault="009406BF" w:rsidP="009406BF">
            <w:pPr>
              <w:spacing w:after="0" w:line="245" w:lineRule="auto"/>
              <w:jc w:val="center"/>
              <w:rPr>
                <w:rFonts w:eastAsia="Times New Roman"/>
                <w:color w:val="auto"/>
                <w:lang w:eastAsia="en-SG"/>
              </w:rPr>
            </w:pPr>
            <w:r>
              <w:fldChar w:fldCharType="begin"/>
            </w:r>
            <w:r>
              <w:instrText xml:space="preserve"> ADDIN EN.CITE &lt;EndNote&gt;&lt;Cite AuthorYear="1"&gt;&lt;Author&gt;Anderson&lt;/Author&gt;&lt;Year&gt;2004&lt;/Year&gt;&lt;RecNum&gt;228&lt;/RecNum&gt;&lt;DisplayText&gt;Anderson, Fornell, and Mazvancheryl (2004)&lt;/DisplayText&gt;&lt;record&gt;&lt;rec-number&gt;228&lt;/rec-number&gt;&lt;foreign-keys&gt;&lt;key app="EN" db-id="d05sxppah09pwxe9fpbva0972x9paswspf90" timestamp="1482286461" guid="a3ac41ba-7528-44db-9de2-7fd593419284"&gt;228&lt;/key&gt;&lt;/foreign-keys&gt;&lt;ref-type name="Journal Article"&gt;17&lt;/ref-type&gt;&lt;contributors&gt;&lt;authors&gt;&lt;author&gt;Eugene W. Anderson&lt;/author&gt;&lt;author&gt;Claes Fornell&lt;/author&gt;&lt;author&gt;Sanal K. Mazvancheryl&lt;/author&gt;&lt;/authors&gt;&lt;/contributors&gt;&lt;titles&gt;&lt;title&gt;Customer Satisfaction and Shareholder Value&lt;/title&gt;&lt;secondary-title&gt;Journal of Marketing&lt;/secondary-title&gt;&lt;/titles&gt;&lt;periodical&gt;&lt;full-title&gt;Journal of Marketing&lt;/full-title&gt;&lt;/periodical&gt;&lt;pages&gt;172-185&lt;/pages&gt;&lt;volume&gt;68&lt;/volume&gt;&lt;number&gt;4&lt;/number&gt;&lt;keywords&gt;&lt;keyword&gt;customer satisfaction,shareholder value,Tobin’s q,marketing metrics&lt;/keyword&gt;&lt;/keywords&gt;&lt;dates&gt;&lt;year&gt;2004&lt;/year&gt;&lt;/dates&gt;&lt;urls&gt;&lt;related-urls&gt;&lt;url&gt;&lt;style face="underline" font="default" size="100%"&gt;http://journals.ama.org/doi/abs/10.1509/jmkg.68.4.172.42723&lt;/style&gt;&lt;/url&gt;&lt;/related-urls&gt;&lt;/urls&gt;&lt;electronic-resource-num&gt;10.1509/jmkg.68.4.172.42723&lt;/electronic-resource-num&gt;&lt;/record&gt;&lt;/Cite&gt;&lt;/EndNote&gt;</w:instrText>
            </w:r>
            <w:r>
              <w:fldChar w:fldCharType="separate"/>
            </w:r>
            <w:r>
              <w:rPr>
                <w:noProof/>
              </w:rPr>
              <w:t>Anderson, Fornell, and Mazvancheryl (2004)</w:t>
            </w:r>
            <w:r>
              <w:fldChar w:fldCharType="end"/>
            </w:r>
          </w:p>
        </w:tc>
      </w:tr>
      <w:tr w:rsidR="00F731AC" w:rsidRPr="002D1654" w14:paraId="060D7976" w14:textId="77777777" w:rsidTr="009406BF">
        <w:trPr>
          <w:trHeight w:val="284"/>
          <w:jc w:val="center"/>
        </w:trPr>
        <w:tc>
          <w:tcPr>
            <w:tcW w:w="772" w:type="pct"/>
            <w:tcBorders>
              <w:top w:val="nil"/>
              <w:left w:val="nil"/>
              <w:bottom w:val="nil"/>
              <w:right w:val="nil"/>
            </w:tcBorders>
            <w:shd w:val="clear" w:color="000000" w:fill="FFFFFF"/>
            <w:noWrap/>
            <w:tcMar>
              <w:top w:w="28" w:type="dxa"/>
              <w:bottom w:w="28" w:type="dxa"/>
            </w:tcMar>
            <w:vAlign w:val="center"/>
            <w:hideMark/>
          </w:tcPr>
          <w:p w14:paraId="1913261E" w14:textId="77777777" w:rsidR="00F731AC" w:rsidRPr="002D1654" w:rsidRDefault="00F731AC" w:rsidP="00CC768C">
            <w:pPr>
              <w:spacing w:after="0" w:line="245" w:lineRule="auto"/>
              <w:rPr>
                <w:rFonts w:eastAsia="Times New Roman"/>
                <w:color w:val="auto"/>
                <w:lang w:eastAsia="en-SG"/>
              </w:rPr>
            </w:pPr>
            <w:r w:rsidRPr="002D1654">
              <w:rPr>
                <w:rFonts w:eastAsia="Times New Roman"/>
                <w:color w:val="auto"/>
                <w:lang w:eastAsia="en-SG"/>
              </w:rPr>
              <w:t>Inventory Slack</w:t>
            </w:r>
          </w:p>
        </w:tc>
        <w:tc>
          <w:tcPr>
            <w:tcW w:w="2864" w:type="pct"/>
            <w:tcBorders>
              <w:top w:val="nil"/>
              <w:left w:val="nil"/>
              <w:bottom w:val="nil"/>
              <w:right w:val="nil"/>
            </w:tcBorders>
            <w:shd w:val="clear" w:color="000000" w:fill="FFFFFF"/>
            <w:tcMar>
              <w:top w:w="28" w:type="dxa"/>
              <w:bottom w:w="28" w:type="dxa"/>
            </w:tcMar>
            <w:vAlign w:val="center"/>
            <w:hideMark/>
          </w:tcPr>
          <w:p w14:paraId="0EAA0AB8" w14:textId="77777777" w:rsidR="00F731AC" w:rsidRPr="002D1654" w:rsidRDefault="00F731AC" w:rsidP="00CC768C">
            <w:pPr>
              <w:spacing w:after="0" w:line="245" w:lineRule="auto"/>
              <w:rPr>
                <w:rFonts w:eastAsia="Times New Roman"/>
                <w:color w:val="auto"/>
                <w:lang w:eastAsia="en-SG"/>
              </w:rPr>
            </w:pPr>
            <w:r w:rsidRPr="002D1654">
              <w:rPr>
                <w:rFonts w:eastAsia="Times New Roman"/>
                <w:color w:val="auto"/>
                <w:lang w:eastAsia="en-SG"/>
              </w:rPr>
              <w:t>Ratio of the firm’s total inventory (DT: INVTQ) to its sales (DT: REVTQ).</w:t>
            </w:r>
          </w:p>
        </w:tc>
        <w:tc>
          <w:tcPr>
            <w:tcW w:w="566" w:type="pct"/>
            <w:tcBorders>
              <w:top w:val="nil"/>
              <w:left w:val="nil"/>
              <w:bottom w:val="nil"/>
              <w:right w:val="nil"/>
            </w:tcBorders>
            <w:shd w:val="clear" w:color="000000" w:fill="FFFFFF"/>
            <w:tcMar>
              <w:top w:w="28" w:type="dxa"/>
              <w:bottom w:w="28" w:type="dxa"/>
            </w:tcMar>
            <w:vAlign w:val="center"/>
            <w:hideMark/>
          </w:tcPr>
          <w:p w14:paraId="2C69E2B4" w14:textId="77777777" w:rsidR="00F731AC" w:rsidRPr="002D1654" w:rsidRDefault="00F731AC" w:rsidP="00CC768C">
            <w:pPr>
              <w:spacing w:after="0" w:line="245" w:lineRule="auto"/>
              <w:jc w:val="center"/>
              <w:rPr>
                <w:rFonts w:eastAsia="Times New Roman"/>
                <w:color w:val="auto"/>
                <w:lang w:eastAsia="en-SG"/>
              </w:rPr>
            </w:pPr>
            <w:r w:rsidRPr="002D1654">
              <w:rPr>
                <w:rFonts w:eastAsia="Times New Roman"/>
                <w:color w:val="auto"/>
                <w:lang w:eastAsia="en-SG"/>
              </w:rPr>
              <w:t>COMPUSTAT</w:t>
            </w:r>
          </w:p>
        </w:tc>
        <w:tc>
          <w:tcPr>
            <w:tcW w:w="798" w:type="pct"/>
            <w:tcBorders>
              <w:top w:val="nil"/>
              <w:left w:val="nil"/>
              <w:bottom w:val="nil"/>
              <w:right w:val="nil"/>
            </w:tcBorders>
            <w:shd w:val="clear" w:color="000000" w:fill="FFFFFF"/>
            <w:tcMar>
              <w:top w:w="28" w:type="dxa"/>
              <w:bottom w:w="28" w:type="dxa"/>
            </w:tcMar>
            <w:vAlign w:val="center"/>
            <w:hideMark/>
          </w:tcPr>
          <w:p w14:paraId="752ACD28" w14:textId="14C42801" w:rsidR="00F731AC" w:rsidRPr="002D1654" w:rsidRDefault="009406BF" w:rsidP="009406BF">
            <w:pPr>
              <w:spacing w:after="0" w:line="245" w:lineRule="auto"/>
              <w:jc w:val="center"/>
              <w:rPr>
                <w:rFonts w:eastAsia="Times New Roman"/>
                <w:color w:val="auto"/>
                <w:lang w:eastAsia="en-SG"/>
              </w:rPr>
            </w:pPr>
            <w:r>
              <w:fldChar w:fldCharType="begin"/>
            </w:r>
            <w:r>
              <w:instrText xml:space="preserve"> ADDIN EN.CITE &lt;EndNote&gt;&lt;Cite AuthorYear="1"&gt;&lt;Author&gt;Chen&lt;/Author&gt;&lt;Year&gt;2005&lt;/Year&gt;&lt;RecNum&gt;2222&lt;/RecNum&gt;&lt;DisplayText&gt;Chen, Frank, and Wu (2005)&lt;/DisplayText&gt;&lt;record&gt;&lt;rec-number&gt;2222&lt;/rec-number&gt;&lt;foreign-keys&gt;&lt;key app="EN" db-id="d05sxppah09pwxe9fpbva0972x9paswspf90" timestamp="1493698202" guid="00e255a0-8227-47a9-a1f5-ea1b2dbeeefa"&gt;2222&lt;/key&gt;&lt;/foreign-keys&gt;&lt;ref-type name="Journal Article"&gt;17&lt;/ref-type&gt;&lt;contributors&gt;&lt;authors&gt;&lt;author&gt;Hong Chen&lt;/author&gt;&lt;author&gt;Murray Z. Frank&lt;/author&gt;&lt;author&gt;Owen Q. Wu&lt;/author&gt;&lt;/authors&gt;&lt;/contributors&gt;&lt;titles&gt;&lt;title&gt;What Actually Happened to the Inventories of American Companies Between 1981 and 2000?&lt;/title&gt;&lt;secondary-title&gt;Management Science&lt;/secondary-title&gt;&lt;/titles&gt;&lt;periodical&gt;&lt;full-title&gt;Management Science&lt;/full-title&gt;&lt;/periodical&gt;&lt;pages&gt;1015-1031&lt;/pages&gt;&lt;volume&gt;51&lt;/volume&gt;&lt;number&gt;7&lt;/number&gt;&lt;keywords&gt;&lt;keyword&gt;inventory,just in time,supply chain,manufacturing&lt;/keyword&gt;&lt;/keywords&gt;&lt;dates&gt;&lt;year&gt;2005&lt;/year&gt;&lt;/dates&gt;&lt;urls&gt;&lt;related-urls&gt;&lt;url&gt;http://pubsonline.informs.org/doi/abs/10.1287/mnsc.1050.0368&lt;/url&gt;&lt;/related-urls&gt;&lt;/urls&gt;&lt;electronic-resource-num&gt;10.1287/mnsc.1050.0368&lt;/electronic-resource-num&gt;&lt;/record&gt;&lt;/Cite&gt;&lt;/EndNote&gt;</w:instrText>
            </w:r>
            <w:r>
              <w:fldChar w:fldCharType="separate"/>
            </w:r>
            <w:r>
              <w:rPr>
                <w:noProof/>
              </w:rPr>
              <w:t>Chen, Frank, and Wu (2005)</w:t>
            </w:r>
            <w:r>
              <w:fldChar w:fldCharType="end"/>
            </w:r>
          </w:p>
        </w:tc>
      </w:tr>
      <w:tr w:rsidR="00F731AC" w:rsidRPr="002D1654" w14:paraId="07FE6F83" w14:textId="77777777" w:rsidTr="009406BF">
        <w:trPr>
          <w:trHeight w:val="343"/>
          <w:jc w:val="center"/>
        </w:trPr>
        <w:tc>
          <w:tcPr>
            <w:tcW w:w="772" w:type="pct"/>
            <w:tcBorders>
              <w:top w:val="nil"/>
              <w:left w:val="nil"/>
              <w:bottom w:val="nil"/>
              <w:right w:val="nil"/>
            </w:tcBorders>
            <w:shd w:val="clear" w:color="000000" w:fill="FFFFFF"/>
            <w:noWrap/>
            <w:tcMar>
              <w:top w:w="28" w:type="dxa"/>
              <w:bottom w:w="28" w:type="dxa"/>
            </w:tcMar>
            <w:vAlign w:val="center"/>
          </w:tcPr>
          <w:p w14:paraId="4DF95625" w14:textId="77777777" w:rsidR="00F731AC" w:rsidRPr="002D1654" w:rsidRDefault="00F731AC" w:rsidP="00CC768C">
            <w:pPr>
              <w:spacing w:after="0" w:line="245" w:lineRule="auto"/>
              <w:rPr>
                <w:rFonts w:eastAsia="Times New Roman"/>
                <w:color w:val="auto"/>
                <w:lang w:eastAsia="en-SG"/>
              </w:rPr>
            </w:pPr>
            <w:r>
              <w:rPr>
                <w:rFonts w:eastAsia="Times New Roman"/>
                <w:color w:val="auto"/>
                <w:lang w:eastAsia="en-SG"/>
              </w:rPr>
              <w:t>Retained Earnings</w:t>
            </w:r>
          </w:p>
        </w:tc>
        <w:tc>
          <w:tcPr>
            <w:tcW w:w="2864" w:type="pct"/>
            <w:tcBorders>
              <w:top w:val="nil"/>
              <w:left w:val="nil"/>
              <w:bottom w:val="nil"/>
              <w:right w:val="nil"/>
            </w:tcBorders>
            <w:shd w:val="clear" w:color="000000" w:fill="FFFFFF"/>
            <w:tcMar>
              <w:top w:w="28" w:type="dxa"/>
              <w:bottom w:w="28" w:type="dxa"/>
            </w:tcMar>
            <w:vAlign w:val="center"/>
          </w:tcPr>
          <w:p w14:paraId="716A9EB5" w14:textId="77777777" w:rsidR="00F731AC" w:rsidRPr="002D1654" w:rsidRDefault="00F731AC" w:rsidP="00CC768C">
            <w:pPr>
              <w:spacing w:after="0" w:line="245" w:lineRule="auto"/>
              <w:rPr>
                <w:rFonts w:eastAsia="Times New Roman"/>
                <w:color w:val="auto"/>
                <w:lang w:eastAsia="en-SG"/>
              </w:rPr>
            </w:pPr>
            <w:r>
              <w:rPr>
                <w:rFonts w:eastAsia="Times New Roman"/>
                <w:color w:val="auto"/>
                <w:lang w:eastAsia="en-SG"/>
              </w:rPr>
              <w:t>Ratio of the firm’s retained earnings (DT: REQ) to its total assets (DT: ATQ).</w:t>
            </w:r>
          </w:p>
        </w:tc>
        <w:tc>
          <w:tcPr>
            <w:tcW w:w="566" w:type="pct"/>
            <w:tcBorders>
              <w:top w:val="nil"/>
              <w:left w:val="nil"/>
              <w:bottom w:val="nil"/>
              <w:right w:val="nil"/>
            </w:tcBorders>
            <w:shd w:val="clear" w:color="000000" w:fill="FFFFFF"/>
            <w:tcMar>
              <w:top w:w="28" w:type="dxa"/>
              <w:bottom w:w="28" w:type="dxa"/>
            </w:tcMar>
            <w:vAlign w:val="center"/>
          </w:tcPr>
          <w:p w14:paraId="22577AB8" w14:textId="77777777" w:rsidR="00F731AC" w:rsidRPr="002D1654" w:rsidRDefault="00F731AC" w:rsidP="00CC768C">
            <w:pPr>
              <w:spacing w:after="0" w:line="245" w:lineRule="auto"/>
              <w:jc w:val="center"/>
              <w:rPr>
                <w:rFonts w:eastAsia="Times New Roman"/>
                <w:color w:val="auto"/>
                <w:lang w:eastAsia="en-SG"/>
              </w:rPr>
            </w:pPr>
            <w:r w:rsidRPr="002D1654">
              <w:rPr>
                <w:rFonts w:eastAsia="Times New Roman"/>
                <w:color w:val="auto"/>
                <w:lang w:eastAsia="en-SG"/>
              </w:rPr>
              <w:t>COMPUSTAT</w:t>
            </w:r>
          </w:p>
        </w:tc>
        <w:tc>
          <w:tcPr>
            <w:tcW w:w="798" w:type="pct"/>
            <w:tcBorders>
              <w:top w:val="nil"/>
              <w:left w:val="nil"/>
              <w:bottom w:val="nil"/>
              <w:right w:val="nil"/>
            </w:tcBorders>
            <w:shd w:val="clear" w:color="000000" w:fill="FFFFFF"/>
            <w:tcMar>
              <w:top w:w="28" w:type="dxa"/>
              <w:bottom w:w="28" w:type="dxa"/>
            </w:tcMar>
            <w:vAlign w:val="center"/>
          </w:tcPr>
          <w:p w14:paraId="110BAD27" w14:textId="097B5A5E" w:rsidR="00F731AC" w:rsidRPr="002D1654" w:rsidRDefault="009406BF" w:rsidP="009406BF">
            <w:pPr>
              <w:spacing w:after="0" w:line="245" w:lineRule="auto"/>
              <w:jc w:val="center"/>
              <w:rPr>
                <w:rFonts w:eastAsia="Times New Roman"/>
                <w:color w:val="auto"/>
                <w:lang w:eastAsia="en-SG"/>
              </w:rPr>
            </w:pPr>
            <w:r>
              <w:fldChar w:fldCharType="begin"/>
            </w:r>
            <w:r>
              <w:instrText xml:space="preserve"> ADDIN EN.CITE &lt;EndNote&gt;&lt;Cite AuthorYear="1"&gt;&lt;Author&gt;Lee&lt;/Author&gt;&lt;Year&gt;2004&lt;/Year&gt;&lt;RecNum&gt;227&lt;/RecNum&gt;&lt;DisplayText&gt;Lee and Grewal (2004)&lt;/DisplayText&gt;&lt;record&gt;&lt;rec-number&gt;227&lt;/rec-number&gt;&lt;foreign-keys&gt;&lt;key app="EN" db-id="d05sxppah09pwxe9fpbva0972x9paswspf90" timestamp="1482286461" guid="551ba6a9-11e0-49e1-bafb-249820d8552f"&gt;227&lt;/key&gt;&lt;/foreign-keys&gt;&lt;ref-type name="Journal Article"&gt;17&lt;/ref-type&gt;&lt;contributors&gt;&lt;authors&gt;&lt;author&gt;Ruby P. Lee&lt;/author&gt;&lt;author&gt;Rajdeep Grewal&lt;/author&gt;&lt;/authors&gt;&lt;/contributors&gt;&lt;titles&gt;&lt;title&gt;Strategic Responses to New Technologies and Their Impact on Firm Performance&lt;/title&gt;&lt;secondary-title&gt;Journal of Marketing&lt;/secondary-title&gt;&lt;/titles&gt;&lt;periodical&gt;&lt;full-title&gt;Journal of Marketing&lt;/full-title&gt;&lt;/periodical&gt;&lt;pages&gt;157-171&lt;/pages&gt;&lt;volume&gt;68&lt;/volume&gt;&lt;number&gt;4&lt;/number&gt;&lt;keywords&gt;&lt;keyword&gt;electronic commerce,technology management,strategic marketing,historical methods,firm performance,panel models&lt;/keyword&gt;&lt;/keywords&gt;&lt;dates&gt;&lt;year&gt;2004&lt;/year&gt;&lt;/dates&gt;&lt;urls&gt;&lt;related-urls&gt;&lt;url&gt;http://journals.ama.org/doi/abs/10.1509/jmkg.68.4.157.42730&lt;/url&gt;&lt;/related-urls&gt;&lt;/urls&gt;&lt;electronic-resource-num&gt;10.1509/jmkg.68.4.157.42730&lt;/electronic-resource-num&gt;&lt;/record&gt;&lt;/Cite&gt;&lt;/EndNote&gt;</w:instrText>
            </w:r>
            <w:r>
              <w:fldChar w:fldCharType="separate"/>
            </w:r>
            <w:r>
              <w:rPr>
                <w:noProof/>
              </w:rPr>
              <w:t>Lee and Grewal (2004)</w:t>
            </w:r>
            <w:r>
              <w:fldChar w:fldCharType="end"/>
            </w:r>
          </w:p>
        </w:tc>
      </w:tr>
      <w:tr w:rsidR="00F731AC" w:rsidRPr="002D1654" w14:paraId="64DA3331" w14:textId="77777777" w:rsidTr="009406BF">
        <w:trPr>
          <w:trHeight w:val="431"/>
          <w:jc w:val="center"/>
        </w:trPr>
        <w:tc>
          <w:tcPr>
            <w:tcW w:w="772" w:type="pct"/>
            <w:tcBorders>
              <w:top w:val="nil"/>
              <w:left w:val="nil"/>
              <w:bottom w:val="nil"/>
              <w:right w:val="nil"/>
            </w:tcBorders>
            <w:shd w:val="clear" w:color="000000" w:fill="FFFFFF"/>
            <w:tcMar>
              <w:top w:w="28" w:type="dxa"/>
              <w:bottom w:w="28" w:type="dxa"/>
            </w:tcMar>
            <w:vAlign w:val="center"/>
          </w:tcPr>
          <w:p w14:paraId="4708ACDC" w14:textId="77777777" w:rsidR="00F731AC" w:rsidRPr="002D1654" w:rsidRDefault="00F731AC" w:rsidP="00CC768C">
            <w:pPr>
              <w:spacing w:after="0" w:line="245" w:lineRule="auto"/>
              <w:rPr>
                <w:rFonts w:eastAsia="Times New Roman"/>
                <w:color w:val="auto"/>
                <w:lang w:eastAsia="en-SG"/>
              </w:rPr>
            </w:pPr>
            <w:r>
              <w:rPr>
                <w:rFonts w:eastAsia="Times New Roman"/>
                <w:color w:val="auto"/>
                <w:lang w:eastAsia="en-SG"/>
              </w:rPr>
              <w:t>Working Capital</w:t>
            </w:r>
          </w:p>
        </w:tc>
        <w:tc>
          <w:tcPr>
            <w:tcW w:w="2864" w:type="pct"/>
            <w:tcBorders>
              <w:top w:val="nil"/>
              <w:left w:val="nil"/>
              <w:bottom w:val="nil"/>
              <w:right w:val="nil"/>
            </w:tcBorders>
            <w:shd w:val="clear" w:color="000000" w:fill="FFFFFF"/>
            <w:tcMar>
              <w:top w:w="28" w:type="dxa"/>
              <w:bottom w:w="28" w:type="dxa"/>
            </w:tcMar>
            <w:vAlign w:val="center"/>
          </w:tcPr>
          <w:p w14:paraId="32DC5D92" w14:textId="77777777" w:rsidR="00F731AC" w:rsidRPr="002D1654" w:rsidRDefault="00F731AC" w:rsidP="00CC768C">
            <w:pPr>
              <w:spacing w:after="0" w:line="245" w:lineRule="auto"/>
              <w:rPr>
                <w:rFonts w:eastAsia="Times New Roman"/>
                <w:color w:val="auto"/>
                <w:lang w:eastAsia="en-SG"/>
              </w:rPr>
            </w:pPr>
            <w:r>
              <w:rPr>
                <w:rFonts w:eastAsia="Times New Roman"/>
                <w:color w:val="auto"/>
                <w:lang w:eastAsia="en-SG"/>
              </w:rPr>
              <w:t xml:space="preserve">The difference in the firm’s current assets </w:t>
            </w:r>
            <w:r w:rsidRPr="002D1654">
              <w:rPr>
                <w:rFonts w:eastAsia="Times New Roman"/>
                <w:color w:val="auto"/>
                <w:lang w:eastAsia="en-SG"/>
              </w:rPr>
              <w:t>(DT: A</w:t>
            </w:r>
            <w:r>
              <w:rPr>
                <w:rFonts w:eastAsia="Times New Roman"/>
                <w:color w:val="auto"/>
                <w:lang w:eastAsia="en-SG"/>
              </w:rPr>
              <w:t>C</w:t>
            </w:r>
            <w:r w:rsidRPr="002D1654">
              <w:rPr>
                <w:rFonts w:eastAsia="Times New Roman"/>
                <w:color w:val="auto"/>
                <w:lang w:eastAsia="en-SG"/>
              </w:rPr>
              <w:t>TQ)</w:t>
            </w:r>
            <w:r>
              <w:rPr>
                <w:rFonts w:eastAsia="Times New Roman"/>
                <w:color w:val="auto"/>
                <w:lang w:eastAsia="en-SG"/>
              </w:rPr>
              <w:t xml:space="preserve"> and its current liabilities </w:t>
            </w:r>
            <w:r w:rsidRPr="002D1654">
              <w:rPr>
                <w:rFonts w:eastAsia="Times New Roman"/>
                <w:color w:val="auto"/>
                <w:lang w:eastAsia="en-SG"/>
              </w:rPr>
              <w:t xml:space="preserve">(DT: </w:t>
            </w:r>
            <w:r>
              <w:rPr>
                <w:rFonts w:eastAsia="Times New Roman"/>
                <w:color w:val="auto"/>
                <w:lang w:eastAsia="en-SG"/>
              </w:rPr>
              <w:t>LC</w:t>
            </w:r>
            <w:r w:rsidRPr="002D1654">
              <w:rPr>
                <w:rFonts w:eastAsia="Times New Roman"/>
                <w:color w:val="auto"/>
                <w:lang w:eastAsia="en-SG"/>
              </w:rPr>
              <w:t>TQ)</w:t>
            </w:r>
            <w:r>
              <w:rPr>
                <w:rFonts w:eastAsia="Times New Roman"/>
                <w:color w:val="auto"/>
                <w:lang w:eastAsia="en-SG"/>
              </w:rPr>
              <w:t xml:space="preserve"> scaled by its total assets </w:t>
            </w:r>
            <w:r w:rsidRPr="002D1654">
              <w:rPr>
                <w:rFonts w:eastAsia="Times New Roman"/>
                <w:color w:val="auto"/>
                <w:lang w:eastAsia="en-SG"/>
              </w:rPr>
              <w:t>(DT: ATQ).</w:t>
            </w:r>
          </w:p>
        </w:tc>
        <w:tc>
          <w:tcPr>
            <w:tcW w:w="566" w:type="pct"/>
            <w:tcBorders>
              <w:top w:val="nil"/>
              <w:left w:val="nil"/>
              <w:bottom w:val="nil"/>
              <w:right w:val="nil"/>
            </w:tcBorders>
            <w:shd w:val="clear" w:color="000000" w:fill="FFFFFF"/>
            <w:tcMar>
              <w:top w:w="28" w:type="dxa"/>
              <w:bottom w:w="28" w:type="dxa"/>
            </w:tcMar>
            <w:vAlign w:val="center"/>
          </w:tcPr>
          <w:p w14:paraId="4AFE8839" w14:textId="77777777" w:rsidR="00F731AC" w:rsidRPr="002D1654" w:rsidRDefault="00F731AC" w:rsidP="00CC768C">
            <w:pPr>
              <w:spacing w:after="0" w:line="245" w:lineRule="auto"/>
              <w:jc w:val="center"/>
              <w:rPr>
                <w:rFonts w:eastAsia="Times New Roman"/>
                <w:color w:val="auto"/>
                <w:lang w:eastAsia="en-SG"/>
              </w:rPr>
            </w:pPr>
            <w:r w:rsidRPr="002D1654">
              <w:rPr>
                <w:rFonts w:eastAsia="Times New Roman"/>
                <w:color w:val="auto"/>
                <w:lang w:eastAsia="en-SG"/>
              </w:rPr>
              <w:t>COMPUSTAT</w:t>
            </w:r>
          </w:p>
        </w:tc>
        <w:tc>
          <w:tcPr>
            <w:tcW w:w="798" w:type="pct"/>
            <w:tcBorders>
              <w:top w:val="nil"/>
              <w:left w:val="nil"/>
              <w:bottom w:val="nil"/>
              <w:right w:val="nil"/>
            </w:tcBorders>
            <w:shd w:val="clear" w:color="000000" w:fill="FFFFFF"/>
            <w:tcMar>
              <w:top w:w="28" w:type="dxa"/>
              <w:bottom w:w="28" w:type="dxa"/>
            </w:tcMar>
            <w:vAlign w:val="center"/>
          </w:tcPr>
          <w:p w14:paraId="21BCD8E9" w14:textId="6F5D1607" w:rsidR="00F731AC" w:rsidRPr="002D1654" w:rsidRDefault="00695957" w:rsidP="009406BF">
            <w:pPr>
              <w:spacing w:after="0" w:line="245" w:lineRule="auto"/>
              <w:jc w:val="center"/>
              <w:rPr>
                <w:rFonts w:eastAsia="Times New Roman"/>
                <w:color w:val="auto"/>
                <w:lang w:eastAsia="en-SG"/>
              </w:rPr>
            </w:pPr>
            <w:r>
              <w:fldChar w:fldCharType="begin"/>
            </w:r>
            <w:r>
              <w:instrText xml:space="preserve"> ADDIN EN.CITE &lt;EndNote&gt;&lt;Cite AuthorYear="1"&gt;&lt;Author&gt;Fang&lt;/Author&gt;&lt;Year&gt;2008&lt;/Year&gt;&lt;RecNum&gt;391&lt;/RecNum&gt;&lt;DisplayText&gt;Fang, Palmatier, and Steenkamp (2008)&lt;/DisplayText&gt;&lt;record&gt;&lt;rec-number&gt;391&lt;/rec-number&gt;&lt;foreign-keys&gt;&lt;key app="EN" db-id="d05sxppah09pwxe9fpbva0972x9paswspf90" timestamp="1482286498" guid="6c11fe95-a822-4ff4-a251-8c21696a7b6e"&gt;391&lt;/key&gt;&lt;/foreign-keys&gt;&lt;ref-type name="Journal Article"&gt;17&lt;/ref-type&gt;&lt;contributors&gt;&lt;authors&gt;&lt;author&gt;Eric Fang&lt;/author&gt;&lt;author&gt;Robert W. Palmatier&lt;/author&gt;&lt;author&gt;Jan-Benedict E.M. Steenkamp&lt;/author&gt;&lt;/authors&gt;&lt;/contributors&gt;&lt;titles&gt;&lt;title&gt;Effect of Service Transition Strategies on Firm Value&lt;/title&gt;&lt;secondary-title&gt;Journal of Marketing&lt;/secondary-title&gt;&lt;/titles&gt;&lt;periodical&gt;&lt;full-title&gt;Journal of Marketing&lt;/full-title&gt;&lt;/periodical&gt;&lt;pages&gt;1-14&lt;/pages&gt;&lt;volume&gt;72&lt;/volume&gt;&lt;number&gt;5&lt;/number&gt;&lt;keywords&gt;&lt;keyword&gt;service ratio,solution selling,service transition strategies,Tobin&amp;apos;s q,resource-based view,firm value&lt;/keyword&gt;&lt;/keywords&gt;&lt;dates&gt;&lt;year&gt;2008&lt;/year&gt;&lt;/dates&gt;&lt;urls&gt;&lt;related-urls&gt;&lt;url&gt;http://journals.ama.org/doi/abs/10.1509/jmkg.72.5.1&lt;/url&gt;&lt;/related-urls&gt;&lt;/urls&gt;&lt;electronic-resource-num&gt;10.1509/jmkg.72.5.1&lt;/electronic-resource-num&gt;&lt;/record&gt;&lt;/Cite&gt;&lt;/EndNote&gt;</w:instrText>
            </w:r>
            <w:r>
              <w:fldChar w:fldCharType="separate"/>
            </w:r>
            <w:r>
              <w:rPr>
                <w:noProof/>
              </w:rPr>
              <w:t>Fang, Palmatier, and Steenkamp (2008)</w:t>
            </w:r>
            <w:r>
              <w:fldChar w:fldCharType="end"/>
            </w:r>
          </w:p>
        </w:tc>
      </w:tr>
      <w:tr w:rsidR="00F731AC" w:rsidRPr="002D1654" w14:paraId="06909B68" w14:textId="77777777" w:rsidTr="009406BF">
        <w:trPr>
          <w:trHeight w:val="343"/>
          <w:jc w:val="center"/>
        </w:trPr>
        <w:tc>
          <w:tcPr>
            <w:tcW w:w="772" w:type="pct"/>
            <w:tcBorders>
              <w:top w:val="nil"/>
              <w:left w:val="nil"/>
              <w:bottom w:val="nil"/>
              <w:right w:val="nil"/>
            </w:tcBorders>
            <w:shd w:val="clear" w:color="000000" w:fill="FFFFFF"/>
            <w:noWrap/>
            <w:tcMar>
              <w:top w:w="28" w:type="dxa"/>
              <w:bottom w:w="28" w:type="dxa"/>
            </w:tcMar>
            <w:vAlign w:val="center"/>
          </w:tcPr>
          <w:p w14:paraId="21EAC2C2" w14:textId="77777777" w:rsidR="00F731AC" w:rsidRPr="002D1654" w:rsidRDefault="00F731AC" w:rsidP="00CC768C">
            <w:pPr>
              <w:spacing w:after="0" w:line="245" w:lineRule="auto"/>
              <w:rPr>
                <w:rFonts w:eastAsia="Times New Roman"/>
                <w:color w:val="auto"/>
                <w:lang w:eastAsia="en-SG"/>
              </w:rPr>
            </w:pPr>
            <w:r w:rsidRPr="002D1654">
              <w:rPr>
                <w:rFonts w:eastAsia="Times New Roman"/>
                <w:color w:val="auto"/>
                <w:lang w:eastAsia="en-SG"/>
              </w:rPr>
              <w:t>R&amp;D Intensity</w:t>
            </w:r>
          </w:p>
        </w:tc>
        <w:tc>
          <w:tcPr>
            <w:tcW w:w="2864" w:type="pct"/>
            <w:tcBorders>
              <w:top w:val="nil"/>
              <w:left w:val="nil"/>
              <w:bottom w:val="nil"/>
              <w:right w:val="nil"/>
            </w:tcBorders>
            <w:shd w:val="clear" w:color="000000" w:fill="FFFFFF"/>
            <w:tcMar>
              <w:top w:w="28" w:type="dxa"/>
              <w:bottom w:w="28" w:type="dxa"/>
            </w:tcMar>
            <w:vAlign w:val="center"/>
          </w:tcPr>
          <w:p w14:paraId="463E4BCA" w14:textId="77777777" w:rsidR="00F731AC" w:rsidRPr="002D1654" w:rsidRDefault="00F731AC" w:rsidP="00CC768C">
            <w:pPr>
              <w:spacing w:after="0" w:line="245" w:lineRule="auto"/>
              <w:rPr>
                <w:rFonts w:eastAsia="Times New Roman"/>
                <w:color w:val="auto"/>
                <w:lang w:eastAsia="en-SG"/>
              </w:rPr>
            </w:pPr>
            <w:r w:rsidRPr="002D1654">
              <w:rPr>
                <w:rFonts w:eastAsia="Times New Roman"/>
                <w:color w:val="auto"/>
                <w:lang w:eastAsia="en-SG"/>
              </w:rPr>
              <w:t>Ratio of the firm’s R&amp;D expenditures (DT: XRDQ) to its total assets (DT: ATQ).</w:t>
            </w:r>
          </w:p>
        </w:tc>
        <w:tc>
          <w:tcPr>
            <w:tcW w:w="566" w:type="pct"/>
            <w:tcBorders>
              <w:top w:val="nil"/>
              <w:left w:val="nil"/>
              <w:bottom w:val="nil"/>
              <w:right w:val="nil"/>
            </w:tcBorders>
            <w:shd w:val="clear" w:color="000000" w:fill="FFFFFF"/>
            <w:tcMar>
              <w:top w:w="28" w:type="dxa"/>
              <w:bottom w:w="28" w:type="dxa"/>
            </w:tcMar>
            <w:vAlign w:val="center"/>
          </w:tcPr>
          <w:p w14:paraId="5EEE70E1" w14:textId="77777777" w:rsidR="00F731AC" w:rsidRPr="002D1654" w:rsidRDefault="00F731AC" w:rsidP="00CC768C">
            <w:pPr>
              <w:spacing w:after="0" w:line="245" w:lineRule="auto"/>
              <w:jc w:val="center"/>
              <w:rPr>
                <w:rFonts w:eastAsia="Times New Roman"/>
                <w:color w:val="auto"/>
                <w:lang w:eastAsia="en-SG"/>
              </w:rPr>
            </w:pPr>
            <w:r w:rsidRPr="002D1654">
              <w:rPr>
                <w:rFonts w:eastAsia="Times New Roman"/>
                <w:color w:val="auto"/>
                <w:lang w:eastAsia="en-SG"/>
              </w:rPr>
              <w:t>COMPUSTAT</w:t>
            </w:r>
          </w:p>
        </w:tc>
        <w:tc>
          <w:tcPr>
            <w:tcW w:w="798" w:type="pct"/>
            <w:tcBorders>
              <w:top w:val="nil"/>
              <w:left w:val="nil"/>
              <w:bottom w:val="nil"/>
              <w:right w:val="nil"/>
            </w:tcBorders>
            <w:shd w:val="clear" w:color="000000" w:fill="FFFFFF"/>
            <w:tcMar>
              <w:top w:w="28" w:type="dxa"/>
              <w:bottom w:w="28" w:type="dxa"/>
            </w:tcMar>
            <w:vAlign w:val="center"/>
          </w:tcPr>
          <w:p w14:paraId="7C6D422C" w14:textId="1F9EAA93" w:rsidR="00F731AC" w:rsidRPr="002D1654" w:rsidRDefault="00F411C0" w:rsidP="009406BF">
            <w:pPr>
              <w:spacing w:after="0" w:line="245" w:lineRule="auto"/>
              <w:jc w:val="center"/>
              <w:rPr>
                <w:rFonts w:eastAsia="Times New Roman"/>
                <w:color w:val="auto"/>
                <w:lang w:eastAsia="en-SG"/>
              </w:rPr>
            </w:pPr>
            <w:r>
              <w:fldChar w:fldCharType="begin"/>
            </w:r>
            <w:r>
              <w:instrText xml:space="preserve"> ADDIN EN.CITE &lt;EndNote&gt;&lt;Cite AuthorYear="1"&gt;&lt;Author&gt;Luo&lt;/Author&gt;&lt;Year&gt;2009&lt;/Year&gt;&lt;RecNum&gt;516&lt;/RecNum&gt;&lt;DisplayText&gt;Luo and Bhattacharya (2009)&lt;/DisplayText&gt;&lt;record&gt;&lt;rec-number&gt;516&lt;/rec-number&gt;&lt;foreign-keys&gt;&lt;key app="EN" db-id="d05sxppah09pwxe9fpbva0972x9paswspf90" timestamp="1482286527" guid="8e283c36-3819-435c-94a7-d85462d4f576"&gt;516&lt;/key&gt;&lt;/foreign-keys&gt;&lt;ref-type name="Journal Article"&gt;17&lt;/ref-type&gt;&lt;contributors&gt;&lt;authors&gt;&lt;author&gt;Luo, Xueming&lt;/author&gt;&lt;author&gt;C.B. Bhattacharya&lt;/author&gt;&lt;/authors&gt;&lt;/contributors&gt;&lt;titles&gt;&lt;title&gt;The Debate over Doing Good: Corporate Social Performance, Strategic Marketing Levers, and Firm-Idiosyncratic Risk&lt;/title&gt;&lt;secondary-title&gt;Journal of Marketing&lt;/secondary-title&gt;&lt;/titles&gt;&lt;periodical&gt;&lt;full-title&gt;Journal of Marketing&lt;/full-title&gt;&lt;/periodical&gt;&lt;pages&gt;198-213&lt;/pages&gt;&lt;volume&gt;73&lt;/volume&gt;&lt;number&gt;6&lt;/number&gt;&lt;keywords&gt;&lt;keyword&gt;corporate social responsibility,stock risk,marketing–finance interface,advertising,research and development&lt;/keyword&gt;&lt;/keywords&gt;&lt;dates&gt;&lt;year&gt;2009&lt;/year&gt;&lt;/dates&gt;&lt;urls&gt;&lt;related-urls&gt;&lt;url&gt;http://journals.ama.org/doi/abs/10.1509/jmkg.73.6.198&lt;/url&gt;&lt;/related-urls&gt;&lt;/urls&gt;&lt;electronic-resource-num&gt;10.1509/jmkg.73.6.198&lt;/electronic-resource-num&gt;&lt;/record&gt;&lt;/Cite&gt;&lt;/EndNote&gt;</w:instrText>
            </w:r>
            <w:r>
              <w:fldChar w:fldCharType="separate"/>
            </w:r>
            <w:r>
              <w:rPr>
                <w:noProof/>
              </w:rPr>
              <w:t>Luo and Bhattacharya (2009)</w:t>
            </w:r>
            <w:r>
              <w:fldChar w:fldCharType="end"/>
            </w:r>
          </w:p>
        </w:tc>
      </w:tr>
      <w:tr w:rsidR="00F731AC" w:rsidRPr="002D1654" w14:paraId="5C1F3374" w14:textId="77777777" w:rsidTr="00272A43">
        <w:trPr>
          <w:trHeight w:val="431"/>
          <w:jc w:val="center"/>
        </w:trPr>
        <w:tc>
          <w:tcPr>
            <w:tcW w:w="772" w:type="pct"/>
            <w:tcBorders>
              <w:top w:val="nil"/>
              <w:left w:val="nil"/>
              <w:bottom w:val="nil"/>
              <w:right w:val="nil"/>
            </w:tcBorders>
            <w:shd w:val="clear" w:color="000000" w:fill="FFFFFF"/>
            <w:tcMar>
              <w:top w:w="28" w:type="dxa"/>
              <w:bottom w:w="28" w:type="dxa"/>
            </w:tcMar>
            <w:vAlign w:val="center"/>
            <w:hideMark/>
          </w:tcPr>
          <w:p w14:paraId="74A69D59" w14:textId="77777777" w:rsidR="00F731AC" w:rsidRPr="002D1654" w:rsidRDefault="00F731AC" w:rsidP="00CC768C">
            <w:pPr>
              <w:spacing w:after="0" w:line="245" w:lineRule="auto"/>
              <w:rPr>
                <w:rFonts w:eastAsia="Times New Roman"/>
                <w:color w:val="auto"/>
                <w:lang w:eastAsia="en-SG"/>
              </w:rPr>
            </w:pPr>
            <w:r w:rsidRPr="002D1654">
              <w:rPr>
                <w:rFonts w:eastAsia="Times New Roman"/>
                <w:color w:val="auto"/>
                <w:lang w:eastAsia="en-SG"/>
              </w:rPr>
              <w:t>Industry Concentration</w:t>
            </w:r>
          </w:p>
        </w:tc>
        <w:tc>
          <w:tcPr>
            <w:tcW w:w="2864" w:type="pct"/>
            <w:tcBorders>
              <w:top w:val="nil"/>
              <w:left w:val="nil"/>
              <w:bottom w:val="nil"/>
              <w:right w:val="nil"/>
            </w:tcBorders>
            <w:shd w:val="clear" w:color="000000" w:fill="FFFFFF"/>
            <w:tcMar>
              <w:top w:w="28" w:type="dxa"/>
              <w:bottom w:w="28" w:type="dxa"/>
            </w:tcMar>
            <w:vAlign w:val="center"/>
            <w:hideMark/>
          </w:tcPr>
          <w:p w14:paraId="36EF64DB" w14:textId="77777777" w:rsidR="00F731AC" w:rsidRPr="002D1654" w:rsidRDefault="00F731AC" w:rsidP="00CC768C">
            <w:pPr>
              <w:spacing w:after="0" w:line="245" w:lineRule="auto"/>
              <w:rPr>
                <w:rFonts w:eastAsia="Times New Roman"/>
                <w:color w:val="auto"/>
                <w:lang w:eastAsia="en-SG"/>
              </w:rPr>
            </w:pPr>
            <w:r w:rsidRPr="002D1654">
              <w:rPr>
                <w:rFonts w:eastAsia="Times New Roman"/>
                <w:color w:val="auto"/>
                <w:lang w:eastAsia="en-SG"/>
              </w:rPr>
              <w:t>The four-digit NAICS Herfindahl index of firm sales (DT: REVTQ).</w:t>
            </w:r>
          </w:p>
        </w:tc>
        <w:tc>
          <w:tcPr>
            <w:tcW w:w="566" w:type="pct"/>
            <w:tcBorders>
              <w:top w:val="nil"/>
              <w:left w:val="nil"/>
              <w:bottom w:val="nil"/>
              <w:right w:val="nil"/>
            </w:tcBorders>
            <w:shd w:val="clear" w:color="000000" w:fill="FFFFFF"/>
            <w:tcMar>
              <w:top w:w="28" w:type="dxa"/>
              <w:bottom w:w="28" w:type="dxa"/>
            </w:tcMar>
            <w:vAlign w:val="center"/>
            <w:hideMark/>
          </w:tcPr>
          <w:p w14:paraId="18FCF369" w14:textId="77777777" w:rsidR="00F731AC" w:rsidRPr="002D1654" w:rsidRDefault="00F731AC" w:rsidP="00CC768C">
            <w:pPr>
              <w:spacing w:after="0" w:line="245" w:lineRule="auto"/>
              <w:jc w:val="center"/>
              <w:rPr>
                <w:rFonts w:eastAsia="Times New Roman"/>
                <w:color w:val="auto"/>
                <w:lang w:eastAsia="en-SG"/>
              </w:rPr>
            </w:pPr>
            <w:r w:rsidRPr="002D1654">
              <w:rPr>
                <w:rFonts w:eastAsia="Times New Roman"/>
                <w:color w:val="auto"/>
                <w:lang w:eastAsia="en-SG"/>
              </w:rPr>
              <w:t>COMPUSTAT</w:t>
            </w:r>
          </w:p>
        </w:tc>
        <w:tc>
          <w:tcPr>
            <w:tcW w:w="798" w:type="pct"/>
            <w:tcBorders>
              <w:left w:val="nil"/>
              <w:bottom w:val="nil"/>
              <w:right w:val="nil"/>
            </w:tcBorders>
            <w:shd w:val="clear" w:color="000000" w:fill="FFFFFF"/>
            <w:tcMar>
              <w:top w:w="28" w:type="dxa"/>
              <w:bottom w:w="28" w:type="dxa"/>
            </w:tcMar>
            <w:vAlign w:val="center"/>
          </w:tcPr>
          <w:p w14:paraId="3B12D26B" w14:textId="258999B7" w:rsidR="00F731AC" w:rsidRPr="002D1654" w:rsidRDefault="009C1933" w:rsidP="009406BF">
            <w:pPr>
              <w:spacing w:after="0" w:line="245" w:lineRule="auto"/>
              <w:jc w:val="center"/>
              <w:rPr>
                <w:rFonts w:eastAsia="Times New Roman"/>
                <w:color w:val="auto"/>
                <w:lang w:eastAsia="en-SG"/>
              </w:rPr>
            </w:pPr>
            <w:r>
              <w:fldChar w:fldCharType="begin"/>
            </w:r>
            <w:r>
              <w:instrText xml:space="preserve"> ADDIN EN.CITE &lt;EndNote&gt;&lt;Cite AuthorYear="1"&gt;&lt;Author&gt;Gruca&lt;/Author&gt;&lt;Year&gt;2005&lt;/Year&gt;&lt;RecNum&gt;232&lt;/RecNum&gt;&lt;DisplayText&gt;Gruca and Rego (2005)&lt;/DisplayText&gt;&lt;record&gt;&lt;rec-number&gt;232&lt;/rec-number&gt;&lt;foreign-keys&gt;&lt;key app="EN" db-id="d05sxppah09pwxe9fpbva0972x9paswspf90" timestamp="1482286463" guid="3c03c63f-7be3-4e3c-b5a9-68ac4e042398"&gt;232&lt;/key&gt;&lt;/foreign-keys&gt;&lt;ref-type name="Journal Article"&gt;17&lt;/ref-type&gt;&lt;contributors&gt;&lt;authors&gt;&lt;author&gt;Thomas S. Gruca&lt;/author&gt;&lt;author&gt;Lopo L. Rego&lt;/author&gt;&lt;/authors&gt;&lt;/contributors&gt;&lt;titles&gt;&lt;title&gt;Customer Satisfaction, Cash Flow, and Shareholder Value&lt;/title&gt;&lt;secondary-title&gt;Journal of Marketing&lt;/secondary-title&gt;&lt;/titles&gt;&lt;periodical&gt;&lt;full-title&gt;Journal of Marketing&lt;/full-title&gt;&lt;/periodical&gt;&lt;pages&gt;1-130&lt;/pages&gt;&lt;volume&gt;69&lt;/volume&gt;&lt;number&gt;3&lt;/number&gt;&lt;keywords&gt;&lt;keyword&gt;shareholder value,customer satisfaction,cash flow growth,cash flow variability,hierarchical Bayesian regression&lt;/keyword&gt;&lt;/keywords&gt;&lt;dates&gt;&lt;year&gt;2005&lt;/year&gt;&lt;/dates&gt;&lt;urls&gt;&lt;related-urls&gt;&lt;url&gt;http://journals.ama.org/doi/abs/10.1509/jmkg.69.3.1.66358&lt;/url&gt;&lt;/related-urls&gt;&lt;/urls&gt;&lt;electronic-resource-num&gt;10.1509/jmkg.69.3.1.66358&lt;/electronic-resource-num&gt;&lt;/record&gt;&lt;/Cite&gt;&lt;/EndNote&gt;</w:instrText>
            </w:r>
            <w:r>
              <w:fldChar w:fldCharType="separate"/>
            </w:r>
            <w:r>
              <w:rPr>
                <w:noProof/>
              </w:rPr>
              <w:t>Gruca and Rego (2005)</w:t>
            </w:r>
            <w:r>
              <w:fldChar w:fldCharType="end"/>
            </w:r>
          </w:p>
        </w:tc>
      </w:tr>
      <w:tr w:rsidR="00F731AC" w:rsidRPr="002D1654" w14:paraId="18B58714" w14:textId="77777777" w:rsidTr="00272A43">
        <w:trPr>
          <w:trHeight w:val="454"/>
          <w:jc w:val="center"/>
        </w:trPr>
        <w:tc>
          <w:tcPr>
            <w:tcW w:w="772" w:type="pct"/>
            <w:tcBorders>
              <w:top w:val="nil"/>
              <w:left w:val="nil"/>
              <w:right w:val="nil"/>
            </w:tcBorders>
            <w:shd w:val="clear" w:color="000000" w:fill="FFFFFF"/>
            <w:tcMar>
              <w:top w:w="28" w:type="dxa"/>
              <w:bottom w:w="28" w:type="dxa"/>
            </w:tcMar>
            <w:vAlign w:val="center"/>
            <w:hideMark/>
          </w:tcPr>
          <w:p w14:paraId="3405C827" w14:textId="77777777" w:rsidR="00F731AC" w:rsidRPr="002D1654" w:rsidRDefault="00F731AC" w:rsidP="00CC768C">
            <w:pPr>
              <w:spacing w:after="0" w:line="245" w:lineRule="auto"/>
              <w:rPr>
                <w:rFonts w:eastAsia="Times New Roman"/>
                <w:color w:val="auto"/>
                <w:lang w:eastAsia="en-SG"/>
              </w:rPr>
            </w:pPr>
            <w:r w:rsidRPr="002D1654">
              <w:rPr>
                <w:rFonts w:eastAsia="Times New Roman"/>
                <w:color w:val="auto"/>
                <w:lang w:eastAsia="en-SG"/>
              </w:rPr>
              <w:t>Industry Growth</w:t>
            </w:r>
          </w:p>
        </w:tc>
        <w:tc>
          <w:tcPr>
            <w:tcW w:w="2864" w:type="pct"/>
            <w:tcBorders>
              <w:top w:val="nil"/>
              <w:left w:val="nil"/>
              <w:right w:val="nil"/>
            </w:tcBorders>
            <w:shd w:val="clear" w:color="000000" w:fill="FFFFFF"/>
            <w:tcMar>
              <w:top w:w="28" w:type="dxa"/>
              <w:bottom w:w="28" w:type="dxa"/>
            </w:tcMar>
            <w:vAlign w:val="center"/>
            <w:hideMark/>
          </w:tcPr>
          <w:p w14:paraId="5CDC3FEE" w14:textId="77777777" w:rsidR="00F731AC" w:rsidRPr="002D1654" w:rsidRDefault="00F731AC" w:rsidP="00CC768C">
            <w:pPr>
              <w:spacing w:after="0" w:line="245" w:lineRule="auto"/>
              <w:rPr>
                <w:rFonts w:eastAsia="Times New Roman"/>
                <w:color w:val="auto"/>
                <w:lang w:eastAsia="en-SG"/>
              </w:rPr>
            </w:pPr>
            <w:r w:rsidRPr="002D1654">
              <w:rPr>
                <w:rFonts w:eastAsia="Times New Roman"/>
                <w:color w:val="auto"/>
                <w:lang w:eastAsia="en-SG"/>
              </w:rPr>
              <w:t>The difference in the natural logarithm of the sum of the total sales of the firms within the same four-digit NAICS code at the end of the current year from the end of the preceding year (DT: REVTQ).</w:t>
            </w:r>
          </w:p>
        </w:tc>
        <w:tc>
          <w:tcPr>
            <w:tcW w:w="566" w:type="pct"/>
            <w:tcBorders>
              <w:top w:val="nil"/>
              <w:left w:val="nil"/>
              <w:right w:val="nil"/>
            </w:tcBorders>
            <w:shd w:val="clear" w:color="000000" w:fill="FFFFFF"/>
            <w:tcMar>
              <w:top w:w="28" w:type="dxa"/>
              <w:bottom w:w="28" w:type="dxa"/>
            </w:tcMar>
            <w:vAlign w:val="center"/>
            <w:hideMark/>
          </w:tcPr>
          <w:p w14:paraId="088D7D68" w14:textId="77777777" w:rsidR="00F731AC" w:rsidRPr="002D1654" w:rsidRDefault="00F731AC" w:rsidP="00CC768C">
            <w:pPr>
              <w:spacing w:after="0" w:line="245" w:lineRule="auto"/>
              <w:jc w:val="center"/>
              <w:rPr>
                <w:rFonts w:eastAsia="Times New Roman"/>
                <w:color w:val="auto"/>
                <w:lang w:eastAsia="en-SG"/>
              </w:rPr>
            </w:pPr>
            <w:r w:rsidRPr="002D1654">
              <w:rPr>
                <w:rFonts w:eastAsia="Times New Roman"/>
                <w:color w:val="auto"/>
                <w:lang w:eastAsia="en-SG"/>
              </w:rPr>
              <w:t>COMPUSTAT</w:t>
            </w:r>
          </w:p>
        </w:tc>
        <w:tc>
          <w:tcPr>
            <w:tcW w:w="798" w:type="pct"/>
            <w:tcBorders>
              <w:top w:val="nil"/>
              <w:left w:val="nil"/>
              <w:right w:val="nil"/>
            </w:tcBorders>
            <w:shd w:val="clear" w:color="000000" w:fill="FFFFFF"/>
            <w:tcMar>
              <w:top w:w="28" w:type="dxa"/>
              <w:bottom w:w="28" w:type="dxa"/>
            </w:tcMar>
            <w:vAlign w:val="center"/>
          </w:tcPr>
          <w:p w14:paraId="3710C07F" w14:textId="2ADAC0A6" w:rsidR="00F731AC" w:rsidRPr="002D1654" w:rsidRDefault="006A5CB8" w:rsidP="009406BF">
            <w:pPr>
              <w:spacing w:after="0" w:line="245" w:lineRule="auto"/>
              <w:jc w:val="center"/>
              <w:rPr>
                <w:rFonts w:eastAsia="Times New Roman"/>
                <w:color w:val="auto"/>
                <w:lang w:eastAsia="en-SG"/>
              </w:rPr>
            </w:pPr>
            <w:r>
              <w:fldChar w:fldCharType="begin"/>
            </w:r>
            <w:r>
              <w:instrText xml:space="preserve"> ADDIN EN.CITE &lt;EndNote&gt;&lt;Cite AuthorYear="1"&gt;&lt;Author&gt;Whitler&lt;/Author&gt;&lt;Year&gt;2018&lt;/Year&gt;&lt;RecNum&gt;2532&lt;/RecNum&gt;&lt;DisplayText&gt;Whitler, Krause, and Lehmann (2018)&lt;/DisplayText&gt;&lt;record&gt;&lt;rec-number&gt;2532&lt;/rec-number&gt;&lt;foreign-keys&gt;&lt;key app="EN" db-id="d05sxppah09pwxe9fpbva0972x9paswspf90" timestamp="1540246780" guid="adab2727-3aab-4666-b06b-7898debf1d07"&gt;2532&lt;/key&gt;&lt;/foreign-keys&gt;&lt;ref-type name="Journal Article"&gt;17&lt;/ref-type&gt;&lt;contributors&gt;&lt;authors&gt;&lt;author&gt;Kimberly A. Whitler&lt;/author&gt;&lt;author&gt;Ryan Krause&lt;/author&gt;&lt;author&gt;Donald R. Lehmann&lt;/author&gt;&lt;/authors&gt;&lt;/contributors&gt;&lt;titles&gt;&lt;title&gt;When and How Board Members with Marketing Experience Facilitate Firm Growth&lt;/title&gt;&lt;secondary-title&gt;Journal of Marketing&lt;/secondary-title&gt;&lt;/titles&gt;&lt;periodical&gt;&lt;full-title&gt;Journal of Marketing&lt;/full-title&gt;&lt;/periodical&gt;&lt;pages&gt;86-105&lt;/pages&gt;&lt;volume&gt;82&lt;/volume&gt;&lt;number&gt;5&lt;/number&gt;&lt;keywords&gt;&lt;keyword&gt;marketing-experienced board member,chief of marketing,board of directors,revenue growth,board diversity,upper echelons&lt;/keyword&gt;&lt;/keywords&gt;&lt;dates&gt;&lt;year&gt;2018&lt;/year&gt;&lt;/dates&gt;&lt;urls&gt;&lt;related-urls&gt;&lt;url&gt;http://journals.ama.org/doi/abs/10.1509/jm.17.0195&lt;/url&gt;&lt;/related-urls&gt;&lt;/urls&gt;&lt;electronic-resource-num&gt;10.1509/jm.17.0195&lt;/electronic-resource-num&gt;&lt;/record&gt;&lt;/Cite&gt;&lt;/EndNote&gt;</w:instrText>
            </w:r>
            <w:r>
              <w:fldChar w:fldCharType="separate"/>
            </w:r>
            <w:r>
              <w:rPr>
                <w:noProof/>
              </w:rPr>
              <w:t>Whitler, Krause, and Lehmann (2018)</w:t>
            </w:r>
            <w:r>
              <w:fldChar w:fldCharType="end"/>
            </w:r>
          </w:p>
        </w:tc>
      </w:tr>
      <w:tr w:rsidR="00F731AC" w:rsidRPr="002D1654" w14:paraId="2AFD8DE9" w14:textId="77777777" w:rsidTr="009406BF">
        <w:trPr>
          <w:trHeight w:val="680"/>
          <w:jc w:val="center"/>
        </w:trPr>
        <w:tc>
          <w:tcPr>
            <w:tcW w:w="772" w:type="pct"/>
            <w:tcBorders>
              <w:top w:val="nil"/>
              <w:left w:val="nil"/>
              <w:right w:val="nil"/>
            </w:tcBorders>
            <w:shd w:val="clear" w:color="000000" w:fill="FFFFFF"/>
            <w:tcMar>
              <w:top w:w="28" w:type="dxa"/>
              <w:bottom w:w="28" w:type="dxa"/>
            </w:tcMar>
            <w:vAlign w:val="center"/>
            <w:hideMark/>
          </w:tcPr>
          <w:p w14:paraId="070BD3ED" w14:textId="77777777" w:rsidR="00F731AC" w:rsidRPr="002D1654" w:rsidRDefault="00F731AC" w:rsidP="00CC768C">
            <w:pPr>
              <w:spacing w:after="0" w:line="245" w:lineRule="auto"/>
              <w:rPr>
                <w:rFonts w:eastAsia="Times New Roman"/>
                <w:color w:val="auto"/>
                <w:lang w:eastAsia="en-SG"/>
              </w:rPr>
            </w:pPr>
            <w:r w:rsidRPr="002D1654">
              <w:rPr>
                <w:rFonts w:eastAsia="Times New Roman"/>
                <w:color w:val="auto"/>
                <w:lang w:eastAsia="en-SG"/>
              </w:rPr>
              <w:t>Industry Turbulence</w:t>
            </w:r>
          </w:p>
        </w:tc>
        <w:tc>
          <w:tcPr>
            <w:tcW w:w="2864" w:type="pct"/>
            <w:tcBorders>
              <w:top w:val="nil"/>
              <w:left w:val="nil"/>
              <w:right w:val="nil"/>
            </w:tcBorders>
            <w:shd w:val="clear" w:color="000000" w:fill="FFFFFF"/>
            <w:tcMar>
              <w:top w:w="28" w:type="dxa"/>
              <w:bottom w:w="28" w:type="dxa"/>
            </w:tcMar>
            <w:vAlign w:val="center"/>
            <w:hideMark/>
          </w:tcPr>
          <w:p w14:paraId="6BCDCD6A" w14:textId="77777777" w:rsidR="00F731AC" w:rsidRPr="002D1654" w:rsidRDefault="00F731AC" w:rsidP="00CC768C">
            <w:pPr>
              <w:spacing w:after="0" w:line="245" w:lineRule="auto"/>
              <w:rPr>
                <w:rFonts w:eastAsia="Times New Roman"/>
                <w:color w:val="auto"/>
                <w:lang w:eastAsia="en-SG"/>
              </w:rPr>
            </w:pPr>
            <w:r w:rsidRPr="002D1654">
              <w:rPr>
                <w:rFonts w:eastAsia="Times New Roman"/>
                <w:color w:val="auto"/>
                <w:lang w:eastAsia="en-SG"/>
              </w:rPr>
              <w:t>The standard deviation of the sum of the total sales of the firms within the same four-digit NAICS across the prior four years scaled by the mean value of the sum of the total sales of the firms within the same four-digit NAICS code for those four years (DT: REVTQ).</w:t>
            </w:r>
          </w:p>
        </w:tc>
        <w:tc>
          <w:tcPr>
            <w:tcW w:w="566" w:type="pct"/>
            <w:tcBorders>
              <w:top w:val="nil"/>
              <w:left w:val="nil"/>
              <w:right w:val="nil"/>
            </w:tcBorders>
            <w:shd w:val="clear" w:color="000000" w:fill="FFFFFF"/>
            <w:tcMar>
              <w:top w:w="28" w:type="dxa"/>
              <w:bottom w:w="28" w:type="dxa"/>
            </w:tcMar>
            <w:vAlign w:val="center"/>
            <w:hideMark/>
          </w:tcPr>
          <w:p w14:paraId="514E3CB0" w14:textId="77777777" w:rsidR="00F731AC" w:rsidRPr="002D1654" w:rsidRDefault="00F731AC" w:rsidP="00CC768C">
            <w:pPr>
              <w:spacing w:after="0" w:line="245" w:lineRule="auto"/>
              <w:jc w:val="center"/>
              <w:rPr>
                <w:rFonts w:eastAsia="Times New Roman"/>
                <w:color w:val="auto"/>
                <w:lang w:eastAsia="en-SG"/>
              </w:rPr>
            </w:pPr>
            <w:r w:rsidRPr="002D1654">
              <w:rPr>
                <w:rFonts w:eastAsia="Times New Roman"/>
                <w:color w:val="auto"/>
                <w:lang w:eastAsia="en-SG"/>
              </w:rPr>
              <w:t>COMPUSTAT</w:t>
            </w:r>
          </w:p>
        </w:tc>
        <w:tc>
          <w:tcPr>
            <w:tcW w:w="798" w:type="pct"/>
            <w:tcBorders>
              <w:top w:val="nil"/>
              <w:left w:val="nil"/>
              <w:right w:val="nil"/>
            </w:tcBorders>
            <w:shd w:val="clear" w:color="000000" w:fill="FFFFFF"/>
            <w:tcMar>
              <w:top w:w="28" w:type="dxa"/>
              <w:bottom w:w="28" w:type="dxa"/>
            </w:tcMar>
            <w:vAlign w:val="center"/>
            <w:hideMark/>
          </w:tcPr>
          <w:p w14:paraId="417B1C68" w14:textId="251D5881" w:rsidR="00F731AC" w:rsidRPr="002D1654" w:rsidRDefault="00B3017B" w:rsidP="009406BF">
            <w:pPr>
              <w:spacing w:after="0" w:line="245" w:lineRule="auto"/>
              <w:jc w:val="center"/>
              <w:rPr>
                <w:rFonts w:eastAsia="Times New Roman"/>
                <w:color w:val="auto"/>
                <w:lang w:eastAsia="en-SG"/>
              </w:rPr>
            </w:pPr>
            <w:r>
              <w:fldChar w:fldCharType="begin"/>
            </w:r>
            <w:r>
              <w:instrText xml:space="preserve"> ADDIN EN.CITE &lt;EndNote&gt;&lt;Cite AuthorYear="1"&gt;&lt;Author&gt;Fang&lt;/Author&gt;&lt;Year&gt;2008&lt;/Year&gt;&lt;RecNum&gt;391&lt;/RecNum&gt;&lt;DisplayText&gt;Fang, Palmatier, and Steenkamp (2008)&lt;/DisplayText&gt;&lt;record&gt;&lt;rec-number&gt;391&lt;/rec-number&gt;&lt;foreign-keys&gt;&lt;key app="EN" db-id="d05sxppah09pwxe9fpbva0972x9paswspf90" timestamp="1482286498" guid="6c11fe95-a822-4ff4-a251-8c21696a7b6e"&gt;391&lt;/key&gt;&lt;/foreign-keys&gt;&lt;ref-type name="Journal Article"&gt;17&lt;/ref-type&gt;&lt;contributors&gt;&lt;authors&gt;&lt;author&gt;Eric Fang&lt;/author&gt;&lt;author&gt;Robert W. Palmatier&lt;/author&gt;&lt;author&gt;Jan-Benedict E.M. Steenkamp&lt;/author&gt;&lt;/authors&gt;&lt;/contributors&gt;&lt;titles&gt;&lt;title&gt;Effect of Service Transition Strategies on Firm Value&lt;/title&gt;&lt;secondary-title&gt;Journal of Marketing&lt;/secondary-title&gt;&lt;/titles&gt;&lt;periodical&gt;&lt;full-title&gt;Journal of Marketing&lt;/full-title&gt;&lt;/periodical&gt;&lt;pages&gt;1-14&lt;/pages&gt;&lt;volume&gt;72&lt;/volume&gt;&lt;number&gt;5&lt;/number&gt;&lt;keywords&gt;&lt;keyword&gt;service ratio,solution selling,service transition strategies,Tobin&amp;apos;s q,resource-based view,firm value&lt;/keyword&gt;&lt;/keywords&gt;&lt;dates&gt;&lt;year&gt;2008&lt;/year&gt;&lt;/dates&gt;&lt;urls&gt;&lt;related-urls&gt;&lt;url&gt;http://journals.ama.org/doi/abs/10.1509/jmkg.72.5.1&lt;/url&gt;&lt;/related-urls&gt;&lt;/urls&gt;&lt;electronic-resource-num&gt;10.1509/jmkg.72.5.1&lt;/electronic-resource-num&gt;&lt;/record&gt;&lt;/Cite&gt;&lt;/EndNote&gt;</w:instrText>
            </w:r>
            <w:r>
              <w:fldChar w:fldCharType="separate"/>
            </w:r>
            <w:r>
              <w:rPr>
                <w:noProof/>
              </w:rPr>
              <w:t>Fang, Palmatier, and Steenkamp (2008)</w:t>
            </w:r>
            <w:r>
              <w:fldChar w:fldCharType="end"/>
            </w:r>
          </w:p>
        </w:tc>
      </w:tr>
      <w:tr w:rsidR="00F731AC" w:rsidRPr="002D1654" w14:paraId="4C65F753" w14:textId="77777777" w:rsidTr="009406BF">
        <w:trPr>
          <w:trHeight w:val="431"/>
          <w:jc w:val="center"/>
        </w:trPr>
        <w:tc>
          <w:tcPr>
            <w:tcW w:w="772" w:type="pct"/>
            <w:tcBorders>
              <w:top w:val="nil"/>
              <w:left w:val="nil"/>
              <w:right w:val="nil"/>
            </w:tcBorders>
            <w:shd w:val="clear" w:color="000000" w:fill="FFFFFF"/>
            <w:tcMar>
              <w:top w:w="28" w:type="dxa"/>
              <w:bottom w:w="28" w:type="dxa"/>
            </w:tcMar>
            <w:vAlign w:val="center"/>
          </w:tcPr>
          <w:p w14:paraId="5C39EC19" w14:textId="77777777" w:rsidR="00F731AC" w:rsidRPr="002D1654" w:rsidRDefault="00F731AC" w:rsidP="00CC768C">
            <w:pPr>
              <w:spacing w:after="0" w:line="245" w:lineRule="auto"/>
              <w:rPr>
                <w:rFonts w:eastAsia="Times New Roman"/>
                <w:color w:val="auto"/>
                <w:lang w:eastAsia="en-SG"/>
              </w:rPr>
            </w:pPr>
            <w:r>
              <w:rPr>
                <w:rFonts w:eastAsia="Times New Roman"/>
                <w:color w:val="auto"/>
                <w:lang w:eastAsia="en-SG"/>
              </w:rPr>
              <w:t>Industry Labor Intensity</w:t>
            </w:r>
          </w:p>
        </w:tc>
        <w:tc>
          <w:tcPr>
            <w:tcW w:w="2864" w:type="pct"/>
            <w:tcBorders>
              <w:top w:val="nil"/>
              <w:left w:val="nil"/>
              <w:right w:val="nil"/>
            </w:tcBorders>
            <w:shd w:val="clear" w:color="000000" w:fill="FFFFFF"/>
            <w:tcMar>
              <w:top w:w="28" w:type="dxa"/>
              <w:bottom w:w="28" w:type="dxa"/>
            </w:tcMar>
            <w:vAlign w:val="center"/>
          </w:tcPr>
          <w:p w14:paraId="35236DB9" w14:textId="77777777" w:rsidR="00F731AC" w:rsidRPr="002D1654" w:rsidRDefault="00F731AC" w:rsidP="00CC768C">
            <w:pPr>
              <w:spacing w:after="0" w:line="245" w:lineRule="auto"/>
              <w:rPr>
                <w:rFonts w:eastAsia="Times New Roman"/>
                <w:color w:val="auto"/>
                <w:lang w:eastAsia="en-SG"/>
              </w:rPr>
            </w:pPr>
            <w:r>
              <w:rPr>
                <w:rFonts w:eastAsia="Times New Roman"/>
                <w:color w:val="auto"/>
                <w:lang w:eastAsia="en-SG"/>
              </w:rPr>
              <w:t>The average ratio of the number of employees (DT: EMP) to total sales (DT: REVTQ) of the firms within the same four-digit NAICS code.</w:t>
            </w:r>
          </w:p>
        </w:tc>
        <w:tc>
          <w:tcPr>
            <w:tcW w:w="566" w:type="pct"/>
            <w:tcBorders>
              <w:top w:val="nil"/>
              <w:left w:val="nil"/>
              <w:right w:val="nil"/>
            </w:tcBorders>
            <w:shd w:val="clear" w:color="000000" w:fill="FFFFFF"/>
            <w:tcMar>
              <w:top w:w="28" w:type="dxa"/>
              <w:bottom w:w="28" w:type="dxa"/>
            </w:tcMar>
            <w:vAlign w:val="center"/>
          </w:tcPr>
          <w:p w14:paraId="2B35289A" w14:textId="77777777" w:rsidR="00F731AC" w:rsidRPr="002D1654" w:rsidRDefault="00F731AC" w:rsidP="00CC768C">
            <w:pPr>
              <w:spacing w:after="0" w:line="245" w:lineRule="auto"/>
              <w:jc w:val="center"/>
              <w:rPr>
                <w:rFonts w:eastAsia="Times New Roman"/>
                <w:color w:val="auto"/>
                <w:lang w:eastAsia="en-SG"/>
              </w:rPr>
            </w:pPr>
            <w:r w:rsidRPr="002D1654">
              <w:rPr>
                <w:rFonts w:eastAsia="Times New Roman"/>
                <w:color w:val="auto"/>
                <w:lang w:eastAsia="en-SG"/>
              </w:rPr>
              <w:t>COMPUSTAT</w:t>
            </w:r>
          </w:p>
        </w:tc>
        <w:tc>
          <w:tcPr>
            <w:tcW w:w="798" w:type="pct"/>
            <w:tcBorders>
              <w:top w:val="nil"/>
              <w:left w:val="nil"/>
              <w:right w:val="nil"/>
            </w:tcBorders>
            <w:shd w:val="clear" w:color="000000" w:fill="FFFFFF"/>
            <w:tcMar>
              <w:top w:w="28" w:type="dxa"/>
              <w:bottom w:w="28" w:type="dxa"/>
            </w:tcMar>
            <w:vAlign w:val="center"/>
          </w:tcPr>
          <w:p w14:paraId="31635FFB" w14:textId="1DF8FC8E" w:rsidR="00F731AC" w:rsidRPr="002D1654" w:rsidRDefault="00213770" w:rsidP="009406BF">
            <w:pPr>
              <w:spacing w:after="0" w:line="245" w:lineRule="auto"/>
              <w:jc w:val="center"/>
              <w:rPr>
                <w:rFonts w:eastAsia="Times New Roman"/>
                <w:color w:val="auto"/>
                <w:lang w:eastAsia="en-SG"/>
              </w:rPr>
            </w:pPr>
            <w:r>
              <w:fldChar w:fldCharType="begin"/>
            </w:r>
            <w:r>
              <w:instrText xml:space="preserve"> ADDIN EN.CITE &lt;EndNote&gt;&lt;Cite AuthorYear="1"&gt;&lt;Author&gt;Liu&lt;/Author&gt;&lt;Year&gt;2017&lt;/Year&gt;&lt;RecNum&gt;2538&lt;/RecNum&gt;&lt;DisplayText&gt;Liu, Shankar, and Yun (2017)&lt;/DisplayText&gt;&lt;record&gt;&lt;rec-number&gt;2538&lt;/rec-number&gt;&lt;foreign-keys&gt;&lt;key app="EN" db-id="d05sxppah09pwxe9fpbva0972x9paswspf90" timestamp="1540246780" guid="8cbb9bcb-9ea6-4a33-8f93-08270219d485"&gt;2538&lt;/key&gt;&lt;/foreign-keys&gt;&lt;ref-type name="Journal Article"&gt;17&lt;/ref-type&gt;&lt;contributors&gt;&lt;authors&gt;&lt;author&gt;Yan Liu&lt;/author&gt;&lt;author&gt;Venkatesh Shankar&lt;/author&gt;&lt;author&gt;Wonjoo Yun&lt;/author&gt;&lt;/authors&gt;&lt;/contributors&gt;&lt;titles&gt;&lt;title&gt;Crisis Management Strategies and the Long-Term Effects of Product Recalls on Firm Value&lt;/title&gt;&lt;secondary-title&gt;Journal of Marketing&lt;/secondary-title&gt;&lt;/titles&gt;&lt;periodical&gt;&lt;full-title&gt;Journal of Marketing&lt;/full-title&gt;&lt;/periodical&gt;&lt;pages&gt;30-48&lt;/pages&gt;&lt;volume&gt;81&lt;/volume&gt;&lt;number&gt;5&lt;/number&gt;&lt;keywords&gt;&lt;keyword&gt;product recall,firm value,crisis management,advertising,long-term effects&lt;/keyword&gt;&lt;/keywords&gt;&lt;dates&gt;&lt;year&gt;2017&lt;/year&gt;&lt;/dates&gt;&lt;urls&gt;&lt;related-urls&gt;&lt;url&gt;http://journals.ama.org/doi/abs/10.1509/jm.15.0535&lt;/url&gt;&lt;/related-urls&gt;&lt;/urls&gt;&lt;electronic-resource-num&gt;10.1509/jm.15.0535&lt;/electronic-resource-num&gt;&lt;/record&gt;&lt;/Cite&gt;&lt;/EndNote&gt;</w:instrText>
            </w:r>
            <w:r>
              <w:fldChar w:fldCharType="separate"/>
            </w:r>
            <w:r>
              <w:rPr>
                <w:noProof/>
              </w:rPr>
              <w:t>Liu, Shankar, and Yun (2017)</w:t>
            </w:r>
            <w:r>
              <w:fldChar w:fldCharType="end"/>
            </w:r>
          </w:p>
        </w:tc>
      </w:tr>
      <w:tr w:rsidR="00F731AC" w:rsidRPr="002D1654" w14:paraId="63B6867E" w14:textId="77777777" w:rsidTr="00CC768C">
        <w:trPr>
          <w:trHeight w:val="680"/>
          <w:jc w:val="center"/>
        </w:trPr>
        <w:tc>
          <w:tcPr>
            <w:tcW w:w="5000" w:type="pct"/>
            <w:gridSpan w:val="4"/>
            <w:tcBorders>
              <w:top w:val="single" w:sz="4" w:space="0" w:color="auto"/>
              <w:left w:val="nil"/>
              <w:bottom w:val="nil"/>
              <w:right w:val="nil"/>
            </w:tcBorders>
            <w:shd w:val="clear" w:color="000000" w:fill="FFFFFF"/>
            <w:vAlign w:val="center"/>
            <w:hideMark/>
          </w:tcPr>
          <w:p w14:paraId="7ECE0E81" w14:textId="77777777" w:rsidR="00F731AC" w:rsidRPr="002D1654" w:rsidRDefault="00F731AC" w:rsidP="00CC768C">
            <w:pPr>
              <w:spacing w:after="0" w:line="245" w:lineRule="auto"/>
              <w:rPr>
                <w:rFonts w:eastAsia="Times New Roman"/>
                <w:i/>
                <w:iCs/>
                <w:color w:val="auto"/>
                <w:lang w:eastAsia="en-SG"/>
              </w:rPr>
            </w:pPr>
          </w:p>
          <w:p w14:paraId="420F6585" w14:textId="77777777" w:rsidR="00F731AC" w:rsidRPr="002D1654" w:rsidRDefault="00F731AC" w:rsidP="00CC768C">
            <w:pPr>
              <w:spacing w:after="0" w:line="245" w:lineRule="auto"/>
              <w:rPr>
                <w:rFonts w:eastAsia="Times New Roman"/>
                <w:color w:val="auto"/>
                <w:lang w:eastAsia="en-SG"/>
              </w:rPr>
            </w:pPr>
            <w:r w:rsidRPr="002D1654">
              <w:rPr>
                <w:rFonts w:eastAsia="Times New Roman"/>
                <w:i/>
                <w:iCs/>
                <w:color w:val="auto"/>
                <w:lang w:eastAsia="en-SG"/>
              </w:rPr>
              <w:t xml:space="preserve">Notes. </w:t>
            </w:r>
            <w:r w:rsidRPr="002D1654">
              <w:rPr>
                <w:rFonts w:eastAsia="Times New Roman"/>
                <w:color w:val="auto"/>
                <w:lang w:eastAsia="en-SG"/>
              </w:rPr>
              <w:t>DT = Data Item; NAICS = North American Industry Classification System; SEC = Securities and Exchange Commission. We refer to year as the aggregation of data over the four quarters corresponding to the period between the American Customer Satisfaction Index scores.</w:t>
            </w:r>
          </w:p>
        </w:tc>
      </w:tr>
    </w:tbl>
    <w:p w14:paraId="6C526E2E" w14:textId="77777777" w:rsidR="00F731AC" w:rsidRDefault="00F731AC" w:rsidP="00F731AC">
      <w:pPr>
        <w:jc w:val="center"/>
        <w:rPr>
          <w:b/>
          <w:color w:val="auto"/>
          <w:sz w:val="24"/>
          <w:szCs w:val="24"/>
          <w:lang w:val="en-GB"/>
        </w:rPr>
        <w:sectPr w:rsidR="00F731AC" w:rsidSect="00581021">
          <w:pgSz w:w="16838" w:h="11906" w:orient="landscape" w:code="9"/>
          <w:pgMar w:top="1440" w:right="1440" w:bottom="1440" w:left="1440" w:header="706" w:footer="706" w:gutter="0"/>
          <w:cols w:space="708"/>
          <w:noEndnote/>
          <w:docGrid w:linePitch="360"/>
        </w:sectPr>
      </w:pPr>
      <w:r>
        <w:rPr>
          <w:b/>
          <w:color w:val="auto"/>
          <w:sz w:val="24"/>
          <w:szCs w:val="24"/>
          <w:lang w:val="en-GB"/>
        </w:rPr>
        <w:br w:type="page"/>
      </w:r>
    </w:p>
    <w:p w14:paraId="3159D5D2" w14:textId="77777777" w:rsidR="00F731AC" w:rsidRDefault="00F731AC" w:rsidP="00F731AC">
      <w:pPr>
        <w:jc w:val="center"/>
        <w:rPr>
          <w:b/>
          <w:color w:val="auto"/>
          <w:sz w:val="24"/>
          <w:szCs w:val="24"/>
          <w:lang w:val="en-GB"/>
        </w:rPr>
      </w:pPr>
      <w:r w:rsidRPr="002D1654">
        <w:rPr>
          <w:b/>
          <w:color w:val="auto"/>
          <w:sz w:val="24"/>
          <w:szCs w:val="24"/>
          <w:lang w:val="en-GB"/>
        </w:rPr>
        <w:lastRenderedPageBreak/>
        <w:t xml:space="preserve">Web Appendix </w:t>
      </w:r>
      <w:r>
        <w:rPr>
          <w:b/>
          <w:color w:val="auto"/>
          <w:sz w:val="24"/>
          <w:szCs w:val="24"/>
          <w:lang w:val="en-GB"/>
        </w:rPr>
        <w:t>D</w:t>
      </w:r>
    </w:p>
    <w:p w14:paraId="5E6C9D8C" w14:textId="77777777" w:rsidR="00F731AC" w:rsidRDefault="00F731AC" w:rsidP="00F731AC">
      <w:pPr>
        <w:spacing w:after="0" w:line="240" w:lineRule="auto"/>
        <w:jc w:val="center"/>
        <w:rPr>
          <w:b/>
          <w:color w:val="auto"/>
          <w:sz w:val="24"/>
          <w:szCs w:val="24"/>
        </w:rPr>
      </w:pPr>
      <w:r>
        <w:rPr>
          <w:b/>
          <w:color w:val="auto"/>
          <w:sz w:val="24"/>
          <w:szCs w:val="24"/>
        </w:rPr>
        <w:t>Operationalization of the Weights</w:t>
      </w:r>
    </w:p>
    <w:p w14:paraId="07E4EFE9" w14:textId="77591322" w:rsidR="00F731AC" w:rsidRDefault="00F731AC" w:rsidP="00F731AC">
      <w:pPr>
        <w:spacing w:before="240" w:after="0" w:line="240" w:lineRule="auto"/>
        <w:rPr>
          <w:color w:val="auto"/>
          <w:sz w:val="24"/>
          <w:szCs w:val="24"/>
        </w:rPr>
      </w:pPr>
      <w:r w:rsidRPr="0085082B">
        <w:rPr>
          <w:color w:val="auto"/>
          <w:sz w:val="24"/>
          <w:szCs w:val="24"/>
        </w:rPr>
        <w:t>We operationalize the weights for the relationships between the focal firm and its peers as follows</w:t>
      </w:r>
      <w:r>
        <w:rPr>
          <w:color w:val="auto"/>
          <w:sz w:val="24"/>
          <w:szCs w:val="24"/>
        </w:rPr>
        <w:t xml:space="preserve">. </w:t>
      </w:r>
      <w:r w:rsidRPr="003C1C4A">
        <w:rPr>
          <w:color w:val="auto"/>
          <w:sz w:val="24"/>
          <w:szCs w:val="24"/>
        </w:rPr>
        <w:t>First, we adopt the Classical Multidimensional Scaling method (</w:t>
      </w:r>
      <w:r w:rsidR="00971471">
        <w:rPr>
          <w:color w:val="auto"/>
          <w:sz w:val="24"/>
          <w:szCs w:val="24"/>
        </w:rPr>
        <w:fldChar w:fldCharType="begin"/>
      </w:r>
      <w:r w:rsidR="00971471">
        <w:rPr>
          <w:color w:val="auto"/>
          <w:sz w:val="24"/>
          <w:szCs w:val="24"/>
        </w:rPr>
        <w:instrText xml:space="preserve"> ADDIN EN.CITE &lt;EndNote&gt;&lt;Cite&gt;&lt;Author&gt;Borg&lt;/Author&gt;&lt;Year&gt;2003&lt;/Year&gt;&lt;RecNum&gt;2658&lt;/RecNum&gt;&lt;DisplayText&gt;Borg and Groenen 2003; Kruskal and Wish 1978&lt;/DisplayText&gt;&lt;record&gt;&lt;rec-number&gt;2658&lt;/rec-number&gt;&lt;foreign-keys&gt;&lt;key app="EN" db-id="d05sxppah09pwxe9fpbva0972x9paswspf90" timestamp="1566632894" guid="2652f899-ccf2-4f67-ada4-0e832aa9c8a1"&gt;2658&lt;/key&gt;&lt;/foreign-keys&gt;&lt;ref-type name="Journal Article"&gt;17&lt;/ref-type&gt;&lt;contributors&gt;&lt;authors&gt;&lt;author&gt;Borg, Ingwer&lt;/author&gt;&lt;author&gt;Patrick Groenen&lt;/author&gt;&lt;/authors&gt;&lt;/contributors&gt;&lt;titles&gt;&lt;title&gt;Modern Multidimensional Scaling: Theory and Applications&lt;/title&gt;&lt;secondary-title&gt;Journal of Educational Measurement&lt;/secondary-title&gt;&lt;/titles&gt;&lt;periodical&gt;&lt;full-title&gt;Journal of Educational Measurement&lt;/full-title&gt;&lt;/periodical&gt;&lt;pages&gt;277-280&lt;/pages&gt;&lt;volume&gt;40&lt;/volume&gt;&lt;number&gt;3&lt;/number&gt;&lt;dates&gt;&lt;year&gt;2003&lt;/year&gt;&lt;/dates&gt;&lt;isbn&gt;0022-0655&lt;/isbn&gt;&lt;urls&gt;&lt;related-urls&gt;&lt;url&gt;&lt;style face="underline" font="default" size="100%"&gt;https://onlinelibrary.wiley.com/doi/abs/10.1111/j.1745-3984.2003.tb01108.x&lt;/style&gt;&lt;/url&gt;&lt;/related-urls&gt;&lt;/urls&gt;&lt;electronic-resource-num&gt;10.1111/j.1745-3984.2003.tb01108.x&lt;/electronic-resource-num&gt;&lt;/record&gt;&lt;/Cite&gt;&lt;Cite&gt;&lt;Author&gt;Kruskal&lt;/Author&gt;&lt;Year&gt;1978&lt;/Year&gt;&lt;RecNum&gt;2657&lt;/RecNum&gt;&lt;record&gt;&lt;rec-number&gt;2657&lt;/rec-number&gt;&lt;foreign-keys&gt;&lt;key app="EN" db-id="d05sxppah09pwxe9fpbva0972x9paswspf90" timestamp="1566632894" guid="1a197fad-fcbd-472c-a02b-8829860d90e6"&gt;2657&lt;/key&gt;&lt;/foreign-keys&gt;&lt;ref-type name="Electronic Book"&gt;44&lt;/ref-type&gt;&lt;contributors&gt;&lt;authors&gt;&lt;author&gt;Joseph B. Kruskal&lt;/author&gt;&lt;author&gt;Myron Wish&lt;/author&gt;&lt;/authors&gt;&lt;/contributors&gt;&lt;titles&gt;&lt;title&gt;Multidimensional Scaling&lt;/title&gt;&lt;/titles&gt;&lt;dates&gt;&lt;year&gt;1978&lt;/year&gt;&lt;pub-dates&gt;&lt;date&gt;2019/08/14&lt;/date&gt;&lt;/pub-dates&gt;&lt;/dates&gt;&lt;pub-location&gt;Thousand Oaks, California&lt;/pub-location&gt;&lt;urls&gt;&lt;related-urls&gt;&lt;url&gt;&lt;style face="underline" font="default" size="100%"&gt;https://methods.sagepub.com/book/multidimensional-scaling&lt;/style&gt;&lt;/url&gt;&lt;/related-urls&gt;&lt;/urls&gt;&lt;electronic-resource-num&gt;10.4135/9781412985130&lt;/electronic-resource-num&gt;&lt;/record&gt;&lt;/Cite&gt;&lt;/EndNote&gt;</w:instrText>
      </w:r>
      <w:r w:rsidR="00971471">
        <w:rPr>
          <w:color w:val="auto"/>
          <w:sz w:val="24"/>
          <w:szCs w:val="24"/>
        </w:rPr>
        <w:fldChar w:fldCharType="separate"/>
      </w:r>
      <w:r w:rsidR="00971471">
        <w:rPr>
          <w:noProof/>
          <w:color w:val="auto"/>
          <w:sz w:val="24"/>
          <w:szCs w:val="24"/>
        </w:rPr>
        <w:t>Borg and Groenen 2003; Kruskal and Wish 1978</w:t>
      </w:r>
      <w:r w:rsidR="00971471">
        <w:rPr>
          <w:color w:val="auto"/>
          <w:sz w:val="24"/>
          <w:szCs w:val="24"/>
        </w:rPr>
        <w:fldChar w:fldCharType="end"/>
      </w:r>
      <w:r w:rsidRPr="003C1C4A">
        <w:rPr>
          <w:color w:val="auto"/>
          <w:sz w:val="24"/>
          <w:szCs w:val="24"/>
        </w:rPr>
        <w:t>) to create a positioning map with two dimensions for each ACSI-defined sector in a given time period based on firms’ similarity in a myriad of firm characteristics. Specifically, to capture their similarity in market values and the extent of geographical diversification, we include market capitalization and the proportion of non-domestic sales as firm characteristics. In addition, we also include firm size and firm age to account for the similarity in firms’ level of maturity and business life cycle (</w:t>
      </w:r>
      <w:r w:rsidR="00A851DE">
        <w:rPr>
          <w:color w:val="auto"/>
          <w:sz w:val="24"/>
          <w:szCs w:val="24"/>
        </w:rPr>
        <w:fldChar w:fldCharType="begin"/>
      </w:r>
      <w:r w:rsidR="00A851DE">
        <w:rPr>
          <w:color w:val="auto"/>
          <w:sz w:val="24"/>
          <w:szCs w:val="24"/>
        </w:rPr>
        <w:instrText xml:space="preserve"> ADDIN EN.CITE &lt;EndNote&gt;&lt;Cite&gt;&lt;Author&gt;Bendig&lt;/Author&gt;&lt;Year&gt;2018&lt;/Year&gt;&lt;RecNum&gt;2560&lt;/RecNum&gt;&lt;DisplayText&gt;Bendig et al. 2018&lt;/DisplayText&gt;&lt;record&gt;&lt;rec-number&gt;2560&lt;/rec-number&gt;&lt;foreign-keys&gt;&lt;key app="EN" db-id="d05sxppah09pwxe9fpbva0972x9paswspf90" timestamp="1540246782" guid="48cb5446-8884-4f5b-b96f-e61fb848c7d9"&gt;2560&lt;/key&gt;&lt;/foreign-keys&gt;&lt;ref-type name="Journal Article"&gt;17&lt;/ref-type&gt;&lt;contributors&gt;&lt;authors&gt;&lt;author&gt;David Bendig&lt;/author&gt;&lt;author&gt;Daniel Willmann&lt;/author&gt;&lt;author&gt;Steffen Strese&lt;/author&gt;&lt;author&gt;Malte Brettel&lt;/author&gt;&lt;/authors&gt;&lt;/contributors&gt;&lt;titles&gt;&lt;title&gt;Share Repurchases and Myopia: Implications on the Stock and Consumer Markets&lt;/title&gt;&lt;secondary-title&gt;Journal of Marketing&lt;/secondary-title&gt;&lt;/titles&gt;&lt;periodical&gt;&lt;full-title&gt;Journal of Marketing&lt;/full-title&gt;&lt;/periodical&gt;&lt;pages&gt;19-41&lt;/pages&gt;&lt;volume&gt;82&lt;/volume&gt;&lt;number&gt;2&lt;/number&gt;&lt;keywords&gt;&lt;keyword&gt;marketing–finance interface,myopic marketing management,earnings management,product recalls,share repurchase&lt;/keyword&gt;&lt;/keywords&gt;&lt;dates&gt;&lt;year&gt;2018&lt;/year&gt;&lt;/dates&gt;&lt;urls&gt;&lt;related-urls&gt;&lt;url&gt;http://journals.ama.org/doi/abs/10.1509/jm.16.0200&lt;/url&gt;&lt;/related-urls&gt;&lt;/urls&gt;&lt;electronic-resource-num&gt;10.1509/jm.16.0200&lt;/electronic-resource-num&gt;&lt;/record&gt;&lt;/Cite&gt;&lt;/EndNote&gt;</w:instrText>
      </w:r>
      <w:r w:rsidR="00A851DE">
        <w:rPr>
          <w:color w:val="auto"/>
          <w:sz w:val="24"/>
          <w:szCs w:val="24"/>
        </w:rPr>
        <w:fldChar w:fldCharType="separate"/>
      </w:r>
      <w:r w:rsidR="00A851DE">
        <w:rPr>
          <w:noProof/>
          <w:color w:val="auto"/>
          <w:sz w:val="24"/>
          <w:szCs w:val="24"/>
        </w:rPr>
        <w:t>Bendig et al. 2018</w:t>
      </w:r>
      <w:r w:rsidR="00A851DE">
        <w:rPr>
          <w:color w:val="auto"/>
          <w:sz w:val="24"/>
          <w:szCs w:val="24"/>
        </w:rPr>
        <w:fldChar w:fldCharType="end"/>
      </w:r>
      <w:r w:rsidRPr="003C1C4A">
        <w:rPr>
          <w:color w:val="auto"/>
          <w:sz w:val="24"/>
          <w:szCs w:val="24"/>
        </w:rPr>
        <w:t xml:space="preserve">). Second, based on the positioning maps created in the previous step, we obtain the Euclidean distances between all firms in each ACSI-defined sector in a given time period. The smaller (greater) the Euclidean distance between a pair of firms, the more (less) similar they are. For example, considering the Transportation sector in 2010, American Airlines is more similar to Delta (i.e., Euclidean distance = 1.333) and less similar to Southwest (i.e., Euclidean distance = 21.052) (see </w:t>
      </w:r>
      <w:r>
        <w:rPr>
          <w:color w:val="auto"/>
          <w:sz w:val="24"/>
          <w:szCs w:val="24"/>
        </w:rPr>
        <w:t>Table D1</w:t>
      </w:r>
      <w:r w:rsidRPr="003C1C4A">
        <w:rPr>
          <w:color w:val="auto"/>
          <w:sz w:val="24"/>
          <w:szCs w:val="24"/>
        </w:rPr>
        <w:t>).</w:t>
      </w:r>
    </w:p>
    <w:p w14:paraId="74D46E45" w14:textId="71D9092E" w:rsidR="00F731AC" w:rsidRDefault="00F731AC" w:rsidP="00F731AC">
      <w:pPr>
        <w:spacing w:before="240"/>
        <w:rPr>
          <w:b/>
          <w:color w:val="auto"/>
          <w:sz w:val="24"/>
          <w:szCs w:val="24"/>
          <w:lang w:val="en-GB"/>
        </w:rPr>
      </w:pPr>
      <w:r>
        <w:rPr>
          <w:color w:val="auto"/>
          <w:sz w:val="24"/>
          <w:szCs w:val="24"/>
        </w:rPr>
        <w:tab/>
      </w:r>
      <w:r w:rsidRPr="003C1C4A">
        <w:rPr>
          <w:color w:val="auto"/>
          <w:sz w:val="24"/>
          <w:szCs w:val="24"/>
        </w:rPr>
        <w:t xml:space="preserve">Finally, we compute the weight of the relationship between focal firm and its peer as the difference in the total Euclidean distance of the focal firm and the Euclidean distance from its peer scaled by the total Euclidean distance. To illustrate, consider American Airlines as the focal firm and US Airways as its peer (see </w:t>
      </w:r>
      <w:r>
        <w:rPr>
          <w:color w:val="auto"/>
          <w:sz w:val="24"/>
          <w:szCs w:val="24"/>
        </w:rPr>
        <w:t>Table D1</w:t>
      </w:r>
      <w:r w:rsidRPr="003C1C4A">
        <w:rPr>
          <w:color w:val="auto"/>
          <w:sz w:val="24"/>
          <w:szCs w:val="24"/>
        </w:rPr>
        <w:t>). The total Euclidean distance of American Airlines will therefore be the sum of the Euclidean distances between American Airlines and all its peers, which equals 109.764. Given that the Euclidean distance between American Airlines and US Airways is 33.023, the difference in the total Euclidean distance of American Airlines and its Euclidean distance from US Airways will be 76.741. Scaling this value by the total Euclidean distance of American Airlines (i.e., 109.764) will produce the weight of the relationship between this pair of firms (i.e., .699). The underlying logic is that peers with firm characteristics that are more (less) similar to that of the focal firm are wei</w:t>
      </w:r>
      <w:r>
        <w:rPr>
          <w:color w:val="auto"/>
          <w:sz w:val="24"/>
          <w:szCs w:val="24"/>
        </w:rPr>
        <w:t>ghted more (less) heavily</w:t>
      </w:r>
      <w:r w:rsidRPr="003C1C4A">
        <w:rPr>
          <w:color w:val="auto"/>
          <w:sz w:val="24"/>
          <w:szCs w:val="24"/>
        </w:rPr>
        <w:t xml:space="preserve">. Our approach is consistent with recent findings in marketing that show that firms tend to mimic the actions of similar peers (e.g., </w:t>
      </w:r>
      <w:r w:rsidR="008D6B43">
        <w:rPr>
          <w:color w:val="auto"/>
          <w:sz w:val="24"/>
          <w:szCs w:val="24"/>
        </w:rPr>
        <w:fldChar w:fldCharType="begin"/>
      </w:r>
      <w:r w:rsidR="008D6B43">
        <w:rPr>
          <w:color w:val="auto"/>
          <w:sz w:val="24"/>
          <w:szCs w:val="24"/>
        </w:rPr>
        <w:instrText xml:space="preserve"> ADDIN EN.CITE &lt;EndNote&gt;&lt;Cite&gt;&lt;Author&gt;Shi&lt;/Author&gt;&lt;Year&gt;2020&lt;/Year&gt;&lt;RecNum&gt;2475&lt;/RecNum&gt;&lt;DisplayText&gt;Shi, Grewal, and Sridhar 2020&lt;/DisplayText&gt;&lt;record&gt;&lt;rec-number&gt;2475&lt;/rec-number&gt;&lt;foreign-keys&gt;&lt;key app="EN" db-id="d05sxppah09pwxe9fpbva0972x9paswspf90" timestamp="1527296629" guid="97cac25b-490e-4f22-9008-dbeb2847aa9c"&gt;2475&lt;/key&gt;&lt;/foreign-keys&gt;&lt;ref-type name="Newspaper Article"&gt;23&lt;/ref-type&gt;&lt;contributors&gt;&lt;authors&gt;&lt;author&gt;Shi, Huanhuan&lt;/author&gt;&lt;author&gt;Grewal, Rajdeep&lt;/author&gt;&lt;author&gt;Sridhar, Shrihari&lt;/author&gt;&lt;/authors&gt;&lt;/contributors&gt;&lt;titles&gt;&lt;title&gt;Organizational Herding in Advertising Spending Disclosures: Evidence and Mechanisms&lt;/title&gt;&lt;secondary-title&gt;Mays Business School Research Paper No. 3071616; Kenan Institute of Private Enterprise Research Paper Forthcoming&lt;/secondary-title&gt;&lt;/titles&gt;&lt;dates&gt;&lt;year&gt;2020&lt;/year&gt;&lt;pub-dates&gt;&lt;date&gt;January 20&lt;/date&gt;&lt;/pub-dates&gt;&lt;/dates&gt;&lt;urls&gt;&lt;related-urls&gt;&lt;url&gt;https://ssrn.com/abstract=3071616&lt;/url&gt;&lt;/related-urls&gt;&lt;/urls&gt;&lt;/record&gt;&lt;/Cite&gt;&lt;/EndNote&gt;</w:instrText>
      </w:r>
      <w:r w:rsidR="008D6B43">
        <w:rPr>
          <w:color w:val="auto"/>
          <w:sz w:val="24"/>
          <w:szCs w:val="24"/>
        </w:rPr>
        <w:fldChar w:fldCharType="separate"/>
      </w:r>
      <w:r w:rsidR="008D6B43">
        <w:rPr>
          <w:noProof/>
          <w:color w:val="auto"/>
          <w:sz w:val="24"/>
          <w:szCs w:val="24"/>
        </w:rPr>
        <w:t>Shi, Grewal, and Sridhar 2020</w:t>
      </w:r>
      <w:r w:rsidR="008D6B43">
        <w:rPr>
          <w:color w:val="auto"/>
          <w:sz w:val="24"/>
          <w:szCs w:val="24"/>
        </w:rPr>
        <w:fldChar w:fldCharType="end"/>
      </w:r>
      <w:r w:rsidRPr="003C1C4A">
        <w:rPr>
          <w:color w:val="auto"/>
          <w:sz w:val="24"/>
          <w:szCs w:val="24"/>
        </w:rPr>
        <w:t>).</w:t>
      </w:r>
    </w:p>
    <w:p w14:paraId="149748DA" w14:textId="77777777" w:rsidR="00F731AC" w:rsidRDefault="00F731AC" w:rsidP="00F731AC">
      <w:pPr>
        <w:spacing w:after="0" w:line="240" w:lineRule="auto"/>
        <w:jc w:val="center"/>
        <w:rPr>
          <w:b/>
          <w:color w:val="auto"/>
          <w:sz w:val="24"/>
          <w:szCs w:val="24"/>
          <w:lang w:val="en-GB"/>
        </w:rPr>
        <w:sectPr w:rsidR="00F731AC" w:rsidSect="00CC768C">
          <w:pgSz w:w="11906" w:h="16838" w:code="9"/>
          <w:pgMar w:top="1440" w:right="1440" w:bottom="1440" w:left="1440" w:header="706" w:footer="706" w:gutter="0"/>
          <w:cols w:space="708"/>
          <w:noEndnote/>
          <w:docGrid w:linePitch="360"/>
        </w:sectPr>
      </w:pPr>
      <w:r>
        <w:rPr>
          <w:b/>
          <w:color w:val="auto"/>
          <w:sz w:val="24"/>
          <w:szCs w:val="24"/>
          <w:lang w:val="en-GB"/>
        </w:rPr>
        <w:br w:type="page"/>
      </w:r>
    </w:p>
    <w:tbl>
      <w:tblPr>
        <w:tblW w:w="13950" w:type="dxa"/>
        <w:jc w:val="center"/>
        <w:tblLayout w:type="fixed"/>
        <w:tblCellMar>
          <w:left w:w="14" w:type="dxa"/>
          <w:right w:w="0" w:type="dxa"/>
        </w:tblCellMar>
        <w:tblLook w:val="04A0" w:firstRow="1" w:lastRow="0" w:firstColumn="1" w:lastColumn="0" w:noHBand="0" w:noVBand="1"/>
      </w:tblPr>
      <w:tblGrid>
        <w:gridCol w:w="990"/>
        <w:gridCol w:w="810"/>
        <w:gridCol w:w="270"/>
        <w:gridCol w:w="900"/>
        <w:gridCol w:w="630"/>
        <w:gridCol w:w="530"/>
        <w:gridCol w:w="530"/>
        <w:gridCol w:w="530"/>
        <w:gridCol w:w="530"/>
        <w:gridCol w:w="530"/>
        <w:gridCol w:w="530"/>
        <w:gridCol w:w="530"/>
        <w:gridCol w:w="530"/>
        <w:gridCol w:w="530"/>
        <w:gridCol w:w="480"/>
        <w:gridCol w:w="480"/>
        <w:gridCol w:w="480"/>
        <w:gridCol w:w="480"/>
        <w:gridCol w:w="480"/>
        <w:gridCol w:w="480"/>
        <w:gridCol w:w="480"/>
        <w:gridCol w:w="480"/>
        <w:gridCol w:w="480"/>
        <w:gridCol w:w="630"/>
        <w:gridCol w:w="630"/>
      </w:tblGrid>
      <w:tr w:rsidR="00F731AC" w:rsidRPr="002D1654" w14:paraId="1AC829FD" w14:textId="77777777" w:rsidTr="00CC768C">
        <w:trPr>
          <w:trHeight w:val="602"/>
          <w:jc w:val="center"/>
        </w:trPr>
        <w:tc>
          <w:tcPr>
            <w:tcW w:w="13950" w:type="dxa"/>
            <w:gridSpan w:val="25"/>
            <w:tcBorders>
              <w:top w:val="nil"/>
              <w:left w:val="nil"/>
              <w:bottom w:val="single" w:sz="4" w:space="0" w:color="auto"/>
              <w:right w:val="nil"/>
            </w:tcBorders>
            <w:shd w:val="clear" w:color="000000" w:fill="FFFFFF"/>
          </w:tcPr>
          <w:p w14:paraId="0AD2895F" w14:textId="78A10C30" w:rsidR="00F731AC" w:rsidRDefault="007E0638" w:rsidP="00CC768C">
            <w:pPr>
              <w:spacing w:after="0" w:line="240" w:lineRule="auto"/>
              <w:jc w:val="center"/>
              <w:rPr>
                <w:rFonts w:eastAsia="Times New Roman"/>
                <w:b/>
                <w:bCs/>
                <w:color w:val="auto"/>
                <w:sz w:val="24"/>
                <w:szCs w:val="24"/>
                <w:lang w:eastAsia="en-SG"/>
              </w:rPr>
            </w:pPr>
            <w:r>
              <w:rPr>
                <w:rFonts w:eastAsia="Times New Roman"/>
                <w:b/>
                <w:bCs/>
                <w:color w:val="auto"/>
                <w:sz w:val="24"/>
                <w:szCs w:val="24"/>
                <w:lang w:eastAsia="en-SG"/>
              </w:rPr>
              <w:lastRenderedPageBreak/>
              <w:t xml:space="preserve">TABLE D1: </w:t>
            </w:r>
          </w:p>
          <w:p w14:paraId="49ECC180" w14:textId="3F81BF1D" w:rsidR="00F731AC" w:rsidRPr="002D1654" w:rsidRDefault="007E0638" w:rsidP="00CC768C">
            <w:pPr>
              <w:spacing w:after="120" w:line="240" w:lineRule="auto"/>
              <w:jc w:val="center"/>
              <w:rPr>
                <w:rFonts w:eastAsia="Times New Roman"/>
                <w:b/>
                <w:bCs/>
                <w:color w:val="auto"/>
                <w:sz w:val="24"/>
                <w:szCs w:val="24"/>
                <w:lang w:eastAsia="en-SG"/>
              </w:rPr>
            </w:pPr>
            <w:r w:rsidRPr="002D1654">
              <w:rPr>
                <w:rFonts w:eastAsia="Times New Roman"/>
                <w:b/>
                <w:bCs/>
                <w:color w:val="auto"/>
                <w:sz w:val="24"/>
                <w:szCs w:val="24"/>
                <w:lang w:eastAsia="en-SG"/>
              </w:rPr>
              <w:t>EXAMPLES OF THE MEASUREMENT OF THE WEIGHTED PEERS’ CUSTOMER SATISFACTION SCORES IN ACSI TRANSPORTATION SECTOR (2010)</w:t>
            </w:r>
          </w:p>
        </w:tc>
      </w:tr>
      <w:tr w:rsidR="00F731AC" w:rsidRPr="002D1654" w14:paraId="102A4FC2" w14:textId="77777777" w:rsidTr="00CC768C">
        <w:trPr>
          <w:trHeight w:val="245"/>
          <w:jc w:val="center"/>
        </w:trPr>
        <w:tc>
          <w:tcPr>
            <w:tcW w:w="990" w:type="dxa"/>
            <w:vMerge w:val="restart"/>
            <w:tcBorders>
              <w:top w:val="single" w:sz="4" w:space="0" w:color="auto"/>
              <w:left w:val="nil"/>
              <w:right w:val="nil"/>
            </w:tcBorders>
            <w:shd w:val="clear" w:color="000000" w:fill="FFFFFF"/>
            <w:noWrap/>
            <w:vAlign w:val="center"/>
          </w:tcPr>
          <w:p w14:paraId="0BFF8443" w14:textId="77777777" w:rsidR="00F731AC" w:rsidRPr="002D1654" w:rsidRDefault="00F731AC" w:rsidP="00CC768C">
            <w:pPr>
              <w:spacing w:after="0" w:line="240" w:lineRule="auto"/>
              <w:jc w:val="center"/>
              <w:rPr>
                <w:rFonts w:eastAsia="Times New Roman"/>
                <w:b/>
                <w:color w:val="auto"/>
                <w:lang w:eastAsia="en-SG"/>
              </w:rPr>
            </w:pPr>
            <w:r w:rsidRPr="002D1654">
              <w:rPr>
                <w:rFonts w:eastAsia="Times New Roman"/>
                <w:b/>
                <w:color w:val="auto"/>
                <w:lang w:eastAsia="en-SG"/>
              </w:rPr>
              <w:t>Firm</w:t>
            </w:r>
          </w:p>
        </w:tc>
        <w:tc>
          <w:tcPr>
            <w:tcW w:w="810" w:type="dxa"/>
            <w:vMerge w:val="restart"/>
            <w:tcBorders>
              <w:top w:val="single" w:sz="4" w:space="0" w:color="auto"/>
              <w:left w:val="nil"/>
              <w:right w:val="single" w:sz="4" w:space="0" w:color="auto"/>
            </w:tcBorders>
            <w:shd w:val="clear" w:color="000000" w:fill="FFFFFF"/>
            <w:vAlign w:val="center"/>
          </w:tcPr>
          <w:p w14:paraId="6481BE67" w14:textId="77777777" w:rsidR="00F731AC" w:rsidRPr="002D1654" w:rsidRDefault="00F731AC" w:rsidP="00CC768C">
            <w:pPr>
              <w:spacing w:after="0" w:line="247" w:lineRule="auto"/>
              <w:jc w:val="center"/>
              <w:rPr>
                <w:rFonts w:eastAsia="Times New Roman"/>
                <w:b/>
                <w:color w:val="auto"/>
                <w:lang w:eastAsia="en-SG"/>
              </w:rPr>
            </w:pPr>
            <w:r w:rsidRPr="002D1654">
              <w:rPr>
                <w:rFonts w:eastAsia="Times New Roman"/>
                <w:b/>
                <w:color w:val="auto"/>
                <w:lang w:eastAsia="en-SG"/>
              </w:rPr>
              <w:t>ACSI-defined Industry</w:t>
            </w:r>
          </w:p>
        </w:tc>
        <w:tc>
          <w:tcPr>
            <w:tcW w:w="1170" w:type="dxa"/>
            <w:gridSpan w:val="2"/>
            <w:vMerge w:val="restart"/>
            <w:tcBorders>
              <w:top w:val="single" w:sz="4" w:space="0" w:color="auto"/>
              <w:left w:val="single" w:sz="4" w:space="0" w:color="auto"/>
              <w:right w:val="single" w:sz="4" w:space="0" w:color="auto"/>
            </w:tcBorders>
            <w:shd w:val="clear" w:color="000000" w:fill="FFFFFF"/>
            <w:vAlign w:val="center"/>
          </w:tcPr>
          <w:p w14:paraId="60725ADF" w14:textId="77777777" w:rsidR="00F731AC" w:rsidRPr="002D1654" w:rsidRDefault="00F731AC" w:rsidP="00CC768C">
            <w:pPr>
              <w:spacing w:after="0" w:line="240" w:lineRule="auto"/>
              <w:jc w:val="center"/>
              <w:rPr>
                <w:rFonts w:eastAsia="Times New Roman"/>
                <w:b/>
                <w:color w:val="auto"/>
                <w:lang w:eastAsia="en-SG"/>
              </w:rPr>
            </w:pPr>
            <w:r w:rsidRPr="002D1654">
              <w:rPr>
                <w:rFonts w:eastAsia="Times New Roman"/>
                <w:b/>
                <w:color w:val="auto"/>
                <w:lang w:eastAsia="en-SG"/>
              </w:rPr>
              <w:t>Brand</w:t>
            </w:r>
          </w:p>
        </w:tc>
        <w:tc>
          <w:tcPr>
            <w:tcW w:w="630" w:type="dxa"/>
            <w:vMerge w:val="restart"/>
            <w:tcBorders>
              <w:top w:val="single" w:sz="4" w:space="0" w:color="auto"/>
              <w:left w:val="single" w:sz="4" w:space="0" w:color="auto"/>
              <w:right w:val="single" w:sz="4" w:space="0" w:color="auto"/>
            </w:tcBorders>
            <w:shd w:val="clear" w:color="000000" w:fill="FFFFFF"/>
            <w:vAlign w:val="center"/>
          </w:tcPr>
          <w:p w14:paraId="1E14F49B" w14:textId="77777777" w:rsidR="00F731AC" w:rsidRPr="002D1654" w:rsidRDefault="00F731AC" w:rsidP="00CC768C">
            <w:pPr>
              <w:spacing w:after="0" w:line="240" w:lineRule="auto"/>
              <w:jc w:val="center"/>
              <w:rPr>
                <w:rFonts w:eastAsia="Times New Roman"/>
                <w:b/>
                <w:color w:val="auto"/>
                <w:lang w:eastAsia="en-SG"/>
              </w:rPr>
            </w:pPr>
            <w:r>
              <w:rPr>
                <w:rFonts w:eastAsia="Times New Roman"/>
                <w:b/>
                <w:color w:val="auto"/>
                <w:lang w:eastAsia="en-SG"/>
              </w:rPr>
              <w:t>CS</w:t>
            </w:r>
            <w:r w:rsidRPr="002D1654">
              <w:rPr>
                <w:rFonts w:eastAsia="Times New Roman"/>
                <w:b/>
                <w:color w:val="auto"/>
                <w:lang w:eastAsia="en-SG"/>
              </w:rPr>
              <w:t xml:space="preserve"> Score</w:t>
            </w:r>
            <w:r w:rsidRPr="002D1654">
              <w:rPr>
                <w:rFonts w:eastAsia="Times New Roman"/>
                <w:b/>
                <w:color w:val="auto"/>
                <w:vertAlign w:val="superscript"/>
                <w:lang w:eastAsia="en-SG"/>
              </w:rPr>
              <w:t>a</w:t>
            </w:r>
          </w:p>
        </w:tc>
        <w:tc>
          <w:tcPr>
            <w:tcW w:w="4770" w:type="dxa"/>
            <w:gridSpan w:val="9"/>
            <w:tcBorders>
              <w:top w:val="single" w:sz="4" w:space="0" w:color="auto"/>
              <w:left w:val="single" w:sz="4" w:space="0" w:color="auto"/>
              <w:right w:val="single" w:sz="4" w:space="0" w:color="auto"/>
            </w:tcBorders>
            <w:shd w:val="clear" w:color="000000" w:fill="FFFFFF"/>
            <w:vAlign w:val="center"/>
          </w:tcPr>
          <w:p w14:paraId="24F89EC0" w14:textId="77777777" w:rsidR="00F731AC" w:rsidRPr="002D1654" w:rsidRDefault="00F731AC" w:rsidP="00CC768C">
            <w:pPr>
              <w:spacing w:after="0" w:line="240" w:lineRule="auto"/>
              <w:jc w:val="center"/>
              <w:rPr>
                <w:rFonts w:eastAsia="Times New Roman"/>
                <w:b/>
                <w:color w:val="auto"/>
                <w:lang w:eastAsia="en-SG"/>
              </w:rPr>
            </w:pPr>
            <w:r>
              <w:rPr>
                <w:rFonts w:eastAsia="Times New Roman"/>
                <w:b/>
                <w:color w:val="auto"/>
                <w:lang w:eastAsia="en-SG"/>
              </w:rPr>
              <w:t>Euclidean Distances</w:t>
            </w:r>
          </w:p>
        </w:tc>
        <w:tc>
          <w:tcPr>
            <w:tcW w:w="4320" w:type="dxa"/>
            <w:gridSpan w:val="9"/>
            <w:tcBorders>
              <w:top w:val="single" w:sz="4" w:space="0" w:color="auto"/>
              <w:left w:val="single" w:sz="4" w:space="0" w:color="auto"/>
              <w:right w:val="single" w:sz="4" w:space="0" w:color="auto"/>
            </w:tcBorders>
            <w:shd w:val="clear" w:color="000000" w:fill="FFFFFF"/>
            <w:vAlign w:val="center"/>
          </w:tcPr>
          <w:p w14:paraId="70EEE751" w14:textId="77777777" w:rsidR="00F731AC" w:rsidRPr="002D1654" w:rsidRDefault="00F731AC" w:rsidP="00CC768C">
            <w:pPr>
              <w:spacing w:after="0" w:line="247" w:lineRule="auto"/>
              <w:jc w:val="center"/>
              <w:rPr>
                <w:rFonts w:eastAsia="Times New Roman"/>
                <w:b/>
                <w:color w:val="auto"/>
                <w:lang w:eastAsia="en-SG"/>
              </w:rPr>
            </w:pPr>
            <w:r>
              <w:rPr>
                <w:rFonts w:eastAsia="Times New Roman"/>
                <w:b/>
                <w:color w:val="auto"/>
                <w:lang w:eastAsia="en-SG"/>
              </w:rPr>
              <w:t>Weights</w:t>
            </w:r>
          </w:p>
        </w:tc>
        <w:tc>
          <w:tcPr>
            <w:tcW w:w="1260" w:type="dxa"/>
            <w:gridSpan w:val="2"/>
            <w:vMerge w:val="restart"/>
            <w:tcBorders>
              <w:top w:val="single" w:sz="4" w:space="0" w:color="auto"/>
              <w:left w:val="single" w:sz="4" w:space="0" w:color="auto"/>
              <w:right w:val="nil"/>
            </w:tcBorders>
            <w:shd w:val="clear" w:color="000000" w:fill="FFFFFF"/>
            <w:vAlign w:val="center"/>
          </w:tcPr>
          <w:p w14:paraId="182CF7C7" w14:textId="77777777" w:rsidR="00F731AC" w:rsidRPr="002D1654" w:rsidRDefault="00F731AC" w:rsidP="00CC768C">
            <w:pPr>
              <w:spacing w:after="0" w:line="240" w:lineRule="auto"/>
              <w:jc w:val="center"/>
              <w:rPr>
                <w:rFonts w:eastAsia="Times New Roman"/>
                <w:b/>
                <w:color w:val="auto"/>
                <w:lang w:eastAsia="en-SG"/>
              </w:rPr>
            </w:pPr>
            <w:r w:rsidRPr="002D1654">
              <w:rPr>
                <w:rFonts w:eastAsia="Times New Roman"/>
                <w:b/>
                <w:color w:val="auto"/>
                <w:lang w:eastAsia="en-SG"/>
              </w:rPr>
              <w:t>Weighted Peers’ Customer Satisfaction Score</w:t>
            </w:r>
          </w:p>
        </w:tc>
      </w:tr>
      <w:tr w:rsidR="00F731AC" w:rsidRPr="002D1654" w14:paraId="03E3F38A" w14:textId="77777777" w:rsidTr="00CC768C">
        <w:trPr>
          <w:trHeight w:val="245"/>
          <w:jc w:val="center"/>
        </w:trPr>
        <w:tc>
          <w:tcPr>
            <w:tcW w:w="990" w:type="dxa"/>
            <w:vMerge/>
            <w:tcBorders>
              <w:left w:val="nil"/>
              <w:right w:val="nil"/>
            </w:tcBorders>
            <w:shd w:val="clear" w:color="000000" w:fill="FFFFFF"/>
            <w:noWrap/>
            <w:vAlign w:val="center"/>
          </w:tcPr>
          <w:p w14:paraId="42427D60" w14:textId="77777777" w:rsidR="00F731AC" w:rsidRPr="002D1654" w:rsidRDefault="00F731AC" w:rsidP="00CC768C">
            <w:pPr>
              <w:spacing w:after="0" w:line="240" w:lineRule="auto"/>
              <w:jc w:val="center"/>
              <w:rPr>
                <w:rFonts w:eastAsia="Times New Roman"/>
                <w:b/>
                <w:color w:val="auto"/>
                <w:lang w:eastAsia="en-SG"/>
              </w:rPr>
            </w:pPr>
          </w:p>
        </w:tc>
        <w:tc>
          <w:tcPr>
            <w:tcW w:w="810" w:type="dxa"/>
            <w:vMerge/>
            <w:tcBorders>
              <w:left w:val="nil"/>
              <w:right w:val="single" w:sz="4" w:space="0" w:color="auto"/>
            </w:tcBorders>
            <w:shd w:val="clear" w:color="000000" w:fill="FFFFFF"/>
            <w:vAlign w:val="center"/>
          </w:tcPr>
          <w:p w14:paraId="0BD092B0" w14:textId="77777777" w:rsidR="00F731AC" w:rsidRPr="002D1654" w:rsidRDefault="00F731AC" w:rsidP="00CC768C">
            <w:pPr>
              <w:spacing w:after="0" w:line="247" w:lineRule="auto"/>
              <w:jc w:val="center"/>
              <w:rPr>
                <w:rFonts w:eastAsia="Times New Roman"/>
                <w:b/>
                <w:color w:val="auto"/>
                <w:lang w:eastAsia="en-SG"/>
              </w:rPr>
            </w:pPr>
          </w:p>
        </w:tc>
        <w:tc>
          <w:tcPr>
            <w:tcW w:w="1170" w:type="dxa"/>
            <w:gridSpan w:val="2"/>
            <w:vMerge/>
            <w:tcBorders>
              <w:left w:val="single" w:sz="4" w:space="0" w:color="auto"/>
              <w:right w:val="single" w:sz="4" w:space="0" w:color="auto"/>
            </w:tcBorders>
            <w:shd w:val="clear" w:color="000000" w:fill="FFFFFF"/>
            <w:vAlign w:val="center"/>
          </w:tcPr>
          <w:p w14:paraId="5B981000" w14:textId="77777777" w:rsidR="00F731AC" w:rsidRPr="002D1654" w:rsidRDefault="00F731AC" w:rsidP="00CC768C">
            <w:pPr>
              <w:spacing w:after="0" w:line="240" w:lineRule="auto"/>
              <w:jc w:val="center"/>
              <w:rPr>
                <w:rFonts w:eastAsia="Times New Roman"/>
                <w:b/>
                <w:color w:val="auto"/>
                <w:lang w:eastAsia="en-SG"/>
              </w:rPr>
            </w:pPr>
          </w:p>
        </w:tc>
        <w:tc>
          <w:tcPr>
            <w:tcW w:w="630" w:type="dxa"/>
            <w:vMerge/>
            <w:tcBorders>
              <w:left w:val="single" w:sz="4" w:space="0" w:color="auto"/>
              <w:right w:val="single" w:sz="4" w:space="0" w:color="auto"/>
            </w:tcBorders>
            <w:shd w:val="clear" w:color="000000" w:fill="FFFFFF"/>
            <w:vAlign w:val="center"/>
          </w:tcPr>
          <w:p w14:paraId="73AAB453" w14:textId="77777777" w:rsidR="00F731AC" w:rsidRPr="002D1654" w:rsidRDefault="00F731AC" w:rsidP="00CC768C">
            <w:pPr>
              <w:spacing w:after="0" w:line="240" w:lineRule="auto"/>
              <w:jc w:val="center"/>
              <w:rPr>
                <w:rFonts w:eastAsia="Times New Roman"/>
                <w:b/>
                <w:color w:val="auto"/>
                <w:lang w:eastAsia="en-SG"/>
              </w:rPr>
            </w:pPr>
          </w:p>
        </w:tc>
        <w:tc>
          <w:tcPr>
            <w:tcW w:w="4770" w:type="dxa"/>
            <w:gridSpan w:val="9"/>
            <w:tcBorders>
              <w:left w:val="single" w:sz="4" w:space="0" w:color="auto"/>
              <w:right w:val="single" w:sz="4" w:space="0" w:color="auto"/>
            </w:tcBorders>
            <w:shd w:val="clear" w:color="000000" w:fill="FFFFFF"/>
            <w:vAlign w:val="center"/>
          </w:tcPr>
          <w:p w14:paraId="76D4DCAB" w14:textId="77777777" w:rsidR="00F731AC" w:rsidRPr="00327D3E" w:rsidRDefault="00F731AC" w:rsidP="00CC768C">
            <w:pPr>
              <w:spacing w:after="0" w:line="240" w:lineRule="auto"/>
              <w:jc w:val="center"/>
              <w:rPr>
                <w:rFonts w:eastAsia="Times New Roman"/>
                <w:bCs/>
                <w:i/>
                <w:iCs/>
                <w:color w:val="auto"/>
                <w:lang w:eastAsia="en-SG"/>
              </w:rPr>
            </w:pPr>
            <w:r>
              <w:rPr>
                <w:rFonts w:eastAsia="Times New Roman"/>
                <w:bCs/>
                <w:i/>
                <w:iCs/>
                <w:color w:val="auto"/>
                <w:lang w:eastAsia="en-SG"/>
              </w:rPr>
              <w:t>Brand ID</w:t>
            </w:r>
          </w:p>
        </w:tc>
        <w:tc>
          <w:tcPr>
            <w:tcW w:w="4320" w:type="dxa"/>
            <w:gridSpan w:val="9"/>
            <w:tcBorders>
              <w:left w:val="single" w:sz="4" w:space="0" w:color="auto"/>
              <w:right w:val="single" w:sz="4" w:space="0" w:color="auto"/>
            </w:tcBorders>
            <w:shd w:val="clear" w:color="000000" w:fill="FFFFFF"/>
            <w:vAlign w:val="center"/>
          </w:tcPr>
          <w:p w14:paraId="5F228A86" w14:textId="77777777" w:rsidR="00F731AC" w:rsidRPr="002D1654" w:rsidRDefault="00F731AC" w:rsidP="00CC768C">
            <w:pPr>
              <w:spacing w:after="0" w:line="247" w:lineRule="auto"/>
              <w:jc w:val="center"/>
              <w:rPr>
                <w:rFonts w:eastAsia="Times New Roman"/>
                <w:i/>
                <w:color w:val="auto"/>
                <w:lang w:eastAsia="en-SG"/>
              </w:rPr>
            </w:pPr>
            <w:r>
              <w:rPr>
                <w:rFonts w:eastAsia="Times New Roman"/>
                <w:i/>
                <w:color w:val="auto"/>
                <w:lang w:eastAsia="en-SG"/>
              </w:rPr>
              <w:t>Brand ID</w:t>
            </w:r>
          </w:p>
        </w:tc>
        <w:tc>
          <w:tcPr>
            <w:tcW w:w="1260" w:type="dxa"/>
            <w:gridSpan w:val="2"/>
            <w:vMerge/>
            <w:tcBorders>
              <w:left w:val="single" w:sz="4" w:space="0" w:color="auto"/>
              <w:right w:val="nil"/>
            </w:tcBorders>
            <w:shd w:val="clear" w:color="000000" w:fill="FFFFFF"/>
            <w:vAlign w:val="center"/>
          </w:tcPr>
          <w:p w14:paraId="4B292101" w14:textId="77777777" w:rsidR="00F731AC" w:rsidRPr="002D1654" w:rsidRDefault="00F731AC" w:rsidP="00CC768C">
            <w:pPr>
              <w:spacing w:after="0" w:line="240" w:lineRule="auto"/>
              <w:jc w:val="center"/>
              <w:rPr>
                <w:rFonts w:eastAsia="Times New Roman"/>
                <w:b/>
                <w:color w:val="auto"/>
                <w:lang w:eastAsia="en-SG"/>
              </w:rPr>
            </w:pPr>
          </w:p>
        </w:tc>
      </w:tr>
      <w:tr w:rsidR="00F731AC" w:rsidRPr="002D1654" w14:paraId="25744C12" w14:textId="77777777" w:rsidTr="00CC768C">
        <w:trPr>
          <w:trHeight w:val="358"/>
          <w:jc w:val="center"/>
        </w:trPr>
        <w:tc>
          <w:tcPr>
            <w:tcW w:w="990" w:type="dxa"/>
            <w:vMerge/>
            <w:tcBorders>
              <w:left w:val="nil"/>
              <w:bottom w:val="single" w:sz="4" w:space="0" w:color="auto"/>
              <w:right w:val="nil"/>
            </w:tcBorders>
            <w:shd w:val="clear" w:color="000000" w:fill="FFFFFF"/>
            <w:noWrap/>
            <w:vAlign w:val="center"/>
          </w:tcPr>
          <w:p w14:paraId="5B02B63F" w14:textId="77777777" w:rsidR="00F731AC" w:rsidRPr="002D1654" w:rsidRDefault="00F731AC" w:rsidP="00CC768C">
            <w:pPr>
              <w:spacing w:after="0" w:line="240" w:lineRule="auto"/>
              <w:jc w:val="center"/>
              <w:rPr>
                <w:rFonts w:eastAsia="Times New Roman"/>
                <w:color w:val="auto"/>
                <w:lang w:eastAsia="en-SG"/>
              </w:rPr>
            </w:pPr>
          </w:p>
        </w:tc>
        <w:tc>
          <w:tcPr>
            <w:tcW w:w="810" w:type="dxa"/>
            <w:vMerge/>
            <w:tcBorders>
              <w:left w:val="nil"/>
              <w:bottom w:val="single" w:sz="4" w:space="0" w:color="auto"/>
              <w:right w:val="single" w:sz="4" w:space="0" w:color="auto"/>
            </w:tcBorders>
            <w:shd w:val="clear" w:color="000000" w:fill="FFFFFF"/>
            <w:vAlign w:val="center"/>
          </w:tcPr>
          <w:p w14:paraId="121662CF" w14:textId="77777777" w:rsidR="00F731AC" w:rsidRPr="002D1654" w:rsidRDefault="00F731AC" w:rsidP="00CC768C">
            <w:pPr>
              <w:spacing w:after="0" w:line="240" w:lineRule="auto"/>
              <w:jc w:val="center"/>
              <w:rPr>
                <w:rFonts w:eastAsia="Times New Roman"/>
                <w:color w:val="auto"/>
                <w:lang w:eastAsia="en-SG"/>
              </w:rPr>
            </w:pPr>
          </w:p>
        </w:tc>
        <w:tc>
          <w:tcPr>
            <w:tcW w:w="270" w:type="dxa"/>
            <w:tcBorders>
              <w:left w:val="single" w:sz="4" w:space="0" w:color="auto"/>
              <w:bottom w:val="single" w:sz="4" w:space="0" w:color="auto"/>
            </w:tcBorders>
            <w:shd w:val="clear" w:color="000000" w:fill="FFFFFF"/>
            <w:vAlign w:val="center"/>
          </w:tcPr>
          <w:p w14:paraId="7FD96375" w14:textId="77777777" w:rsidR="00F731AC" w:rsidRPr="002D1654" w:rsidRDefault="00F731AC" w:rsidP="00CC768C">
            <w:pPr>
              <w:spacing w:after="0" w:line="240" w:lineRule="auto"/>
              <w:jc w:val="center"/>
              <w:rPr>
                <w:rFonts w:eastAsia="Times New Roman"/>
                <w:i/>
                <w:color w:val="auto"/>
                <w:lang w:eastAsia="en-SG"/>
              </w:rPr>
            </w:pPr>
            <w:r w:rsidRPr="002D1654">
              <w:rPr>
                <w:rFonts w:eastAsia="Times New Roman"/>
                <w:i/>
                <w:color w:val="auto"/>
                <w:lang w:eastAsia="en-SG"/>
              </w:rPr>
              <w:t>ID</w:t>
            </w:r>
          </w:p>
        </w:tc>
        <w:tc>
          <w:tcPr>
            <w:tcW w:w="900" w:type="dxa"/>
            <w:tcBorders>
              <w:bottom w:val="single" w:sz="4" w:space="0" w:color="auto"/>
              <w:right w:val="single" w:sz="4" w:space="0" w:color="auto"/>
            </w:tcBorders>
            <w:shd w:val="clear" w:color="000000" w:fill="FFFFFF"/>
            <w:vAlign w:val="center"/>
          </w:tcPr>
          <w:p w14:paraId="51C96B8D" w14:textId="77777777" w:rsidR="00F731AC" w:rsidRPr="002D1654" w:rsidRDefault="00F731AC" w:rsidP="00CC768C">
            <w:pPr>
              <w:spacing w:after="0" w:line="240" w:lineRule="auto"/>
              <w:jc w:val="center"/>
              <w:rPr>
                <w:rFonts w:eastAsia="Times New Roman"/>
                <w:i/>
                <w:color w:val="auto"/>
                <w:lang w:eastAsia="en-SG"/>
              </w:rPr>
            </w:pPr>
            <w:r w:rsidRPr="002D1654">
              <w:rPr>
                <w:rFonts w:eastAsia="Times New Roman"/>
                <w:i/>
                <w:color w:val="auto"/>
                <w:lang w:eastAsia="en-SG"/>
              </w:rPr>
              <w:t>Name</w:t>
            </w:r>
          </w:p>
        </w:tc>
        <w:tc>
          <w:tcPr>
            <w:tcW w:w="630" w:type="dxa"/>
            <w:vMerge/>
            <w:tcBorders>
              <w:left w:val="single" w:sz="4" w:space="0" w:color="auto"/>
              <w:bottom w:val="single" w:sz="4" w:space="0" w:color="auto"/>
              <w:right w:val="single" w:sz="4" w:space="0" w:color="auto"/>
            </w:tcBorders>
            <w:shd w:val="clear" w:color="000000" w:fill="FFFFFF"/>
            <w:vAlign w:val="center"/>
          </w:tcPr>
          <w:p w14:paraId="372FD75D" w14:textId="77777777" w:rsidR="00F731AC" w:rsidRPr="002D1654" w:rsidRDefault="00F731AC" w:rsidP="00CC768C">
            <w:pPr>
              <w:spacing w:after="0" w:line="240" w:lineRule="auto"/>
              <w:jc w:val="center"/>
              <w:rPr>
                <w:rFonts w:eastAsia="Times New Roman"/>
                <w:color w:val="auto"/>
                <w:lang w:eastAsia="en-SG"/>
              </w:rPr>
            </w:pPr>
          </w:p>
        </w:tc>
        <w:tc>
          <w:tcPr>
            <w:tcW w:w="530" w:type="dxa"/>
            <w:tcBorders>
              <w:left w:val="single" w:sz="4" w:space="0" w:color="auto"/>
              <w:bottom w:val="single" w:sz="4" w:space="0" w:color="auto"/>
            </w:tcBorders>
            <w:shd w:val="clear" w:color="000000" w:fill="FFFFFF"/>
            <w:vAlign w:val="center"/>
          </w:tcPr>
          <w:p w14:paraId="4165EE24" w14:textId="77777777" w:rsidR="00F731AC" w:rsidRPr="00D53E7A" w:rsidRDefault="00F731AC" w:rsidP="00CC768C">
            <w:pPr>
              <w:spacing w:after="0" w:line="240" w:lineRule="auto"/>
              <w:jc w:val="center"/>
              <w:rPr>
                <w:rFonts w:eastAsia="Times New Roman"/>
                <w:i/>
                <w:iCs/>
                <w:color w:val="auto"/>
                <w:lang w:eastAsia="en-SG"/>
              </w:rPr>
            </w:pPr>
            <w:r w:rsidRPr="00D53E7A">
              <w:rPr>
                <w:rFonts w:eastAsia="Times New Roman"/>
                <w:i/>
                <w:iCs/>
                <w:color w:val="auto"/>
                <w:lang w:eastAsia="en-SG"/>
              </w:rPr>
              <w:t>1</w:t>
            </w:r>
          </w:p>
        </w:tc>
        <w:tc>
          <w:tcPr>
            <w:tcW w:w="530" w:type="dxa"/>
            <w:tcBorders>
              <w:bottom w:val="single" w:sz="4" w:space="0" w:color="auto"/>
            </w:tcBorders>
            <w:shd w:val="clear" w:color="000000" w:fill="FFFFFF"/>
            <w:vAlign w:val="center"/>
          </w:tcPr>
          <w:p w14:paraId="7E6DAF5E" w14:textId="77777777" w:rsidR="00F731AC" w:rsidRPr="00D53E7A" w:rsidRDefault="00F731AC" w:rsidP="00CC768C">
            <w:pPr>
              <w:spacing w:after="0" w:line="240" w:lineRule="auto"/>
              <w:jc w:val="center"/>
              <w:rPr>
                <w:rFonts w:eastAsia="Times New Roman"/>
                <w:i/>
                <w:iCs/>
                <w:color w:val="auto"/>
                <w:lang w:eastAsia="en-SG"/>
              </w:rPr>
            </w:pPr>
            <w:r w:rsidRPr="00D53E7A">
              <w:rPr>
                <w:rFonts w:eastAsia="Times New Roman"/>
                <w:i/>
                <w:iCs/>
                <w:color w:val="auto"/>
                <w:lang w:eastAsia="en-SG"/>
              </w:rPr>
              <w:t>2</w:t>
            </w:r>
          </w:p>
        </w:tc>
        <w:tc>
          <w:tcPr>
            <w:tcW w:w="530" w:type="dxa"/>
            <w:tcBorders>
              <w:bottom w:val="single" w:sz="4" w:space="0" w:color="auto"/>
            </w:tcBorders>
            <w:shd w:val="clear" w:color="000000" w:fill="FFFFFF"/>
            <w:vAlign w:val="center"/>
          </w:tcPr>
          <w:p w14:paraId="50EDB69D" w14:textId="77777777" w:rsidR="00F731AC" w:rsidRPr="00D53E7A" w:rsidRDefault="00F731AC" w:rsidP="00CC768C">
            <w:pPr>
              <w:spacing w:after="0" w:line="240" w:lineRule="auto"/>
              <w:jc w:val="center"/>
              <w:rPr>
                <w:rFonts w:eastAsia="Times New Roman"/>
                <w:i/>
                <w:iCs/>
                <w:color w:val="auto"/>
                <w:lang w:eastAsia="en-SG"/>
              </w:rPr>
            </w:pPr>
            <w:r w:rsidRPr="00D53E7A">
              <w:rPr>
                <w:rFonts w:eastAsia="Times New Roman"/>
                <w:i/>
                <w:iCs/>
                <w:color w:val="auto"/>
                <w:lang w:eastAsia="en-SG"/>
              </w:rPr>
              <w:t>3</w:t>
            </w:r>
          </w:p>
        </w:tc>
        <w:tc>
          <w:tcPr>
            <w:tcW w:w="530" w:type="dxa"/>
            <w:tcBorders>
              <w:bottom w:val="single" w:sz="4" w:space="0" w:color="auto"/>
            </w:tcBorders>
            <w:shd w:val="clear" w:color="000000" w:fill="FFFFFF"/>
            <w:vAlign w:val="center"/>
          </w:tcPr>
          <w:p w14:paraId="4A837C7A" w14:textId="77777777" w:rsidR="00F731AC" w:rsidRPr="00D53E7A" w:rsidRDefault="00F731AC" w:rsidP="00CC768C">
            <w:pPr>
              <w:spacing w:after="0" w:line="240" w:lineRule="auto"/>
              <w:jc w:val="center"/>
              <w:rPr>
                <w:rFonts w:eastAsia="Times New Roman"/>
                <w:i/>
                <w:iCs/>
                <w:color w:val="auto"/>
                <w:lang w:eastAsia="en-SG"/>
              </w:rPr>
            </w:pPr>
            <w:r w:rsidRPr="00D53E7A">
              <w:rPr>
                <w:rFonts w:eastAsia="Times New Roman"/>
                <w:i/>
                <w:iCs/>
                <w:color w:val="auto"/>
                <w:lang w:eastAsia="en-SG"/>
              </w:rPr>
              <w:t>4</w:t>
            </w:r>
          </w:p>
        </w:tc>
        <w:tc>
          <w:tcPr>
            <w:tcW w:w="530" w:type="dxa"/>
            <w:tcBorders>
              <w:bottom w:val="single" w:sz="4" w:space="0" w:color="auto"/>
            </w:tcBorders>
            <w:shd w:val="clear" w:color="000000" w:fill="FFFFFF"/>
            <w:vAlign w:val="center"/>
          </w:tcPr>
          <w:p w14:paraId="314B2D30" w14:textId="77777777" w:rsidR="00F731AC" w:rsidRPr="00D53E7A" w:rsidRDefault="00F731AC" w:rsidP="00CC768C">
            <w:pPr>
              <w:spacing w:after="0" w:line="240" w:lineRule="auto"/>
              <w:jc w:val="center"/>
              <w:rPr>
                <w:rFonts w:eastAsia="Times New Roman"/>
                <w:i/>
                <w:iCs/>
                <w:color w:val="auto"/>
                <w:lang w:eastAsia="en-SG"/>
              </w:rPr>
            </w:pPr>
            <w:r w:rsidRPr="00D53E7A">
              <w:rPr>
                <w:rFonts w:eastAsia="Times New Roman"/>
                <w:i/>
                <w:iCs/>
                <w:color w:val="auto"/>
                <w:lang w:eastAsia="en-SG"/>
              </w:rPr>
              <w:t>5</w:t>
            </w:r>
          </w:p>
        </w:tc>
        <w:tc>
          <w:tcPr>
            <w:tcW w:w="530" w:type="dxa"/>
            <w:tcBorders>
              <w:left w:val="nil"/>
              <w:bottom w:val="single" w:sz="4" w:space="0" w:color="auto"/>
            </w:tcBorders>
            <w:shd w:val="clear" w:color="000000" w:fill="FFFFFF"/>
            <w:vAlign w:val="center"/>
          </w:tcPr>
          <w:p w14:paraId="2C114E40" w14:textId="77777777" w:rsidR="00F731AC" w:rsidRPr="00D53E7A" w:rsidRDefault="00F731AC" w:rsidP="00CC768C">
            <w:pPr>
              <w:spacing w:after="0" w:line="240" w:lineRule="auto"/>
              <w:jc w:val="center"/>
              <w:rPr>
                <w:rFonts w:eastAsia="Times New Roman"/>
                <w:i/>
                <w:iCs/>
                <w:color w:val="auto"/>
                <w:lang w:eastAsia="en-SG"/>
              </w:rPr>
            </w:pPr>
            <w:r w:rsidRPr="00D53E7A">
              <w:rPr>
                <w:rFonts w:eastAsia="Times New Roman"/>
                <w:i/>
                <w:iCs/>
                <w:color w:val="auto"/>
                <w:lang w:eastAsia="en-SG"/>
              </w:rPr>
              <w:t>6</w:t>
            </w:r>
          </w:p>
        </w:tc>
        <w:tc>
          <w:tcPr>
            <w:tcW w:w="530" w:type="dxa"/>
            <w:tcBorders>
              <w:left w:val="nil"/>
              <w:bottom w:val="single" w:sz="4" w:space="0" w:color="auto"/>
            </w:tcBorders>
            <w:shd w:val="clear" w:color="000000" w:fill="FFFFFF"/>
            <w:vAlign w:val="center"/>
          </w:tcPr>
          <w:p w14:paraId="2EF3AF7D" w14:textId="77777777" w:rsidR="00F731AC" w:rsidRPr="00D53E7A" w:rsidRDefault="00F731AC" w:rsidP="00CC768C">
            <w:pPr>
              <w:spacing w:after="0" w:line="240" w:lineRule="auto"/>
              <w:jc w:val="center"/>
              <w:rPr>
                <w:rFonts w:eastAsia="Times New Roman"/>
                <w:i/>
                <w:iCs/>
                <w:color w:val="auto"/>
                <w:lang w:eastAsia="en-SG"/>
              </w:rPr>
            </w:pPr>
            <w:r w:rsidRPr="00D53E7A">
              <w:rPr>
                <w:rFonts w:eastAsia="Times New Roman"/>
                <w:i/>
                <w:iCs/>
                <w:color w:val="auto"/>
                <w:lang w:eastAsia="en-SG"/>
              </w:rPr>
              <w:t>7</w:t>
            </w:r>
          </w:p>
        </w:tc>
        <w:tc>
          <w:tcPr>
            <w:tcW w:w="530" w:type="dxa"/>
            <w:tcBorders>
              <w:left w:val="nil"/>
              <w:bottom w:val="single" w:sz="4" w:space="0" w:color="auto"/>
            </w:tcBorders>
            <w:shd w:val="clear" w:color="000000" w:fill="FFFFFF"/>
            <w:vAlign w:val="center"/>
          </w:tcPr>
          <w:p w14:paraId="55A017C4" w14:textId="77777777" w:rsidR="00F731AC" w:rsidRPr="00D53E7A" w:rsidRDefault="00F731AC" w:rsidP="00CC768C">
            <w:pPr>
              <w:spacing w:after="0" w:line="240" w:lineRule="auto"/>
              <w:jc w:val="center"/>
              <w:rPr>
                <w:rFonts w:eastAsia="Times New Roman"/>
                <w:i/>
                <w:iCs/>
                <w:color w:val="auto"/>
                <w:lang w:eastAsia="en-SG"/>
              </w:rPr>
            </w:pPr>
            <w:r w:rsidRPr="00D53E7A">
              <w:rPr>
                <w:rFonts w:eastAsia="Times New Roman"/>
                <w:i/>
                <w:iCs/>
                <w:color w:val="auto"/>
                <w:lang w:eastAsia="en-SG"/>
              </w:rPr>
              <w:t>8</w:t>
            </w:r>
          </w:p>
        </w:tc>
        <w:tc>
          <w:tcPr>
            <w:tcW w:w="530" w:type="dxa"/>
            <w:tcBorders>
              <w:left w:val="nil"/>
              <w:bottom w:val="single" w:sz="4" w:space="0" w:color="auto"/>
              <w:right w:val="single" w:sz="4" w:space="0" w:color="auto"/>
            </w:tcBorders>
            <w:shd w:val="clear" w:color="000000" w:fill="FFFFFF"/>
            <w:vAlign w:val="center"/>
          </w:tcPr>
          <w:p w14:paraId="79BC8D5F" w14:textId="77777777" w:rsidR="00F731AC" w:rsidRPr="00D53E7A" w:rsidRDefault="00F731AC" w:rsidP="00CC768C">
            <w:pPr>
              <w:spacing w:after="0" w:line="240" w:lineRule="auto"/>
              <w:jc w:val="center"/>
              <w:rPr>
                <w:rFonts w:eastAsia="Times New Roman"/>
                <w:i/>
                <w:iCs/>
                <w:color w:val="auto"/>
                <w:lang w:eastAsia="en-SG"/>
              </w:rPr>
            </w:pPr>
            <w:r w:rsidRPr="00D53E7A">
              <w:rPr>
                <w:rFonts w:eastAsia="Times New Roman"/>
                <w:i/>
                <w:iCs/>
                <w:color w:val="auto"/>
                <w:lang w:eastAsia="en-SG"/>
              </w:rPr>
              <w:t>9</w:t>
            </w:r>
          </w:p>
        </w:tc>
        <w:tc>
          <w:tcPr>
            <w:tcW w:w="480" w:type="dxa"/>
            <w:tcBorders>
              <w:left w:val="single" w:sz="4" w:space="0" w:color="auto"/>
              <w:bottom w:val="single" w:sz="4" w:space="0" w:color="auto"/>
              <w:right w:val="nil"/>
            </w:tcBorders>
            <w:shd w:val="clear" w:color="000000" w:fill="FFFFFF"/>
            <w:vAlign w:val="center"/>
          </w:tcPr>
          <w:p w14:paraId="5188672D" w14:textId="77777777" w:rsidR="00F731AC" w:rsidRPr="00D53E7A" w:rsidRDefault="00F731AC" w:rsidP="00CC768C">
            <w:pPr>
              <w:spacing w:after="0" w:line="240" w:lineRule="auto"/>
              <w:jc w:val="center"/>
              <w:rPr>
                <w:rFonts w:eastAsia="Times New Roman"/>
                <w:i/>
                <w:iCs/>
                <w:color w:val="auto"/>
                <w:lang w:eastAsia="en-SG"/>
              </w:rPr>
            </w:pPr>
            <w:r w:rsidRPr="00D53E7A">
              <w:rPr>
                <w:rFonts w:eastAsia="Times New Roman"/>
                <w:i/>
                <w:iCs/>
                <w:color w:val="auto"/>
                <w:lang w:eastAsia="en-SG"/>
              </w:rPr>
              <w:t>1</w:t>
            </w:r>
          </w:p>
        </w:tc>
        <w:tc>
          <w:tcPr>
            <w:tcW w:w="480" w:type="dxa"/>
            <w:tcBorders>
              <w:left w:val="nil"/>
              <w:bottom w:val="single" w:sz="4" w:space="0" w:color="auto"/>
              <w:right w:val="nil"/>
            </w:tcBorders>
            <w:shd w:val="clear" w:color="000000" w:fill="FFFFFF"/>
            <w:vAlign w:val="center"/>
          </w:tcPr>
          <w:p w14:paraId="78EB1850" w14:textId="77777777" w:rsidR="00F731AC" w:rsidRPr="00D53E7A" w:rsidRDefault="00F731AC" w:rsidP="00CC768C">
            <w:pPr>
              <w:spacing w:after="0" w:line="240" w:lineRule="auto"/>
              <w:jc w:val="center"/>
              <w:rPr>
                <w:rFonts w:eastAsia="Times New Roman"/>
                <w:i/>
                <w:iCs/>
                <w:color w:val="auto"/>
                <w:lang w:eastAsia="en-SG"/>
              </w:rPr>
            </w:pPr>
            <w:r w:rsidRPr="00D53E7A">
              <w:rPr>
                <w:rFonts w:eastAsia="Times New Roman"/>
                <w:i/>
                <w:iCs/>
                <w:color w:val="auto"/>
                <w:lang w:eastAsia="en-SG"/>
              </w:rPr>
              <w:t>2</w:t>
            </w:r>
          </w:p>
        </w:tc>
        <w:tc>
          <w:tcPr>
            <w:tcW w:w="480" w:type="dxa"/>
            <w:tcBorders>
              <w:left w:val="nil"/>
              <w:bottom w:val="single" w:sz="4" w:space="0" w:color="auto"/>
              <w:right w:val="nil"/>
            </w:tcBorders>
            <w:shd w:val="clear" w:color="000000" w:fill="FFFFFF"/>
            <w:vAlign w:val="center"/>
          </w:tcPr>
          <w:p w14:paraId="6E10B5A3" w14:textId="77777777" w:rsidR="00F731AC" w:rsidRPr="00D53E7A" w:rsidRDefault="00F731AC" w:rsidP="00CC768C">
            <w:pPr>
              <w:spacing w:after="0" w:line="240" w:lineRule="auto"/>
              <w:jc w:val="center"/>
              <w:rPr>
                <w:rFonts w:eastAsia="Times New Roman"/>
                <w:i/>
                <w:iCs/>
                <w:color w:val="auto"/>
                <w:lang w:eastAsia="en-SG"/>
              </w:rPr>
            </w:pPr>
            <w:r w:rsidRPr="00D53E7A">
              <w:rPr>
                <w:rFonts w:eastAsia="Times New Roman"/>
                <w:i/>
                <w:iCs/>
                <w:color w:val="auto"/>
                <w:lang w:eastAsia="en-SG"/>
              </w:rPr>
              <w:t>3</w:t>
            </w:r>
          </w:p>
        </w:tc>
        <w:tc>
          <w:tcPr>
            <w:tcW w:w="480" w:type="dxa"/>
            <w:tcBorders>
              <w:left w:val="nil"/>
              <w:bottom w:val="single" w:sz="4" w:space="0" w:color="auto"/>
              <w:right w:val="nil"/>
            </w:tcBorders>
            <w:shd w:val="clear" w:color="000000" w:fill="FFFFFF"/>
            <w:vAlign w:val="center"/>
          </w:tcPr>
          <w:p w14:paraId="121522BB" w14:textId="77777777" w:rsidR="00F731AC" w:rsidRPr="00D53E7A" w:rsidRDefault="00F731AC" w:rsidP="00CC768C">
            <w:pPr>
              <w:spacing w:after="0" w:line="240" w:lineRule="auto"/>
              <w:jc w:val="center"/>
              <w:rPr>
                <w:rFonts w:eastAsia="Times New Roman"/>
                <w:i/>
                <w:iCs/>
                <w:color w:val="auto"/>
                <w:lang w:eastAsia="en-SG"/>
              </w:rPr>
            </w:pPr>
            <w:r w:rsidRPr="00D53E7A">
              <w:rPr>
                <w:rFonts w:eastAsia="Times New Roman"/>
                <w:i/>
                <w:iCs/>
                <w:color w:val="auto"/>
                <w:lang w:eastAsia="en-SG"/>
              </w:rPr>
              <w:t>4</w:t>
            </w:r>
          </w:p>
        </w:tc>
        <w:tc>
          <w:tcPr>
            <w:tcW w:w="480" w:type="dxa"/>
            <w:tcBorders>
              <w:left w:val="nil"/>
              <w:bottom w:val="single" w:sz="4" w:space="0" w:color="auto"/>
              <w:right w:val="nil"/>
            </w:tcBorders>
            <w:shd w:val="clear" w:color="000000" w:fill="FFFFFF"/>
            <w:vAlign w:val="center"/>
          </w:tcPr>
          <w:p w14:paraId="4FE224CB" w14:textId="77777777" w:rsidR="00F731AC" w:rsidRPr="00D53E7A" w:rsidRDefault="00F731AC" w:rsidP="00CC768C">
            <w:pPr>
              <w:spacing w:after="0" w:line="240" w:lineRule="auto"/>
              <w:jc w:val="center"/>
              <w:rPr>
                <w:rFonts w:eastAsia="Times New Roman"/>
                <w:i/>
                <w:iCs/>
                <w:color w:val="auto"/>
                <w:lang w:eastAsia="en-SG"/>
              </w:rPr>
            </w:pPr>
            <w:r w:rsidRPr="00D53E7A">
              <w:rPr>
                <w:rFonts w:eastAsia="Times New Roman"/>
                <w:i/>
                <w:iCs/>
                <w:color w:val="auto"/>
                <w:lang w:eastAsia="en-SG"/>
              </w:rPr>
              <w:t>5</w:t>
            </w:r>
          </w:p>
        </w:tc>
        <w:tc>
          <w:tcPr>
            <w:tcW w:w="480" w:type="dxa"/>
            <w:tcBorders>
              <w:left w:val="nil"/>
              <w:bottom w:val="single" w:sz="4" w:space="0" w:color="auto"/>
              <w:right w:val="nil"/>
            </w:tcBorders>
            <w:shd w:val="clear" w:color="000000" w:fill="FFFFFF"/>
            <w:vAlign w:val="center"/>
          </w:tcPr>
          <w:p w14:paraId="31AA56D0" w14:textId="77777777" w:rsidR="00F731AC" w:rsidRPr="00D53E7A" w:rsidRDefault="00F731AC" w:rsidP="00CC768C">
            <w:pPr>
              <w:spacing w:after="0" w:line="240" w:lineRule="auto"/>
              <w:jc w:val="center"/>
              <w:rPr>
                <w:rFonts w:eastAsia="Times New Roman"/>
                <w:i/>
                <w:iCs/>
                <w:color w:val="auto"/>
                <w:lang w:eastAsia="en-SG"/>
              </w:rPr>
            </w:pPr>
            <w:r w:rsidRPr="00D53E7A">
              <w:rPr>
                <w:rFonts w:eastAsia="Times New Roman"/>
                <w:i/>
                <w:iCs/>
                <w:color w:val="auto"/>
                <w:lang w:eastAsia="en-SG"/>
              </w:rPr>
              <w:t>6</w:t>
            </w:r>
          </w:p>
        </w:tc>
        <w:tc>
          <w:tcPr>
            <w:tcW w:w="480" w:type="dxa"/>
            <w:tcBorders>
              <w:left w:val="nil"/>
              <w:bottom w:val="single" w:sz="4" w:space="0" w:color="auto"/>
              <w:right w:val="nil"/>
            </w:tcBorders>
            <w:shd w:val="clear" w:color="000000" w:fill="FFFFFF"/>
            <w:vAlign w:val="center"/>
          </w:tcPr>
          <w:p w14:paraId="6ED145F2" w14:textId="77777777" w:rsidR="00F731AC" w:rsidRPr="00D53E7A" w:rsidRDefault="00F731AC" w:rsidP="00CC768C">
            <w:pPr>
              <w:spacing w:after="0" w:line="240" w:lineRule="auto"/>
              <w:jc w:val="center"/>
              <w:rPr>
                <w:rFonts w:eastAsia="Times New Roman"/>
                <w:i/>
                <w:iCs/>
                <w:color w:val="auto"/>
                <w:lang w:eastAsia="en-SG"/>
              </w:rPr>
            </w:pPr>
            <w:r w:rsidRPr="00D53E7A">
              <w:rPr>
                <w:rFonts w:eastAsia="Times New Roman"/>
                <w:i/>
                <w:iCs/>
                <w:color w:val="auto"/>
                <w:lang w:eastAsia="en-SG"/>
              </w:rPr>
              <w:t>7</w:t>
            </w:r>
          </w:p>
        </w:tc>
        <w:tc>
          <w:tcPr>
            <w:tcW w:w="480" w:type="dxa"/>
            <w:tcBorders>
              <w:left w:val="nil"/>
              <w:bottom w:val="single" w:sz="4" w:space="0" w:color="auto"/>
              <w:right w:val="nil"/>
            </w:tcBorders>
            <w:shd w:val="clear" w:color="000000" w:fill="FFFFFF"/>
            <w:vAlign w:val="center"/>
          </w:tcPr>
          <w:p w14:paraId="6D7553B1" w14:textId="77777777" w:rsidR="00F731AC" w:rsidRPr="00D53E7A" w:rsidRDefault="00F731AC" w:rsidP="00CC768C">
            <w:pPr>
              <w:spacing w:after="0" w:line="240" w:lineRule="auto"/>
              <w:jc w:val="center"/>
              <w:rPr>
                <w:rFonts w:eastAsia="Times New Roman"/>
                <w:i/>
                <w:iCs/>
                <w:color w:val="auto"/>
                <w:lang w:eastAsia="en-SG"/>
              </w:rPr>
            </w:pPr>
            <w:r w:rsidRPr="00D53E7A">
              <w:rPr>
                <w:rFonts w:eastAsia="Times New Roman"/>
                <w:i/>
                <w:iCs/>
                <w:color w:val="auto"/>
                <w:lang w:eastAsia="en-SG"/>
              </w:rPr>
              <w:t>8</w:t>
            </w:r>
          </w:p>
        </w:tc>
        <w:tc>
          <w:tcPr>
            <w:tcW w:w="480" w:type="dxa"/>
            <w:tcBorders>
              <w:left w:val="nil"/>
              <w:bottom w:val="single" w:sz="4" w:space="0" w:color="auto"/>
              <w:right w:val="single" w:sz="4" w:space="0" w:color="auto"/>
            </w:tcBorders>
            <w:shd w:val="clear" w:color="000000" w:fill="FFFFFF"/>
            <w:vAlign w:val="center"/>
          </w:tcPr>
          <w:p w14:paraId="49189407" w14:textId="77777777" w:rsidR="00F731AC" w:rsidRPr="00D53E7A" w:rsidRDefault="00F731AC" w:rsidP="00CC768C">
            <w:pPr>
              <w:spacing w:after="0" w:line="240" w:lineRule="auto"/>
              <w:jc w:val="center"/>
              <w:rPr>
                <w:rFonts w:eastAsia="Times New Roman"/>
                <w:i/>
                <w:iCs/>
                <w:color w:val="auto"/>
                <w:lang w:eastAsia="en-SG"/>
              </w:rPr>
            </w:pPr>
            <w:r w:rsidRPr="00D53E7A">
              <w:rPr>
                <w:rFonts w:eastAsia="Times New Roman"/>
                <w:i/>
                <w:iCs/>
                <w:color w:val="auto"/>
                <w:lang w:eastAsia="en-SG"/>
              </w:rPr>
              <w:t>9</w:t>
            </w:r>
          </w:p>
        </w:tc>
        <w:tc>
          <w:tcPr>
            <w:tcW w:w="630" w:type="dxa"/>
            <w:tcBorders>
              <w:left w:val="single" w:sz="4" w:space="0" w:color="auto"/>
              <w:bottom w:val="single" w:sz="4" w:space="0" w:color="auto"/>
              <w:right w:val="nil"/>
            </w:tcBorders>
            <w:shd w:val="clear" w:color="000000" w:fill="FFFFFF"/>
            <w:vAlign w:val="center"/>
          </w:tcPr>
          <w:p w14:paraId="4EF3AB95" w14:textId="77777777" w:rsidR="00F731AC" w:rsidRPr="002D1654" w:rsidRDefault="00F731AC" w:rsidP="00CC768C">
            <w:pPr>
              <w:spacing w:after="0" w:line="240" w:lineRule="auto"/>
              <w:jc w:val="center"/>
              <w:rPr>
                <w:rFonts w:eastAsia="Times New Roman"/>
                <w:i/>
                <w:color w:val="auto"/>
                <w:lang w:eastAsia="en-SG"/>
              </w:rPr>
            </w:pPr>
            <w:r w:rsidRPr="002D1654">
              <w:rPr>
                <w:rFonts w:eastAsia="Times New Roman"/>
                <w:i/>
                <w:color w:val="auto"/>
                <w:lang w:eastAsia="en-SG"/>
              </w:rPr>
              <w:t>Per Brand</w:t>
            </w:r>
          </w:p>
        </w:tc>
        <w:tc>
          <w:tcPr>
            <w:tcW w:w="630" w:type="dxa"/>
            <w:tcBorders>
              <w:left w:val="nil"/>
              <w:bottom w:val="single" w:sz="4" w:space="0" w:color="auto"/>
              <w:right w:val="nil"/>
            </w:tcBorders>
            <w:shd w:val="clear" w:color="000000" w:fill="FFFFFF"/>
            <w:vAlign w:val="center"/>
          </w:tcPr>
          <w:p w14:paraId="750A4134" w14:textId="77777777" w:rsidR="00F731AC" w:rsidRPr="002D1654" w:rsidRDefault="00F731AC" w:rsidP="00CC768C">
            <w:pPr>
              <w:spacing w:after="0" w:line="240" w:lineRule="auto"/>
              <w:jc w:val="center"/>
              <w:rPr>
                <w:rFonts w:eastAsia="Times New Roman"/>
                <w:i/>
                <w:color w:val="auto"/>
                <w:lang w:eastAsia="en-SG"/>
              </w:rPr>
            </w:pPr>
            <w:r w:rsidRPr="002D1654">
              <w:rPr>
                <w:rFonts w:eastAsia="Times New Roman"/>
                <w:i/>
                <w:color w:val="auto"/>
                <w:lang w:eastAsia="en-SG"/>
              </w:rPr>
              <w:t>Per Firm</w:t>
            </w:r>
          </w:p>
        </w:tc>
      </w:tr>
      <w:tr w:rsidR="00F731AC" w:rsidRPr="002D1654" w14:paraId="61403BA1" w14:textId="77777777" w:rsidTr="00CC768C">
        <w:trPr>
          <w:trHeight w:val="586"/>
          <w:jc w:val="center"/>
        </w:trPr>
        <w:tc>
          <w:tcPr>
            <w:tcW w:w="990" w:type="dxa"/>
            <w:tcBorders>
              <w:top w:val="single" w:sz="4" w:space="0" w:color="auto"/>
              <w:left w:val="nil"/>
              <w:bottom w:val="single" w:sz="4" w:space="0" w:color="auto"/>
              <w:right w:val="nil"/>
            </w:tcBorders>
            <w:shd w:val="clear" w:color="auto" w:fill="auto"/>
            <w:noWrap/>
            <w:vAlign w:val="center"/>
          </w:tcPr>
          <w:p w14:paraId="799722D5" w14:textId="77777777" w:rsidR="00F731AC" w:rsidRPr="002D1654" w:rsidRDefault="00F731AC" w:rsidP="00CC768C">
            <w:pPr>
              <w:spacing w:after="0" w:line="240" w:lineRule="auto"/>
              <w:jc w:val="center"/>
              <w:rPr>
                <w:rFonts w:eastAsia="Times New Roman"/>
                <w:color w:val="auto"/>
                <w:lang w:eastAsia="en-SG"/>
              </w:rPr>
            </w:pPr>
            <w:r w:rsidRPr="002D1654">
              <w:rPr>
                <w:color w:val="auto"/>
              </w:rPr>
              <w:t>American Airlines Group Inc</w:t>
            </w:r>
          </w:p>
        </w:tc>
        <w:tc>
          <w:tcPr>
            <w:tcW w:w="810" w:type="dxa"/>
            <w:tcBorders>
              <w:top w:val="single" w:sz="4" w:space="0" w:color="auto"/>
              <w:left w:val="nil"/>
              <w:bottom w:val="single" w:sz="4" w:space="0" w:color="auto"/>
              <w:right w:val="single" w:sz="4" w:space="0" w:color="auto"/>
            </w:tcBorders>
            <w:shd w:val="clear" w:color="auto" w:fill="auto"/>
            <w:vAlign w:val="center"/>
          </w:tcPr>
          <w:p w14:paraId="36202C7B" w14:textId="77777777" w:rsidR="00F731AC" w:rsidRPr="002D1654" w:rsidRDefault="00F731AC" w:rsidP="00CC768C">
            <w:pPr>
              <w:spacing w:after="0" w:line="240" w:lineRule="auto"/>
              <w:jc w:val="center"/>
              <w:rPr>
                <w:rFonts w:eastAsia="Times New Roman"/>
                <w:color w:val="auto"/>
                <w:lang w:eastAsia="en-SG"/>
              </w:rPr>
            </w:pPr>
            <w:r w:rsidRPr="002D1654">
              <w:rPr>
                <w:color w:val="auto"/>
              </w:rPr>
              <w:t>Airlines</w:t>
            </w:r>
          </w:p>
        </w:tc>
        <w:tc>
          <w:tcPr>
            <w:tcW w:w="270" w:type="dxa"/>
            <w:tcBorders>
              <w:top w:val="single" w:sz="4" w:space="0" w:color="auto"/>
              <w:left w:val="single" w:sz="4" w:space="0" w:color="auto"/>
              <w:bottom w:val="single" w:sz="4" w:space="0" w:color="auto"/>
              <w:right w:val="nil"/>
            </w:tcBorders>
            <w:shd w:val="clear" w:color="auto" w:fill="auto"/>
            <w:vAlign w:val="center"/>
          </w:tcPr>
          <w:p w14:paraId="0B574221" w14:textId="77777777" w:rsidR="00F731AC" w:rsidRPr="002D1654" w:rsidRDefault="00F731AC" w:rsidP="00CC768C">
            <w:pPr>
              <w:spacing w:after="0" w:line="240" w:lineRule="auto"/>
              <w:jc w:val="center"/>
              <w:rPr>
                <w:rFonts w:eastAsia="Times New Roman"/>
                <w:color w:val="auto"/>
                <w:lang w:eastAsia="en-SG"/>
              </w:rPr>
            </w:pPr>
            <w:r w:rsidRPr="002D1654">
              <w:rPr>
                <w:color w:val="auto"/>
              </w:rPr>
              <w:t>1</w:t>
            </w:r>
          </w:p>
        </w:tc>
        <w:tc>
          <w:tcPr>
            <w:tcW w:w="900" w:type="dxa"/>
            <w:tcBorders>
              <w:top w:val="single" w:sz="4" w:space="0" w:color="auto"/>
              <w:left w:val="nil"/>
              <w:bottom w:val="single" w:sz="4" w:space="0" w:color="auto"/>
              <w:right w:val="single" w:sz="4" w:space="0" w:color="auto"/>
            </w:tcBorders>
            <w:shd w:val="clear" w:color="auto" w:fill="auto"/>
            <w:vAlign w:val="center"/>
          </w:tcPr>
          <w:p w14:paraId="2D909E7E" w14:textId="77777777" w:rsidR="00F731AC" w:rsidRPr="002D1654" w:rsidRDefault="00F731AC" w:rsidP="00CC768C">
            <w:pPr>
              <w:spacing w:after="0" w:line="240" w:lineRule="auto"/>
              <w:jc w:val="center"/>
              <w:rPr>
                <w:color w:val="auto"/>
              </w:rPr>
            </w:pPr>
            <w:r w:rsidRPr="002D1654">
              <w:rPr>
                <w:color w:val="auto"/>
              </w:rPr>
              <w:t>American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01D0B96" w14:textId="77777777" w:rsidR="00F731AC" w:rsidRPr="002D1654" w:rsidRDefault="00F731AC" w:rsidP="00CC768C">
            <w:pPr>
              <w:spacing w:after="0" w:line="240" w:lineRule="auto"/>
              <w:jc w:val="center"/>
              <w:rPr>
                <w:color w:val="auto"/>
              </w:rPr>
            </w:pPr>
            <w:r w:rsidRPr="002D1654">
              <w:rPr>
                <w:color w:val="auto"/>
              </w:rPr>
              <w:t>63</w:t>
            </w:r>
          </w:p>
        </w:tc>
        <w:tc>
          <w:tcPr>
            <w:tcW w:w="530" w:type="dxa"/>
            <w:tcBorders>
              <w:top w:val="single" w:sz="4" w:space="0" w:color="auto"/>
              <w:left w:val="nil"/>
              <w:bottom w:val="single" w:sz="4" w:space="0" w:color="auto"/>
              <w:right w:val="nil"/>
            </w:tcBorders>
            <w:shd w:val="clear" w:color="auto" w:fill="auto"/>
            <w:vAlign w:val="center"/>
          </w:tcPr>
          <w:p w14:paraId="15523BBB" w14:textId="77777777" w:rsidR="00F731AC" w:rsidRPr="003B24F4" w:rsidRDefault="00F731AC" w:rsidP="00CC768C">
            <w:pPr>
              <w:spacing w:after="0" w:line="240" w:lineRule="auto"/>
              <w:jc w:val="center"/>
              <w:rPr>
                <w:color w:val="auto"/>
                <w:sz w:val="16"/>
                <w:szCs w:val="16"/>
              </w:rPr>
            </w:pPr>
            <w:r w:rsidRPr="003B24F4">
              <w:rPr>
                <w:sz w:val="16"/>
                <w:szCs w:val="16"/>
              </w:rPr>
              <w:t>−</w:t>
            </w:r>
          </w:p>
        </w:tc>
        <w:tc>
          <w:tcPr>
            <w:tcW w:w="530" w:type="dxa"/>
            <w:tcBorders>
              <w:top w:val="single" w:sz="4" w:space="0" w:color="auto"/>
              <w:left w:val="nil"/>
              <w:bottom w:val="single" w:sz="4" w:space="0" w:color="auto"/>
              <w:right w:val="nil"/>
            </w:tcBorders>
            <w:shd w:val="clear" w:color="auto" w:fill="auto"/>
            <w:vAlign w:val="center"/>
          </w:tcPr>
          <w:p w14:paraId="0ECA3E4B" w14:textId="77777777" w:rsidR="00F731AC" w:rsidRPr="003B24F4" w:rsidRDefault="00F731AC" w:rsidP="00CC768C">
            <w:pPr>
              <w:spacing w:after="0" w:line="240" w:lineRule="auto"/>
              <w:jc w:val="center"/>
              <w:rPr>
                <w:color w:val="auto"/>
                <w:sz w:val="16"/>
                <w:szCs w:val="16"/>
              </w:rPr>
            </w:pPr>
            <w:r w:rsidRPr="003B24F4">
              <w:rPr>
                <w:sz w:val="16"/>
                <w:szCs w:val="16"/>
              </w:rPr>
              <w:t>1.333</w:t>
            </w:r>
          </w:p>
        </w:tc>
        <w:tc>
          <w:tcPr>
            <w:tcW w:w="530" w:type="dxa"/>
            <w:tcBorders>
              <w:top w:val="single" w:sz="4" w:space="0" w:color="auto"/>
              <w:left w:val="nil"/>
              <w:bottom w:val="single" w:sz="4" w:space="0" w:color="auto"/>
              <w:right w:val="nil"/>
            </w:tcBorders>
            <w:shd w:val="clear" w:color="auto" w:fill="auto"/>
            <w:vAlign w:val="center"/>
          </w:tcPr>
          <w:p w14:paraId="7FC4700D" w14:textId="77777777" w:rsidR="00F731AC" w:rsidRPr="003B24F4" w:rsidRDefault="00F731AC" w:rsidP="00CC768C">
            <w:pPr>
              <w:spacing w:after="0" w:line="240" w:lineRule="auto"/>
              <w:jc w:val="center"/>
              <w:rPr>
                <w:color w:val="auto"/>
                <w:sz w:val="16"/>
                <w:szCs w:val="16"/>
              </w:rPr>
            </w:pPr>
            <w:r w:rsidRPr="003B24F4">
              <w:rPr>
                <w:sz w:val="16"/>
                <w:szCs w:val="16"/>
              </w:rPr>
              <w:t>1.333</w:t>
            </w:r>
          </w:p>
        </w:tc>
        <w:tc>
          <w:tcPr>
            <w:tcW w:w="530" w:type="dxa"/>
            <w:tcBorders>
              <w:top w:val="single" w:sz="4" w:space="0" w:color="auto"/>
              <w:left w:val="nil"/>
              <w:bottom w:val="single" w:sz="4" w:space="0" w:color="auto"/>
              <w:right w:val="nil"/>
            </w:tcBorders>
            <w:shd w:val="clear" w:color="auto" w:fill="auto"/>
            <w:vAlign w:val="center"/>
          </w:tcPr>
          <w:p w14:paraId="2E0B9464" w14:textId="77777777" w:rsidR="00F731AC" w:rsidRPr="003B24F4" w:rsidRDefault="00F731AC" w:rsidP="00CC768C">
            <w:pPr>
              <w:spacing w:after="0" w:line="240" w:lineRule="auto"/>
              <w:jc w:val="center"/>
              <w:rPr>
                <w:color w:val="auto"/>
                <w:sz w:val="16"/>
                <w:szCs w:val="16"/>
              </w:rPr>
            </w:pPr>
            <w:r w:rsidRPr="003B24F4">
              <w:rPr>
                <w:sz w:val="16"/>
                <w:szCs w:val="16"/>
              </w:rPr>
              <w:t>28.110</w:t>
            </w:r>
          </w:p>
        </w:tc>
        <w:tc>
          <w:tcPr>
            <w:tcW w:w="530" w:type="dxa"/>
            <w:tcBorders>
              <w:top w:val="single" w:sz="4" w:space="0" w:color="auto"/>
              <w:left w:val="nil"/>
              <w:bottom w:val="single" w:sz="4" w:space="0" w:color="auto"/>
              <w:right w:val="nil"/>
            </w:tcBorders>
            <w:shd w:val="clear" w:color="auto" w:fill="auto"/>
            <w:vAlign w:val="center"/>
          </w:tcPr>
          <w:p w14:paraId="0D4888F0" w14:textId="77777777" w:rsidR="00F731AC" w:rsidRPr="003B24F4" w:rsidRDefault="00F731AC" w:rsidP="00CC768C">
            <w:pPr>
              <w:spacing w:after="0" w:line="240" w:lineRule="auto"/>
              <w:jc w:val="center"/>
              <w:rPr>
                <w:color w:val="auto"/>
                <w:sz w:val="16"/>
                <w:szCs w:val="16"/>
              </w:rPr>
            </w:pPr>
            <w:r w:rsidRPr="003B24F4">
              <w:rPr>
                <w:sz w:val="16"/>
                <w:szCs w:val="16"/>
              </w:rPr>
              <w:t>21.052</w:t>
            </w:r>
          </w:p>
        </w:tc>
        <w:tc>
          <w:tcPr>
            <w:tcW w:w="530" w:type="dxa"/>
            <w:tcBorders>
              <w:top w:val="single" w:sz="4" w:space="0" w:color="auto"/>
              <w:left w:val="nil"/>
              <w:bottom w:val="single" w:sz="4" w:space="0" w:color="auto"/>
              <w:right w:val="nil"/>
            </w:tcBorders>
            <w:shd w:val="clear" w:color="auto" w:fill="auto"/>
            <w:vAlign w:val="center"/>
          </w:tcPr>
          <w:p w14:paraId="32BA130A" w14:textId="77777777" w:rsidR="00F731AC" w:rsidRPr="003B24F4" w:rsidRDefault="00F731AC" w:rsidP="00CC768C">
            <w:pPr>
              <w:spacing w:after="0" w:line="240" w:lineRule="auto"/>
              <w:jc w:val="center"/>
              <w:rPr>
                <w:color w:val="auto"/>
                <w:sz w:val="16"/>
                <w:szCs w:val="16"/>
              </w:rPr>
            </w:pPr>
            <w:r w:rsidRPr="003B24F4">
              <w:rPr>
                <w:sz w:val="16"/>
                <w:szCs w:val="16"/>
              </w:rPr>
              <w:t>0.333</w:t>
            </w:r>
          </w:p>
        </w:tc>
        <w:tc>
          <w:tcPr>
            <w:tcW w:w="530" w:type="dxa"/>
            <w:tcBorders>
              <w:top w:val="single" w:sz="4" w:space="0" w:color="auto"/>
              <w:left w:val="nil"/>
              <w:bottom w:val="single" w:sz="4" w:space="0" w:color="auto"/>
              <w:right w:val="nil"/>
            </w:tcBorders>
            <w:shd w:val="clear" w:color="auto" w:fill="auto"/>
            <w:vAlign w:val="center"/>
          </w:tcPr>
          <w:p w14:paraId="277934C9" w14:textId="77777777" w:rsidR="00F731AC" w:rsidRPr="003B24F4" w:rsidRDefault="00F731AC" w:rsidP="00CC768C">
            <w:pPr>
              <w:spacing w:after="0" w:line="240" w:lineRule="auto"/>
              <w:jc w:val="center"/>
              <w:rPr>
                <w:color w:val="auto"/>
                <w:sz w:val="16"/>
                <w:szCs w:val="16"/>
              </w:rPr>
            </w:pPr>
            <w:r w:rsidRPr="003B24F4">
              <w:rPr>
                <w:sz w:val="16"/>
                <w:szCs w:val="16"/>
              </w:rPr>
              <w:t>0.333</w:t>
            </w:r>
          </w:p>
        </w:tc>
        <w:tc>
          <w:tcPr>
            <w:tcW w:w="530" w:type="dxa"/>
            <w:tcBorders>
              <w:top w:val="single" w:sz="4" w:space="0" w:color="auto"/>
              <w:left w:val="nil"/>
              <w:bottom w:val="single" w:sz="4" w:space="0" w:color="auto"/>
              <w:right w:val="nil"/>
            </w:tcBorders>
            <w:shd w:val="clear" w:color="auto" w:fill="auto"/>
            <w:vAlign w:val="center"/>
          </w:tcPr>
          <w:p w14:paraId="6FEAC7CD" w14:textId="77777777" w:rsidR="00F731AC" w:rsidRPr="003B24F4" w:rsidRDefault="00F731AC" w:rsidP="00CC768C">
            <w:pPr>
              <w:spacing w:after="0" w:line="240" w:lineRule="auto"/>
              <w:jc w:val="center"/>
              <w:rPr>
                <w:color w:val="auto"/>
                <w:sz w:val="16"/>
                <w:szCs w:val="16"/>
              </w:rPr>
            </w:pPr>
            <w:r w:rsidRPr="003B24F4">
              <w:rPr>
                <w:sz w:val="16"/>
                <w:szCs w:val="16"/>
              </w:rPr>
              <w:t>24.248</w:t>
            </w:r>
          </w:p>
        </w:tc>
        <w:tc>
          <w:tcPr>
            <w:tcW w:w="530" w:type="dxa"/>
            <w:tcBorders>
              <w:top w:val="single" w:sz="4" w:space="0" w:color="auto"/>
              <w:left w:val="nil"/>
              <w:bottom w:val="single" w:sz="4" w:space="0" w:color="auto"/>
              <w:right w:val="nil"/>
            </w:tcBorders>
            <w:shd w:val="clear" w:color="auto" w:fill="auto"/>
            <w:vAlign w:val="center"/>
          </w:tcPr>
          <w:p w14:paraId="1CFFF9F0" w14:textId="77777777" w:rsidR="00F731AC" w:rsidRPr="003B24F4" w:rsidRDefault="00F731AC" w:rsidP="00CC768C">
            <w:pPr>
              <w:spacing w:after="0" w:line="240" w:lineRule="auto"/>
              <w:jc w:val="center"/>
              <w:rPr>
                <w:color w:val="auto"/>
                <w:sz w:val="16"/>
                <w:szCs w:val="16"/>
              </w:rPr>
            </w:pPr>
            <w:r w:rsidRPr="003B24F4">
              <w:rPr>
                <w:sz w:val="16"/>
                <w:szCs w:val="16"/>
              </w:rPr>
              <w:t>33.023</w:t>
            </w:r>
          </w:p>
        </w:tc>
        <w:tc>
          <w:tcPr>
            <w:tcW w:w="480" w:type="dxa"/>
            <w:tcBorders>
              <w:top w:val="single" w:sz="4" w:space="0" w:color="auto"/>
              <w:left w:val="single" w:sz="4" w:space="0" w:color="auto"/>
              <w:bottom w:val="single" w:sz="4" w:space="0" w:color="auto"/>
              <w:right w:val="nil"/>
            </w:tcBorders>
            <w:shd w:val="clear" w:color="auto" w:fill="auto"/>
            <w:vAlign w:val="center"/>
          </w:tcPr>
          <w:p w14:paraId="23242669"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w:t>
            </w:r>
          </w:p>
        </w:tc>
        <w:tc>
          <w:tcPr>
            <w:tcW w:w="480" w:type="dxa"/>
            <w:tcBorders>
              <w:top w:val="single" w:sz="4" w:space="0" w:color="auto"/>
              <w:left w:val="nil"/>
              <w:bottom w:val="single" w:sz="4" w:space="0" w:color="auto"/>
              <w:right w:val="nil"/>
            </w:tcBorders>
            <w:shd w:val="clear" w:color="auto" w:fill="auto"/>
            <w:vAlign w:val="center"/>
          </w:tcPr>
          <w:p w14:paraId="3CE242CA"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0.988</w:t>
            </w:r>
          </w:p>
        </w:tc>
        <w:tc>
          <w:tcPr>
            <w:tcW w:w="480" w:type="dxa"/>
            <w:tcBorders>
              <w:top w:val="single" w:sz="4" w:space="0" w:color="auto"/>
              <w:left w:val="nil"/>
              <w:bottom w:val="single" w:sz="4" w:space="0" w:color="auto"/>
              <w:right w:val="nil"/>
            </w:tcBorders>
            <w:shd w:val="clear" w:color="auto" w:fill="auto"/>
            <w:vAlign w:val="center"/>
          </w:tcPr>
          <w:p w14:paraId="4F292582"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0.988</w:t>
            </w:r>
          </w:p>
        </w:tc>
        <w:tc>
          <w:tcPr>
            <w:tcW w:w="480" w:type="dxa"/>
            <w:tcBorders>
              <w:top w:val="single" w:sz="4" w:space="0" w:color="auto"/>
              <w:left w:val="nil"/>
              <w:bottom w:val="single" w:sz="4" w:space="0" w:color="auto"/>
              <w:right w:val="nil"/>
            </w:tcBorders>
            <w:shd w:val="clear" w:color="auto" w:fill="auto"/>
            <w:vAlign w:val="center"/>
          </w:tcPr>
          <w:p w14:paraId="7890DC2B"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0.744</w:t>
            </w:r>
          </w:p>
        </w:tc>
        <w:tc>
          <w:tcPr>
            <w:tcW w:w="480" w:type="dxa"/>
            <w:tcBorders>
              <w:top w:val="single" w:sz="4" w:space="0" w:color="auto"/>
              <w:left w:val="nil"/>
              <w:bottom w:val="single" w:sz="4" w:space="0" w:color="auto"/>
              <w:right w:val="nil"/>
            </w:tcBorders>
            <w:shd w:val="clear" w:color="auto" w:fill="auto"/>
            <w:vAlign w:val="center"/>
          </w:tcPr>
          <w:p w14:paraId="685B45B2"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0.808</w:t>
            </w:r>
          </w:p>
        </w:tc>
        <w:tc>
          <w:tcPr>
            <w:tcW w:w="480" w:type="dxa"/>
            <w:tcBorders>
              <w:top w:val="single" w:sz="4" w:space="0" w:color="auto"/>
              <w:left w:val="nil"/>
              <w:bottom w:val="single" w:sz="4" w:space="0" w:color="auto"/>
              <w:right w:val="nil"/>
            </w:tcBorders>
            <w:shd w:val="clear" w:color="auto" w:fill="auto"/>
            <w:vAlign w:val="center"/>
          </w:tcPr>
          <w:p w14:paraId="108DA30C"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0.997</w:t>
            </w:r>
          </w:p>
        </w:tc>
        <w:tc>
          <w:tcPr>
            <w:tcW w:w="480" w:type="dxa"/>
            <w:tcBorders>
              <w:top w:val="single" w:sz="4" w:space="0" w:color="auto"/>
              <w:left w:val="nil"/>
              <w:bottom w:val="single" w:sz="4" w:space="0" w:color="auto"/>
              <w:right w:val="nil"/>
            </w:tcBorders>
            <w:shd w:val="clear" w:color="auto" w:fill="auto"/>
            <w:vAlign w:val="center"/>
          </w:tcPr>
          <w:p w14:paraId="24B4AD9F"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0.997</w:t>
            </w:r>
          </w:p>
        </w:tc>
        <w:tc>
          <w:tcPr>
            <w:tcW w:w="480" w:type="dxa"/>
            <w:tcBorders>
              <w:top w:val="single" w:sz="4" w:space="0" w:color="auto"/>
              <w:left w:val="nil"/>
              <w:bottom w:val="single" w:sz="4" w:space="0" w:color="auto"/>
              <w:right w:val="nil"/>
            </w:tcBorders>
            <w:shd w:val="clear" w:color="auto" w:fill="auto"/>
            <w:vAlign w:val="center"/>
          </w:tcPr>
          <w:p w14:paraId="42757152"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0.779</w:t>
            </w:r>
          </w:p>
        </w:tc>
        <w:tc>
          <w:tcPr>
            <w:tcW w:w="480" w:type="dxa"/>
            <w:tcBorders>
              <w:top w:val="single" w:sz="4" w:space="0" w:color="auto"/>
              <w:left w:val="nil"/>
              <w:bottom w:val="single" w:sz="4" w:space="0" w:color="auto"/>
              <w:right w:val="single" w:sz="4" w:space="0" w:color="auto"/>
            </w:tcBorders>
            <w:shd w:val="clear" w:color="000000" w:fill="FFFFFF"/>
            <w:vAlign w:val="center"/>
          </w:tcPr>
          <w:p w14:paraId="2E893859"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0.699</w:t>
            </w:r>
          </w:p>
        </w:tc>
        <w:tc>
          <w:tcPr>
            <w:tcW w:w="630" w:type="dxa"/>
            <w:tcBorders>
              <w:top w:val="single" w:sz="4" w:space="0" w:color="auto"/>
              <w:left w:val="single" w:sz="4" w:space="0" w:color="auto"/>
              <w:bottom w:val="single" w:sz="4" w:space="0" w:color="auto"/>
              <w:right w:val="nil"/>
            </w:tcBorders>
            <w:shd w:val="clear" w:color="auto" w:fill="auto"/>
            <w:vAlign w:val="center"/>
          </w:tcPr>
          <w:p w14:paraId="614374D6" w14:textId="77777777" w:rsidR="00F731AC" w:rsidRPr="002D1654" w:rsidRDefault="00F731AC" w:rsidP="00CC768C">
            <w:pPr>
              <w:spacing w:after="0" w:line="240" w:lineRule="auto"/>
              <w:jc w:val="center"/>
              <w:rPr>
                <w:rFonts w:eastAsia="Times New Roman"/>
                <w:color w:val="auto"/>
                <w:lang w:eastAsia="en-SG"/>
              </w:rPr>
            </w:pPr>
            <w:r w:rsidRPr="00001962">
              <w:t>69.489</w:t>
            </w:r>
          </w:p>
        </w:tc>
        <w:tc>
          <w:tcPr>
            <w:tcW w:w="630" w:type="dxa"/>
            <w:tcBorders>
              <w:top w:val="single" w:sz="4" w:space="0" w:color="auto"/>
              <w:left w:val="nil"/>
              <w:bottom w:val="single" w:sz="4" w:space="0" w:color="auto"/>
              <w:right w:val="nil"/>
            </w:tcBorders>
            <w:shd w:val="clear" w:color="auto" w:fill="auto"/>
            <w:vAlign w:val="center"/>
          </w:tcPr>
          <w:p w14:paraId="73E63305" w14:textId="77777777" w:rsidR="00F731AC" w:rsidRPr="002D1654" w:rsidRDefault="00F731AC" w:rsidP="00CC768C">
            <w:pPr>
              <w:spacing w:after="0" w:line="240" w:lineRule="auto"/>
              <w:jc w:val="center"/>
              <w:rPr>
                <w:rFonts w:eastAsia="Times New Roman"/>
                <w:color w:val="auto"/>
                <w:lang w:eastAsia="en-SG"/>
              </w:rPr>
            </w:pPr>
            <w:r w:rsidRPr="003A1723">
              <w:t>69.489</w:t>
            </w:r>
          </w:p>
        </w:tc>
      </w:tr>
      <w:tr w:rsidR="00F731AC" w:rsidRPr="002D1654" w14:paraId="2D8350A5" w14:textId="77777777" w:rsidTr="00CC768C">
        <w:trPr>
          <w:trHeight w:val="586"/>
          <w:jc w:val="center"/>
        </w:trPr>
        <w:tc>
          <w:tcPr>
            <w:tcW w:w="990" w:type="dxa"/>
            <w:vMerge w:val="restart"/>
            <w:tcBorders>
              <w:top w:val="single" w:sz="4" w:space="0" w:color="auto"/>
              <w:left w:val="nil"/>
              <w:bottom w:val="nil"/>
              <w:right w:val="nil"/>
            </w:tcBorders>
            <w:shd w:val="clear" w:color="auto" w:fill="auto"/>
            <w:noWrap/>
            <w:vAlign w:val="center"/>
          </w:tcPr>
          <w:p w14:paraId="783C7038" w14:textId="77777777" w:rsidR="00F731AC" w:rsidRPr="002D1654" w:rsidRDefault="00F731AC" w:rsidP="00CC768C">
            <w:pPr>
              <w:spacing w:after="0" w:line="240" w:lineRule="auto"/>
              <w:jc w:val="center"/>
              <w:rPr>
                <w:rFonts w:eastAsia="Times New Roman"/>
                <w:color w:val="auto"/>
                <w:lang w:eastAsia="en-SG"/>
              </w:rPr>
            </w:pPr>
            <w:r w:rsidRPr="002D1654">
              <w:rPr>
                <w:color w:val="auto"/>
              </w:rPr>
              <w:t>Delta Air Lines Inc</w:t>
            </w:r>
          </w:p>
        </w:tc>
        <w:tc>
          <w:tcPr>
            <w:tcW w:w="810" w:type="dxa"/>
            <w:tcBorders>
              <w:top w:val="single" w:sz="4" w:space="0" w:color="auto"/>
              <w:left w:val="nil"/>
              <w:bottom w:val="nil"/>
              <w:right w:val="single" w:sz="4" w:space="0" w:color="auto"/>
            </w:tcBorders>
            <w:shd w:val="clear" w:color="auto" w:fill="auto"/>
            <w:vAlign w:val="center"/>
          </w:tcPr>
          <w:p w14:paraId="41AA014A" w14:textId="77777777" w:rsidR="00F731AC" w:rsidRPr="002D1654" w:rsidRDefault="00F731AC" w:rsidP="00CC768C">
            <w:pPr>
              <w:spacing w:after="0" w:line="240" w:lineRule="auto"/>
              <w:jc w:val="center"/>
              <w:rPr>
                <w:rFonts w:eastAsia="Times New Roman"/>
                <w:color w:val="auto"/>
                <w:lang w:eastAsia="en-SG"/>
              </w:rPr>
            </w:pPr>
            <w:r w:rsidRPr="002D1654">
              <w:rPr>
                <w:color w:val="auto"/>
              </w:rPr>
              <w:t>Airlines</w:t>
            </w:r>
          </w:p>
        </w:tc>
        <w:tc>
          <w:tcPr>
            <w:tcW w:w="270" w:type="dxa"/>
            <w:tcBorders>
              <w:top w:val="single" w:sz="4" w:space="0" w:color="auto"/>
              <w:left w:val="single" w:sz="4" w:space="0" w:color="auto"/>
              <w:bottom w:val="nil"/>
              <w:right w:val="nil"/>
            </w:tcBorders>
            <w:shd w:val="clear" w:color="auto" w:fill="auto"/>
            <w:vAlign w:val="center"/>
          </w:tcPr>
          <w:p w14:paraId="320051EB" w14:textId="77777777" w:rsidR="00F731AC" w:rsidRPr="002D1654" w:rsidRDefault="00F731AC" w:rsidP="00CC768C">
            <w:pPr>
              <w:spacing w:after="0" w:line="240" w:lineRule="auto"/>
              <w:jc w:val="center"/>
              <w:rPr>
                <w:rFonts w:eastAsia="Times New Roman"/>
                <w:color w:val="auto"/>
                <w:lang w:eastAsia="en-SG"/>
              </w:rPr>
            </w:pPr>
            <w:r w:rsidRPr="002D1654">
              <w:rPr>
                <w:color w:val="auto"/>
              </w:rPr>
              <w:t>2</w:t>
            </w:r>
          </w:p>
        </w:tc>
        <w:tc>
          <w:tcPr>
            <w:tcW w:w="900" w:type="dxa"/>
            <w:tcBorders>
              <w:top w:val="single" w:sz="4" w:space="0" w:color="auto"/>
              <w:left w:val="nil"/>
              <w:bottom w:val="nil"/>
              <w:right w:val="single" w:sz="4" w:space="0" w:color="auto"/>
            </w:tcBorders>
            <w:shd w:val="clear" w:color="auto" w:fill="auto"/>
            <w:vAlign w:val="center"/>
          </w:tcPr>
          <w:p w14:paraId="51537CA3" w14:textId="77777777" w:rsidR="00F731AC" w:rsidRPr="002D1654" w:rsidRDefault="00F731AC" w:rsidP="00CC768C">
            <w:pPr>
              <w:spacing w:after="0" w:line="240" w:lineRule="auto"/>
              <w:jc w:val="center"/>
              <w:rPr>
                <w:color w:val="auto"/>
              </w:rPr>
            </w:pPr>
            <w:r w:rsidRPr="002D1654">
              <w:rPr>
                <w:color w:val="auto"/>
              </w:rPr>
              <w:t>Delta</w:t>
            </w:r>
          </w:p>
        </w:tc>
        <w:tc>
          <w:tcPr>
            <w:tcW w:w="630" w:type="dxa"/>
            <w:tcBorders>
              <w:top w:val="single" w:sz="4" w:space="0" w:color="auto"/>
              <w:left w:val="single" w:sz="4" w:space="0" w:color="auto"/>
              <w:right w:val="single" w:sz="4" w:space="0" w:color="auto"/>
            </w:tcBorders>
            <w:shd w:val="clear" w:color="auto" w:fill="auto"/>
            <w:vAlign w:val="center"/>
          </w:tcPr>
          <w:p w14:paraId="0AE15202" w14:textId="77777777" w:rsidR="00F731AC" w:rsidRPr="002D1654" w:rsidRDefault="00F731AC" w:rsidP="00CC768C">
            <w:pPr>
              <w:spacing w:after="0" w:line="240" w:lineRule="auto"/>
              <w:jc w:val="center"/>
              <w:rPr>
                <w:color w:val="auto"/>
              </w:rPr>
            </w:pPr>
            <w:r w:rsidRPr="002D1654">
              <w:rPr>
                <w:color w:val="auto"/>
              </w:rPr>
              <w:t>62</w:t>
            </w:r>
          </w:p>
        </w:tc>
        <w:tc>
          <w:tcPr>
            <w:tcW w:w="530" w:type="dxa"/>
            <w:tcBorders>
              <w:top w:val="single" w:sz="4" w:space="0" w:color="auto"/>
              <w:left w:val="nil"/>
              <w:right w:val="nil"/>
            </w:tcBorders>
            <w:shd w:val="clear" w:color="auto" w:fill="auto"/>
            <w:vAlign w:val="center"/>
          </w:tcPr>
          <w:p w14:paraId="0113D393" w14:textId="77777777" w:rsidR="00F731AC" w:rsidRPr="003B24F4" w:rsidRDefault="00F731AC" w:rsidP="00CC768C">
            <w:pPr>
              <w:spacing w:after="0" w:line="240" w:lineRule="auto"/>
              <w:jc w:val="center"/>
              <w:rPr>
                <w:color w:val="auto"/>
                <w:sz w:val="16"/>
                <w:szCs w:val="16"/>
              </w:rPr>
            </w:pPr>
            <w:r w:rsidRPr="003B24F4">
              <w:rPr>
                <w:sz w:val="16"/>
                <w:szCs w:val="16"/>
              </w:rPr>
              <w:t>1.333</w:t>
            </w:r>
          </w:p>
        </w:tc>
        <w:tc>
          <w:tcPr>
            <w:tcW w:w="530" w:type="dxa"/>
            <w:tcBorders>
              <w:top w:val="single" w:sz="4" w:space="0" w:color="auto"/>
              <w:left w:val="nil"/>
              <w:right w:val="nil"/>
            </w:tcBorders>
            <w:shd w:val="clear" w:color="auto" w:fill="auto"/>
            <w:vAlign w:val="center"/>
          </w:tcPr>
          <w:p w14:paraId="70A84E65" w14:textId="77777777" w:rsidR="00F731AC" w:rsidRPr="003B24F4" w:rsidRDefault="00F731AC" w:rsidP="00CC768C">
            <w:pPr>
              <w:spacing w:after="0" w:line="240" w:lineRule="auto"/>
              <w:jc w:val="center"/>
              <w:rPr>
                <w:color w:val="auto"/>
                <w:sz w:val="16"/>
                <w:szCs w:val="16"/>
              </w:rPr>
            </w:pPr>
            <w:r w:rsidRPr="003B24F4">
              <w:rPr>
                <w:sz w:val="16"/>
                <w:szCs w:val="16"/>
              </w:rPr>
              <w:t>−</w:t>
            </w:r>
          </w:p>
        </w:tc>
        <w:tc>
          <w:tcPr>
            <w:tcW w:w="530" w:type="dxa"/>
            <w:tcBorders>
              <w:top w:val="single" w:sz="4" w:space="0" w:color="auto"/>
              <w:left w:val="nil"/>
              <w:right w:val="nil"/>
            </w:tcBorders>
            <w:shd w:val="clear" w:color="auto" w:fill="auto"/>
            <w:vAlign w:val="center"/>
          </w:tcPr>
          <w:p w14:paraId="03D4680A" w14:textId="77777777" w:rsidR="00F731AC" w:rsidRPr="003B24F4" w:rsidRDefault="00F731AC" w:rsidP="00CC768C">
            <w:pPr>
              <w:spacing w:after="0" w:line="240" w:lineRule="auto"/>
              <w:jc w:val="center"/>
              <w:rPr>
                <w:color w:val="auto"/>
                <w:sz w:val="16"/>
                <w:szCs w:val="16"/>
              </w:rPr>
            </w:pPr>
            <w:r w:rsidRPr="003B24F4">
              <w:rPr>
                <w:sz w:val="16"/>
                <w:szCs w:val="16"/>
              </w:rPr>
              <w:t>−</w:t>
            </w:r>
          </w:p>
        </w:tc>
        <w:tc>
          <w:tcPr>
            <w:tcW w:w="530" w:type="dxa"/>
            <w:tcBorders>
              <w:top w:val="single" w:sz="4" w:space="0" w:color="auto"/>
              <w:left w:val="nil"/>
              <w:right w:val="nil"/>
            </w:tcBorders>
            <w:shd w:val="clear" w:color="auto" w:fill="auto"/>
            <w:vAlign w:val="center"/>
          </w:tcPr>
          <w:p w14:paraId="06A80381" w14:textId="77777777" w:rsidR="00F731AC" w:rsidRPr="003B24F4" w:rsidRDefault="00F731AC" w:rsidP="00CC768C">
            <w:pPr>
              <w:spacing w:after="0" w:line="240" w:lineRule="auto"/>
              <w:jc w:val="center"/>
              <w:rPr>
                <w:color w:val="auto"/>
                <w:sz w:val="16"/>
                <w:szCs w:val="16"/>
              </w:rPr>
            </w:pPr>
            <w:r w:rsidRPr="003B24F4">
              <w:rPr>
                <w:sz w:val="16"/>
                <w:szCs w:val="16"/>
              </w:rPr>
              <w:t>28.037</w:t>
            </w:r>
          </w:p>
        </w:tc>
        <w:tc>
          <w:tcPr>
            <w:tcW w:w="530" w:type="dxa"/>
            <w:tcBorders>
              <w:top w:val="single" w:sz="4" w:space="0" w:color="auto"/>
              <w:left w:val="nil"/>
              <w:right w:val="nil"/>
            </w:tcBorders>
            <w:shd w:val="clear" w:color="auto" w:fill="auto"/>
            <w:vAlign w:val="center"/>
          </w:tcPr>
          <w:p w14:paraId="769B245B" w14:textId="77777777" w:rsidR="00F731AC" w:rsidRPr="003B24F4" w:rsidRDefault="00F731AC" w:rsidP="00CC768C">
            <w:pPr>
              <w:spacing w:after="0" w:line="240" w:lineRule="auto"/>
              <w:jc w:val="center"/>
              <w:rPr>
                <w:color w:val="auto"/>
                <w:sz w:val="16"/>
                <w:szCs w:val="16"/>
              </w:rPr>
            </w:pPr>
            <w:r w:rsidRPr="003B24F4">
              <w:rPr>
                <w:sz w:val="16"/>
                <w:szCs w:val="16"/>
              </w:rPr>
              <w:t>21.020</w:t>
            </w:r>
          </w:p>
        </w:tc>
        <w:tc>
          <w:tcPr>
            <w:tcW w:w="530" w:type="dxa"/>
            <w:tcBorders>
              <w:top w:val="single" w:sz="4" w:space="0" w:color="auto"/>
              <w:left w:val="nil"/>
              <w:right w:val="nil"/>
            </w:tcBorders>
            <w:shd w:val="clear" w:color="auto" w:fill="auto"/>
            <w:vAlign w:val="center"/>
          </w:tcPr>
          <w:p w14:paraId="38CEB59D" w14:textId="77777777" w:rsidR="00F731AC" w:rsidRPr="003B24F4" w:rsidRDefault="00F731AC" w:rsidP="00CC768C">
            <w:pPr>
              <w:spacing w:after="0" w:line="240" w:lineRule="auto"/>
              <w:jc w:val="center"/>
              <w:rPr>
                <w:color w:val="auto"/>
                <w:sz w:val="16"/>
                <w:szCs w:val="16"/>
              </w:rPr>
            </w:pPr>
            <w:r w:rsidRPr="003B24F4">
              <w:rPr>
                <w:sz w:val="16"/>
                <w:szCs w:val="16"/>
              </w:rPr>
              <w:t>1.303</w:t>
            </w:r>
          </w:p>
        </w:tc>
        <w:tc>
          <w:tcPr>
            <w:tcW w:w="530" w:type="dxa"/>
            <w:tcBorders>
              <w:top w:val="single" w:sz="4" w:space="0" w:color="auto"/>
              <w:left w:val="nil"/>
              <w:right w:val="nil"/>
            </w:tcBorders>
            <w:shd w:val="clear" w:color="auto" w:fill="auto"/>
            <w:vAlign w:val="center"/>
          </w:tcPr>
          <w:p w14:paraId="6D1A19EE" w14:textId="77777777" w:rsidR="00F731AC" w:rsidRPr="003B24F4" w:rsidRDefault="00F731AC" w:rsidP="00CC768C">
            <w:pPr>
              <w:spacing w:after="0" w:line="240" w:lineRule="auto"/>
              <w:jc w:val="center"/>
              <w:rPr>
                <w:color w:val="auto"/>
                <w:sz w:val="16"/>
                <w:szCs w:val="16"/>
              </w:rPr>
            </w:pPr>
            <w:r w:rsidRPr="003B24F4">
              <w:rPr>
                <w:sz w:val="16"/>
                <w:szCs w:val="16"/>
              </w:rPr>
              <w:t>1.303</w:t>
            </w:r>
          </w:p>
        </w:tc>
        <w:tc>
          <w:tcPr>
            <w:tcW w:w="530" w:type="dxa"/>
            <w:tcBorders>
              <w:top w:val="single" w:sz="4" w:space="0" w:color="auto"/>
              <w:left w:val="nil"/>
              <w:right w:val="nil"/>
            </w:tcBorders>
            <w:shd w:val="clear" w:color="auto" w:fill="auto"/>
            <w:vAlign w:val="center"/>
          </w:tcPr>
          <w:p w14:paraId="1D61ADC2" w14:textId="77777777" w:rsidR="00F731AC" w:rsidRPr="003B24F4" w:rsidRDefault="00F731AC" w:rsidP="00CC768C">
            <w:pPr>
              <w:spacing w:after="0" w:line="240" w:lineRule="auto"/>
              <w:jc w:val="center"/>
              <w:rPr>
                <w:color w:val="auto"/>
                <w:sz w:val="16"/>
                <w:szCs w:val="16"/>
              </w:rPr>
            </w:pPr>
            <w:r w:rsidRPr="003B24F4">
              <w:rPr>
                <w:sz w:val="16"/>
                <w:szCs w:val="16"/>
              </w:rPr>
              <w:t>24.115</w:t>
            </w:r>
          </w:p>
        </w:tc>
        <w:tc>
          <w:tcPr>
            <w:tcW w:w="530" w:type="dxa"/>
            <w:tcBorders>
              <w:top w:val="single" w:sz="4" w:space="0" w:color="auto"/>
              <w:left w:val="nil"/>
              <w:right w:val="nil"/>
            </w:tcBorders>
            <w:shd w:val="clear" w:color="auto" w:fill="auto"/>
            <w:vAlign w:val="center"/>
          </w:tcPr>
          <w:p w14:paraId="4753AD57" w14:textId="77777777" w:rsidR="00F731AC" w:rsidRPr="003B24F4" w:rsidRDefault="00F731AC" w:rsidP="00CC768C">
            <w:pPr>
              <w:spacing w:after="0" w:line="240" w:lineRule="auto"/>
              <w:jc w:val="center"/>
              <w:rPr>
                <w:color w:val="auto"/>
                <w:sz w:val="16"/>
                <w:szCs w:val="16"/>
              </w:rPr>
            </w:pPr>
            <w:r w:rsidRPr="003B24F4">
              <w:rPr>
                <w:sz w:val="16"/>
                <w:szCs w:val="16"/>
              </w:rPr>
              <w:t>33.088</w:t>
            </w:r>
          </w:p>
        </w:tc>
        <w:tc>
          <w:tcPr>
            <w:tcW w:w="480" w:type="dxa"/>
            <w:tcBorders>
              <w:top w:val="single" w:sz="4" w:space="0" w:color="auto"/>
              <w:left w:val="single" w:sz="4" w:space="0" w:color="auto"/>
              <w:right w:val="nil"/>
            </w:tcBorders>
            <w:shd w:val="clear" w:color="auto" w:fill="auto"/>
            <w:vAlign w:val="center"/>
          </w:tcPr>
          <w:p w14:paraId="702DAF7B"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0.988</w:t>
            </w:r>
          </w:p>
        </w:tc>
        <w:tc>
          <w:tcPr>
            <w:tcW w:w="480" w:type="dxa"/>
            <w:tcBorders>
              <w:top w:val="single" w:sz="4" w:space="0" w:color="auto"/>
              <w:left w:val="nil"/>
              <w:right w:val="nil"/>
            </w:tcBorders>
            <w:shd w:val="clear" w:color="auto" w:fill="auto"/>
            <w:vAlign w:val="center"/>
          </w:tcPr>
          <w:p w14:paraId="23B1E976"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w:t>
            </w:r>
          </w:p>
        </w:tc>
        <w:tc>
          <w:tcPr>
            <w:tcW w:w="480" w:type="dxa"/>
            <w:tcBorders>
              <w:top w:val="single" w:sz="4" w:space="0" w:color="auto"/>
              <w:left w:val="nil"/>
              <w:right w:val="nil"/>
            </w:tcBorders>
            <w:shd w:val="clear" w:color="auto" w:fill="auto"/>
            <w:vAlign w:val="center"/>
          </w:tcPr>
          <w:p w14:paraId="7B561D5E"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w:t>
            </w:r>
          </w:p>
        </w:tc>
        <w:tc>
          <w:tcPr>
            <w:tcW w:w="480" w:type="dxa"/>
            <w:tcBorders>
              <w:top w:val="single" w:sz="4" w:space="0" w:color="auto"/>
              <w:left w:val="nil"/>
              <w:right w:val="nil"/>
            </w:tcBorders>
            <w:shd w:val="clear" w:color="auto" w:fill="auto"/>
            <w:vAlign w:val="center"/>
          </w:tcPr>
          <w:p w14:paraId="31B1A69F"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0.746</w:t>
            </w:r>
          </w:p>
        </w:tc>
        <w:tc>
          <w:tcPr>
            <w:tcW w:w="480" w:type="dxa"/>
            <w:tcBorders>
              <w:top w:val="single" w:sz="4" w:space="0" w:color="auto"/>
              <w:left w:val="nil"/>
              <w:right w:val="nil"/>
            </w:tcBorders>
            <w:shd w:val="clear" w:color="auto" w:fill="auto"/>
            <w:vAlign w:val="center"/>
          </w:tcPr>
          <w:p w14:paraId="0751E4D4"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0.809</w:t>
            </w:r>
          </w:p>
        </w:tc>
        <w:tc>
          <w:tcPr>
            <w:tcW w:w="480" w:type="dxa"/>
            <w:tcBorders>
              <w:top w:val="single" w:sz="4" w:space="0" w:color="auto"/>
              <w:left w:val="nil"/>
              <w:right w:val="nil"/>
            </w:tcBorders>
            <w:shd w:val="clear" w:color="auto" w:fill="auto"/>
            <w:vAlign w:val="center"/>
          </w:tcPr>
          <w:p w14:paraId="6BC43BEE"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0.988</w:t>
            </w:r>
          </w:p>
        </w:tc>
        <w:tc>
          <w:tcPr>
            <w:tcW w:w="480" w:type="dxa"/>
            <w:tcBorders>
              <w:top w:val="single" w:sz="4" w:space="0" w:color="auto"/>
              <w:left w:val="nil"/>
              <w:right w:val="nil"/>
            </w:tcBorders>
            <w:shd w:val="clear" w:color="auto" w:fill="auto"/>
            <w:vAlign w:val="center"/>
          </w:tcPr>
          <w:p w14:paraId="623C0C06"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0.988</w:t>
            </w:r>
          </w:p>
        </w:tc>
        <w:tc>
          <w:tcPr>
            <w:tcW w:w="480" w:type="dxa"/>
            <w:tcBorders>
              <w:top w:val="single" w:sz="4" w:space="0" w:color="auto"/>
              <w:left w:val="nil"/>
              <w:right w:val="nil"/>
            </w:tcBorders>
            <w:shd w:val="clear" w:color="auto" w:fill="auto"/>
            <w:vAlign w:val="center"/>
          </w:tcPr>
          <w:p w14:paraId="34A6380B"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0.781</w:t>
            </w:r>
          </w:p>
        </w:tc>
        <w:tc>
          <w:tcPr>
            <w:tcW w:w="480" w:type="dxa"/>
            <w:tcBorders>
              <w:top w:val="single" w:sz="4" w:space="0" w:color="auto"/>
              <w:left w:val="nil"/>
              <w:right w:val="single" w:sz="4" w:space="0" w:color="auto"/>
            </w:tcBorders>
            <w:shd w:val="clear" w:color="000000" w:fill="FFFFFF"/>
            <w:vAlign w:val="center"/>
          </w:tcPr>
          <w:p w14:paraId="67C0CD1E"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0.700</w:t>
            </w:r>
          </w:p>
        </w:tc>
        <w:tc>
          <w:tcPr>
            <w:tcW w:w="630" w:type="dxa"/>
            <w:tcBorders>
              <w:top w:val="single" w:sz="4" w:space="0" w:color="auto"/>
              <w:left w:val="single" w:sz="4" w:space="0" w:color="auto"/>
              <w:right w:val="nil"/>
            </w:tcBorders>
            <w:shd w:val="clear" w:color="auto" w:fill="auto"/>
            <w:vAlign w:val="center"/>
          </w:tcPr>
          <w:p w14:paraId="6A89F0E8" w14:textId="77777777" w:rsidR="00F731AC" w:rsidRPr="002D1654" w:rsidRDefault="00F731AC" w:rsidP="00CC768C">
            <w:pPr>
              <w:spacing w:after="0" w:line="240" w:lineRule="auto"/>
              <w:jc w:val="center"/>
              <w:rPr>
                <w:rFonts w:eastAsia="Times New Roman"/>
                <w:color w:val="auto"/>
                <w:lang w:eastAsia="en-SG"/>
              </w:rPr>
            </w:pPr>
            <w:r w:rsidRPr="00001962">
              <w:t>71.072</w:t>
            </w:r>
          </w:p>
        </w:tc>
        <w:tc>
          <w:tcPr>
            <w:tcW w:w="630" w:type="dxa"/>
            <w:vMerge w:val="restart"/>
            <w:tcBorders>
              <w:top w:val="single" w:sz="4" w:space="0" w:color="auto"/>
              <w:left w:val="nil"/>
              <w:right w:val="nil"/>
            </w:tcBorders>
            <w:shd w:val="clear" w:color="auto" w:fill="auto"/>
            <w:vAlign w:val="center"/>
          </w:tcPr>
          <w:p w14:paraId="48EBDB88" w14:textId="77777777" w:rsidR="00F731AC" w:rsidRPr="002D1654" w:rsidRDefault="00F731AC" w:rsidP="00CC768C">
            <w:pPr>
              <w:spacing w:after="0" w:line="240" w:lineRule="auto"/>
              <w:jc w:val="center"/>
              <w:rPr>
                <w:rFonts w:eastAsia="Times New Roman"/>
                <w:color w:val="auto"/>
                <w:lang w:eastAsia="en-SG"/>
              </w:rPr>
            </w:pPr>
            <w:r w:rsidRPr="003A1723">
              <w:t>71.072</w:t>
            </w:r>
          </w:p>
          <w:p w14:paraId="1B51D5C9" w14:textId="77777777" w:rsidR="00F731AC" w:rsidRPr="002D1654" w:rsidRDefault="00F731AC" w:rsidP="00CC768C">
            <w:pPr>
              <w:spacing w:after="0" w:line="240" w:lineRule="auto"/>
              <w:jc w:val="center"/>
              <w:rPr>
                <w:rFonts w:eastAsia="Times New Roman"/>
                <w:color w:val="auto"/>
                <w:lang w:eastAsia="en-SG"/>
              </w:rPr>
            </w:pPr>
          </w:p>
        </w:tc>
      </w:tr>
      <w:tr w:rsidR="00F731AC" w:rsidRPr="002D1654" w14:paraId="1E6783E2" w14:textId="77777777" w:rsidTr="00CC768C">
        <w:trPr>
          <w:trHeight w:val="586"/>
          <w:jc w:val="center"/>
        </w:trPr>
        <w:tc>
          <w:tcPr>
            <w:tcW w:w="990" w:type="dxa"/>
            <w:vMerge/>
            <w:tcBorders>
              <w:top w:val="nil"/>
              <w:left w:val="nil"/>
              <w:bottom w:val="single" w:sz="4" w:space="0" w:color="auto"/>
              <w:right w:val="nil"/>
            </w:tcBorders>
            <w:noWrap/>
            <w:vAlign w:val="center"/>
          </w:tcPr>
          <w:p w14:paraId="21B98E81" w14:textId="77777777" w:rsidR="00F731AC" w:rsidRPr="002D1654" w:rsidRDefault="00F731AC" w:rsidP="00CC768C">
            <w:pPr>
              <w:spacing w:after="0" w:line="240" w:lineRule="auto"/>
              <w:jc w:val="center"/>
              <w:rPr>
                <w:rFonts w:eastAsia="Times New Roman"/>
                <w:color w:val="auto"/>
                <w:lang w:eastAsia="en-SG"/>
              </w:rPr>
            </w:pPr>
          </w:p>
        </w:tc>
        <w:tc>
          <w:tcPr>
            <w:tcW w:w="810" w:type="dxa"/>
            <w:tcBorders>
              <w:top w:val="nil"/>
              <w:left w:val="nil"/>
              <w:bottom w:val="single" w:sz="4" w:space="0" w:color="auto"/>
              <w:right w:val="single" w:sz="4" w:space="0" w:color="auto"/>
            </w:tcBorders>
            <w:shd w:val="clear" w:color="auto" w:fill="auto"/>
            <w:vAlign w:val="center"/>
          </w:tcPr>
          <w:p w14:paraId="669CA60E" w14:textId="77777777" w:rsidR="00F731AC" w:rsidRPr="002D1654" w:rsidRDefault="00F731AC" w:rsidP="00CC768C">
            <w:pPr>
              <w:spacing w:after="0" w:line="240" w:lineRule="auto"/>
              <w:jc w:val="center"/>
              <w:rPr>
                <w:rFonts w:eastAsia="Times New Roman"/>
                <w:color w:val="auto"/>
                <w:lang w:eastAsia="en-SG"/>
              </w:rPr>
            </w:pPr>
            <w:r w:rsidRPr="002D1654">
              <w:rPr>
                <w:color w:val="auto"/>
              </w:rPr>
              <w:t>Airlines</w:t>
            </w:r>
          </w:p>
        </w:tc>
        <w:tc>
          <w:tcPr>
            <w:tcW w:w="270" w:type="dxa"/>
            <w:tcBorders>
              <w:top w:val="nil"/>
              <w:left w:val="single" w:sz="4" w:space="0" w:color="auto"/>
              <w:bottom w:val="single" w:sz="4" w:space="0" w:color="auto"/>
              <w:right w:val="nil"/>
            </w:tcBorders>
            <w:shd w:val="clear" w:color="auto" w:fill="auto"/>
            <w:vAlign w:val="center"/>
          </w:tcPr>
          <w:p w14:paraId="229B53F5" w14:textId="77777777" w:rsidR="00F731AC" w:rsidRPr="002D1654" w:rsidRDefault="00F731AC" w:rsidP="00CC768C">
            <w:pPr>
              <w:spacing w:after="0" w:line="240" w:lineRule="auto"/>
              <w:jc w:val="center"/>
              <w:rPr>
                <w:rFonts w:eastAsia="Times New Roman"/>
                <w:color w:val="auto"/>
                <w:lang w:eastAsia="en-SG"/>
              </w:rPr>
            </w:pPr>
            <w:r w:rsidRPr="002D1654">
              <w:rPr>
                <w:color w:val="auto"/>
              </w:rPr>
              <w:t>3</w:t>
            </w:r>
          </w:p>
        </w:tc>
        <w:tc>
          <w:tcPr>
            <w:tcW w:w="900" w:type="dxa"/>
            <w:tcBorders>
              <w:top w:val="nil"/>
              <w:left w:val="nil"/>
              <w:bottom w:val="single" w:sz="4" w:space="0" w:color="auto"/>
              <w:right w:val="single" w:sz="4" w:space="0" w:color="auto"/>
            </w:tcBorders>
            <w:shd w:val="clear" w:color="auto" w:fill="auto"/>
            <w:vAlign w:val="center"/>
          </w:tcPr>
          <w:p w14:paraId="3BF0B4EC" w14:textId="77777777" w:rsidR="00F731AC" w:rsidRPr="002D1654" w:rsidRDefault="00F731AC" w:rsidP="00CC768C">
            <w:pPr>
              <w:spacing w:after="0" w:line="240" w:lineRule="auto"/>
              <w:jc w:val="center"/>
              <w:rPr>
                <w:color w:val="auto"/>
              </w:rPr>
            </w:pPr>
            <w:r w:rsidRPr="002D1654">
              <w:rPr>
                <w:color w:val="auto"/>
              </w:rPr>
              <w:t>Northwest Airlines</w:t>
            </w:r>
          </w:p>
        </w:tc>
        <w:tc>
          <w:tcPr>
            <w:tcW w:w="630" w:type="dxa"/>
            <w:tcBorders>
              <w:top w:val="nil"/>
              <w:left w:val="single" w:sz="4" w:space="0" w:color="auto"/>
              <w:bottom w:val="single" w:sz="4" w:space="0" w:color="auto"/>
              <w:right w:val="single" w:sz="4" w:space="0" w:color="auto"/>
            </w:tcBorders>
            <w:shd w:val="clear" w:color="auto" w:fill="auto"/>
            <w:vAlign w:val="center"/>
          </w:tcPr>
          <w:p w14:paraId="1C599030" w14:textId="77777777" w:rsidR="00F731AC" w:rsidRPr="002D1654" w:rsidRDefault="00F731AC" w:rsidP="00CC768C">
            <w:pPr>
              <w:spacing w:after="0" w:line="240" w:lineRule="auto"/>
              <w:jc w:val="center"/>
              <w:rPr>
                <w:color w:val="auto"/>
              </w:rPr>
            </w:pPr>
            <w:r w:rsidRPr="002D1654">
              <w:rPr>
                <w:color w:val="auto"/>
              </w:rPr>
              <w:t>61</w:t>
            </w:r>
          </w:p>
        </w:tc>
        <w:tc>
          <w:tcPr>
            <w:tcW w:w="530" w:type="dxa"/>
            <w:tcBorders>
              <w:top w:val="nil"/>
              <w:left w:val="nil"/>
              <w:bottom w:val="single" w:sz="4" w:space="0" w:color="auto"/>
              <w:right w:val="nil"/>
            </w:tcBorders>
            <w:shd w:val="clear" w:color="auto" w:fill="auto"/>
            <w:vAlign w:val="center"/>
          </w:tcPr>
          <w:p w14:paraId="32FD3BBC" w14:textId="77777777" w:rsidR="00F731AC" w:rsidRPr="003B24F4" w:rsidRDefault="00F731AC" w:rsidP="00CC768C">
            <w:pPr>
              <w:spacing w:after="0" w:line="240" w:lineRule="auto"/>
              <w:jc w:val="center"/>
              <w:rPr>
                <w:color w:val="auto"/>
                <w:sz w:val="16"/>
                <w:szCs w:val="16"/>
              </w:rPr>
            </w:pPr>
            <w:r w:rsidRPr="003B24F4">
              <w:rPr>
                <w:sz w:val="16"/>
                <w:szCs w:val="16"/>
              </w:rPr>
              <w:t>1.333</w:t>
            </w:r>
          </w:p>
        </w:tc>
        <w:tc>
          <w:tcPr>
            <w:tcW w:w="530" w:type="dxa"/>
            <w:tcBorders>
              <w:top w:val="nil"/>
              <w:left w:val="nil"/>
              <w:bottom w:val="single" w:sz="4" w:space="0" w:color="auto"/>
              <w:right w:val="nil"/>
            </w:tcBorders>
            <w:shd w:val="clear" w:color="auto" w:fill="auto"/>
            <w:vAlign w:val="center"/>
          </w:tcPr>
          <w:p w14:paraId="37E95AE9" w14:textId="77777777" w:rsidR="00F731AC" w:rsidRPr="003B24F4" w:rsidRDefault="00F731AC" w:rsidP="00CC768C">
            <w:pPr>
              <w:spacing w:after="0" w:line="240" w:lineRule="auto"/>
              <w:jc w:val="center"/>
              <w:rPr>
                <w:color w:val="auto"/>
                <w:sz w:val="16"/>
                <w:szCs w:val="16"/>
              </w:rPr>
            </w:pPr>
            <w:r w:rsidRPr="003B24F4">
              <w:rPr>
                <w:sz w:val="16"/>
                <w:szCs w:val="16"/>
              </w:rPr>
              <w:t>−</w:t>
            </w:r>
          </w:p>
        </w:tc>
        <w:tc>
          <w:tcPr>
            <w:tcW w:w="530" w:type="dxa"/>
            <w:tcBorders>
              <w:top w:val="nil"/>
              <w:left w:val="nil"/>
              <w:bottom w:val="single" w:sz="4" w:space="0" w:color="auto"/>
              <w:right w:val="nil"/>
            </w:tcBorders>
            <w:shd w:val="clear" w:color="auto" w:fill="auto"/>
            <w:vAlign w:val="center"/>
          </w:tcPr>
          <w:p w14:paraId="0E517EA7" w14:textId="77777777" w:rsidR="00F731AC" w:rsidRPr="003B24F4" w:rsidRDefault="00F731AC" w:rsidP="00CC768C">
            <w:pPr>
              <w:spacing w:after="0" w:line="240" w:lineRule="auto"/>
              <w:jc w:val="center"/>
              <w:rPr>
                <w:color w:val="auto"/>
                <w:sz w:val="16"/>
                <w:szCs w:val="16"/>
              </w:rPr>
            </w:pPr>
            <w:r w:rsidRPr="003B24F4">
              <w:rPr>
                <w:sz w:val="16"/>
                <w:szCs w:val="16"/>
              </w:rPr>
              <w:t>−</w:t>
            </w:r>
          </w:p>
        </w:tc>
        <w:tc>
          <w:tcPr>
            <w:tcW w:w="530" w:type="dxa"/>
            <w:tcBorders>
              <w:top w:val="nil"/>
              <w:left w:val="nil"/>
              <w:bottom w:val="single" w:sz="4" w:space="0" w:color="auto"/>
              <w:right w:val="nil"/>
            </w:tcBorders>
            <w:shd w:val="clear" w:color="auto" w:fill="auto"/>
            <w:vAlign w:val="center"/>
          </w:tcPr>
          <w:p w14:paraId="6774969F" w14:textId="77777777" w:rsidR="00F731AC" w:rsidRPr="003B24F4" w:rsidRDefault="00F731AC" w:rsidP="00CC768C">
            <w:pPr>
              <w:spacing w:after="0" w:line="240" w:lineRule="auto"/>
              <w:jc w:val="center"/>
              <w:rPr>
                <w:color w:val="auto"/>
                <w:sz w:val="16"/>
                <w:szCs w:val="16"/>
              </w:rPr>
            </w:pPr>
            <w:r w:rsidRPr="003B24F4">
              <w:rPr>
                <w:sz w:val="16"/>
                <w:szCs w:val="16"/>
              </w:rPr>
              <w:t>28.037</w:t>
            </w:r>
          </w:p>
        </w:tc>
        <w:tc>
          <w:tcPr>
            <w:tcW w:w="530" w:type="dxa"/>
            <w:tcBorders>
              <w:top w:val="nil"/>
              <w:left w:val="nil"/>
              <w:bottom w:val="single" w:sz="4" w:space="0" w:color="auto"/>
              <w:right w:val="nil"/>
            </w:tcBorders>
            <w:shd w:val="clear" w:color="auto" w:fill="auto"/>
            <w:vAlign w:val="center"/>
          </w:tcPr>
          <w:p w14:paraId="7EC33650" w14:textId="77777777" w:rsidR="00F731AC" w:rsidRPr="003B24F4" w:rsidRDefault="00F731AC" w:rsidP="00CC768C">
            <w:pPr>
              <w:spacing w:after="0" w:line="240" w:lineRule="auto"/>
              <w:jc w:val="center"/>
              <w:rPr>
                <w:color w:val="auto"/>
                <w:sz w:val="16"/>
                <w:szCs w:val="16"/>
              </w:rPr>
            </w:pPr>
            <w:r w:rsidRPr="003B24F4">
              <w:rPr>
                <w:sz w:val="16"/>
                <w:szCs w:val="16"/>
              </w:rPr>
              <w:t>21.020</w:t>
            </w:r>
          </w:p>
        </w:tc>
        <w:tc>
          <w:tcPr>
            <w:tcW w:w="530" w:type="dxa"/>
            <w:tcBorders>
              <w:top w:val="nil"/>
              <w:left w:val="nil"/>
              <w:bottom w:val="single" w:sz="4" w:space="0" w:color="auto"/>
              <w:right w:val="nil"/>
            </w:tcBorders>
            <w:shd w:val="clear" w:color="auto" w:fill="auto"/>
            <w:vAlign w:val="center"/>
          </w:tcPr>
          <w:p w14:paraId="22079220" w14:textId="77777777" w:rsidR="00F731AC" w:rsidRPr="003B24F4" w:rsidRDefault="00F731AC" w:rsidP="00CC768C">
            <w:pPr>
              <w:spacing w:after="0" w:line="240" w:lineRule="auto"/>
              <w:jc w:val="center"/>
              <w:rPr>
                <w:color w:val="auto"/>
                <w:sz w:val="16"/>
                <w:szCs w:val="16"/>
              </w:rPr>
            </w:pPr>
            <w:r w:rsidRPr="003B24F4">
              <w:rPr>
                <w:sz w:val="16"/>
                <w:szCs w:val="16"/>
              </w:rPr>
              <w:t>1.303</w:t>
            </w:r>
          </w:p>
        </w:tc>
        <w:tc>
          <w:tcPr>
            <w:tcW w:w="530" w:type="dxa"/>
            <w:tcBorders>
              <w:top w:val="nil"/>
              <w:left w:val="nil"/>
              <w:bottom w:val="single" w:sz="4" w:space="0" w:color="auto"/>
              <w:right w:val="nil"/>
            </w:tcBorders>
            <w:shd w:val="clear" w:color="auto" w:fill="auto"/>
            <w:vAlign w:val="center"/>
          </w:tcPr>
          <w:p w14:paraId="177DA13B" w14:textId="77777777" w:rsidR="00F731AC" w:rsidRPr="003B24F4" w:rsidRDefault="00F731AC" w:rsidP="00CC768C">
            <w:pPr>
              <w:spacing w:after="0" w:line="240" w:lineRule="auto"/>
              <w:jc w:val="center"/>
              <w:rPr>
                <w:color w:val="auto"/>
                <w:sz w:val="16"/>
                <w:szCs w:val="16"/>
              </w:rPr>
            </w:pPr>
            <w:r w:rsidRPr="003B24F4">
              <w:rPr>
                <w:sz w:val="16"/>
                <w:szCs w:val="16"/>
              </w:rPr>
              <w:t>1.303</w:t>
            </w:r>
          </w:p>
        </w:tc>
        <w:tc>
          <w:tcPr>
            <w:tcW w:w="530" w:type="dxa"/>
            <w:tcBorders>
              <w:top w:val="nil"/>
              <w:left w:val="nil"/>
              <w:bottom w:val="single" w:sz="4" w:space="0" w:color="auto"/>
              <w:right w:val="nil"/>
            </w:tcBorders>
            <w:shd w:val="clear" w:color="auto" w:fill="auto"/>
            <w:vAlign w:val="center"/>
          </w:tcPr>
          <w:p w14:paraId="499F1279" w14:textId="77777777" w:rsidR="00F731AC" w:rsidRPr="003B24F4" w:rsidRDefault="00F731AC" w:rsidP="00CC768C">
            <w:pPr>
              <w:spacing w:after="0" w:line="240" w:lineRule="auto"/>
              <w:jc w:val="center"/>
              <w:rPr>
                <w:color w:val="auto"/>
                <w:sz w:val="16"/>
                <w:szCs w:val="16"/>
              </w:rPr>
            </w:pPr>
            <w:r w:rsidRPr="003B24F4">
              <w:rPr>
                <w:sz w:val="16"/>
                <w:szCs w:val="16"/>
              </w:rPr>
              <w:t>24.115</w:t>
            </w:r>
          </w:p>
        </w:tc>
        <w:tc>
          <w:tcPr>
            <w:tcW w:w="530" w:type="dxa"/>
            <w:tcBorders>
              <w:top w:val="nil"/>
              <w:left w:val="nil"/>
              <w:bottom w:val="single" w:sz="4" w:space="0" w:color="auto"/>
              <w:right w:val="nil"/>
            </w:tcBorders>
            <w:shd w:val="clear" w:color="auto" w:fill="auto"/>
            <w:vAlign w:val="center"/>
          </w:tcPr>
          <w:p w14:paraId="76949514" w14:textId="77777777" w:rsidR="00F731AC" w:rsidRPr="003B24F4" w:rsidRDefault="00F731AC" w:rsidP="00CC768C">
            <w:pPr>
              <w:spacing w:after="0" w:line="240" w:lineRule="auto"/>
              <w:jc w:val="center"/>
              <w:rPr>
                <w:color w:val="auto"/>
                <w:sz w:val="16"/>
                <w:szCs w:val="16"/>
              </w:rPr>
            </w:pPr>
            <w:r w:rsidRPr="003B24F4">
              <w:rPr>
                <w:sz w:val="16"/>
                <w:szCs w:val="16"/>
              </w:rPr>
              <w:t>33.088</w:t>
            </w:r>
          </w:p>
        </w:tc>
        <w:tc>
          <w:tcPr>
            <w:tcW w:w="480" w:type="dxa"/>
            <w:tcBorders>
              <w:top w:val="nil"/>
              <w:left w:val="single" w:sz="4" w:space="0" w:color="auto"/>
              <w:bottom w:val="single" w:sz="4" w:space="0" w:color="auto"/>
              <w:right w:val="nil"/>
            </w:tcBorders>
            <w:shd w:val="clear" w:color="auto" w:fill="auto"/>
            <w:vAlign w:val="center"/>
          </w:tcPr>
          <w:p w14:paraId="3D281A66"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0.988</w:t>
            </w:r>
          </w:p>
        </w:tc>
        <w:tc>
          <w:tcPr>
            <w:tcW w:w="480" w:type="dxa"/>
            <w:tcBorders>
              <w:top w:val="nil"/>
              <w:left w:val="nil"/>
              <w:bottom w:val="single" w:sz="4" w:space="0" w:color="auto"/>
              <w:right w:val="nil"/>
            </w:tcBorders>
            <w:shd w:val="clear" w:color="auto" w:fill="auto"/>
            <w:vAlign w:val="center"/>
          </w:tcPr>
          <w:p w14:paraId="468997E4"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w:t>
            </w:r>
          </w:p>
        </w:tc>
        <w:tc>
          <w:tcPr>
            <w:tcW w:w="480" w:type="dxa"/>
            <w:tcBorders>
              <w:top w:val="nil"/>
              <w:left w:val="nil"/>
              <w:bottom w:val="single" w:sz="4" w:space="0" w:color="auto"/>
              <w:right w:val="nil"/>
            </w:tcBorders>
            <w:shd w:val="clear" w:color="auto" w:fill="auto"/>
            <w:vAlign w:val="center"/>
          </w:tcPr>
          <w:p w14:paraId="2794E1B1"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w:t>
            </w:r>
          </w:p>
        </w:tc>
        <w:tc>
          <w:tcPr>
            <w:tcW w:w="480" w:type="dxa"/>
            <w:tcBorders>
              <w:top w:val="nil"/>
              <w:left w:val="nil"/>
              <w:bottom w:val="single" w:sz="4" w:space="0" w:color="auto"/>
              <w:right w:val="nil"/>
            </w:tcBorders>
            <w:shd w:val="clear" w:color="auto" w:fill="auto"/>
            <w:vAlign w:val="center"/>
          </w:tcPr>
          <w:p w14:paraId="15A3114E"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0.746</w:t>
            </w:r>
          </w:p>
        </w:tc>
        <w:tc>
          <w:tcPr>
            <w:tcW w:w="480" w:type="dxa"/>
            <w:tcBorders>
              <w:top w:val="nil"/>
              <w:left w:val="nil"/>
              <w:bottom w:val="single" w:sz="4" w:space="0" w:color="auto"/>
              <w:right w:val="nil"/>
            </w:tcBorders>
            <w:shd w:val="clear" w:color="auto" w:fill="auto"/>
            <w:vAlign w:val="center"/>
          </w:tcPr>
          <w:p w14:paraId="2BDB942F"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0.809</w:t>
            </w:r>
          </w:p>
        </w:tc>
        <w:tc>
          <w:tcPr>
            <w:tcW w:w="480" w:type="dxa"/>
            <w:tcBorders>
              <w:top w:val="nil"/>
              <w:left w:val="nil"/>
              <w:bottom w:val="single" w:sz="4" w:space="0" w:color="auto"/>
              <w:right w:val="nil"/>
            </w:tcBorders>
            <w:shd w:val="clear" w:color="auto" w:fill="auto"/>
            <w:vAlign w:val="center"/>
          </w:tcPr>
          <w:p w14:paraId="21D0A76B"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0.988</w:t>
            </w:r>
          </w:p>
        </w:tc>
        <w:tc>
          <w:tcPr>
            <w:tcW w:w="480" w:type="dxa"/>
            <w:tcBorders>
              <w:top w:val="nil"/>
              <w:left w:val="nil"/>
              <w:bottom w:val="single" w:sz="4" w:space="0" w:color="auto"/>
              <w:right w:val="nil"/>
            </w:tcBorders>
            <w:shd w:val="clear" w:color="auto" w:fill="auto"/>
            <w:vAlign w:val="center"/>
          </w:tcPr>
          <w:p w14:paraId="5CB36D44"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0.988</w:t>
            </w:r>
          </w:p>
        </w:tc>
        <w:tc>
          <w:tcPr>
            <w:tcW w:w="480" w:type="dxa"/>
            <w:tcBorders>
              <w:top w:val="nil"/>
              <w:left w:val="nil"/>
              <w:bottom w:val="single" w:sz="4" w:space="0" w:color="auto"/>
              <w:right w:val="nil"/>
            </w:tcBorders>
            <w:shd w:val="clear" w:color="auto" w:fill="auto"/>
            <w:vAlign w:val="center"/>
          </w:tcPr>
          <w:p w14:paraId="6A73A8C9"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0.781</w:t>
            </w:r>
          </w:p>
        </w:tc>
        <w:tc>
          <w:tcPr>
            <w:tcW w:w="480" w:type="dxa"/>
            <w:tcBorders>
              <w:left w:val="nil"/>
              <w:bottom w:val="single" w:sz="4" w:space="0" w:color="auto"/>
              <w:right w:val="single" w:sz="4" w:space="0" w:color="auto"/>
            </w:tcBorders>
            <w:shd w:val="clear" w:color="000000" w:fill="FFFFFF"/>
            <w:vAlign w:val="center"/>
          </w:tcPr>
          <w:p w14:paraId="721F141D"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0.700</w:t>
            </w:r>
          </w:p>
        </w:tc>
        <w:tc>
          <w:tcPr>
            <w:tcW w:w="630" w:type="dxa"/>
            <w:tcBorders>
              <w:top w:val="nil"/>
              <w:left w:val="single" w:sz="4" w:space="0" w:color="auto"/>
              <w:bottom w:val="single" w:sz="4" w:space="0" w:color="auto"/>
              <w:right w:val="nil"/>
            </w:tcBorders>
            <w:shd w:val="clear" w:color="auto" w:fill="auto"/>
            <w:vAlign w:val="center"/>
          </w:tcPr>
          <w:p w14:paraId="2D53885C" w14:textId="77777777" w:rsidR="00F731AC" w:rsidRPr="002D1654" w:rsidRDefault="00F731AC" w:rsidP="00CC768C">
            <w:pPr>
              <w:spacing w:after="0" w:line="240" w:lineRule="auto"/>
              <w:jc w:val="center"/>
              <w:rPr>
                <w:rFonts w:eastAsia="Times New Roman"/>
                <w:color w:val="auto"/>
                <w:lang w:eastAsia="en-SG"/>
              </w:rPr>
            </w:pPr>
            <w:r w:rsidRPr="00001962">
              <w:t>71.072</w:t>
            </w:r>
          </w:p>
        </w:tc>
        <w:tc>
          <w:tcPr>
            <w:tcW w:w="630" w:type="dxa"/>
            <w:vMerge/>
            <w:tcBorders>
              <w:left w:val="nil"/>
              <w:bottom w:val="single" w:sz="4" w:space="0" w:color="auto"/>
              <w:right w:val="nil"/>
            </w:tcBorders>
            <w:shd w:val="clear" w:color="auto" w:fill="auto"/>
            <w:vAlign w:val="center"/>
          </w:tcPr>
          <w:p w14:paraId="78A2F395" w14:textId="77777777" w:rsidR="00F731AC" w:rsidRPr="002D1654" w:rsidRDefault="00F731AC" w:rsidP="00CC768C">
            <w:pPr>
              <w:spacing w:after="0" w:line="240" w:lineRule="auto"/>
              <w:jc w:val="center"/>
              <w:rPr>
                <w:rFonts w:eastAsia="Times New Roman"/>
                <w:color w:val="auto"/>
                <w:lang w:eastAsia="en-SG"/>
              </w:rPr>
            </w:pPr>
          </w:p>
        </w:tc>
      </w:tr>
      <w:tr w:rsidR="00F731AC" w:rsidRPr="002D1654" w14:paraId="15CD1E6F" w14:textId="77777777" w:rsidTr="00CC768C">
        <w:trPr>
          <w:trHeight w:val="586"/>
          <w:jc w:val="center"/>
        </w:trPr>
        <w:tc>
          <w:tcPr>
            <w:tcW w:w="990" w:type="dxa"/>
            <w:tcBorders>
              <w:top w:val="single" w:sz="4" w:space="0" w:color="auto"/>
              <w:left w:val="nil"/>
              <w:bottom w:val="single" w:sz="4" w:space="0" w:color="auto"/>
              <w:right w:val="nil"/>
            </w:tcBorders>
            <w:shd w:val="clear" w:color="auto" w:fill="auto"/>
            <w:noWrap/>
            <w:vAlign w:val="center"/>
          </w:tcPr>
          <w:p w14:paraId="043B262F" w14:textId="77777777" w:rsidR="00F731AC" w:rsidRPr="002D1654" w:rsidRDefault="00F731AC" w:rsidP="00CC768C">
            <w:pPr>
              <w:spacing w:after="0" w:line="240" w:lineRule="auto"/>
              <w:jc w:val="center"/>
              <w:rPr>
                <w:rFonts w:eastAsia="Times New Roman"/>
                <w:color w:val="auto"/>
                <w:lang w:eastAsia="en-SG"/>
              </w:rPr>
            </w:pPr>
            <w:r w:rsidRPr="002D1654">
              <w:rPr>
                <w:color w:val="auto"/>
              </w:rPr>
              <w:t>Fed</w:t>
            </w:r>
            <w:r>
              <w:rPr>
                <w:color w:val="auto"/>
              </w:rPr>
              <w:t>E</w:t>
            </w:r>
            <w:r w:rsidRPr="002D1654">
              <w:rPr>
                <w:color w:val="auto"/>
              </w:rPr>
              <w:t>x Corp</w:t>
            </w:r>
          </w:p>
        </w:tc>
        <w:tc>
          <w:tcPr>
            <w:tcW w:w="810" w:type="dxa"/>
            <w:tcBorders>
              <w:top w:val="single" w:sz="4" w:space="0" w:color="auto"/>
              <w:left w:val="nil"/>
              <w:bottom w:val="single" w:sz="4" w:space="0" w:color="auto"/>
              <w:right w:val="single" w:sz="4" w:space="0" w:color="auto"/>
            </w:tcBorders>
            <w:shd w:val="clear" w:color="auto" w:fill="auto"/>
            <w:vAlign w:val="center"/>
          </w:tcPr>
          <w:p w14:paraId="6C348B93" w14:textId="77777777" w:rsidR="00F731AC" w:rsidRPr="002D1654" w:rsidRDefault="00F731AC" w:rsidP="00CC768C">
            <w:pPr>
              <w:spacing w:after="0" w:line="247" w:lineRule="auto"/>
              <w:jc w:val="center"/>
              <w:rPr>
                <w:rFonts w:eastAsia="Times New Roman"/>
                <w:color w:val="auto"/>
                <w:lang w:eastAsia="en-SG"/>
              </w:rPr>
            </w:pPr>
            <w:r w:rsidRPr="002D1654">
              <w:rPr>
                <w:color w:val="auto"/>
              </w:rPr>
              <w:t>Consumer Shipping</w:t>
            </w:r>
          </w:p>
        </w:tc>
        <w:tc>
          <w:tcPr>
            <w:tcW w:w="270" w:type="dxa"/>
            <w:tcBorders>
              <w:top w:val="single" w:sz="4" w:space="0" w:color="auto"/>
              <w:left w:val="single" w:sz="4" w:space="0" w:color="auto"/>
              <w:bottom w:val="single" w:sz="4" w:space="0" w:color="auto"/>
              <w:right w:val="nil"/>
            </w:tcBorders>
            <w:shd w:val="clear" w:color="auto" w:fill="auto"/>
            <w:vAlign w:val="center"/>
          </w:tcPr>
          <w:p w14:paraId="36DB7094" w14:textId="77777777" w:rsidR="00F731AC" w:rsidRPr="002D1654" w:rsidRDefault="00F731AC" w:rsidP="00CC768C">
            <w:pPr>
              <w:spacing w:after="0" w:line="240" w:lineRule="auto"/>
              <w:jc w:val="center"/>
              <w:rPr>
                <w:rFonts w:eastAsia="Times New Roman"/>
                <w:color w:val="auto"/>
                <w:lang w:eastAsia="en-SG"/>
              </w:rPr>
            </w:pPr>
            <w:r w:rsidRPr="002D1654">
              <w:rPr>
                <w:color w:val="auto"/>
              </w:rPr>
              <w:t>4</w:t>
            </w:r>
          </w:p>
        </w:tc>
        <w:tc>
          <w:tcPr>
            <w:tcW w:w="900" w:type="dxa"/>
            <w:tcBorders>
              <w:top w:val="single" w:sz="4" w:space="0" w:color="auto"/>
              <w:left w:val="nil"/>
              <w:bottom w:val="single" w:sz="4" w:space="0" w:color="auto"/>
              <w:right w:val="single" w:sz="4" w:space="0" w:color="auto"/>
            </w:tcBorders>
            <w:shd w:val="clear" w:color="auto" w:fill="auto"/>
            <w:vAlign w:val="center"/>
          </w:tcPr>
          <w:p w14:paraId="1B7AA014" w14:textId="77777777" w:rsidR="00F731AC" w:rsidRPr="002D1654" w:rsidRDefault="00F731AC" w:rsidP="00CC768C">
            <w:pPr>
              <w:spacing w:after="0" w:line="240" w:lineRule="auto"/>
              <w:jc w:val="center"/>
              <w:rPr>
                <w:color w:val="auto"/>
              </w:rPr>
            </w:pPr>
            <w:r w:rsidRPr="002D1654">
              <w:rPr>
                <w:color w:val="auto"/>
              </w:rPr>
              <w:t>FedEx</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A5BEF97" w14:textId="77777777" w:rsidR="00F731AC" w:rsidRPr="002D1654" w:rsidRDefault="00F731AC" w:rsidP="00CC768C">
            <w:pPr>
              <w:spacing w:after="0" w:line="240" w:lineRule="auto"/>
              <w:jc w:val="center"/>
              <w:rPr>
                <w:color w:val="auto"/>
              </w:rPr>
            </w:pPr>
            <w:r w:rsidRPr="002D1654">
              <w:rPr>
                <w:color w:val="auto"/>
              </w:rPr>
              <w:t>85</w:t>
            </w:r>
          </w:p>
        </w:tc>
        <w:tc>
          <w:tcPr>
            <w:tcW w:w="530" w:type="dxa"/>
            <w:tcBorders>
              <w:top w:val="single" w:sz="4" w:space="0" w:color="auto"/>
              <w:left w:val="nil"/>
              <w:bottom w:val="single" w:sz="4" w:space="0" w:color="auto"/>
              <w:right w:val="nil"/>
            </w:tcBorders>
            <w:shd w:val="clear" w:color="auto" w:fill="auto"/>
            <w:vAlign w:val="center"/>
          </w:tcPr>
          <w:p w14:paraId="440342E8" w14:textId="77777777" w:rsidR="00F731AC" w:rsidRPr="003B24F4" w:rsidRDefault="00F731AC" w:rsidP="00CC768C">
            <w:pPr>
              <w:spacing w:after="0" w:line="240" w:lineRule="auto"/>
              <w:jc w:val="center"/>
              <w:rPr>
                <w:color w:val="auto"/>
                <w:sz w:val="16"/>
                <w:szCs w:val="16"/>
              </w:rPr>
            </w:pPr>
            <w:r w:rsidRPr="003B24F4">
              <w:rPr>
                <w:sz w:val="16"/>
                <w:szCs w:val="16"/>
              </w:rPr>
              <w:t>28.110</w:t>
            </w:r>
          </w:p>
        </w:tc>
        <w:tc>
          <w:tcPr>
            <w:tcW w:w="530" w:type="dxa"/>
            <w:tcBorders>
              <w:top w:val="single" w:sz="4" w:space="0" w:color="auto"/>
              <w:left w:val="nil"/>
              <w:bottom w:val="single" w:sz="4" w:space="0" w:color="auto"/>
              <w:right w:val="nil"/>
            </w:tcBorders>
            <w:shd w:val="clear" w:color="auto" w:fill="auto"/>
            <w:vAlign w:val="center"/>
          </w:tcPr>
          <w:p w14:paraId="4C2A89F5" w14:textId="77777777" w:rsidR="00F731AC" w:rsidRPr="003B24F4" w:rsidRDefault="00F731AC" w:rsidP="00CC768C">
            <w:pPr>
              <w:spacing w:after="0" w:line="240" w:lineRule="auto"/>
              <w:jc w:val="center"/>
              <w:rPr>
                <w:color w:val="auto"/>
                <w:sz w:val="16"/>
                <w:szCs w:val="16"/>
              </w:rPr>
            </w:pPr>
            <w:r w:rsidRPr="003B24F4">
              <w:rPr>
                <w:sz w:val="16"/>
                <w:szCs w:val="16"/>
              </w:rPr>
              <w:t>28.037</w:t>
            </w:r>
          </w:p>
        </w:tc>
        <w:tc>
          <w:tcPr>
            <w:tcW w:w="530" w:type="dxa"/>
            <w:tcBorders>
              <w:top w:val="single" w:sz="4" w:space="0" w:color="auto"/>
              <w:left w:val="nil"/>
              <w:bottom w:val="single" w:sz="4" w:space="0" w:color="auto"/>
              <w:right w:val="nil"/>
            </w:tcBorders>
            <w:shd w:val="clear" w:color="auto" w:fill="auto"/>
            <w:vAlign w:val="center"/>
          </w:tcPr>
          <w:p w14:paraId="16FB6761" w14:textId="77777777" w:rsidR="00F731AC" w:rsidRPr="003B24F4" w:rsidRDefault="00F731AC" w:rsidP="00CC768C">
            <w:pPr>
              <w:spacing w:after="0" w:line="240" w:lineRule="auto"/>
              <w:jc w:val="center"/>
              <w:rPr>
                <w:color w:val="auto"/>
                <w:sz w:val="16"/>
                <w:szCs w:val="16"/>
              </w:rPr>
            </w:pPr>
            <w:r w:rsidRPr="003B24F4">
              <w:rPr>
                <w:sz w:val="16"/>
                <w:szCs w:val="16"/>
              </w:rPr>
              <w:t>28.037</w:t>
            </w:r>
          </w:p>
        </w:tc>
        <w:tc>
          <w:tcPr>
            <w:tcW w:w="530" w:type="dxa"/>
            <w:tcBorders>
              <w:top w:val="single" w:sz="4" w:space="0" w:color="auto"/>
              <w:left w:val="nil"/>
              <w:bottom w:val="single" w:sz="4" w:space="0" w:color="auto"/>
              <w:right w:val="nil"/>
            </w:tcBorders>
            <w:shd w:val="clear" w:color="auto" w:fill="auto"/>
            <w:vAlign w:val="center"/>
          </w:tcPr>
          <w:p w14:paraId="45B9B2E1" w14:textId="77777777" w:rsidR="00F731AC" w:rsidRPr="003B24F4" w:rsidRDefault="00F731AC" w:rsidP="00CC768C">
            <w:pPr>
              <w:spacing w:after="0" w:line="240" w:lineRule="auto"/>
              <w:jc w:val="center"/>
              <w:rPr>
                <w:color w:val="auto"/>
                <w:sz w:val="16"/>
                <w:szCs w:val="16"/>
              </w:rPr>
            </w:pPr>
          </w:p>
        </w:tc>
        <w:tc>
          <w:tcPr>
            <w:tcW w:w="530" w:type="dxa"/>
            <w:tcBorders>
              <w:top w:val="single" w:sz="4" w:space="0" w:color="auto"/>
              <w:left w:val="nil"/>
              <w:bottom w:val="single" w:sz="4" w:space="0" w:color="auto"/>
              <w:right w:val="nil"/>
            </w:tcBorders>
            <w:shd w:val="clear" w:color="auto" w:fill="auto"/>
            <w:vAlign w:val="center"/>
          </w:tcPr>
          <w:p w14:paraId="001035E3" w14:textId="77777777" w:rsidR="00F731AC" w:rsidRPr="003B24F4" w:rsidRDefault="00F731AC" w:rsidP="00CC768C">
            <w:pPr>
              <w:spacing w:after="0" w:line="240" w:lineRule="auto"/>
              <w:jc w:val="center"/>
              <w:rPr>
                <w:color w:val="auto"/>
                <w:sz w:val="16"/>
                <w:szCs w:val="16"/>
              </w:rPr>
            </w:pPr>
            <w:r w:rsidRPr="003B24F4">
              <w:rPr>
                <w:sz w:val="16"/>
                <w:szCs w:val="16"/>
              </w:rPr>
              <w:t>7.353</w:t>
            </w:r>
          </w:p>
        </w:tc>
        <w:tc>
          <w:tcPr>
            <w:tcW w:w="530" w:type="dxa"/>
            <w:tcBorders>
              <w:top w:val="single" w:sz="4" w:space="0" w:color="auto"/>
              <w:left w:val="nil"/>
              <w:bottom w:val="single" w:sz="4" w:space="0" w:color="auto"/>
              <w:right w:val="nil"/>
            </w:tcBorders>
            <w:shd w:val="clear" w:color="auto" w:fill="auto"/>
            <w:vAlign w:val="center"/>
          </w:tcPr>
          <w:p w14:paraId="08EFF845" w14:textId="77777777" w:rsidR="00F731AC" w:rsidRPr="003B24F4" w:rsidRDefault="00F731AC" w:rsidP="00CC768C">
            <w:pPr>
              <w:spacing w:after="0" w:line="240" w:lineRule="auto"/>
              <w:jc w:val="center"/>
              <w:rPr>
                <w:color w:val="auto"/>
                <w:sz w:val="16"/>
                <w:szCs w:val="16"/>
              </w:rPr>
            </w:pPr>
            <w:r w:rsidRPr="003B24F4">
              <w:rPr>
                <w:sz w:val="16"/>
                <w:szCs w:val="16"/>
              </w:rPr>
              <w:t>28.120</w:t>
            </w:r>
          </w:p>
        </w:tc>
        <w:tc>
          <w:tcPr>
            <w:tcW w:w="530" w:type="dxa"/>
            <w:tcBorders>
              <w:top w:val="single" w:sz="4" w:space="0" w:color="auto"/>
              <w:left w:val="nil"/>
              <w:bottom w:val="single" w:sz="4" w:space="0" w:color="auto"/>
              <w:right w:val="nil"/>
            </w:tcBorders>
            <w:shd w:val="clear" w:color="auto" w:fill="auto"/>
            <w:vAlign w:val="center"/>
          </w:tcPr>
          <w:p w14:paraId="79142863" w14:textId="77777777" w:rsidR="00F731AC" w:rsidRPr="003B24F4" w:rsidRDefault="00F731AC" w:rsidP="00CC768C">
            <w:pPr>
              <w:spacing w:after="0" w:line="240" w:lineRule="auto"/>
              <w:jc w:val="center"/>
              <w:rPr>
                <w:color w:val="auto"/>
                <w:sz w:val="16"/>
                <w:szCs w:val="16"/>
              </w:rPr>
            </w:pPr>
            <w:r w:rsidRPr="003B24F4">
              <w:rPr>
                <w:sz w:val="16"/>
                <w:szCs w:val="16"/>
              </w:rPr>
              <w:t>28.120</w:t>
            </w:r>
          </w:p>
        </w:tc>
        <w:tc>
          <w:tcPr>
            <w:tcW w:w="530" w:type="dxa"/>
            <w:tcBorders>
              <w:top w:val="single" w:sz="4" w:space="0" w:color="auto"/>
              <w:left w:val="nil"/>
              <w:bottom w:val="single" w:sz="4" w:space="0" w:color="auto"/>
              <w:right w:val="nil"/>
            </w:tcBorders>
            <w:shd w:val="clear" w:color="auto" w:fill="auto"/>
            <w:vAlign w:val="center"/>
          </w:tcPr>
          <w:p w14:paraId="155E43BD" w14:textId="77777777" w:rsidR="00F731AC" w:rsidRPr="003B24F4" w:rsidRDefault="00F731AC" w:rsidP="00CC768C">
            <w:pPr>
              <w:spacing w:after="0" w:line="240" w:lineRule="auto"/>
              <w:jc w:val="center"/>
              <w:rPr>
                <w:color w:val="auto"/>
                <w:sz w:val="16"/>
                <w:szCs w:val="16"/>
              </w:rPr>
            </w:pPr>
            <w:r w:rsidRPr="003B24F4">
              <w:rPr>
                <w:sz w:val="16"/>
                <w:szCs w:val="16"/>
              </w:rPr>
              <w:t>4.118</w:t>
            </w:r>
          </w:p>
        </w:tc>
        <w:tc>
          <w:tcPr>
            <w:tcW w:w="530" w:type="dxa"/>
            <w:tcBorders>
              <w:top w:val="single" w:sz="4" w:space="0" w:color="auto"/>
              <w:left w:val="nil"/>
              <w:bottom w:val="single" w:sz="4" w:space="0" w:color="auto"/>
              <w:right w:val="nil"/>
            </w:tcBorders>
            <w:shd w:val="clear" w:color="auto" w:fill="auto"/>
            <w:vAlign w:val="center"/>
          </w:tcPr>
          <w:p w14:paraId="5C596EF8" w14:textId="77777777" w:rsidR="00F731AC" w:rsidRPr="003B24F4" w:rsidRDefault="00F731AC" w:rsidP="00CC768C">
            <w:pPr>
              <w:spacing w:after="0" w:line="240" w:lineRule="auto"/>
              <w:jc w:val="center"/>
              <w:rPr>
                <w:color w:val="auto"/>
                <w:sz w:val="16"/>
                <w:szCs w:val="16"/>
              </w:rPr>
            </w:pPr>
            <w:r w:rsidRPr="003B24F4">
              <w:rPr>
                <w:sz w:val="16"/>
                <w:szCs w:val="16"/>
              </w:rPr>
              <w:t>6.209</w:t>
            </w:r>
          </w:p>
        </w:tc>
        <w:tc>
          <w:tcPr>
            <w:tcW w:w="480" w:type="dxa"/>
            <w:tcBorders>
              <w:top w:val="single" w:sz="4" w:space="0" w:color="auto"/>
              <w:left w:val="single" w:sz="4" w:space="0" w:color="auto"/>
              <w:bottom w:val="single" w:sz="4" w:space="0" w:color="auto"/>
              <w:right w:val="nil"/>
            </w:tcBorders>
            <w:shd w:val="clear" w:color="auto" w:fill="auto"/>
            <w:vAlign w:val="center"/>
          </w:tcPr>
          <w:p w14:paraId="6E02FA9B"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0.822</w:t>
            </w:r>
          </w:p>
        </w:tc>
        <w:tc>
          <w:tcPr>
            <w:tcW w:w="480" w:type="dxa"/>
            <w:tcBorders>
              <w:top w:val="single" w:sz="4" w:space="0" w:color="auto"/>
              <w:left w:val="nil"/>
              <w:bottom w:val="single" w:sz="4" w:space="0" w:color="auto"/>
              <w:right w:val="nil"/>
            </w:tcBorders>
            <w:shd w:val="clear" w:color="auto" w:fill="auto"/>
            <w:vAlign w:val="center"/>
          </w:tcPr>
          <w:p w14:paraId="0354F656"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0.823</w:t>
            </w:r>
          </w:p>
        </w:tc>
        <w:tc>
          <w:tcPr>
            <w:tcW w:w="480" w:type="dxa"/>
            <w:tcBorders>
              <w:top w:val="single" w:sz="4" w:space="0" w:color="auto"/>
              <w:left w:val="nil"/>
              <w:bottom w:val="single" w:sz="4" w:space="0" w:color="auto"/>
              <w:right w:val="nil"/>
            </w:tcBorders>
            <w:shd w:val="clear" w:color="auto" w:fill="auto"/>
            <w:vAlign w:val="center"/>
          </w:tcPr>
          <w:p w14:paraId="6D7AF59D"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0.823</w:t>
            </w:r>
          </w:p>
        </w:tc>
        <w:tc>
          <w:tcPr>
            <w:tcW w:w="480" w:type="dxa"/>
            <w:tcBorders>
              <w:top w:val="single" w:sz="4" w:space="0" w:color="auto"/>
              <w:left w:val="nil"/>
              <w:bottom w:val="single" w:sz="4" w:space="0" w:color="auto"/>
              <w:right w:val="nil"/>
            </w:tcBorders>
            <w:shd w:val="clear" w:color="auto" w:fill="auto"/>
            <w:vAlign w:val="center"/>
          </w:tcPr>
          <w:p w14:paraId="212D86F8"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w:t>
            </w:r>
          </w:p>
        </w:tc>
        <w:tc>
          <w:tcPr>
            <w:tcW w:w="480" w:type="dxa"/>
            <w:tcBorders>
              <w:top w:val="single" w:sz="4" w:space="0" w:color="auto"/>
              <w:left w:val="nil"/>
              <w:bottom w:val="single" w:sz="4" w:space="0" w:color="auto"/>
              <w:right w:val="nil"/>
            </w:tcBorders>
            <w:shd w:val="clear" w:color="auto" w:fill="auto"/>
            <w:vAlign w:val="center"/>
          </w:tcPr>
          <w:p w14:paraId="6A9F971B"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0.953</w:t>
            </w:r>
          </w:p>
        </w:tc>
        <w:tc>
          <w:tcPr>
            <w:tcW w:w="480" w:type="dxa"/>
            <w:tcBorders>
              <w:top w:val="single" w:sz="4" w:space="0" w:color="auto"/>
              <w:left w:val="nil"/>
              <w:bottom w:val="single" w:sz="4" w:space="0" w:color="auto"/>
              <w:right w:val="nil"/>
            </w:tcBorders>
            <w:shd w:val="clear" w:color="auto" w:fill="auto"/>
            <w:vAlign w:val="center"/>
          </w:tcPr>
          <w:p w14:paraId="0774DDCC"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0.822</w:t>
            </w:r>
          </w:p>
        </w:tc>
        <w:tc>
          <w:tcPr>
            <w:tcW w:w="480" w:type="dxa"/>
            <w:tcBorders>
              <w:top w:val="single" w:sz="4" w:space="0" w:color="auto"/>
              <w:left w:val="nil"/>
              <w:bottom w:val="single" w:sz="4" w:space="0" w:color="auto"/>
              <w:right w:val="nil"/>
            </w:tcBorders>
            <w:shd w:val="clear" w:color="auto" w:fill="auto"/>
            <w:vAlign w:val="center"/>
          </w:tcPr>
          <w:p w14:paraId="296D9FAC"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0.822</w:t>
            </w:r>
          </w:p>
        </w:tc>
        <w:tc>
          <w:tcPr>
            <w:tcW w:w="480" w:type="dxa"/>
            <w:tcBorders>
              <w:top w:val="single" w:sz="4" w:space="0" w:color="auto"/>
              <w:left w:val="nil"/>
              <w:bottom w:val="single" w:sz="4" w:space="0" w:color="auto"/>
              <w:right w:val="nil"/>
            </w:tcBorders>
            <w:shd w:val="clear" w:color="auto" w:fill="auto"/>
            <w:vAlign w:val="center"/>
          </w:tcPr>
          <w:p w14:paraId="6D9344AD"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0.974</w:t>
            </w:r>
          </w:p>
        </w:tc>
        <w:tc>
          <w:tcPr>
            <w:tcW w:w="480" w:type="dxa"/>
            <w:tcBorders>
              <w:top w:val="single" w:sz="4" w:space="0" w:color="auto"/>
              <w:left w:val="nil"/>
              <w:bottom w:val="single" w:sz="4" w:space="0" w:color="auto"/>
              <w:right w:val="single" w:sz="4" w:space="0" w:color="auto"/>
            </w:tcBorders>
            <w:shd w:val="clear" w:color="000000" w:fill="FFFFFF"/>
            <w:vAlign w:val="center"/>
          </w:tcPr>
          <w:p w14:paraId="45BE8DB8"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0.961</w:t>
            </w:r>
          </w:p>
        </w:tc>
        <w:tc>
          <w:tcPr>
            <w:tcW w:w="630" w:type="dxa"/>
            <w:tcBorders>
              <w:top w:val="single" w:sz="4" w:space="0" w:color="auto"/>
              <w:left w:val="single" w:sz="4" w:space="0" w:color="auto"/>
              <w:bottom w:val="single" w:sz="4" w:space="0" w:color="auto"/>
              <w:right w:val="nil"/>
            </w:tcBorders>
            <w:shd w:val="clear" w:color="auto" w:fill="auto"/>
            <w:vAlign w:val="center"/>
          </w:tcPr>
          <w:p w14:paraId="3A4FA2D6" w14:textId="77777777" w:rsidR="00F731AC" w:rsidRPr="002D1654" w:rsidRDefault="00F731AC" w:rsidP="00CC768C">
            <w:pPr>
              <w:spacing w:after="0" w:line="240" w:lineRule="auto"/>
              <w:jc w:val="center"/>
              <w:rPr>
                <w:rFonts w:eastAsia="Times New Roman"/>
                <w:color w:val="auto"/>
                <w:lang w:eastAsia="en-SG"/>
              </w:rPr>
            </w:pPr>
            <w:r w:rsidRPr="00001962">
              <w:t>67.920</w:t>
            </w:r>
          </w:p>
        </w:tc>
        <w:tc>
          <w:tcPr>
            <w:tcW w:w="630" w:type="dxa"/>
            <w:tcBorders>
              <w:top w:val="single" w:sz="4" w:space="0" w:color="auto"/>
              <w:left w:val="nil"/>
              <w:bottom w:val="single" w:sz="4" w:space="0" w:color="auto"/>
              <w:right w:val="nil"/>
            </w:tcBorders>
            <w:shd w:val="clear" w:color="auto" w:fill="auto"/>
            <w:vAlign w:val="center"/>
          </w:tcPr>
          <w:p w14:paraId="1C26C12A" w14:textId="77777777" w:rsidR="00F731AC" w:rsidRPr="002D1654" w:rsidRDefault="00F731AC" w:rsidP="00CC768C">
            <w:pPr>
              <w:spacing w:after="0" w:line="240" w:lineRule="auto"/>
              <w:jc w:val="center"/>
              <w:rPr>
                <w:rFonts w:eastAsia="Times New Roman"/>
                <w:color w:val="auto"/>
                <w:lang w:eastAsia="en-SG"/>
              </w:rPr>
            </w:pPr>
            <w:r w:rsidRPr="003A1723">
              <w:t>67.920</w:t>
            </w:r>
          </w:p>
        </w:tc>
      </w:tr>
      <w:tr w:rsidR="00F731AC" w:rsidRPr="002D1654" w14:paraId="6C61071B" w14:textId="77777777" w:rsidTr="00CC768C">
        <w:trPr>
          <w:trHeight w:val="586"/>
          <w:jc w:val="center"/>
        </w:trPr>
        <w:tc>
          <w:tcPr>
            <w:tcW w:w="990" w:type="dxa"/>
            <w:tcBorders>
              <w:top w:val="single" w:sz="4" w:space="0" w:color="auto"/>
              <w:left w:val="nil"/>
              <w:bottom w:val="single" w:sz="4" w:space="0" w:color="auto"/>
              <w:right w:val="nil"/>
            </w:tcBorders>
            <w:shd w:val="clear" w:color="auto" w:fill="auto"/>
            <w:noWrap/>
            <w:vAlign w:val="center"/>
          </w:tcPr>
          <w:p w14:paraId="7915484F" w14:textId="77777777" w:rsidR="00F731AC" w:rsidRPr="002D1654" w:rsidRDefault="00F731AC" w:rsidP="00CC768C">
            <w:pPr>
              <w:spacing w:after="0" w:line="240" w:lineRule="auto"/>
              <w:jc w:val="center"/>
              <w:rPr>
                <w:rFonts w:eastAsia="Times New Roman"/>
                <w:color w:val="auto"/>
                <w:lang w:eastAsia="en-SG"/>
              </w:rPr>
            </w:pPr>
            <w:r w:rsidRPr="002D1654">
              <w:rPr>
                <w:color w:val="auto"/>
              </w:rPr>
              <w:t>Southwest Airlines</w:t>
            </w:r>
          </w:p>
        </w:tc>
        <w:tc>
          <w:tcPr>
            <w:tcW w:w="810" w:type="dxa"/>
            <w:tcBorders>
              <w:top w:val="single" w:sz="4" w:space="0" w:color="auto"/>
              <w:left w:val="nil"/>
              <w:bottom w:val="single" w:sz="4" w:space="0" w:color="auto"/>
              <w:right w:val="single" w:sz="4" w:space="0" w:color="auto"/>
            </w:tcBorders>
            <w:shd w:val="clear" w:color="auto" w:fill="auto"/>
            <w:vAlign w:val="center"/>
          </w:tcPr>
          <w:p w14:paraId="4084038C" w14:textId="77777777" w:rsidR="00F731AC" w:rsidRPr="002D1654" w:rsidRDefault="00F731AC" w:rsidP="00CC768C">
            <w:pPr>
              <w:spacing w:after="0" w:line="240" w:lineRule="auto"/>
              <w:jc w:val="center"/>
              <w:rPr>
                <w:rFonts w:eastAsia="Times New Roman"/>
                <w:color w:val="auto"/>
                <w:vertAlign w:val="superscript"/>
                <w:lang w:eastAsia="en-SG"/>
              </w:rPr>
            </w:pPr>
            <w:r w:rsidRPr="002D1654">
              <w:rPr>
                <w:color w:val="auto"/>
              </w:rPr>
              <w:t>Airlines</w:t>
            </w:r>
          </w:p>
        </w:tc>
        <w:tc>
          <w:tcPr>
            <w:tcW w:w="270" w:type="dxa"/>
            <w:tcBorders>
              <w:top w:val="single" w:sz="4" w:space="0" w:color="auto"/>
              <w:left w:val="single" w:sz="4" w:space="0" w:color="auto"/>
              <w:bottom w:val="single" w:sz="4" w:space="0" w:color="auto"/>
              <w:right w:val="nil"/>
            </w:tcBorders>
            <w:shd w:val="clear" w:color="auto" w:fill="auto"/>
            <w:vAlign w:val="center"/>
          </w:tcPr>
          <w:p w14:paraId="2388EDA6" w14:textId="77777777" w:rsidR="00F731AC" w:rsidRPr="002D1654" w:rsidRDefault="00F731AC" w:rsidP="00CC768C">
            <w:pPr>
              <w:spacing w:after="0" w:line="240" w:lineRule="auto"/>
              <w:jc w:val="center"/>
              <w:rPr>
                <w:rFonts w:eastAsia="Times New Roman"/>
                <w:color w:val="auto"/>
                <w:lang w:eastAsia="en-SG"/>
              </w:rPr>
            </w:pPr>
            <w:r w:rsidRPr="002D1654">
              <w:rPr>
                <w:color w:val="auto"/>
              </w:rPr>
              <w:t>5</w:t>
            </w:r>
          </w:p>
        </w:tc>
        <w:tc>
          <w:tcPr>
            <w:tcW w:w="900" w:type="dxa"/>
            <w:tcBorders>
              <w:top w:val="single" w:sz="4" w:space="0" w:color="auto"/>
              <w:left w:val="nil"/>
              <w:bottom w:val="single" w:sz="4" w:space="0" w:color="auto"/>
              <w:right w:val="single" w:sz="4" w:space="0" w:color="auto"/>
            </w:tcBorders>
            <w:shd w:val="clear" w:color="auto" w:fill="auto"/>
            <w:vAlign w:val="center"/>
          </w:tcPr>
          <w:p w14:paraId="5711C056" w14:textId="77777777" w:rsidR="00F731AC" w:rsidRPr="002D1654" w:rsidRDefault="00F731AC" w:rsidP="00CC768C">
            <w:pPr>
              <w:spacing w:after="0" w:line="240" w:lineRule="auto"/>
              <w:jc w:val="center"/>
              <w:rPr>
                <w:color w:val="auto"/>
              </w:rPr>
            </w:pPr>
            <w:r w:rsidRPr="002D1654">
              <w:rPr>
                <w:color w:val="auto"/>
              </w:rPr>
              <w:t>Southwest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F0C8493" w14:textId="77777777" w:rsidR="00F731AC" w:rsidRPr="002D1654" w:rsidRDefault="00F731AC" w:rsidP="00CC768C">
            <w:pPr>
              <w:spacing w:after="0" w:line="240" w:lineRule="auto"/>
              <w:jc w:val="center"/>
              <w:rPr>
                <w:color w:val="auto"/>
              </w:rPr>
            </w:pPr>
            <w:r w:rsidRPr="002D1654">
              <w:rPr>
                <w:color w:val="auto"/>
              </w:rPr>
              <w:t>79</w:t>
            </w:r>
          </w:p>
        </w:tc>
        <w:tc>
          <w:tcPr>
            <w:tcW w:w="530" w:type="dxa"/>
            <w:tcBorders>
              <w:top w:val="single" w:sz="4" w:space="0" w:color="auto"/>
              <w:left w:val="nil"/>
              <w:bottom w:val="single" w:sz="4" w:space="0" w:color="auto"/>
              <w:right w:val="nil"/>
            </w:tcBorders>
            <w:shd w:val="clear" w:color="auto" w:fill="auto"/>
            <w:vAlign w:val="center"/>
          </w:tcPr>
          <w:p w14:paraId="7E46D35D" w14:textId="77777777" w:rsidR="00F731AC" w:rsidRPr="003B24F4" w:rsidRDefault="00F731AC" w:rsidP="00CC768C">
            <w:pPr>
              <w:spacing w:after="0" w:line="240" w:lineRule="auto"/>
              <w:jc w:val="center"/>
              <w:rPr>
                <w:color w:val="auto"/>
                <w:sz w:val="16"/>
                <w:szCs w:val="16"/>
              </w:rPr>
            </w:pPr>
            <w:r w:rsidRPr="003B24F4">
              <w:rPr>
                <w:sz w:val="16"/>
                <w:szCs w:val="16"/>
              </w:rPr>
              <w:t>21.052</w:t>
            </w:r>
          </w:p>
        </w:tc>
        <w:tc>
          <w:tcPr>
            <w:tcW w:w="530" w:type="dxa"/>
            <w:tcBorders>
              <w:top w:val="single" w:sz="4" w:space="0" w:color="auto"/>
              <w:left w:val="nil"/>
              <w:bottom w:val="single" w:sz="4" w:space="0" w:color="auto"/>
              <w:right w:val="nil"/>
            </w:tcBorders>
            <w:shd w:val="clear" w:color="auto" w:fill="auto"/>
            <w:vAlign w:val="center"/>
          </w:tcPr>
          <w:p w14:paraId="7E27A06D" w14:textId="77777777" w:rsidR="00F731AC" w:rsidRPr="003B24F4" w:rsidRDefault="00F731AC" w:rsidP="00CC768C">
            <w:pPr>
              <w:spacing w:after="0" w:line="240" w:lineRule="auto"/>
              <w:jc w:val="center"/>
              <w:rPr>
                <w:color w:val="auto"/>
                <w:sz w:val="16"/>
                <w:szCs w:val="16"/>
              </w:rPr>
            </w:pPr>
            <w:r w:rsidRPr="003B24F4">
              <w:rPr>
                <w:sz w:val="16"/>
                <w:szCs w:val="16"/>
              </w:rPr>
              <w:t>21.020</w:t>
            </w:r>
          </w:p>
        </w:tc>
        <w:tc>
          <w:tcPr>
            <w:tcW w:w="530" w:type="dxa"/>
            <w:tcBorders>
              <w:top w:val="single" w:sz="4" w:space="0" w:color="auto"/>
              <w:left w:val="nil"/>
              <w:bottom w:val="single" w:sz="4" w:space="0" w:color="auto"/>
              <w:right w:val="nil"/>
            </w:tcBorders>
            <w:shd w:val="clear" w:color="auto" w:fill="auto"/>
            <w:vAlign w:val="center"/>
          </w:tcPr>
          <w:p w14:paraId="5142695C" w14:textId="77777777" w:rsidR="00F731AC" w:rsidRPr="003B24F4" w:rsidRDefault="00F731AC" w:rsidP="00CC768C">
            <w:pPr>
              <w:spacing w:after="0" w:line="240" w:lineRule="auto"/>
              <w:jc w:val="center"/>
              <w:rPr>
                <w:color w:val="auto"/>
                <w:sz w:val="16"/>
                <w:szCs w:val="16"/>
              </w:rPr>
            </w:pPr>
            <w:r w:rsidRPr="003B24F4">
              <w:rPr>
                <w:sz w:val="16"/>
                <w:szCs w:val="16"/>
              </w:rPr>
              <w:t>21.020</w:t>
            </w:r>
          </w:p>
        </w:tc>
        <w:tc>
          <w:tcPr>
            <w:tcW w:w="530" w:type="dxa"/>
            <w:tcBorders>
              <w:top w:val="single" w:sz="4" w:space="0" w:color="auto"/>
              <w:left w:val="nil"/>
              <w:bottom w:val="single" w:sz="4" w:space="0" w:color="auto"/>
              <w:right w:val="nil"/>
            </w:tcBorders>
            <w:shd w:val="clear" w:color="auto" w:fill="auto"/>
            <w:vAlign w:val="center"/>
          </w:tcPr>
          <w:p w14:paraId="7BD0E0AF" w14:textId="77777777" w:rsidR="00F731AC" w:rsidRPr="003B24F4" w:rsidRDefault="00F731AC" w:rsidP="00CC768C">
            <w:pPr>
              <w:spacing w:after="0" w:line="240" w:lineRule="auto"/>
              <w:jc w:val="center"/>
              <w:rPr>
                <w:color w:val="auto"/>
                <w:sz w:val="16"/>
                <w:szCs w:val="16"/>
              </w:rPr>
            </w:pPr>
            <w:r w:rsidRPr="003B24F4">
              <w:rPr>
                <w:sz w:val="16"/>
                <w:szCs w:val="16"/>
              </w:rPr>
              <w:t>7.353</w:t>
            </w:r>
          </w:p>
        </w:tc>
        <w:tc>
          <w:tcPr>
            <w:tcW w:w="530" w:type="dxa"/>
            <w:tcBorders>
              <w:top w:val="single" w:sz="4" w:space="0" w:color="auto"/>
              <w:left w:val="nil"/>
              <w:bottom w:val="single" w:sz="4" w:space="0" w:color="auto"/>
              <w:right w:val="nil"/>
            </w:tcBorders>
            <w:shd w:val="clear" w:color="auto" w:fill="auto"/>
            <w:vAlign w:val="center"/>
          </w:tcPr>
          <w:p w14:paraId="174899DB" w14:textId="77777777" w:rsidR="00F731AC" w:rsidRPr="003B24F4" w:rsidRDefault="00F731AC" w:rsidP="00CC768C">
            <w:pPr>
              <w:spacing w:after="0" w:line="240" w:lineRule="auto"/>
              <w:jc w:val="center"/>
              <w:rPr>
                <w:color w:val="auto"/>
                <w:sz w:val="16"/>
                <w:szCs w:val="16"/>
              </w:rPr>
            </w:pPr>
            <w:r w:rsidRPr="003B24F4">
              <w:rPr>
                <w:sz w:val="16"/>
                <w:szCs w:val="16"/>
              </w:rPr>
              <w:t>−</w:t>
            </w:r>
          </w:p>
        </w:tc>
        <w:tc>
          <w:tcPr>
            <w:tcW w:w="530" w:type="dxa"/>
            <w:tcBorders>
              <w:top w:val="single" w:sz="4" w:space="0" w:color="auto"/>
              <w:left w:val="nil"/>
              <w:bottom w:val="single" w:sz="4" w:space="0" w:color="auto"/>
              <w:right w:val="nil"/>
            </w:tcBorders>
            <w:shd w:val="clear" w:color="auto" w:fill="auto"/>
            <w:vAlign w:val="center"/>
          </w:tcPr>
          <w:p w14:paraId="574318D6" w14:textId="77777777" w:rsidR="00F731AC" w:rsidRPr="003B24F4" w:rsidRDefault="00F731AC" w:rsidP="00CC768C">
            <w:pPr>
              <w:spacing w:after="0" w:line="240" w:lineRule="auto"/>
              <w:jc w:val="center"/>
              <w:rPr>
                <w:color w:val="auto"/>
                <w:sz w:val="16"/>
                <w:szCs w:val="16"/>
              </w:rPr>
            </w:pPr>
            <w:r w:rsidRPr="003B24F4">
              <w:rPr>
                <w:sz w:val="16"/>
                <w:szCs w:val="16"/>
              </w:rPr>
              <w:t>21.038</w:t>
            </w:r>
          </w:p>
        </w:tc>
        <w:tc>
          <w:tcPr>
            <w:tcW w:w="530" w:type="dxa"/>
            <w:tcBorders>
              <w:top w:val="single" w:sz="4" w:space="0" w:color="auto"/>
              <w:left w:val="nil"/>
              <w:bottom w:val="single" w:sz="4" w:space="0" w:color="auto"/>
              <w:right w:val="nil"/>
            </w:tcBorders>
            <w:shd w:val="clear" w:color="auto" w:fill="auto"/>
            <w:vAlign w:val="center"/>
          </w:tcPr>
          <w:p w14:paraId="441C9F03" w14:textId="77777777" w:rsidR="00F731AC" w:rsidRPr="003B24F4" w:rsidRDefault="00F731AC" w:rsidP="00CC768C">
            <w:pPr>
              <w:spacing w:after="0" w:line="240" w:lineRule="auto"/>
              <w:jc w:val="center"/>
              <w:rPr>
                <w:color w:val="auto"/>
                <w:sz w:val="16"/>
                <w:szCs w:val="16"/>
              </w:rPr>
            </w:pPr>
            <w:r w:rsidRPr="003B24F4">
              <w:rPr>
                <w:sz w:val="16"/>
                <w:szCs w:val="16"/>
              </w:rPr>
              <w:t>21.038</w:t>
            </w:r>
          </w:p>
        </w:tc>
        <w:tc>
          <w:tcPr>
            <w:tcW w:w="530" w:type="dxa"/>
            <w:tcBorders>
              <w:top w:val="single" w:sz="4" w:space="0" w:color="auto"/>
              <w:left w:val="nil"/>
              <w:bottom w:val="single" w:sz="4" w:space="0" w:color="auto"/>
              <w:right w:val="nil"/>
            </w:tcBorders>
            <w:shd w:val="clear" w:color="auto" w:fill="auto"/>
            <w:vAlign w:val="center"/>
          </w:tcPr>
          <w:p w14:paraId="190D04B1" w14:textId="77777777" w:rsidR="00F731AC" w:rsidRPr="003B24F4" w:rsidRDefault="00F731AC" w:rsidP="00CC768C">
            <w:pPr>
              <w:spacing w:after="0" w:line="240" w:lineRule="auto"/>
              <w:jc w:val="center"/>
              <w:rPr>
                <w:color w:val="auto"/>
                <w:sz w:val="16"/>
                <w:szCs w:val="16"/>
              </w:rPr>
            </w:pPr>
            <w:r w:rsidRPr="003B24F4">
              <w:rPr>
                <w:sz w:val="16"/>
                <w:szCs w:val="16"/>
              </w:rPr>
              <w:t>4.299</w:t>
            </w:r>
          </w:p>
        </w:tc>
        <w:tc>
          <w:tcPr>
            <w:tcW w:w="530" w:type="dxa"/>
            <w:tcBorders>
              <w:top w:val="single" w:sz="4" w:space="0" w:color="auto"/>
              <w:left w:val="nil"/>
              <w:bottom w:val="single" w:sz="4" w:space="0" w:color="auto"/>
              <w:right w:val="nil"/>
            </w:tcBorders>
            <w:shd w:val="clear" w:color="auto" w:fill="auto"/>
            <w:vAlign w:val="center"/>
          </w:tcPr>
          <w:p w14:paraId="2379C289" w14:textId="77777777" w:rsidR="00F731AC" w:rsidRPr="003B24F4" w:rsidRDefault="00F731AC" w:rsidP="00CC768C">
            <w:pPr>
              <w:spacing w:after="0" w:line="240" w:lineRule="auto"/>
              <w:jc w:val="center"/>
              <w:rPr>
                <w:color w:val="auto"/>
                <w:sz w:val="16"/>
                <w:szCs w:val="16"/>
              </w:rPr>
            </w:pPr>
            <w:r w:rsidRPr="003B24F4">
              <w:rPr>
                <w:sz w:val="16"/>
                <w:szCs w:val="16"/>
              </w:rPr>
              <w:t>12.188</w:t>
            </w:r>
          </w:p>
        </w:tc>
        <w:tc>
          <w:tcPr>
            <w:tcW w:w="480" w:type="dxa"/>
            <w:tcBorders>
              <w:top w:val="single" w:sz="4" w:space="0" w:color="auto"/>
              <w:left w:val="single" w:sz="4" w:space="0" w:color="auto"/>
              <w:bottom w:val="single" w:sz="4" w:space="0" w:color="auto"/>
              <w:right w:val="nil"/>
            </w:tcBorders>
            <w:shd w:val="clear" w:color="auto" w:fill="auto"/>
            <w:vAlign w:val="center"/>
          </w:tcPr>
          <w:p w14:paraId="1128B925"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0.837</w:t>
            </w:r>
          </w:p>
        </w:tc>
        <w:tc>
          <w:tcPr>
            <w:tcW w:w="480" w:type="dxa"/>
            <w:tcBorders>
              <w:top w:val="single" w:sz="4" w:space="0" w:color="auto"/>
              <w:left w:val="nil"/>
              <w:bottom w:val="single" w:sz="4" w:space="0" w:color="auto"/>
              <w:right w:val="nil"/>
            </w:tcBorders>
            <w:shd w:val="clear" w:color="auto" w:fill="auto"/>
            <w:vAlign w:val="center"/>
          </w:tcPr>
          <w:p w14:paraId="62537CD5"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0.837</w:t>
            </w:r>
          </w:p>
        </w:tc>
        <w:tc>
          <w:tcPr>
            <w:tcW w:w="480" w:type="dxa"/>
            <w:tcBorders>
              <w:top w:val="single" w:sz="4" w:space="0" w:color="auto"/>
              <w:left w:val="nil"/>
              <w:bottom w:val="single" w:sz="4" w:space="0" w:color="auto"/>
              <w:right w:val="nil"/>
            </w:tcBorders>
            <w:shd w:val="clear" w:color="auto" w:fill="auto"/>
            <w:vAlign w:val="center"/>
          </w:tcPr>
          <w:p w14:paraId="37E8E0A7"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0.837</w:t>
            </w:r>
          </w:p>
        </w:tc>
        <w:tc>
          <w:tcPr>
            <w:tcW w:w="480" w:type="dxa"/>
            <w:tcBorders>
              <w:top w:val="single" w:sz="4" w:space="0" w:color="auto"/>
              <w:left w:val="nil"/>
              <w:bottom w:val="single" w:sz="4" w:space="0" w:color="auto"/>
              <w:right w:val="nil"/>
            </w:tcBorders>
            <w:shd w:val="clear" w:color="auto" w:fill="auto"/>
            <w:vAlign w:val="center"/>
          </w:tcPr>
          <w:p w14:paraId="7BFF485F"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0.943</w:t>
            </w:r>
          </w:p>
        </w:tc>
        <w:tc>
          <w:tcPr>
            <w:tcW w:w="480" w:type="dxa"/>
            <w:tcBorders>
              <w:top w:val="single" w:sz="4" w:space="0" w:color="auto"/>
              <w:left w:val="nil"/>
              <w:bottom w:val="single" w:sz="4" w:space="0" w:color="auto"/>
              <w:right w:val="nil"/>
            </w:tcBorders>
            <w:shd w:val="clear" w:color="auto" w:fill="auto"/>
            <w:vAlign w:val="center"/>
          </w:tcPr>
          <w:p w14:paraId="0B885F53"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w:t>
            </w:r>
          </w:p>
        </w:tc>
        <w:tc>
          <w:tcPr>
            <w:tcW w:w="480" w:type="dxa"/>
            <w:tcBorders>
              <w:top w:val="single" w:sz="4" w:space="0" w:color="auto"/>
              <w:left w:val="nil"/>
              <w:bottom w:val="single" w:sz="4" w:space="0" w:color="auto"/>
              <w:right w:val="nil"/>
            </w:tcBorders>
            <w:shd w:val="clear" w:color="auto" w:fill="auto"/>
            <w:vAlign w:val="center"/>
          </w:tcPr>
          <w:p w14:paraId="09BD9B8B"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0.837</w:t>
            </w:r>
          </w:p>
        </w:tc>
        <w:tc>
          <w:tcPr>
            <w:tcW w:w="480" w:type="dxa"/>
            <w:tcBorders>
              <w:top w:val="single" w:sz="4" w:space="0" w:color="auto"/>
              <w:left w:val="nil"/>
              <w:bottom w:val="single" w:sz="4" w:space="0" w:color="auto"/>
              <w:right w:val="nil"/>
            </w:tcBorders>
            <w:shd w:val="clear" w:color="auto" w:fill="auto"/>
            <w:vAlign w:val="center"/>
          </w:tcPr>
          <w:p w14:paraId="4A04D34D"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0.837</w:t>
            </w:r>
          </w:p>
        </w:tc>
        <w:tc>
          <w:tcPr>
            <w:tcW w:w="480" w:type="dxa"/>
            <w:tcBorders>
              <w:top w:val="single" w:sz="4" w:space="0" w:color="auto"/>
              <w:left w:val="nil"/>
              <w:bottom w:val="single" w:sz="4" w:space="0" w:color="auto"/>
              <w:right w:val="nil"/>
            </w:tcBorders>
            <w:shd w:val="clear" w:color="auto" w:fill="auto"/>
            <w:vAlign w:val="center"/>
          </w:tcPr>
          <w:p w14:paraId="362B0677"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0.967</w:t>
            </w:r>
          </w:p>
        </w:tc>
        <w:tc>
          <w:tcPr>
            <w:tcW w:w="480" w:type="dxa"/>
            <w:tcBorders>
              <w:top w:val="single" w:sz="4" w:space="0" w:color="auto"/>
              <w:left w:val="nil"/>
              <w:bottom w:val="single" w:sz="4" w:space="0" w:color="auto"/>
              <w:right w:val="single" w:sz="4" w:space="0" w:color="auto"/>
            </w:tcBorders>
            <w:shd w:val="clear" w:color="000000" w:fill="FFFFFF"/>
            <w:vAlign w:val="center"/>
          </w:tcPr>
          <w:p w14:paraId="2BA3E6BD"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0.906</w:t>
            </w:r>
          </w:p>
        </w:tc>
        <w:tc>
          <w:tcPr>
            <w:tcW w:w="630" w:type="dxa"/>
            <w:tcBorders>
              <w:top w:val="single" w:sz="4" w:space="0" w:color="auto"/>
              <w:left w:val="single" w:sz="4" w:space="0" w:color="auto"/>
              <w:bottom w:val="single" w:sz="4" w:space="0" w:color="auto"/>
              <w:right w:val="nil"/>
            </w:tcBorders>
            <w:shd w:val="clear" w:color="auto" w:fill="auto"/>
            <w:vAlign w:val="center"/>
          </w:tcPr>
          <w:p w14:paraId="49D79C87" w14:textId="77777777" w:rsidR="00F731AC" w:rsidRPr="002D1654" w:rsidRDefault="00F731AC" w:rsidP="00CC768C">
            <w:pPr>
              <w:spacing w:after="0" w:line="240" w:lineRule="auto"/>
              <w:jc w:val="center"/>
              <w:rPr>
                <w:rFonts w:eastAsia="Times New Roman"/>
                <w:color w:val="auto"/>
                <w:lang w:eastAsia="en-SG"/>
              </w:rPr>
            </w:pPr>
            <w:r w:rsidRPr="00001962">
              <w:t>68.697</w:t>
            </w:r>
          </w:p>
        </w:tc>
        <w:tc>
          <w:tcPr>
            <w:tcW w:w="630" w:type="dxa"/>
            <w:tcBorders>
              <w:top w:val="single" w:sz="4" w:space="0" w:color="auto"/>
              <w:left w:val="nil"/>
              <w:bottom w:val="single" w:sz="4" w:space="0" w:color="auto"/>
              <w:right w:val="nil"/>
            </w:tcBorders>
            <w:shd w:val="clear" w:color="auto" w:fill="auto"/>
            <w:vAlign w:val="center"/>
          </w:tcPr>
          <w:p w14:paraId="6F9CC5E6" w14:textId="77777777" w:rsidR="00F731AC" w:rsidRPr="002D1654" w:rsidRDefault="00F731AC" w:rsidP="00CC768C">
            <w:pPr>
              <w:spacing w:after="0" w:line="240" w:lineRule="auto"/>
              <w:jc w:val="center"/>
              <w:rPr>
                <w:rFonts w:eastAsia="Times New Roman"/>
                <w:color w:val="auto"/>
                <w:lang w:eastAsia="en-SG"/>
              </w:rPr>
            </w:pPr>
            <w:r w:rsidRPr="003A1723">
              <w:t>68.697</w:t>
            </w:r>
          </w:p>
        </w:tc>
      </w:tr>
      <w:tr w:rsidR="00F731AC" w:rsidRPr="002D1654" w14:paraId="46F580D1" w14:textId="77777777" w:rsidTr="00CC768C">
        <w:trPr>
          <w:trHeight w:val="586"/>
          <w:jc w:val="center"/>
        </w:trPr>
        <w:tc>
          <w:tcPr>
            <w:tcW w:w="990" w:type="dxa"/>
            <w:vMerge w:val="restart"/>
            <w:tcBorders>
              <w:top w:val="single" w:sz="4" w:space="0" w:color="auto"/>
              <w:left w:val="nil"/>
              <w:bottom w:val="nil"/>
              <w:right w:val="nil"/>
            </w:tcBorders>
            <w:shd w:val="clear" w:color="auto" w:fill="auto"/>
            <w:noWrap/>
            <w:vAlign w:val="center"/>
          </w:tcPr>
          <w:p w14:paraId="615A8F11" w14:textId="77777777" w:rsidR="00F731AC" w:rsidRPr="002D1654" w:rsidRDefault="00F731AC" w:rsidP="00CC768C">
            <w:pPr>
              <w:spacing w:after="0" w:line="240" w:lineRule="auto"/>
              <w:jc w:val="center"/>
              <w:rPr>
                <w:rFonts w:eastAsia="Times New Roman"/>
                <w:color w:val="auto"/>
                <w:lang w:eastAsia="en-SG"/>
              </w:rPr>
            </w:pPr>
            <w:r w:rsidRPr="002D1654">
              <w:rPr>
                <w:color w:val="auto"/>
              </w:rPr>
              <w:t xml:space="preserve">United Continental </w:t>
            </w:r>
            <w:r>
              <w:rPr>
                <w:color w:val="auto"/>
              </w:rPr>
              <w:t>Holdings</w:t>
            </w:r>
            <w:r w:rsidRPr="002D1654">
              <w:rPr>
                <w:color w:val="auto"/>
              </w:rPr>
              <w:t xml:space="preserve"> Inc</w:t>
            </w:r>
          </w:p>
        </w:tc>
        <w:tc>
          <w:tcPr>
            <w:tcW w:w="810" w:type="dxa"/>
            <w:tcBorders>
              <w:top w:val="single" w:sz="4" w:space="0" w:color="auto"/>
              <w:left w:val="nil"/>
              <w:bottom w:val="nil"/>
              <w:right w:val="single" w:sz="4" w:space="0" w:color="auto"/>
            </w:tcBorders>
            <w:shd w:val="clear" w:color="auto" w:fill="auto"/>
            <w:vAlign w:val="center"/>
          </w:tcPr>
          <w:p w14:paraId="6A2F6D8B" w14:textId="77777777" w:rsidR="00F731AC" w:rsidRPr="002D1654" w:rsidRDefault="00F731AC" w:rsidP="00CC768C">
            <w:pPr>
              <w:spacing w:after="0" w:line="240" w:lineRule="auto"/>
              <w:jc w:val="center"/>
              <w:rPr>
                <w:rFonts w:eastAsia="Times New Roman"/>
                <w:color w:val="auto"/>
                <w:lang w:eastAsia="en-SG"/>
              </w:rPr>
            </w:pPr>
            <w:r w:rsidRPr="002D1654">
              <w:rPr>
                <w:color w:val="auto"/>
              </w:rPr>
              <w:t>Airlines</w:t>
            </w:r>
          </w:p>
        </w:tc>
        <w:tc>
          <w:tcPr>
            <w:tcW w:w="270" w:type="dxa"/>
            <w:tcBorders>
              <w:top w:val="single" w:sz="4" w:space="0" w:color="auto"/>
              <w:left w:val="single" w:sz="4" w:space="0" w:color="auto"/>
              <w:bottom w:val="nil"/>
              <w:right w:val="nil"/>
            </w:tcBorders>
            <w:shd w:val="clear" w:color="auto" w:fill="auto"/>
            <w:vAlign w:val="center"/>
          </w:tcPr>
          <w:p w14:paraId="388A5CB1" w14:textId="77777777" w:rsidR="00F731AC" w:rsidRPr="002D1654" w:rsidRDefault="00F731AC" w:rsidP="00CC768C">
            <w:pPr>
              <w:spacing w:after="0" w:line="240" w:lineRule="auto"/>
              <w:jc w:val="center"/>
              <w:rPr>
                <w:rFonts w:eastAsia="Times New Roman"/>
                <w:color w:val="auto"/>
                <w:lang w:eastAsia="en-SG"/>
              </w:rPr>
            </w:pPr>
            <w:r w:rsidRPr="002D1654">
              <w:rPr>
                <w:color w:val="auto"/>
              </w:rPr>
              <w:t>6</w:t>
            </w:r>
          </w:p>
        </w:tc>
        <w:tc>
          <w:tcPr>
            <w:tcW w:w="900" w:type="dxa"/>
            <w:tcBorders>
              <w:top w:val="single" w:sz="4" w:space="0" w:color="auto"/>
              <w:left w:val="nil"/>
              <w:bottom w:val="nil"/>
              <w:right w:val="single" w:sz="4" w:space="0" w:color="auto"/>
            </w:tcBorders>
            <w:shd w:val="clear" w:color="auto" w:fill="auto"/>
            <w:vAlign w:val="center"/>
          </w:tcPr>
          <w:p w14:paraId="2F12BB0F" w14:textId="77777777" w:rsidR="00F731AC" w:rsidRPr="002D1654" w:rsidRDefault="00F731AC" w:rsidP="00CC768C">
            <w:pPr>
              <w:spacing w:after="0" w:line="240" w:lineRule="auto"/>
              <w:jc w:val="center"/>
              <w:rPr>
                <w:color w:val="auto"/>
              </w:rPr>
            </w:pPr>
            <w:r w:rsidRPr="002D1654">
              <w:rPr>
                <w:color w:val="auto"/>
              </w:rPr>
              <w:t>Continental</w:t>
            </w:r>
          </w:p>
        </w:tc>
        <w:tc>
          <w:tcPr>
            <w:tcW w:w="630" w:type="dxa"/>
            <w:tcBorders>
              <w:top w:val="single" w:sz="4" w:space="0" w:color="auto"/>
              <w:left w:val="single" w:sz="4" w:space="0" w:color="auto"/>
              <w:right w:val="single" w:sz="4" w:space="0" w:color="auto"/>
            </w:tcBorders>
            <w:shd w:val="clear" w:color="auto" w:fill="auto"/>
            <w:vAlign w:val="center"/>
          </w:tcPr>
          <w:p w14:paraId="7C9EF03C" w14:textId="77777777" w:rsidR="00F731AC" w:rsidRPr="002D1654" w:rsidRDefault="00F731AC" w:rsidP="00CC768C">
            <w:pPr>
              <w:spacing w:after="0" w:line="240" w:lineRule="auto"/>
              <w:jc w:val="center"/>
              <w:rPr>
                <w:color w:val="auto"/>
              </w:rPr>
            </w:pPr>
            <w:r w:rsidRPr="002D1654">
              <w:rPr>
                <w:color w:val="auto"/>
              </w:rPr>
              <w:t>71</w:t>
            </w:r>
          </w:p>
        </w:tc>
        <w:tc>
          <w:tcPr>
            <w:tcW w:w="530" w:type="dxa"/>
            <w:tcBorders>
              <w:top w:val="single" w:sz="4" w:space="0" w:color="auto"/>
              <w:left w:val="nil"/>
              <w:right w:val="nil"/>
            </w:tcBorders>
            <w:shd w:val="clear" w:color="auto" w:fill="auto"/>
            <w:vAlign w:val="center"/>
          </w:tcPr>
          <w:p w14:paraId="78731A11" w14:textId="77777777" w:rsidR="00F731AC" w:rsidRPr="003B24F4" w:rsidRDefault="00F731AC" w:rsidP="00CC768C">
            <w:pPr>
              <w:spacing w:after="0" w:line="240" w:lineRule="auto"/>
              <w:jc w:val="center"/>
              <w:rPr>
                <w:color w:val="auto"/>
                <w:sz w:val="16"/>
                <w:szCs w:val="16"/>
              </w:rPr>
            </w:pPr>
            <w:r w:rsidRPr="003B24F4">
              <w:rPr>
                <w:sz w:val="16"/>
                <w:szCs w:val="16"/>
              </w:rPr>
              <w:t>0.333</w:t>
            </w:r>
          </w:p>
        </w:tc>
        <w:tc>
          <w:tcPr>
            <w:tcW w:w="530" w:type="dxa"/>
            <w:tcBorders>
              <w:top w:val="single" w:sz="4" w:space="0" w:color="auto"/>
              <w:left w:val="nil"/>
              <w:right w:val="nil"/>
            </w:tcBorders>
            <w:shd w:val="clear" w:color="auto" w:fill="auto"/>
            <w:vAlign w:val="center"/>
          </w:tcPr>
          <w:p w14:paraId="72BBEA25" w14:textId="77777777" w:rsidR="00F731AC" w:rsidRPr="003B24F4" w:rsidRDefault="00F731AC" w:rsidP="00CC768C">
            <w:pPr>
              <w:spacing w:after="0" w:line="240" w:lineRule="auto"/>
              <w:jc w:val="center"/>
              <w:rPr>
                <w:color w:val="auto"/>
                <w:sz w:val="16"/>
                <w:szCs w:val="16"/>
              </w:rPr>
            </w:pPr>
            <w:r w:rsidRPr="003B24F4">
              <w:rPr>
                <w:sz w:val="16"/>
                <w:szCs w:val="16"/>
              </w:rPr>
              <w:t>1.303</w:t>
            </w:r>
          </w:p>
        </w:tc>
        <w:tc>
          <w:tcPr>
            <w:tcW w:w="530" w:type="dxa"/>
            <w:tcBorders>
              <w:top w:val="single" w:sz="4" w:space="0" w:color="auto"/>
              <w:left w:val="nil"/>
              <w:right w:val="nil"/>
            </w:tcBorders>
            <w:shd w:val="clear" w:color="auto" w:fill="auto"/>
            <w:vAlign w:val="center"/>
          </w:tcPr>
          <w:p w14:paraId="2E1283E8" w14:textId="77777777" w:rsidR="00F731AC" w:rsidRPr="003B24F4" w:rsidRDefault="00F731AC" w:rsidP="00CC768C">
            <w:pPr>
              <w:spacing w:after="0" w:line="240" w:lineRule="auto"/>
              <w:jc w:val="center"/>
              <w:rPr>
                <w:color w:val="auto"/>
                <w:sz w:val="16"/>
                <w:szCs w:val="16"/>
              </w:rPr>
            </w:pPr>
            <w:r w:rsidRPr="003B24F4">
              <w:rPr>
                <w:sz w:val="16"/>
                <w:szCs w:val="16"/>
              </w:rPr>
              <w:t>1.303</w:t>
            </w:r>
          </w:p>
        </w:tc>
        <w:tc>
          <w:tcPr>
            <w:tcW w:w="530" w:type="dxa"/>
            <w:tcBorders>
              <w:top w:val="single" w:sz="4" w:space="0" w:color="auto"/>
              <w:left w:val="nil"/>
              <w:right w:val="nil"/>
            </w:tcBorders>
            <w:shd w:val="clear" w:color="auto" w:fill="auto"/>
            <w:vAlign w:val="center"/>
          </w:tcPr>
          <w:p w14:paraId="175B1581" w14:textId="77777777" w:rsidR="00F731AC" w:rsidRPr="003B24F4" w:rsidRDefault="00F731AC" w:rsidP="00CC768C">
            <w:pPr>
              <w:spacing w:after="0" w:line="240" w:lineRule="auto"/>
              <w:jc w:val="center"/>
              <w:rPr>
                <w:color w:val="auto"/>
                <w:sz w:val="16"/>
                <w:szCs w:val="16"/>
              </w:rPr>
            </w:pPr>
            <w:r w:rsidRPr="003B24F4">
              <w:rPr>
                <w:sz w:val="16"/>
                <w:szCs w:val="16"/>
              </w:rPr>
              <w:t>28.120</w:t>
            </w:r>
          </w:p>
        </w:tc>
        <w:tc>
          <w:tcPr>
            <w:tcW w:w="530" w:type="dxa"/>
            <w:tcBorders>
              <w:top w:val="single" w:sz="4" w:space="0" w:color="auto"/>
              <w:left w:val="nil"/>
              <w:right w:val="nil"/>
            </w:tcBorders>
            <w:shd w:val="clear" w:color="auto" w:fill="auto"/>
            <w:vAlign w:val="center"/>
          </w:tcPr>
          <w:p w14:paraId="1C54AE83" w14:textId="77777777" w:rsidR="00F731AC" w:rsidRPr="003B24F4" w:rsidRDefault="00F731AC" w:rsidP="00CC768C">
            <w:pPr>
              <w:spacing w:after="0" w:line="240" w:lineRule="auto"/>
              <w:jc w:val="center"/>
              <w:rPr>
                <w:color w:val="auto"/>
                <w:sz w:val="16"/>
                <w:szCs w:val="16"/>
              </w:rPr>
            </w:pPr>
            <w:r w:rsidRPr="003B24F4">
              <w:rPr>
                <w:sz w:val="16"/>
                <w:szCs w:val="16"/>
              </w:rPr>
              <w:t>21.038</w:t>
            </w:r>
          </w:p>
        </w:tc>
        <w:tc>
          <w:tcPr>
            <w:tcW w:w="530" w:type="dxa"/>
            <w:tcBorders>
              <w:top w:val="single" w:sz="4" w:space="0" w:color="auto"/>
              <w:left w:val="nil"/>
              <w:right w:val="nil"/>
            </w:tcBorders>
            <w:shd w:val="clear" w:color="auto" w:fill="auto"/>
            <w:vAlign w:val="center"/>
          </w:tcPr>
          <w:p w14:paraId="77B7975A" w14:textId="77777777" w:rsidR="00F731AC" w:rsidRPr="003B24F4" w:rsidRDefault="00F731AC" w:rsidP="00CC768C">
            <w:pPr>
              <w:spacing w:after="0" w:line="240" w:lineRule="auto"/>
              <w:jc w:val="center"/>
              <w:rPr>
                <w:color w:val="auto"/>
                <w:sz w:val="16"/>
                <w:szCs w:val="16"/>
              </w:rPr>
            </w:pPr>
            <w:r w:rsidRPr="003B24F4">
              <w:rPr>
                <w:sz w:val="16"/>
                <w:szCs w:val="16"/>
              </w:rPr>
              <w:t>−</w:t>
            </w:r>
          </w:p>
        </w:tc>
        <w:tc>
          <w:tcPr>
            <w:tcW w:w="530" w:type="dxa"/>
            <w:tcBorders>
              <w:top w:val="single" w:sz="4" w:space="0" w:color="auto"/>
              <w:left w:val="nil"/>
              <w:right w:val="nil"/>
            </w:tcBorders>
            <w:shd w:val="clear" w:color="auto" w:fill="auto"/>
            <w:vAlign w:val="center"/>
          </w:tcPr>
          <w:p w14:paraId="593647A3" w14:textId="77777777" w:rsidR="00F731AC" w:rsidRPr="003B24F4" w:rsidRDefault="00F731AC" w:rsidP="00CC768C">
            <w:pPr>
              <w:spacing w:after="0" w:line="240" w:lineRule="auto"/>
              <w:jc w:val="center"/>
              <w:rPr>
                <w:color w:val="auto"/>
                <w:sz w:val="16"/>
                <w:szCs w:val="16"/>
              </w:rPr>
            </w:pPr>
            <w:r w:rsidRPr="003B24F4">
              <w:rPr>
                <w:sz w:val="16"/>
                <w:szCs w:val="16"/>
              </w:rPr>
              <w:t>−</w:t>
            </w:r>
          </w:p>
        </w:tc>
        <w:tc>
          <w:tcPr>
            <w:tcW w:w="530" w:type="dxa"/>
            <w:tcBorders>
              <w:top w:val="single" w:sz="4" w:space="0" w:color="auto"/>
              <w:left w:val="nil"/>
              <w:right w:val="nil"/>
            </w:tcBorders>
            <w:shd w:val="clear" w:color="auto" w:fill="auto"/>
            <w:vAlign w:val="center"/>
          </w:tcPr>
          <w:p w14:paraId="12672071" w14:textId="77777777" w:rsidR="00F731AC" w:rsidRPr="003B24F4" w:rsidRDefault="00F731AC" w:rsidP="00CC768C">
            <w:pPr>
              <w:spacing w:after="0" w:line="240" w:lineRule="auto"/>
              <w:jc w:val="center"/>
              <w:rPr>
                <w:color w:val="auto"/>
                <w:sz w:val="16"/>
                <w:szCs w:val="16"/>
              </w:rPr>
            </w:pPr>
            <w:r w:rsidRPr="003B24F4">
              <w:rPr>
                <w:sz w:val="16"/>
                <w:szCs w:val="16"/>
              </w:rPr>
              <w:t>24.262</w:t>
            </w:r>
          </w:p>
        </w:tc>
        <w:tc>
          <w:tcPr>
            <w:tcW w:w="530" w:type="dxa"/>
            <w:tcBorders>
              <w:top w:val="single" w:sz="4" w:space="0" w:color="auto"/>
              <w:left w:val="nil"/>
              <w:right w:val="nil"/>
            </w:tcBorders>
            <w:shd w:val="clear" w:color="auto" w:fill="auto"/>
            <w:vAlign w:val="center"/>
          </w:tcPr>
          <w:p w14:paraId="19545BEE" w14:textId="77777777" w:rsidR="00F731AC" w:rsidRPr="003B24F4" w:rsidRDefault="00F731AC" w:rsidP="00CC768C">
            <w:pPr>
              <w:spacing w:after="0" w:line="240" w:lineRule="auto"/>
              <w:jc w:val="center"/>
              <w:rPr>
                <w:color w:val="auto"/>
                <w:sz w:val="16"/>
                <w:szCs w:val="16"/>
              </w:rPr>
            </w:pPr>
            <w:r w:rsidRPr="003B24F4">
              <w:rPr>
                <w:sz w:val="16"/>
                <w:szCs w:val="16"/>
              </w:rPr>
              <w:t>33.019</w:t>
            </w:r>
          </w:p>
        </w:tc>
        <w:tc>
          <w:tcPr>
            <w:tcW w:w="480" w:type="dxa"/>
            <w:tcBorders>
              <w:top w:val="single" w:sz="4" w:space="0" w:color="auto"/>
              <w:left w:val="single" w:sz="4" w:space="0" w:color="auto"/>
              <w:right w:val="nil"/>
            </w:tcBorders>
            <w:shd w:val="clear" w:color="auto" w:fill="auto"/>
            <w:vAlign w:val="center"/>
          </w:tcPr>
          <w:p w14:paraId="54577ADF"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0.997</w:t>
            </w:r>
          </w:p>
        </w:tc>
        <w:tc>
          <w:tcPr>
            <w:tcW w:w="480" w:type="dxa"/>
            <w:tcBorders>
              <w:top w:val="single" w:sz="4" w:space="0" w:color="auto"/>
              <w:left w:val="nil"/>
              <w:right w:val="nil"/>
            </w:tcBorders>
            <w:shd w:val="clear" w:color="auto" w:fill="auto"/>
            <w:vAlign w:val="center"/>
          </w:tcPr>
          <w:p w14:paraId="3B11ACCE"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0.988</w:t>
            </w:r>
          </w:p>
        </w:tc>
        <w:tc>
          <w:tcPr>
            <w:tcW w:w="480" w:type="dxa"/>
            <w:tcBorders>
              <w:top w:val="single" w:sz="4" w:space="0" w:color="auto"/>
              <w:left w:val="nil"/>
              <w:right w:val="nil"/>
            </w:tcBorders>
            <w:shd w:val="clear" w:color="auto" w:fill="auto"/>
            <w:vAlign w:val="center"/>
          </w:tcPr>
          <w:p w14:paraId="301F34FA"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0.988</w:t>
            </w:r>
          </w:p>
        </w:tc>
        <w:tc>
          <w:tcPr>
            <w:tcW w:w="480" w:type="dxa"/>
            <w:tcBorders>
              <w:top w:val="single" w:sz="4" w:space="0" w:color="auto"/>
              <w:left w:val="nil"/>
              <w:right w:val="nil"/>
            </w:tcBorders>
            <w:shd w:val="clear" w:color="auto" w:fill="auto"/>
            <w:vAlign w:val="center"/>
          </w:tcPr>
          <w:p w14:paraId="38402201"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0.743</w:t>
            </w:r>
          </w:p>
        </w:tc>
        <w:tc>
          <w:tcPr>
            <w:tcW w:w="480" w:type="dxa"/>
            <w:tcBorders>
              <w:top w:val="single" w:sz="4" w:space="0" w:color="auto"/>
              <w:left w:val="nil"/>
              <w:right w:val="nil"/>
            </w:tcBorders>
            <w:shd w:val="clear" w:color="auto" w:fill="auto"/>
            <w:vAlign w:val="center"/>
          </w:tcPr>
          <w:p w14:paraId="0F654946"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0.808</w:t>
            </w:r>
          </w:p>
        </w:tc>
        <w:tc>
          <w:tcPr>
            <w:tcW w:w="480" w:type="dxa"/>
            <w:tcBorders>
              <w:top w:val="single" w:sz="4" w:space="0" w:color="auto"/>
              <w:left w:val="nil"/>
              <w:right w:val="nil"/>
            </w:tcBorders>
            <w:shd w:val="clear" w:color="auto" w:fill="auto"/>
            <w:vAlign w:val="center"/>
          </w:tcPr>
          <w:p w14:paraId="3BB8ABCA"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w:t>
            </w:r>
          </w:p>
        </w:tc>
        <w:tc>
          <w:tcPr>
            <w:tcW w:w="480" w:type="dxa"/>
            <w:tcBorders>
              <w:top w:val="single" w:sz="4" w:space="0" w:color="auto"/>
              <w:left w:val="nil"/>
              <w:right w:val="nil"/>
            </w:tcBorders>
            <w:shd w:val="clear" w:color="auto" w:fill="auto"/>
            <w:vAlign w:val="center"/>
          </w:tcPr>
          <w:p w14:paraId="36A3486A"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w:t>
            </w:r>
          </w:p>
        </w:tc>
        <w:tc>
          <w:tcPr>
            <w:tcW w:w="480" w:type="dxa"/>
            <w:tcBorders>
              <w:top w:val="single" w:sz="4" w:space="0" w:color="auto"/>
              <w:left w:val="nil"/>
              <w:right w:val="nil"/>
            </w:tcBorders>
            <w:shd w:val="clear" w:color="auto" w:fill="auto"/>
            <w:vAlign w:val="center"/>
          </w:tcPr>
          <w:p w14:paraId="311DD0CB"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0.778</w:t>
            </w:r>
          </w:p>
        </w:tc>
        <w:tc>
          <w:tcPr>
            <w:tcW w:w="480" w:type="dxa"/>
            <w:tcBorders>
              <w:top w:val="single" w:sz="4" w:space="0" w:color="auto"/>
              <w:left w:val="nil"/>
              <w:right w:val="single" w:sz="4" w:space="0" w:color="auto"/>
            </w:tcBorders>
            <w:shd w:val="clear" w:color="000000" w:fill="FFFFFF"/>
            <w:vAlign w:val="center"/>
          </w:tcPr>
          <w:p w14:paraId="5FDFBDC2"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0.698</w:t>
            </w:r>
          </w:p>
        </w:tc>
        <w:tc>
          <w:tcPr>
            <w:tcW w:w="630" w:type="dxa"/>
            <w:tcBorders>
              <w:top w:val="single" w:sz="4" w:space="0" w:color="auto"/>
              <w:left w:val="single" w:sz="4" w:space="0" w:color="auto"/>
              <w:bottom w:val="nil"/>
              <w:right w:val="nil"/>
            </w:tcBorders>
            <w:shd w:val="clear" w:color="auto" w:fill="auto"/>
            <w:vAlign w:val="center"/>
          </w:tcPr>
          <w:p w14:paraId="257F964B" w14:textId="77777777" w:rsidR="00F731AC" w:rsidRPr="002D1654" w:rsidRDefault="00F731AC" w:rsidP="00CC768C">
            <w:pPr>
              <w:spacing w:after="0" w:line="240" w:lineRule="auto"/>
              <w:jc w:val="center"/>
              <w:rPr>
                <w:rFonts w:eastAsia="Times New Roman"/>
                <w:color w:val="auto"/>
                <w:lang w:eastAsia="en-SG"/>
              </w:rPr>
            </w:pPr>
            <w:r w:rsidRPr="00001962">
              <w:t>69.732</w:t>
            </w:r>
          </w:p>
        </w:tc>
        <w:tc>
          <w:tcPr>
            <w:tcW w:w="630" w:type="dxa"/>
            <w:vMerge w:val="restart"/>
            <w:tcBorders>
              <w:top w:val="single" w:sz="4" w:space="0" w:color="auto"/>
              <w:left w:val="nil"/>
              <w:right w:val="nil"/>
            </w:tcBorders>
            <w:shd w:val="clear" w:color="auto" w:fill="auto"/>
            <w:vAlign w:val="center"/>
          </w:tcPr>
          <w:p w14:paraId="2AB5746B" w14:textId="77777777" w:rsidR="00F731AC" w:rsidRPr="002D1654" w:rsidRDefault="00F731AC" w:rsidP="00CC768C">
            <w:pPr>
              <w:spacing w:after="0" w:line="240" w:lineRule="auto"/>
              <w:jc w:val="center"/>
              <w:rPr>
                <w:rFonts w:eastAsia="Times New Roman"/>
                <w:color w:val="auto"/>
                <w:lang w:eastAsia="en-SG"/>
              </w:rPr>
            </w:pPr>
            <w:r w:rsidRPr="003A1723">
              <w:t>69.732</w:t>
            </w:r>
          </w:p>
          <w:p w14:paraId="0E3FF70E" w14:textId="77777777" w:rsidR="00F731AC" w:rsidRPr="002D1654" w:rsidRDefault="00F731AC" w:rsidP="00CC768C">
            <w:pPr>
              <w:spacing w:after="0" w:line="240" w:lineRule="auto"/>
              <w:jc w:val="center"/>
              <w:rPr>
                <w:rFonts w:eastAsia="Times New Roman"/>
                <w:color w:val="auto"/>
                <w:lang w:eastAsia="en-SG"/>
              </w:rPr>
            </w:pPr>
          </w:p>
        </w:tc>
      </w:tr>
      <w:tr w:rsidR="00F731AC" w:rsidRPr="002D1654" w14:paraId="13C3756F" w14:textId="77777777" w:rsidTr="00CC768C">
        <w:trPr>
          <w:trHeight w:val="586"/>
          <w:jc w:val="center"/>
        </w:trPr>
        <w:tc>
          <w:tcPr>
            <w:tcW w:w="990" w:type="dxa"/>
            <w:vMerge/>
            <w:tcBorders>
              <w:top w:val="nil"/>
              <w:left w:val="nil"/>
              <w:bottom w:val="single" w:sz="4" w:space="0" w:color="auto"/>
              <w:right w:val="nil"/>
            </w:tcBorders>
            <w:noWrap/>
            <w:vAlign w:val="center"/>
          </w:tcPr>
          <w:p w14:paraId="535BBC9F" w14:textId="77777777" w:rsidR="00F731AC" w:rsidRPr="002D1654" w:rsidRDefault="00F731AC" w:rsidP="00CC768C">
            <w:pPr>
              <w:spacing w:after="0" w:line="240" w:lineRule="auto"/>
              <w:jc w:val="center"/>
              <w:rPr>
                <w:rFonts w:eastAsia="Times New Roman"/>
                <w:color w:val="auto"/>
                <w:lang w:eastAsia="en-SG"/>
              </w:rPr>
            </w:pPr>
          </w:p>
        </w:tc>
        <w:tc>
          <w:tcPr>
            <w:tcW w:w="810" w:type="dxa"/>
            <w:tcBorders>
              <w:top w:val="nil"/>
              <w:left w:val="nil"/>
              <w:bottom w:val="single" w:sz="4" w:space="0" w:color="auto"/>
              <w:right w:val="single" w:sz="4" w:space="0" w:color="auto"/>
            </w:tcBorders>
            <w:shd w:val="clear" w:color="auto" w:fill="auto"/>
            <w:vAlign w:val="center"/>
          </w:tcPr>
          <w:p w14:paraId="016012C8" w14:textId="77777777" w:rsidR="00F731AC" w:rsidRPr="002D1654" w:rsidRDefault="00F731AC" w:rsidP="00CC768C">
            <w:pPr>
              <w:spacing w:after="0" w:line="240" w:lineRule="auto"/>
              <w:jc w:val="center"/>
              <w:rPr>
                <w:rFonts w:eastAsia="Times New Roman"/>
                <w:color w:val="auto"/>
                <w:lang w:eastAsia="en-SG"/>
              </w:rPr>
            </w:pPr>
            <w:r w:rsidRPr="002D1654">
              <w:rPr>
                <w:color w:val="auto"/>
              </w:rPr>
              <w:t>Airlines</w:t>
            </w:r>
          </w:p>
        </w:tc>
        <w:tc>
          <w:tcPr>
            <w:tcW w:w="270" w:type="dxa"/>
            <w:tcBorders>
              <w:top w:val="nil"/>
              <w:left w:val="single" w:sz="4" w:space="0" w:color="auto"/>
              <w:bottom w:val="single" w:sz="4" w:space="0" w:color="auto"/>
              <w:right w:val="nil"/>
            </w:tcBorders>
            <w:shd w:val="clear" w:color="auto" w:fill="auto"/>
            <w:vAlign w:val="center"/>
          </w:tcPr>
          <w:p w14:paraId="5DBD2F2A" w14:textId="77777777" w:rsidR="00F731AC" w:rsidRPr="002D1654" w:rsidRDefault="00F731AC" w:rsidP="00CC768C">
            <w:pPr>
              <w:spacing w:after="0" w:line="240" w:lineRule="auto"/>
              <w:jc w:val="center"/>
              <w:rPr>
                <w:rFonts w:eastAsia="Times New Roman"/>
                <w:color w:val="auto"/>
                <w:lang w:eastAsia="en-SG"/>
              </w:rPr>
            </w:pPr>
            <w:r w:rsidRPr="002D1654">
              <w:rPr>
                <w:color w:val="auto"/>
              </w:rPr>
              <w:t>7</w:t>
            </w:r>
          </w:p>
        </w:tc>
        <w:tc>
          <w:tcPr>
            <w:tcW w:w="900" w:type="dxa"/>
            <w:tcBorders>
              <w:top w:val="nil"/>
              <w:left w:val="nil"/>
              <w:bottom w:val="single" w:sz="4" w:space="0" w:color="auto"/>
              <w:right w:val="single" w:sz="4" w:space="0" w:color="auto"/>
            </w:tcBorders>
            <w:shd w:val="clear" w:color="auto" w:fill="auto"/>
            <w:vAlign w:val="center"/>
          </w:tcPr>
          <w:p w14:paraId="3DC7340D" w14:textId="77777777" w:rsidR="00F731AC" w:rsidRPr="002D1654" w:rsidRDefault="00F731AC" w:rsidP="00CC768C">
            <w:pPr>
              <w:spacing w:after="0" w:line="240" w:lineRule="auto"/>
              <w:jc w:val="center"/>
              <w:rPr>
                <w:color w:val="auto"/>
              </w:rPr>
            </w:pPr>
            <w:r w:rsidRPr="002D1654">
              <w:rPr>
                <w:color w:val="auto"/>
              </w:rPr>
              <w:t>United</w:t>
            </w:r>
          </w:p>
        </w:tc>
        <w:tc>
          <w:tcPr>
            <w:tcW w:w="630" w:type="dxa"/>
            <w:tcBorders>
              <w:top w:val="nil"/>
              <w:left w:val="single" w:sz="4" w:space="0" w:color="auto"/>
              <w:bottom w:val="single" w:sz="4" w:space="0" w:color="auto"/>
              <w:right w:val="single" w:sz="4" w:space="0" w:color="auto"/>
            </w:tcBorders>
            <w:shd w:val="clear" w:color="auto" w:fill="auto"/>
            <w:vAlign w:val="center"/>
          </w:tcPr>
          <w:p w14:paraId="1E24BB34" w14:textId="77777777" w:rsidR="00F731AC" w:rsidRPr="002D1654" w:rsidRDefault="00F731AC" w:rsidP="00CC768C">
            <w:pPr>
              <w:spacing w:after="0" w:line="240" w:lineRule="auto"/>
              <w:jc w:val="center"/>
              <w:rPr>
                <w:color w:val="auto"/>
              </w:rPr>
            </w:pPr>
            <w:r w:rsidRPr="002D1654">
              <w:rPr>
                <w:color w:val="auto"/>
              </w:rPr>
              <w:t>60</w:t>
            </w:r>
          </w:p>
        </w:tc>
        <w:tc>
          <w:tcPr>
            <w:tcW w:w="530" w:type="dxa"/>
            <w:tcBorders>
              <w:top w:val="nil"/>
              <w:left w:val="nil"/>
              <w:bottom w:val="single" w:sz="4" w:space="0" w:color="auto"/>
              <w:right w:val="nil"/>
            </w:tcBorders>
            <w:shd w:val="clear" w:color="auto" w:fill="auto"/>
            <w:vAlign w:val="center"/>
          </w:tcPr>
          <w:p w14:paraId="022E83A0" w14:textId="77777777" w:rsidR="00F731AC" w:rsidRPr="003B24F4" w:rsidRDefault="00F731AC" w:rsidP="00CC768C">
            <w:pPr>
              <w:spacing w:after="0" w:line="240" w:lineRule="auto"/>
              <w:jc w:val="center"/>
              <w:rPr>
                <w:color w:val="auto"/>
                <w:sz w:val="16"/>
                <w:szCs w:val="16"/>
              </w:rPr>
            </w:pPr>
            <w:r w:rsidRPr="003B24F4">
              <w:rPr>
                <w:sz w:val="16"/>
                <w:szCs w:val="16"/>
              </w:rPr>
              <w:t>0.333</w:t>
            </w:r>
          </w:p>
        </w:tc>
        <w:tc>
          <w:tcPr>
            <w:tcW w:w="530" w:type="dxa"/>
            <w:tcBorders>
              <w:top w:val="nil"/>
              <w:left w:val="nil"/>
              <w:bottom w:val="single" w:sz="4" w:space="0" w:color="auto"/>
              <w:right w:val="nil"/>
            </w:tcBorders>
            <w:shd w:val="clear" w:color="auto" w:fill="auto"/>
            <w:vAlign w:val="center"/>
          </w:tcPr>
          <w:p w14:paraId="4D7C3A69" w14:textId="77777777" w:rsidR="00F731AC" w:rsidRPr="003B24F4" w:rsidRDefault="00F731AC" w:rsidP="00CC768C">
            <w:pPr>
              <w:spacing w:after="0" w:line="240" w:lineRule="auto"/>
              <w:jc w:val="center"/>
              <w:rPr>
                <w:color w:val="auto"/>
                <w:sz w:val="16"/>
                <w:szCs w:val="16"/>
              </w:rPr>
            </w:pPr>
            <w:r w:rsidRPr="003B24F4">
              <w:rPr>
                <w:sz w:val="16"/>
                <w:szCs w:val="16"/>
              </w:rPr>
              <w:t>1.303</w:t>
            </w:r>
          </w:p>
        </w:tc>
        <w:tc>
          <w:tcPr>
            <w:tcW w:w="530" w:type="dxa"/>
            <w:tcBorders>
              <w:top w:val="nil"/>
              <w:left w:val="nil"/>
              <w:bottom w:val="single" w:sz="4" w:space="0" w:color="auto"/>
              <w:right w:val="nil"/>
            </w:tcBorders>
            <w:shd w:val="clear" w:color="auto" w:fill="auto"/>
            <w:vAlign w:val="center"/>
          </w:tcPr>
          <w:p w14:paraId="31D9AB36" w14:textId="77777777" w:rsidR="00F731AC" w:rsidRPr="003B24F4" w:rsidRDefault="00F731AC" w:rsidP="00CC768C">
            <w:pPr>
              <w:spacing w:after="0" w:line="240" w:lineRule="auto"/>
              <w:jc w:val="center"/>
              <w:rPr>
                <w:color w:val="auto"/>
                <w:sz w:val="16"/>
                <w:szCs w:val="16"/>
              </w:rPr>
            </w:pPr>
            <w:r w:rsidRPr="003B24F4">
              <w:rPr>
                <w:sz w:val="16"/>
                <w:szCs w:val="16"/>
              </w:rPr>
              <w:t>1.303</w:t>
            </w:r>
          </w:p>
        </w:tc>
        <w:tc>
          <w:tcPr>
            <w:tcW w:w="530" w:type="dxa"/>
            <w:tcBorders>
              <w:top w:val="nil"/>
              <w:left w:val="nil"/>
              <w:bottom w:val="single" w:sz="4" w:space="0" w:color="auto"/>
              <w:right w:val="nil"/>
            </w:tcBorders>
            <w:shd w:val="clear" w:color="auto" w:fill="auto"/>
            <w:vAlign w:val="center"/>
          </w:tcPr>
          <w:p w14:paraId="0689F1AA" w14:textId="77777777" w:rsidR="00F731AC" w:rsidRPr="003B24F4" w:rsidRDefault="00F731AC" w:rsidP="00CC768C">
            <w:pPr>
              <w:spacing w:after="0" w:line="240" w:lineRule="auto"/>
              <w:jc w:val="center"/>
              <w:rPr>
                <w:color w:val="auto"/>
                <w:sz w:val="16"/>
                <w:szCs w:val="16"/>
              </w:rPr>
            </w:pPr>
            <w:r w:rsidRPr="003B24F4">
              <w:rPr>
                <w:sz w:val="16"/>
                <w:szCs w:val="16"/>
              </w:rPr>
              <w:t>28.120</w:t>
            </w:r>
          </w:p>
        </w:tc>
        <w:tc>
          <w:tcPr>
            <w:tcW w:w="530" w:type="dxa"/>
            <w:tcBorders>
              <w:top w:val="nil"/>
              <w:left w:val="nil"/>
              <w:bottom w:val="single" w:sz="4" w:space="0" w:color="auto"/>
              <w:right w:val="nil"/>
            </w:tcBorders>
            <w:shd w:val="clear" w:color="auto" w:fill="auto"/>
            <w:vAlign w:val="center"/>
          </w:tcPr>
          <w:p w14:paraId="7508BF53" w14:textId="77777777" w:rsidR="00F731AC" w:rsidRPr="003B24F4" w:rsidRDefault="00F731AC" w:rsidP="00CC768C">
            <w:pPr>
              <w:spacing w:after="0" w:line="240" w:lineRule="auto"/>
              <w:jc w:val="center"/>
              <w:rPr>
                <w:color w:val="auto"/>
                <w:sz w:val="16"/>
                <w:szCs w:val="16"/>
              </w:rPr>
            </w:pPr>
            <w:r w:rsidRPr="003B24F4">
              <w:rPr>
                <w:sz w:val="16"/>
                <w:szCs w:val="16"/>
              </w:rPr>
              <w:t>21.038</w:t>
            </w:r>
          </w:p>
        </w:tc>
        <w:tc>
          <w:tcPr>
            <w:tcW w:w="530" w:type="dxa"/>
            <w:tcBorders>
              <w:top w:val="nil"/>
              <w:left w:val="nil"/>
              <w:bottom w:val="single" w:sz="4" w:space="0" w:color="auto"/>
              <w:right w:val="nil"/>
            </w:tcBorders>
            <w:shd w:val="clear" w:color="auto" w:fill="auto"/>
            <w:vAlign w:val="center"/>
          </w:tcPr>
          <w:p w14:paraId="6BA0D8AC" w14:textId="77777777" w:rsidR="00F731AC" w:rsidRPr="003B24F4" w:rsidRDefault="00F731AC" w:rsidP="00CC768C">
            <w:pPr>
              <w:spacing w:after="0" w:line="240" w:lineRule="auto"/>
              <w:jc w:val="center"/>
              <w:rPr>
                <w:color w:val="auto"/>
                <w:sz w:val="16"/>
                <w:szCs w:val="16"/>
              </w:rPr>
            </w:pPr>
            <w:r w:rsidRPr="003B24F4">
              <w:rPr>
                <w:sz w:val="16"/>
                <w:szCs w:val="16"/>
              </w:rPr>
              <w:t>−</w:t>
            </w:r>
          </w:p>
        </w:tc>
        <w:tc>
          <w:tcPr>
            <w:tcW w:w="530" w:type="dxa"/>
            <w:tcBorders>
              <w:top w:val="nil"/>
              <w:left w:val="nil"/>
              <w:bottom w:val="single" w:sz="4" w:space="0" w:color="auto"/>
              <w:right w:val="nil"/>
            </w:tcBorders>
            <w:shd w:val="clear" w:color="auto" w:fill="auto"/>
            <w:vAlign w:val="center"/>
          </w:tcPr>
          <w:p w14:paraId="14A532B3" w14:textId="77777777" w:rsidR="00F731AC" w:rsidRPr="003B24F4" w:rsidRDefault="00F731AC" w:rsidP="00CC768C">
            <w:pPr>
              <w:spacing w:after="0" w:line="240" w:lineRule="auto"/>
              <w:jc w:val="center"/>
              <w:rPr>
                <w:color w:val="auto"/>
                <w:sz w:val="16"/>
                <w:szCs w:val="16"/>
              </w:rPr>
            </w:pPr>
            <w:r w:rsidRPr="003B24F4">
              <w:rPr>
                <w:sz w:val="16"/>
                <w:szCs w:val="16"/>
              </w:rPr>
              <w:t>−</w:t>
            </w:r>
          </w:p>
        </w:tc>
        <w:tc>
          <w:tcPr>
            <w:tcW w:w="530" w:type="dxa"/>
            <w:tcBorders>
              <w:top w:val="nil"/>
              <w:left w:val="nil"/>
              <w:bottom w:val="single" w:sz="4" w:space="0" w:color="auto"/>
              <w:right w:val="nil"/>
            </w:tcBorders>
            <w:shd w:val="clear" w:color="auto" w:fill="auto"/>
            <w:vAlign w:val="center"/>
          </w:tcPr>
          <w:p w14:paraId="2096CC61" w14:textId="77777777" w:rsidR="00F731AC" w:rsidRPr="003B24F4" w:rsidRDefault="00F731AC" w:rsidP="00CC768C">
            <w:pPr>
              <w:spacing w:after="0" w:line="240" w:lineRule="auto"/>
              <w:jc w:val="center"/>
              <w:rPr>
                <w:color w:val="auto"/>
                <w:sz w:val="16"/>
                <w:szCs w:val="16"/>
              </w:rPr>
            </w:pPr>
            <w:r w:rsidRPr="003B24F4">
              <w:rPr>
                <w:sz w:val="16"/>
                <w:szCs w:val="16"/>
              </w:rPr>
              <w:t>24.262</w:t>
            </w:r>
          </w:p>
        </w:tc>
        <w:tc>
          <w:tcPr>
            <w:tcW w:w="530" w:type="dxa"/>
            <w:tcBorders>
              <w:top w:val="nil"/>
              <w:left w:val="nil"/>
              <w:bottom w:val="single" w:sz="4" w:space="0" w:color="auto"/>
              <w:right w:val="nil"/>
            </w:tcBorders>
            <w:shd w:val="clear" w:color="auto" w:fill="auto"/>
            <w:vAlign w:val="center"/>
          </w:tcPr>
          <w:p w14:paraId="542B666D" w14:textId="77777777" w:rsidR="00F731AC" w:rsidRPr="003B24F4" w:rsidRDefault="00F731AC" w:rsidP="00CC768C">
            <w:pPr>
              <w:spacing w:after="0" w:line="240" w:lineRule="auto"/>
              <w:jc w:val="center"/>
              <w:rPr>
                <w:color w:val="auto"/>
                <w:sz w:val="16"/>
                <w:szCs w:val="16"/>
              </w:rPr>
            </w:pPr>
            <w:r w:rsidRPr="003B24F4">
              <w:rPr>
                <w:sz w:val="16"/>
                <w:szCs w:val="16"/>
              </w:rPr>
              <w:t>33.019</w:t>
            </w:r>
          </w:p>
        </w:tc>
        <w:tc>
          <w:tcPr>
            <w:tcW w:w="480" w:type="dxa"/>
            <w:tcBorders>
              <w:top w:val="nil"/>
              <w:left w:val="single" w:sz="4" w:space="0" w:color="auto"/>
              <w:bottom w:val="single" w:sz="4" w:space="0" w:color="auto"/>
              <w:right w:val="nil"/>
            </w:tcBorders>
            <w:shd w:val="clear" w:color="auto" w:fill="auto"/>
            <w:vAlign w:val="center"/>
          </w:tcPr>
          <w:p w14:paraId="20053E7D"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0.997</w:t>
            </w:r>
          </w:p>
        </w:tc>
        <w:tc>
          <w:tcPr>
            <w:tcW w:w="480" w:type="dxa"/>
            <w:tcBorders>
              <w:top w:val="nil"/>
              <w:left w:val="nil"/>
              <w:bottom w:val="single" w:sz="4" w:space="0" w:color="auto"/>
              <w:right w:val="nil"/>
            </w:tcBorders>
            <w:shd w:val="clear" w:color="auto" w:fill="auto"/>
            <w:vAlign w:val="center"/>
          </w:tcPr>
          <w:p w14:paraId="043B018E"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0.988</w:t>
            </w:r>
          </w:p>
        </w:tc>
        <w:tc>
          <w:tcPr>
            <w:tcW w:w="480" w:type="dxa"/>
            <w:tcBorders>
              <w:top w:val="nil"/>
              <w:left w:val="nil"/>
              <w:bottom w:val="single" w:sz="4" w:space="0" w:color="auto"/>
              <w:right w:val="nil"/>
            </w:tcBorders>
            <w:shd w:val="clear" w:color="auto" w:fill="auto"/>
            <w:vAlign w:val="center"/>
          </w:tcPr>
          <w:p w14:paraId="66B74447"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0.988</w:t>
            </w:r>
          </w:p>
        </w:tc>
        <w:tc>
          <w:tcPr>
            <w:tcW w:w="480" w:type="dxa"/>
            <w:tcBorders>
              <w:top w:val="nil"/>
              <w:left w:val="nil"/>
              <w:bottom w:val="single" w:sz="4" w:space="0" w:color="auto"/>
              <w:right w:val="nil"/>
            </w:tcBorders>
            <w:shd w:val="clear" w:color="auto" w:fill="auto"/>
            <w:vAlign w:val="center"/>
          </w:tcPr>
          <w:p w14:paraId="1FC351A1"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0.743</w:t>
            </w:r>
          </w:p>
        </w:tc>
        <w:tc>
          <w:tcPr>
            <w:tcW w:w="480" w:type="dxa"/>
            <w:tcBorders>
              <w:top w:val="nil"/>
              <w:left w:val="nil"/>
              <w:bottom w:val="single" w:sz="4" w:space="0" w:color="auto"/>
              <w:right w:val="nil"/>
            </w:tcBorders>
            <w:shd w:val="clear" w:color="auto" w:fill="auto"/>
            <w:vAlign w:val="center"/>
          </w:tcPr>
          <w:p w14:paraId="231F4E4E"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0.808</w:t>
            </w:r>
          </w:p>
        </w:tc>
        <w:tc>
          <w:tcPr>
            <w:tcW w:w="480" w:type="dxa"/>
            <w:tcBorders>
              <w:top w:val="nil"/>
              <w:left w:val="nil"/>
              <w:bottom w:val="single" w:sz="4" w:space="0" w:color="auto"/>
              <w:right w:val="nil"/>
            </w:tcBorders>
            <w:shd w:val="clear" w:color="auto" w:fill="auto"/>
            <w:vAlign w:val="center"/>
          </w:tcPr>
          <w:p w14:paraId="030BBE63"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w:t>
            </w:r>
          </w:p>
        </w:tc>
        <w:tc>
          <w:tcPr>
            <w:tcW w:w="480" w:type="dxa"/>
            <w:tcBorders>
              <w:top w:val="nil"/>
              <w:left w:val="nil"/>
              <w:bottom w:val="single" w:sz="4" w:space="0" w:color="auto"/>
              <w:right w:val="nil"/>
            </w:tcBorders>
            <w:shd w:val="clear" w:color="auto" w:fill="auto"/>
            <w:vAlign w:val="center"/>
          </w:tcPr>
          <w:p w14:paraId="74938A58"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w:t>
            </w:r>
          </w:p>
        </w:tc>
        <w:tc>
          <w:tcPr>
            <w:tcW w:w="480" w:type="dxa"/>
            <w:tcBorders>
              <w:top w:val="nil"/>
              <w:left w:val="nil"/>
              <w:bottom w:val="single" w:sz="4" w:space="0" w:color="auto"/>
              <w:right w:val="nil"/>
            </w:tcBorders>
            <w:shd w:val="clear" w:color="auto" w:fill="auto"/>
            <w:vAlign w:val="center"/>
          </w:tcPr>
          <w:p w14:paraId="5B2F3C85"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0.778</w:t>
            </w:r>
          </w:p>
        </w:tc>
        <w:tc>
          <w:tcPr>
            <w:tcW w:w="480" w:type="dxa"/>
            <w:tcBorders>
              <w:left w:val="nil"/>
              <w:bottom w:val="single" w:sz="4" w:space="0" w:color="auto"/>
              <w:right w:val="single" w:sz="4" w:space="0" w:color="auto"/>
            </w:tcBorders>
            <w:shd w:val="clear" w:color="000000" w:fill="FFFFFF"/>
            <w:vAlign w:val="center"/>
          </w:tcPr>
          <w:p w14:paraId="3E31901C"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0.698</w:t>
            </w:r>
          </w:p>
        </w:tc>
        <w:tc>
          <w:tcPr>
            <w:tcW w:w="630" w:type="dxa"/>
            <w:tcBorders>
              <w:top w:val="nil"/>
              <w:left w:val="single" w:sz="4" w:space="0" w:color="auto"/>
              <w:bottom w:val="single" w:sz="4" w:space="0" w:color="auto"/>
              <w:right w:val="nil"/>
            </w:tcBorders>
            <w:shd w:val="clear" w:color="auto" w:fill="auto"/>
            <w:vAlign w:val="center"/>
          </w:tcPr>
          <w:p w14:paraId="0E725B31" w14:textId="77777777" w:rsidR="00F731AC" w:rsidRPr="002D1654" w:rsidRDefault="00F731AC" w:rsidP="00CC768C">
            <w:pPr>
              <w:spacing w:after="0" w:line="240" w:lineRule="auto"/>
              <w:jc w:val="center"/>
              <w:rPr>
                <w:rFonts w:eastAsia="Times New Roman"/>
                <w:color w:val="auto"/>
                <w:lang w:eastAsia="en-SG"/>
              </w:rPr>
            </w:pPr>
            <w:r w:rsidRPr="00001962">
              <w:t>69.732</w:t>
            </w:r>
          </w:p>
        </w:tc>
        <w:tc>
          <w:tcPr>
            <w:tcW w:w="630" w:type="dxa"/>
            <w:vMerge/>
            <w:tcBorders>
              <w:left w:val="nil"/>
              <w:bottom w:val="single" w:sz="4" w:space="0" w:color="auto"/>
              <w:right w:val="nil"/>
            </w:tcBorders>
            <w:shd w:val="clear" w:color="auto" w:fill="auto"/>
            <w:vAlign w:val="center"/>
          </w:tcPr>
          <w:p w14:paraId="5421122F" w14:textId="77777777" w:rsidR="00F731AC" w:rsidRPr="002D1654" w:rsidRDefault="00F731AC" w:rsidP="00CC768C">
            <w:pPr>
              <w:spacing w:after="0" w:line="240" w:lineRule="auto"/>
              <w:jc w:val="center"/>
              <w:rPr>
                <w:rFonts w:eastAsia="Times New Roman"/>
                <w:color w:val="auto"/>
                <w:lang w:eastAsia="en-SG"/>
              </w:rPr>
            </w:pPr>
          </w:p>
        </w:tc>
      </w:tr>
      <w:tr w:rsidR="00F731AC" w:rsidRPr="002D1654" w14:paraId="04A04632" w14:textId="77777777" w:rsidTr="00CC768C">
        <w:trPr>
          <w:trHeight w:val="586"/>
          <w:jc w:val="center"/>
        </w:trPr>
        <w:tc>
          <w:tcPr>
            <w:tcW w:w="990" w:type="dxa"/>
            <w:tcBorders>
              <w:top w:val="single" w:sz="4" w:space="0" w:color="auto"/>
              <w:left w:val="nil"/>
              <w:bottom w:val="single" w:sz="4" w:space="0" w:color="auto"/>
              <w:right w:val="nil"/>
            </w:tcBorders>
            <w:shd w:val="clear" w:color="auto" w:fill="auto"/>
            <w:noWrap/>
            <w:vAlign w:val="center"/>
          </w:tcPr>
          <w:p w14:paraId="4C7CED6E" w14:textId="77777777" w:rsidR="00F731AC" w:rsidRPr="002D1654" w:rsidRDefault="00F731AC" w:rsidP="00CC768C">
            <w:pPr>
              <w:spacing w:after="0" w:line="240" w:lineRule="auto"/>
              <w:jc w:val="center"/>
              <w:rPr>
                <w:rFonts w:eastAsia="Times New Roman"/>
                <w:color w:val="auto"/>
                <w:lang w:eastAsia="en-SG"/>
              </w:rPr>
            </w:pPr>
            <w:r w:rsidRPr="002D1654">
              <w:rPr>
                <w:color w:val="auto"/>
              </w:rPr>
              <w:t>United Parcel Service Inc</w:t>
            </w:r>
          </w:p>
        </w:tc>
        <w:tc>
          <w:tcPr>
            <w:tcW w:w="810" w:type="dxa"/>
            <w:tcBorders>
              <w:top w:val="single" w:sz="4" w:space="0" w:color="auto"/>
              <w:left w:val="nil"/>
              <w:bottom w:val="single" w:sz="4" w:space="0" w:color="auto"/>
              <w:right w:val="single" w:sz="4" w:space="0" w:color="auto"/>
            </w:tcBorders>
            <w:shd w:val="clear" w:color="auto" w:fill="auto"/>
            <w:vAlign w:val="center"/>
          </w:tcPr>
          <w:p w14:paraId="6FAD6116" w14:textId="77777777" w:rsidR="00F731AC" w:rsidRPr="002D1654" w:rsidRDefault="00F731AC" w:rsidP="00CC768C">
            <w:pPr>
              <w:spacing w:after="0" w:line="247" w:lineRule="auto"/>
              <w:jc w:val="center"/>
              <w:rPr>
                <w:rFonts w:eastAsia="Times New Roman"/>
                <w:color w:val="auto"/>
                <w:lang w:eastAsia="en-SG"/>
              </w:rPr>
            </w:pPr>
            <w:r w:rsidRPr="002D1654">
              <w:rPr>
                <w:color w:val="auto"/>
              </w:rPr>
              <w:t>Consumer Shipping</w:t>
            </w:r>
          </w:p>
        </w:tc>
        <w:tc>
          <w:tcPr>
            <w:tcW w:w="270" w:type="dxa"/>
            <w:tcBorders>
              <w:top w:val="single" w:sz="4" w:space="0" w:color="auto"/>
              <w:left w:val="single" w:sz="4" w:space="0" w:color="auto"/>
              <w:bottom w:val="single" w:sz="4" w:space="0" w:color="auto"/>
              <w:right w:val="nil"/>
            </w:tcBorders>
            <w:shd w:val="clear" w:color="auto" w:fill="auto"/>
            <w:vAlign w:val="center"/>
          </w:tcPr>
          <w:p w14:paraId="697277CF" w14:textId="77777777" w:rsidR="00F731AC" w:rsidRPr="002D1654" w:rsidRDefault="00F731AC" w:rsidP="00CC768C">
            <w:pPr>
              <w:spacing w:after="0" w:line="240" w:lineRule="auto"/>
              <w:jc w:val="center"/>
              <w:rPr>
                <w:rFonts w:eastAsia="Times New Roman"/>
                <w:color w:val="auto"/>
                <w:lang w:eastAsia="en-SG"/>
              </w:rPr>
            </w:pPr>
            <w:r w:rsidRPr="002D1654">
              <w:rPr>
                <w:color w:val="auto"/>
              </w:rPr>
              <w:t>8</w:t>
            </w:r>
          </w:p>
        </w:tc>
        <w:tc>
          <w:tcPr>
            <w:tcW w:w="900" w:type="dxa"/>
            <w:tcBorders>
              <w:top w:val="single" w:sz="4" w:space="0" w:color="auto"/>
              <w:left w:val="nil"/>
              <w:bottom w:val="single" w:sz="4" w:space="0" w:color="auto"/>
              <w:right w:val="single" w:sz="4" w:space="0" w:color="auto"/>
            </w:tcBorders>
            <w:shd w:val="clear" w:color="auto" w:fill="auto"/>
            <w:vAlign w:val="center"/>
          </w:tcPr>
          <w:p w14:paraId="676B32EA" w14:textId="77777777" w:rsidR="00F731AC" w:rsidRPr="002D1654" w:rsidRDefault="00F731AC" w:rsidP="00CC768C">
            <w:pPr>
              <w:spacing w:after="0" w:line="240" w:lineRule="auto"/>
              <w:jc w:val="center"/>
              <w:rPr>
                <w:color w:val="auto"/>
              </w:rPr>
            </w:pPr>
            <w:r w:rsidRPr="002D1654">
              <w:rPr>
                <w:color w:val="auto"/>
              </w:rPr>
              <w:t>UPS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68D185F" w14:textId="77777777" w:rsidR="00F731AC" w:rsidRPr="002D1654" w:rsidRDefault="00F731AC" w:rsidP="00CC768C">
            <w:pPr>
              <w:spacing w:after="0" w:line="240" w:lineRule="auto"/>
              <w:jc w:val="center"/>
              <w:rPr>
                <w:color w:val="auto"/>
              </w:rPr>
            </w:pPr>
            <w:r w:rsidRPr="002D1654">
              <w:rPr>
                <w:color w:val="auto"/>
              </w:rPr>
              <w:t>82</w:t>
            </w:r>
          </w:p>
        </w:tc>
        <w:tc>
          <w:tcPr>
            <w:tcW w:w="530" w:type="dxa"/>
            <w:tcBorders>
              <w:top w:val="single" w:sz="4" w:space="0" w:color="auto"/>
              <w:left w:val="nil"/>
              <w:bottom w:val="single" w:sz="4" w:space="0" w:color="auto"/>
              <w:right w:val="nil"/>
            </w:tcBorders>
            <w:shd w:val="clear" w:color="auto" w:fill="auto"/>
            <w:vAlign w:val="center"/>
          </w:tcPr>
          <w:p w14:paraId="3DECB46D" w14:textId="77777777" w:rsidR="00F731AC" w:rsidRPr="003B24F4" w:rsidRDefault="00F731AC" w:rsidP="00CC768C">
            <w:pPr>
              <w:spacing w:after="0" w:line="240" w:lineRule="auto"/>
              <w:jc w:val="center"/>
              <w:rPr>
                <w:color w:val="auto"/>
                <w:sz w:val="16"/>
                <w:szCs w:val="16"/>
              </w:rPr>
            </w:pPr>
            <w:r w:rsidRPr="003B24F4">
              <w:rPr>
                <w:sz w:val="16"/>
                <w:szCs w:val="16"/>
              </w:rPr>
              <w:t>24.248</w:t>
            </w:r>
          </w:p>
        </w:tc>
        <w:tc>
          <w:tcPr>
            <w:tcW w:w="530" w:type="dxa"/>
            <w:tcBorders>
              <w:top w:val="single" w:sz="4" w:space="0" w:color="auto"/>
              <w:left w:val="nil"/>
              <w:bottom w:val="single" w:sz="4" w:space="0" w:color="auto"/>
              <w:right w:val="nil"/>
            </w:tcBorders>
            <w:shd w:val="clear" w:color="auto" w:fill="auto"/>
            <w:vAlign w:val="center"/>
          </w:tcPr>
          <w:p w14:paraId="3CD2911D" w14:textId="77777777" w:rsidR="00F731AC" w:rsidRPr="003B24F4" w:rsidRDefault="00F731AC" w:rsidP="00CC768C">
            <w:pPr>
              <w:spacing w:after="0" w:line="240" w:lineRule="auto"/>
              <w:jc w:val="center"/>
              <w:rPr>
                <w:color w:val="auto"/>
                <w:sz w:val="16"/>
                <w:szCs w:val="16"/>
              </w:rPr>
            </w:pPr>
            <w:r w:rsidRPr="003B24F4">
              <w:rPr>
                <w:sz w:val="16"/>
                <w:szCs w:val="16"/>
              </w:rPr>
              <w:t>24.115</w:t>
            </w:r>
          </w:p>
        </w:tc>
        <w:tc>
          <w:tcPr>
            <w:tcW w:w="530" w:type="dxa"/>
            <w:tcBorders>
              <w:top w:val="single" w:sz="4" w:space="0" w:color="auto"/>
              <w:left w:val="nil"/>
              <w:bottom w:val="single" w:sz="4" w:space="0" w:color="auto"/>
              <w:right w:val="nil"/>
            </w:tcBorders>
            <w:shd w:val="clear" w:color="auto" w:fill="auto"/>
            <w:vAlign w:val="center"/>
          </w:tcPr>
          <w:p w14:paraId="7515E55E" w14:textId="77777777" w:rsidR="00F731AC" w:rsidRPr="003B24F4" w:rsidRDefault="00F731AC" w:rsidP="00CC768C">
            <w:pPr>
              <w:spacing w:after="0" w:line="240" w:lineRule="auto"/>
              <w:jc w:val="center"/>
              <w:rPr>
                <w:color w:val="auto"/>
                <w:sz w:val="16"/>
                <w:szCs w:val="16"/>
              </w:rPr>
            </w:pPr>
            <w:r w:rsidRPr="003B24F4">
              <w:rPr>
                <w:sz w:val="16"/>
                <w:szCs w:val="16"/>
              </w:rPr>
              <w:t>24.115</w:t>
            </w:r>
          </w:p>
        </w:tc>
        <w:tc>
          <w:tcPr>
            <w:tcW w:w="530" w:type="dxa"/>
            <w:tcBorders>
              <w:top w:val="single" w:sz="4" w:space="0" w:color="auto"/>
              <w:left w:val="nil"/>
              <w:bottom w:val="single" w:sz="4" w:space="0" w:color="auto"/>
              <w:right w:val="nil"/>
            </w:tcBorders>
            <w:shd w:val="clear" w:color="auto" w:fill="auto"/>
            <w:vAlign w:val="center"/>
          </w:tcPr>
          <w:p w14:paraId="640D2D33" w14:textId="77777777" w:rsidR="00F731AC" w:rsidRPr="003B24F4" w:rsidRDefault="00F731AC" w:rsidP="00CC768C">
            <w:pPr>
              <w:spacing w:after="0" w:line="240" w:lineRule="auto"/>
              <w:jc w:val="center"/>
              <w:rPr>
                <w:color w:val="auto"/>
                <w:sz w:val="16"/>
                <w:szCs w:val="16"/>
              </w:rPr>
            </w:pPr>
            <w:r w:rsidRPr="003B24F4">
              <w:rPr>
                <w:sz w:val="16"/>
                <w:szCs w:val="16"/>
              </w:rPr>
              <w:t>4.118</w:t>
            </w:r>
          </w:p>
        </w:tc>
        <w:tc>
          <w:tcPr>
            <w:tcW w:w="530" w:type="dxa"/>
            <w:tcBorders>
              <w:top w:val="single" w:sz="4" w:space="0" w:color="auto"/>
              <w:left w:val="nil"/>
              <w:bottom w:val="single" w:sz="4" w:space="0" w:color="auto"/>
              <w:right w:val="nil"/>
            </w:tcBorders>
            <w:shd w:val="clear" w:color="auto" w:fill="auto"/>
            <w:vAlign w:val="center"/>
          </w:tcPr>
          <w:p w14:paraId="688BE6A6" w14:textId="77777777" w:rsidR="00F731AC" w:rsidRPr="003B24F4" w:rsidRDefault="00F731AC" w:rsidP="00CC768C">
            <w:pPr>
              <w:spacing w:after="0" w:line="240" w:lineRule="auto"/>
              <w:jc w:val="center"/>
              <w:rPr>
                <w:color w:val="auto"/>
                <w:sz w:val="16"/>
                <w:szCs w:val="16"/>
              </w:rPr>
            </w:pPr>
            <w:r w:rsidRPr="003B24F4">
              <w:rPr>
                <w:sz w:val="16"/>
                <w:szCs w:val="16"/>
              </w:rPr>
              <w:t>4.299</w:t>
            </w:r>
          </w:p>
        </w:tc>
        <w:tc>
          <w:tcPr>
            <w:tcW w:w="530" w:type="dxa"/>
            <w:tcBorders>
              <w:top w:val="single" w:sz="4" w:space="0" w:color="auto"/>
              <w:left w:val="nil"/>
              <w:bottom w:val="single" w:sz="4" w:space="0" w:color="auto"/>
              <w:right w:val="nil"/>
            </w:tcBorders>
            <w:shd w:val="clear" w:color="auto" w:fill="auto"/>
            <w:vAlign w:val="center"/>
          </w:tcPr>
          <w:p w14:paraId="5A1C6870" w14:textId="77777777" w:rsidR="00F731AC" w:rsidRPr="003B24F4" w:rsidRDefault="00F731AC" w:rsidP="00CC768C">
            <w:pPr>
              <w:spacing w:after="0" w:line="240" w:lineRule="auto"/>
              <w:jc w:val="center"/>
              <w:rPr>
                <w:color w:val="auto"/>
                <w:sz w:val="16"/>
                <w:szCs w:val="16"/>
              </w:rPr>
            </w:pPr>
            <w:r w:rsidRPr="003B24F4">
              <w:rPr>
                <w:sz w:val="16"/>
                <w:szCs w:val="16"/>
              </w:rPr>
              <w:t>24.262</w:t>
            </w:r>
          </w:p>
        </w:tc>
        <w:tc>
          <w:tcPr>
            <w:tcW w:w="530" w:type="dxa"/>
            <w:tcBorders>
              <w:top w:val="single" w:sz="4" w:space="0" w:color="auto"/>
              <w:left w:val="nil"/>
              <w:bottom w:val="single" w:sz="4" w:space="0" w:color="auto"/>
              <w:right w:val="nil"/>
            </w:tcBorders>
            <w:shd w:val="clear" w:color="auto" w:fill="auto"/>
            <w:vAlign w:val="center"/>
          </w:tcPr>
          <w:p w14:paraId="0EDF6D61" w14:textId="77777777" w:rsidR="00F731AC" w:rsidRPr="003B24F4" w:rsidRDefault="00F731AC" w:rsidP="00CC768C">
            <w:pPr>
              <w:spacing w:after="0" w:line="240" w:lineRule="auto"/>
              <w:jc w:val="center"/>
              <w:rPr>
                <w:color w:val="auto"/>
                <w:sz w:val="16"/>
                <w:szCs w:val="16"/>
              </w:rPr>
            </w:pPr>
            <w:r w:rsidRPr="003B24F4">
              <w:rPr>
                <w:sz w:val="16"/>
                <w:szCs w:val="16"/>
              </w:rPr>
              <w:t>24.262</w:t>
            </w:r>
          </w:p>
        </w:tc>
        <w:tc>
          <w:tcPr>
            <w:tcW w:w="530" w:type="dxa"/>
            <w:tcBorders>
              <w:top w:val="single" w:sz="4" w:space="0" w:color="auto"/>
              <w:left w:val="nil"/>
              <w:bottom w:val="single" w:sz="4" w:space="0" w:color="auto"/>
              <w:right w:val="nil"/>
            </w:tcBorders>
            <w:shd w:val="clear" w:color="auto" w:fill="auto"/>
            <w:vAlign w:val="center"/>
          </w:tcPr>
          <w:p w14:paraId="2C73C9CD" w14:textId="77777777" w:rsidR="00F731AC" w:rsidRPr="003B24F4" w:rsidRDefault="00F731AC" w:rsidP="00CC768C">
            <w:pPr>
              <w:spacing w:after="0" w:line="240" w:lineRule="auto"/>
              <w:jc w:val="center"/>
              <w:rPr>
                <w:color w:val="auto"/>
                <w:sz w:val="16"/>
                <w:szCs w:val="16"/>
              </w:rPr>
            </w:pPr>
            <w:r w:rsidRPr="003B24F4">
              <w:rPr>
                <w:sz w:val="16"/>
                <w:szCs w:val="16"/>
              </w:rPr>
              <w:t>−</w:t>
            </w:r>
          </w:p>
        </w:tc>
        <w:tc>
          <w:tcPr>
            <w:tcW w:w="530" w:type="dxa"/>
            <w:tcBorders>
              <w:top w:val="single" w:sz="4" w:space="0" w:color="auto"/>
              <w:left w:val="nil"/>
              <w:bottom w:val="single" w:sz="4" w:space="0" w:color="auto"/>
              <w:right w:val="nil"/>
            </w:tcBorders>
            <w:shd w:val="clear" w:color="auto" w:fill="auto"/>
            <w:vAlign w:val="center"/>
          </w:tcPr>
          <w:p w14:paraId="711193B6" w14:textId="77777777" w:rsidR="00F731AC" w:rsidRPr="003B24F4" w:rsidRDefault="00F731AC" w:rsidP="00CC768C">
            <w:pPr>
              <w:spacing w:after="0" w:line="240" w:lineRule="auto"/>
              <w:jc w:val="center"/>
              <w:rPr>
                <w:color w:val="auto"/>
                <w:sz w:val="16"/>
                <w:szCs w:val="16"/>
              </w:rPr>
            </w:pPr>
            <w:r w:rsidRPr="003B24F4">
              <w:rPr>
                <w:sz w:val="16"/>
                <w:szCs w:val="16"/>
              </w:rPr>
              <w:t>10.132</w:t>
            </w:r>
          </w:p>
        </w:tc>
        <w:tc>
          <w:tcPr>
            <w:tcW w:w="480" w:type="dxa"/>
            <w:tcBorders>
              <w:top w:val="single" w:sz="4" w:space="0" w:color="auto"/>
              <w:left w:val="single" w:sz="4" w:space="0" w:color="auto"/>
              <w:bottom w:val="single" w:sz="4" w:space="0" w:color="auto"/>
              <w:right w:val="nil"/>
            </w:tcBorders>
            <w:shd w:val="clear" w:color="auto" w:fill="auto"/>
            <w:vAlign w:val="center"/>
          </w:tcPr>
          <w:p w14:paraId="4A5CAFF1"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0.826</w:t>
            </w:r>
          </w:p>
        </w:tc>
        <w:tc>
          <w:tcPr>
            <w:tcW w:w="480" w:type="dxa"/>
            <w:tcBorders>
              <w:top w:val="single" w:sz="4" w:space="0" w:color="auto"/>
              <w:left w:val="nil"/>
              <w:bottom w:val="single" w:sz="4" w:space="0" w:color="auto"/>
              <w:right w:val="nil"/>
            </w:tcBorders>
            <w:shd w:val="clear" w:color="auto" w:fill="auto"/>
            <w:vAlign w:val="center"/>
          </w:tcPr>
          <w:p w14:paraId="60D69015"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0.827</w:t>
            </w:r>
          </w:p>
        </w:tc>
        <w:tc>
          <w:tcPr>
            <w:tcW w:w="480" w:type="dxa"/>
            <w:tcBorders>
              <w:top w:val="single" w:sz="4" w:space="0" w:color="auto"/>
              <w:left w:val="nil"/>
              <w:bottom w:val="single" w:sz="4" w:space="0" w:color="auto"/>
              <w:right w:val="nil"/>
            </w:tcBorders>
            <w:shd w:val="clear" w:color="auto" w:fill="auto"/>
            <w:vAlign w:val="center"/>
          </w:tcPr>
          <w:p w14:paraId="2262662C"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0.827</w:t>
            </w:r>
          </w:p>
        </w:tc>
        <w:tc>
          <w:tcPr>
            <w:tcW w:w="480" w:type="dxa"/>
            <w:tcBorders>
              <w:top w:val="single" w:sz="4" w:space="0" w:color="auto"/>
              <w:left w:val="nil"/>
              <w:bottom w:val="single" w:sz="4" w:space="0" w:color="auto"/>
              <w:right w:val="nil"/>
            </w:tcBorders>
            <w:shd w:val="clear" w:color="auto" w:fill="auto"/>
            <w:vAlign w:val="center"/>
          </w:tcPr>
          <w:p w14:paraId="33F67915"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0.970</w:t>
            </w:r>
          </w:p>
        </w:tc>
        <w:tc>
          <w:tcPr>
            <w:tcW w:w="480" w:type="dxa"/>
            <w:tcBorders>
              <w:top w:val="single" w:sz="4" w:space="0" w:color="auto"/>
              <w:left w:val="nil"/>
              <w:bottom w:val="single" w:sz="4" w:space="0" w:color="auto"/>
              <w:right w:val="nil"/>
            </w:tcBorders>
            <w:shd w:val="clear" w:color="auto" w:fill="auto"/>
            <w:vAlign w:val="center"/>
          </w:tcPr>
          <w:p w14:paraId="118FDEF7"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0.969</w:t>
            </w:r>
          </w:p>
        </w:tc>
        <w:tc>
          <w:tcPr>
            <w:tcW w:w="480" w:type="dxa"/>
            <w:tcBorders>
              <w:top w:val="single" w:sz="4" w:space="0" w:color="auto"/>
              <w:left w:val="nil"/>
              <w:bottom w:val="single" w:sz="4" w:space="0" w:color="auto"/>
              <w:right w:val="nil"/>
            </w:tcBorders>
            <w:shd w:val="clear" w:color="auto" w:fill="auto"/>
            <w:vAlign w:val="center"/>
          </w:tcPr>
          <w:p w14:paraId="57697662"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0.826</w:t>
            </w:r>
          </w:p>
        </w:tc>
        <w:tc>
          <w:tcPr>
            <w:tcW w:w="480" w:type="dxa"/>
            <w:tcBorders>
              <w:top w:val="single" w:sz="4" w:space="0" w:color="auto"/>
              <w:left w:val="nil"/>
              <w:bottom w:val="single" w:sz="4" w:space="0" w:color="auto"/>
              <w:right w:val="nil"/>
            </w:tcBorders>
            <w:shd w:val="clear" w:color="auto" w:fill="auto"/>
            <w:vAlign w:val="center"/>
          </w:tcPr>
          <w:p w14:paraId="03EF607A"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0.826</w:t>
            </w:r>
          </w:p>
        </w:tc>
        <w:tc>
          <w:tcPr>
            <w:tcW w:w="480" w:type="dxa"/>
            <w:tcBorders>
              <w:top w:val="single" w:sz="4" w:space="0" w:color="auto"/>
              <w:left w:val="nil"/>
              <w:bottom w:val="single" w:sz="4" w:space="0" w:color="auto"/>
              <w:right w:val="nil"/>
            </w:tcBorders>
            <w:shd w:val="clear" w:color="auto" w:fill="auto"/>
            <w:vAlign w:val="center"/>
          </w:tcPr>
          <w:p w14:paraId="1154D7C1"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w:t>
            </w:r>
          </w:p>
        </w:tc>
        <w:tc>
          <w:tcPr>
            <w:tcW w:w="480" w:type="dxa"/>
            <w:tcBorders>
              <w:top w:val="single" w:sz="4" w:space="0" w:color="auto"/>
              <w:left w:val="nil"/>
              <w:bottom w:val="single" w:sz="4" w:space="0" w:color="auto"/>
              <w:right w:val="single" w:sz="4" w:space="0" w:color="auto"/>
            </w:tcBorders>
            <w:shd w:val="clear" w:color="000000" w:fill="FFFFFF"/>
            <w:vAlign w:val="center"/>
          </w:tcPr>
          <w:p w14:paraId="7EE5B9C3"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0.927</w:t>
            </w:r>
          </w:p>
        </w:tc>
        <w:tc>
          <w:tcPr>
            <w:tcW w:w="630" w:type="dxa"/>
            <w:tcBorders>
              <w:top w:val="single" w:sz="4" w:space="0" w:color="auto"/>
              <w:left w:val="single" w:sz="4" w:space="0" w:color="auto"/>
              <w:bottom w:val="single" w:sz="4" w:space="0" w:color="auto"/>
              <w:right w:val="nil"/>
            </w:tcBorders>
            <w:shd w:val="clear" w:color="auto" w:fill="auto"/>
            <w:vAlign w:val="center"/>
          </w:tcPr>
          <w:p w14:paraId="4E1465F3" w14:textId="77777777" w:rsidR="00F731AC" w:rsidRPr="002D1654" w:rsidRDefault="00F731AC" w:rsidP="00CC768C">
            <w:pPr>
              <w:spacing w:after="0" w:line="240" w:lineRule="auto"/>
              <w:jc w:val="center"/>
              <w:rPr>
                <w:rFonts w:eastAsia="Times New Roman"/>
                <w:color w:val="auto"/>
                <w:lang w:eastAsia="en-SG"/>
              </w:rPr>
            </w:pPr>
            <w:r w:rsidRPr="00001962">
              <w:t>68.369</w:t>
            </w:r>
          </w:p>
        </w:tc>
        <w:tc>
          <w:tcPr>
            <w:tcW w:w="630" w:type="dxa"/>
            <w:tcBorders>
              <w:top w:val="single" w:sz="4" w:space="0" w:color="auto"/>
              <w:left w:val="nil"/>
              <w:bottom w:val="single" w:sz="4" w:space="0" w:color="auto"/>
              <w:right w:val="nil"/>
            </w:tcBorders>
            <w:shd w:val="clear" w:color="auto" w:fill="auto"/>
            <w:vAlign w:val="center"/>
          </w:tcPr>
          <w:p w14:paraId="7F97FBB5" w14:textId="77777777" w:rsidR="00F731AC" w:rsidRPr="002D1654" w:rsidRDefault="00F731AC" w:rsidP="00CC768C">
            <w:pPr>
              <w:spacing w:after="0" w:line="240" w:lineRule="auto"/>
              <w:jc w:val="center"/>
              <w:rPr>
                <w:rFonts w:eastAsia="Times New Roman"/>
                <w:color w:val="auto"/>
                <w:lang w:eastAsia="en-SG"/>
              </w:rPr>
            </w:pPr>
            <w:r w:rsidRPr="003A1723">
              <w:t>68.369</w:t>
            </w:r>
          </w:p>
        </w:tc>
      </w:tr>
      <w:tr w:rsidR="00F731AC" w:rsidRPr="002D1654" w14:paraId="74B7C5A0" w14:textId="77777777" w:rsidTr="00CC768C">
        <w:trPr>
          <w:trHeight w:val="586"/>
          <w:jc w:val="center"/>
        </w:trPr>
        <w:tc>
          <w:tcPr>
            <w:tcW w:w="990" w:type="dxa"/>
            <w:tcBorders>
              <w:top w:val="single" w:sz="4" w:space="0" w:color="auto"/>
              <w:left w:val="nil"/>
              <w:bottom w:val="single" w:sz="4" w:space="0" w:color="auto"/>
              <w:right w:val="nil"/>
            </w:tcBorders>
            <w:shd w:val="clear" w:color="auto" w:fill="auto"/>
            <w:noWrap/>
            <w:vAlign w:val="center"/>
          </w:tcPr>
          <w:p w14:paraId="13B18DF6" w14:textId="77777777" w:rsidR="00F731AC" w:rsidRPr="002D1654" w:rsidRDefault="00F731AC" w:rsidP="00CC768C">
            <w:pPr>
              <w:spacing w:after="0" w:line="240" w:lineRule="auto"/>
              <w:jc w:val="center"/>
              <w:rPr>
                <w:rFonts w:eastAsia="Times New Roman"/>
                <w:color w:val="auto"/>
                <w:lang w:eastAsia="en-SG"/>
              </w:rPr>
            </w:pPr>
            <w:r w:rsidRPr="002D1654">
              <w:rPr>
                <w:color w:val="auto"/>
              </w:rPr>
              <w:t>U</w:t>
            </w:r>
            <w:r>
              <w:rPr>
                <w:color w:val="auto"/>
              </w:rPr>
              <w:t>S</w:t>
            </w:r>
            <w:r w:rsidRPr="002D1654">
              <w:rPr>
                <w:color w:val="auto"/>
              </w:rPr>
              <w:t xml:space="preserve"> Airways Group Inc</w:t>
            </w:r>
          </w:p>
        </w:tc>
        <w:tc>
          <w:tcPr>
            <w:tcW w:w="810" w:type="dxa"/>
            <w:tcBorders>
              <w:top w:val="single" w:sz="4" w:space="0" w:color="auto"/>
              <w:left w:val="nil"/>
              <w:bottom w:val="single" w:sz="4" w:space="0" w:color="auto"/>
              <w:right w:val="single" w:sz="4" w:space="0" w:color="auto"/>
            </w:tcBorders>
            <w:shd w:val="clear" w:color="auto" w:fill="auto"/>
            <w:vAlign w:val="center"/>
          </w:tcPr>
          <w:p w14:paraId="1D9FC6C6" w14:textId="77777777" w:rsidR="00F731AC" w:rsidRPr="002D1654" w:rsidRDefault="00F731AC" w:rsidP="00CC768C">
            <w:pPr>
              <w:spacing w:after="0" w:line="240" w:lineRule="auto"/>
              <w:jc w:val="center"/>
              <w:rPr>
                <w:rFonts w:eastAsia="Times New Roman"/>
                <w:color w:val="auto"/>
                <w:lang w:eastAsia="en-SG"/>
              </w:rPr>
            </w:pPr>
            <w:r w:rsidRPr="002D1654">
              <w:rPr>
                <w:color w:val="auto"/>
              </w:rPr>
              <w:t>Airlines</w:t>
            </w:r>
          </w:p>
        </w:tc>
        <w:tc>
          <w:tcPr>
            <w:tcW w:w="270" w:type="dxa"/>
            <w:tcBorders>
              <w:top w:val="single" w:sz="4" w:space="0" w:color="auto"/>
              <w:left w:val="single" w:sz="4" w:space="0" w:color="auto"/>
              <w:bottom w:val="single" w:sz="4" w:space="0" w:color="auto"/>
              <w:right w:val="nil"/>
            </w:tcBorders>
            <w:shd w:val="clear" w:color="auto" w:fill="auto"/>
            <w:vAlign w:val="center"/>
          </w:tcPr>
          <w:p w14:paraId="15995A72" w14:textId="77777777" w:rsidR="00F731AC" w:rsidRPr="002D1654" w:rsidRDefault="00F731AC" w:rsidP="00CC768C">
            <w:pPr>
              <w:spacing w:after="0" w:line="240" w:lineRule="auto"/>
              <w:jc w:val="center"/>
              <w:rPr>
                <w:rFonts w:eastAsia="Times New Roman"/>
                <w:color w:val="auto"/>
                <w:lang w:eastAsia="en-SG"/>
              </w:rPr>
            </w:pPr>
            <w:r w:rsidRPr="002D1654">
              <w:rPr>
                <w:color w:val="auto"/>
              </w:rPr>
              <w:t>9</w:t>
            </w:r>
          </w:p>
        </w:tc>
        <w:tc>
          <w:tcPr>
            <w:tcW w:w="900" w:type="dxa"/>
            <w:tcBorders>
              <w:top w:val="single" w:sz="4" w:space="0" w:color="auto"/>
              <w:left w:val="nil"/>
              <w:bottom w:val="single" w:sz="4" w:space="0" w:color="auto"/>
              <w:right w:val="single" w:sz="4" w:space="0" w:color="auto"/>
            </w:tcBorders>
            <w:shd w:val="clear" w:color="auto" w:fill="auto"/>
            <w:vAlign w:val="center"/>
          </w:tcPr>
          <w:p w14:paraId="372F89F4" w14:textId="77777777" w:rsidR="00F731AC" w:rsidRPr="002D1654" w:rsidRDefault="00F731AC" w:rsidP="00CC768C">
            <w:pPr>
              <w:spacing w:after="0" w:line="247" w:lineRule="auto"/>
              <w:jc w:val="center"/>
              <w:rPr>
                <w:color w:val="auto"/>
              </w:rPr>
            </w:pPr>
            <w:r w:rsidRPr="002D1654">
              <w:rPr>
                <w:color w:val="auto"/>
              </w:rPr>
              <w:t>US Airways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5CC1482" w14:textId="77777777" w:rsidR="00F731AC" w:rsidRPr="002D1654" w:rsidRDefault="00F731AC" w:rsidP="00CC768C">
            <w:pPr>
              <w:spacing w:after="0" w:line="240" w:lineRule="auto"/>
              <w:jc w:val="center"/>
              <w:rPr>
                <w:color w:val="auto"/>
              </w:rPr>
            </w:pPr>
            <w:r w:rsidRPr="002D1654">
              <w:rPr>
                <w:color w:val="auto"/>
              </w:rPr>
              <w:t>62</w:t>
            </w:r>
          </w:p>
        </w:tc>
        <w:tc>
          <w:tcPr>
            <w:tcW w:w="530" w:type="dxa"/>
            <w:tcBorders>
              <w:top w:val="single" w:sz="4" w:space="0" w:color="auto"/>
              <w:left w:val="nil"/>
              <w:bottom w:val="nil"/>
              <w:right w:val="nil"/>
            </w:tcBorders>
            <w:shd w:val="clear" w:color="auto" w:fill="auto"/>
            <w:vAlign w:val="center"/>
          </w:tcPr>
          <w:p w14:paraId="713B81E9" w14:textId="77777777" w:rsidR="00F731AC" w:rsidRPr="003B24F4" w:rsidRDefault="00F731AC" w:rsidP="00CC768C">
            <w:pPr>
              <w:spacing w:after="0" w:line="240" w:lineRule="auto"/>
              <w:jc w:val="center"/>
              <w:rPr>
                <w:color w:val="auto"/>
                <w:sz w:val="16"/>
                <w:szCs w:val="16"/>
              </w:rPr>
            </w:pPr>
            <w:r w:rsidRPr="003B24F4">
              <w:rPr>
                <w:sz w:val="16"/>
                <w:szCs w:val="16"/>
              </w:rPr>
              <w:t>33.023</w:t>
            </w:r>
          </w:p>
        </w:tc>
        <w:tc>
          <w:tcPr>
            <w:tcW w:w="530" w:type="dxa"/>
            <w:tcBorders>
              <w:top w:val="single" w:sz="4" w:space="0" w:color="auto"/>
              <w:left w:val="nil"/>
              <w:bottom w:val="nil"/>
              <w:right w:val="nil"/>
            </w:tcBorders>
            <w:shd w:val="clear" w:color="auto" w:fill="auto"/>
            <w:vAlign w:val="center"/>
          </w:tcPr>
          <w:p w14:paraId="12F3BAD0" w14:textId="77777777" w:rsidR="00F731AC" w:rsidRPr="003B24F4" w:rsidRDefault="00F731AC" w:rsidP="00CC768C">
            <w:pPr>
              <w:spacing w:after="0" w:line="240" w:lineRule="auto"/>
              <w:jc w:val="center"/>
              <w:rPr>
                <w:color w:val="auto"/>
                <w:sz w:val="16"/>
                <w:szCs w:val="16"/>
              </w:rPr>
            </w:pPr>
            <w:r w:rsidRPr="003B24F4">
              <w:rPr>
                <w:sz w:val="16"/>
                <w:szCs w:val="16"/>
              </w:rPr>
              <w:t>33.088</w:t>
            </w:r>
          </w:p>
        </w:tc>
        <w:tc>
          <w:tcPr>
            <w:tcW w:w="530" w:type="dxa"/>
            <w:tcBorders>
              <w:top w:val="single" w:sz="4" w:space="0" w:color="auto"/>
              <w:left w:val="nil"/>
              <w:bottom w:val="nil"/>
              <w:right w:val="nil"/>
            </w:tcBorders>
            <w:shd w:val="clear" w:color="auto" w:fill="auto"/>
            <w:vAlign w:val="center"/>
          </w:tcPr>
          <w:p w14:paraId="2B527815" w14:textId="77777777" w:rsidR="00F731AC" w:rsidRPr="003B24F4" w:rsidRDefault="00F731AC" w:rsidP="00CC768C">
            <w:pPr>
              <w:spacing w:after="0" w:line="240" w:lineRule="auto"/>
              <w:jc w:val="center"/>
              <w:rPr>
                <w:color w:val="auto"/>
                <w:sz w:val="16"/>
                <w:szCs w:val="16"/>
              </w:rPr>
            </w:pPr>
            <w:r w:rsidRPr="003B24F4">
              <w:rPr>
                <w:sz w:val="16"/>
                <w:szCs w:val="16"/>
              </w:rPr>
              <w:t>33.088</w:t>
            </w:r>
          </w:p>
        </w:tc>
        <w:tc>
          <w:tcPr>
            <w:tcW w:w="530" w:type="dxa"/>
            <w:tcBorders>
              <w:top w:val="single" w:sz="4" w:space="0" w:color="auto"/>
              <w:left w:val="nil"/>
              <w:bottom w:val="nil"/>
              <w:right w:val="nil"/>
            </w:tcBorders>
            <w:shd w:val="clear" w:color="auto" w:fill="auto"/>
            <w:vAlign w:val="center"/>
          </w:tcPr>
          <w:p w14:paraId="15D59227" w14:textId="77777777" w:rsidR="00F731AC" w:rsidRPr="003B24F4" w:rsidRDefault="00F731AC" w:rsidP="00CC768C">
            <w:pPr>
              <w:spacing w:after="0" w:line="240" w:lineRule="auto"/>
              <w:jc w:val="center"/>
              <w:rPr>
                <w:color w:val="auto"/>
                <w:sz w:val="16"/>
                <w:szCs w:val="16"/>
              </w:rPr>
            </w:pPr>
            <w:r w:rsidRPr="003B24F4">
              <w:rPr>
                <w:sz w:val="16"/>
                <w:szCs w:val="16"/>
              </w:rPr>
              <w:t>6.209</w:t>
            </w:r>
          </w:p>
        </w:tc>
        <w:tc>
          <w:tcPr>
            <w:tcW w:w="530" w:type="dxa"/>
            <w:tcBorders>
              <w:top w:val="single" w:sz="4" w:space="0" w:color="auto"/>
              <w:left w:val="nil"/>
              <w:bottom w:val="nil"/>
              <w:right w:val="nil"/>
            </w:tcBorders>
            <w:shd w:val="clear" w:color="auto" w:fill="auto"/>
            <w:vAlign w:val="center"/>
          </w:tcPr>
          <w:p w14:paraId="3D549173" w14:textId="77777777" w:rsidR="00F731AC" w:rsidRPr="003B24F4" w:rsidRDefault="00F731AC" w:rsidP="00CC768C">
            <w:pPr>
              <w:spacing w:after="0" w:line="240" w:lineRule="auto"/>
              <w:jc w:val="center"/>
              <w:rPr>
                <w:color w:val="auto"/>
                <w:sz w:val="16"/>
                <w:szCs w:val="16"/>
              </w:rPr>
            </w:pPr>
            <w:r w:rsidRPr="003B24F4">
              <w:rPr>
                <w:sz w:val="16"/>
                <w:szCs w:val="16"/>
              </w:rPr>
              <w:t>12.188</w:t>
            </w:r>
          </w:p>
        </w:tc>
        <w:tc>
          <w:tcPr>
            <w:tcW w:w="530" w:type="dxa"/>
            <w:tcBorders>
              <w:top w:val="single" w:sz="4" w:space="0" w:color="auto"/>
              <w:left w:val="nil"/>
              <w:bottom w:val="nil"/>
              <w:right w:val="nil"/>
            </w:tcBorders>
            <w:shd w:val="clear" w:color="auto" w:fill="auto"/>
            <w:vAlign w:val="center"/>
          </w:tcPr>
          <w:p w14:paraId="705CB3DA" w14:textId="77777777" w:rsidR="00F731AC" w:rsidRPr="003B24F4" w:rsidRDefault="00F731AC" w:rsidP="00CC768C">
            <w:pPr>
              <w:spacing w:after="0" w:line="240" w:lineRule="auto"/>
              <w:jc w:val="center"/>
              <w:rPr>
                <w:color w:val="auto"/>
                <w:sz w:val="16"/>
                <w:szCs w:val="16"/>
              </w:rPr>
            </w:pPr>
            <w:r w:rsidRPr="003B24F4">
              <w:rPr>
                <w:sz w:val="16"/>
                <w:szCs w:val="16"/>
              </w:rPr>
              <w:t>33.019</w:t>
            </w:r>
          </w:p>
        </w:tc>
        <w:tc>
          <w:tcPr>
            <w:tcW w:w="530" w:type="dxa"/>
            <w:tcBorders>
              <w:top w:val="single" w:sz="4" w:space="0" w:color="auto"/>
              <w:left w:val="nil"/>
              <w:bottom w:val="nil"/>
              <w:right w:val="nil"/>
            </w:tcBorders>
            <w:shd w:val="clear" w:color="auto" w:fill="auto"/>
            <w:vAlign w:val="center"/>
          </w:tcPr>
          <w:p w14:paraId="2F6CB28C" w14:textId="77777777" w:rsidR="00F731AC" w:rsidRPr="003B24F4" w:rsidRDefault="00F731AC" w:rsidP="00CC768C">
            <w:pPr>
              <w:spacing w:after="0" w:line="240" w:lineRule="auto"/>
              <w:jc w:val="center"/>
              <w:rPr>
                <w:color w:val="auto"/>
                <w:sz w:val="16"/>
                <w:szCs w:val="16"/>
              </w:rPr>
            </w:pPr>
            <w:r w:rsidRPr="003B24F4">
              <w:rPr>
                <w:sz w:val="16"/>
                <w:szCs w:val="16"/>
              </w:rPr>
              <w:t>33.019</w:t>
            </w:r>
          </w:p>
        </w:tc>
        <w:tc>
          <w:tcPr>
            <w:tcW w:w="530" w:type="dxa"/>
            <w:tcBorders>
              <w:top w:val="single" w:sz="4" w:space="0" w:color="auto"/>
              <w:left w:val="nil"/>
              <w:bottom w:val="nil"/>
              <w:right w:val="nil"/>
            </w:tcBorders>
            <w:shd w:val="clear" w:color="auto" w:fill="auto"/>
            <w:vAlign w:val="center"/>
          </w:tcPr>
          <w:p w14:paraId="780A848A" w14:textId="77777777" w:rsidR="00F731AC" w:rsidRPr="003B24F4" w:rsidRDefault="00F731AC" w:rsidP="00CC768C">
            <w:pPr>
              <w:spacing w:after="0" w:line="240" w:lineRule="auto"/>
              <w:jc w:val="center"/>
              <w:rPr>
                <w:color w:val="auto"/>
                <w:sz w:val="16"/>
                <w:szCs w:val="16"/>
              </w:rPr>
            </w:pPr>
            <w:r w:rsidRPr="003B24F4">
              <w:rPr>
                <w:sz w:val="16"/>
                <w:szCs w:val="16"/>
              </w:rPr>
              <w:t>10.132</w:t>
            </w:r>
          </w:p>
        </w:tc>
        <w:tc>
          <w:tcPr>
            <w:tcW w:w="530" w:type="dxa"/>
            <w:tcBorders>
              <w:top w:val="single" w:sz="4" w:space="0" w:color="auto"/>
              <w:left w:val="nil"/>
              <w:bottom w:val="nil"/>
              <w:right w:val="nil"/>
            </w:tcBorders>
            <w:shd w:val="clear" w:color="auto" w:fill="auto"/>
            <w:vAlign w:val="center"/>
          </w:tcPr>
          <w:p w14:paraId="468BA09D" w14:textId="77777777" w:rsidR="00F731AC" w:rsidRPr="003B24F4" w:rsidRDefault="00F731AC" w:rsidP="00CC768C">
            <w:pPr>
              <w:spacing w:after="0" w:line="240" w:lineRule="auto"/>
              <w:jc w:val="center"/>
              <w:rPr>
                <w:color w:val="auto"/>
                <w:sz w:val="16"/>
                <w:szCs w:val="16"/>
              </w:rPr>
            </w:pPr>
            <w:r w:rsidRPr="003B24F4">
              <w:rPr>
                <w:sz w:val="16"/>
                <w:szCs w:val="16"/>
              </w:rPr>
              <w:t>−</w:t>
            </w:r>
          </w:p>
        </w:tc>
        <w:tc>
          <w:tcPr>
            <w:tcW w:w="480" w:type="dxa"/>
            <w:tcBorders>
              <w:top w:val="single" w:sz="4" w:space="0" w:color="auto"/>
              <w:left w:val="single" w:sz="4" w:space="0" w:color="auto"/>
              <w:bottom w:val="single" w:sz="4" w:space="0" w:color="auto"/>
              <w:right w:val="nil"/>
            </w:tcBorders>
            <w:shd w:val="clear" w:color="auto" w:fill="auto"/>
            <w:vAlign w:val="center"/>
          </w:tcPr>
          <w:p w14:paraId="759D71E3"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0.830</w:t>
            </w:r>
          </w:p>
        </w:tc>
        <w:tc>
          <w:tcPr>
            <w:tcW w:w="480" w:type="dxa"/>
            <w:tcBorders>
              <w:top w:val="single" w:sz="4" w:space="0" w:color="auto"/>
              <w:left w:val="nil"/>
              <w:bottom w:val="single" w:sz="4" w:space="0" w:color="auto"/>
              <w:right w:val="nil"/>
            </w:tcBorders>
            <w:shd w:val="clear" w:color="auto" w:fill="auto"/>
            <w:vAlign w:val="center"/>
          </w:tcPr>
          <w:p w14:paraId="3426FCEA"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0.829</w:t>
            </w:r>
          </w:p>
        </w:tc>
        <w:tc>
          <w:tcPr>
            <w:tcW w:w="480" w:type="dxa"/>
            <w:tcBorders>
              <w:top w:val="single" w:sz="4" w:space="0" w:color="auto"/>
              <w:left w:val="nil"/>
              <w:bottom w:val="single" w:sz="4" w:space="0" w:color="auto"/>
              <w:right w:val="nil"/>
            </w:tcBorders>
            <w:shd w:val="clear" w:color="auto" w:fill="auto"/>
            <w:vAlign w:val="center"/>
          </w:tcPr>
          <w:p w14:paraId="56C162C4"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0.829</w:t>
            </w:r>
          </w:p>
        </w:tc>
        <w:tc>
          <w:tcPr>
            <w:tcW w:w="480" w:type="dxa"/>
            <w:tcBorders>
              <w:top w:val="single" w:sz="4" w:space="0" w:color="auto"/>
              <w:left w:val="nil"/>
              <w:bottom w:val="single" w:sz="4" w:space="0" w:color="auto"/>
              <w:right w:val="nil"/>
            </w:tcBorders>
            <w:shd w:val="clear" w:color="auto" w:fill="auto"/>
            <w:vAlign w:val="center"/>
          </w:tcPr>
          <w:p w14:paraId="53F6D72A"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0.968</w:t>
            </w:r>
          </w:p>
        </w:tc>
        <w:tc>
          <w:tcPr>
            <w:tcW w:w="480" w:type="dxa"/>
            <w:tcBorders>
              <w:top w:val="single" w:sz="4" w:space="0" w:color="auto"/>
              <w:left w:val="nil"/>
              <w:bottom w:val="single" w:sz="4" w:space="0" w:color="auto"/>
              <w:right w:val="nil"/>
            </w:tcBorders>
            <w:shd w:val="clear" w:color="auto" w:fill="auto"/>
            <w:vAlign w:val="center"/>
          </w:tcPr>
          <w:p w14:paraId="3FA9378E"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0.937</w:t>
            </w:r>
          </w:p>
        </w:tc>
        <w:tc>
          <w:tcPr>
            <w:tcW w:w="480" w:type="dxa"/>
            <w:tcBorders>
              <w:top w:val="single" w:sz="4" w:space="0" w:color="auto"/>
              <w:left w:val="nil"/>
              <w:bottom w:val="single" w:sz="4" w:space="0" w:color="auto"/>
              <w:right w:val="nil"/>
            </w:tcBorders>
            <w:shd w:val="clear" w:color="auto" w:fill="auto"/>
            <w:vAlign w:val="center"/>
          </w:tcPr>
          <w:p w14:paraId="59C51F7F"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0.830</w:t>
            </w:r>
          </w:p>
        </w:tc>
        <w:tc>
          <w:tcPr>
            <w:tcW w:w="480" w:type="dxa"/>
            <w:tcBorders>
              <w:top w:val="single" w:sz="4" w:space="0" w:color="auto"/>
              <w:left w:val="nil"/>
              <w:bottom w:val="single" w:sz="4" w:space="0" w:color="auto"/>
              <w:right w:val="nil"/>
            </w:tcBorders>
            <w:shd w:val="clear" w:color="auto" w:fill="auto"/>
            <w:vAlign w:val="center"/>
          </w:tcPr>
          <w:p w14:paraId="7A562DF7"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0.830</w:t>
            </w:r>
          </w:p>
        </w:tc>
        <w:tc>
          <w:tcPr>
            <w:tcW w:w="480" w:type="dxa"/>
            <w:tcBorders>
              <w:top w:val="single" w:sz="4" w:space="0" w:color="auto"/>
              <w:left w:val="nil"/>
              <w:bottom w:val="single" w:sz="4" w:space="0" w:color="auto"/>
              <w:right w:val="nil"/>
            </w:tcBorders>
            <w:shd w:val="clear" w:color="auto" w:fill="auto"/>
            <w:vAlign w:val="center"/>
          </w:tcPr>
          <w:p w14:paraId="572E4CF9"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0.948</w:t>
            </w:r>
          </w:p>
        </w:tc>
        <w:tc>
          <w:tcPr>
            <w:tcW w:w="480" w:type="dxa"/>
            <w:tcBorders>
              <w:top w:val="single" w:sz="4" w:space="0" w:color="auto"/>
              <w:left w:val="nil"/>
              <w:bottom w:val="single" w:sz="4" w:space="0" w:color="auto"/>
              <w:right w:val="single" w:sz="4" w:space="0" w:color="auto"/>
            </w:tcBorders>
            <w:shd w:val="clear" w:color="000000" w:fill="FFFFFF"/>
            <w:vAlign w:val="center"/>
          </w:tcPr>
          <w:p w14:paraId="264BCA32" w14:textId="77777777" w:rsidR="00F731AC" w:rsidRPr="003B24F4" w:rsidRDefault="00F731AC" w:rsidP="00CC768C">
            <w:pPr>
              <w:spacing w:after="0" w:line="240" w:lineRule="auto"/>
              <w:jc w:val="center"/>
              <w:rPr>
                <w:rFonts w:eastAsia="Times New Roman"/>
                <w:color w:val="auto"/>
                <w:sz w:val="16"/>
                <w:szCs w:val="16"/>
                <w:lang w:eastAsia="en-SG"/>
              </w:rPr>
            </w:pPr>
            <w:r w:rsidRPr="003B24F4">
              <w:rPr>
                <w:sz w:val="16"/>
                <w:szCs w:val="16"/>
              </w:rPr>
              <w:t>−</w:t>
            </w:r>
          </w:p>
        </w:tc>
        <w:tc>
          <w:tcPr>
            <w:tcW w:w="630" w:type="dxa"/>
            <w:tcBorders>
              <w:top w:val="single" w:sz="4" w:space="0" w:color="auto"/>
              <w:left w:val="single" w:sz="4" w:space="0" w:color="auto"/>
              <w:bottom w:val="single" w:sz="4" w:space="0" w:color="auto"/>
              <w:right w:val="nil"/>
            </w:tcBorders>
            <w:shd w:val="clear" w:color="auto" w:fill="auto"/>
            <w:vAlign w:val="center"/>
          </w:tcPr>
          <w:p w14:paraId="44989C8E" w14:textId="77777777" w:rsidR="00F731AC" w:rsidRPr="002D1654" w:rsidRDefault="00F731AC" w:rsidP="00CC768C">
            <w:pPr>
              <w:spacing w:after="0" w:line="240" w:lineRule="auto"/>
              <w:jc w:val="center"/>
              <w:rPr>
                <w:rFonts w:eastAsia="Times New Roman"/>
                <w:color w:val="auto"/>
                <w:lang w:eastAsia="en-SG"/>
              </w:rPr>
            </w:pPr>
            <w:r w:rsidRPr="00001962">
              <w:t>70.994</w:t>
            </w:r>
          </w:p>
        </w:tc>
        <w:tc>
          <w:tcPr>
            <w:tcW w:w="630" w:type="dxa"/>
            <w:tcBorders>
              <w:top w:val="single" w:sz="4" w:space="0" w:color="auto"/>
              <w:left w:val="nil"/>
              <w:bottom w:val="single" w:sz="4" w:space="0" w:color="auto"/>
              <w:right w:val="nil"/>
            </w:tcBorders>
            <w:shd w:val="clear" w:color="auto" w:fill="auto"/>
            <w:vAlign w:val="center"/>
          </w:tcPr>
          <w:p w14:paraId="2DBADCDD" w14:textId="77777777" w:rsidR="00F731AC" w:rsidRPr="002D1654" w:rsidRDefault="00F731AC" w:rsidP="00CC768C">
            <w:pPr>
              <w:spacing w:after="0" w:line="240" w:lineRule="auto"/>
              <w:jc w:val="center"/>
              <w:rPr>
                <w:rFonts w:eastAsia="Times New Roman"/>
                <w:color w:val="auto"/>
                <w:lang w:eastAsia="en-SG"/>
              </w:rPr>
            </w:pPr>
            <w:r w:rsidRPr="003A1723">
              <w:t>70.994</w:t>
            </w:r>
          </w:p>
        </w:tc>
      </w:tr>
      <w:tr w:rsidR="00F731AC" w:rsidRPr="002D1654" w14:paraId="100D0D93" w14:textId="77777777" w:rsidTr="00CC768C">
        <w:trPr>
          <w:trHeight w:val="791"/>
          <w:jc w:val="center"/>
        </w:trPr>
        <w:tc>
          <w:tcPr>
            <w:tcW w:w="13950" w:type="dxa"/>
            <w:gridSpan w:val="25"/>
            <w:tcBorders>
              <w:top w:val="single" w:sz="4" w:space="0" w:color="auto"/>
              <w:left w:val="nil"/>
              <w:bottom w:val="nil"/>
              <w:right w:val="nil"/>
            </w:tcBorders>
            <w:shd w:val="clear" w:color="000000" w:fill="FFFFFF"/>
          </w:tcPr>
          <w:p w14:paraId="492585EF" w14:textId="77777777" w:rsidR="00F731AC" w:rsidRPr="002D1654" w:rsidRDefault="00F731AC" w:rsidP="00CC768C">
            <w:pPr>
              <w:spacing w:after="0" w:line="240" w:lineRule="auto"/>
              <w:rPr>
                <w:rFonts w:eastAsia="Times New Roman"/>
                <w:i/>
                <w:iCs/>
                <w:color w:val="auto"/>
                <w:lang w:eastAsia="en-SG"/>
              </w:rPr>
            </w:pPr>
          </w:p>
          <w:p w14:paraId="3F8FF093" w14:textId="77777777" w:rsidR="00F731AC" w:rsidRPr="002D1654" w:rsidRDefault="00F731AC" w:rsidP="00CC768C">
            <w:pPr>
              <w:spacing w:after="0" w:line="247" w:lineRule="auto"/>
              <w:rPr>
                <w:rFonts w:eastAsia="Times New Roman"/>
                <w:color w:val="auto"/>
                <w:lang w:eastAsia="en-SG"/>
              </w:rPr>
            </w:pPr>
            <w:r w:rsidRPr="002D1654">
              <w:rPr>
                <w:rFonts w:eastAsia="Times New Roman"/>
                <w:i/>
                <w:iCs/>
                <w:color w:val="auto"/>
                <w:lang w:eastAsia="en-SG"/>
              </w:rPr>
              <w:t>Notes.</w:t>
            </w:r>
            <w:r w:rsidRPr="002D1654">
              <w:rPr>
                <w:rFonts w:eastAsia="Times New Roman"/>
                <w:color w:val="auto"/>
                <w:lang w:eastAsia="en-SG"/>
              </w:rPr>
              <w:t xml:space="preserve"> ACSI = The American Customer Satisfaction Index; ID = Identification number</w:t>
            </w:r>
            <w:r>
              <w:rPr>
                <w:rFonts w:eastAsia="Times New Roman"/>
                <w:color w:val="auto"/>
                <w:lang w:eastAsia="en-SG"/>
              </w:rPr>
              <w:t>; CS Score = Customer Satisfaction Score</w:t>
            </w:r>
            <w:r w:rsidRPr="002D1654">
              <w:rPr>
                <w:rFonts w:eastAsia="Times New Roman"/>
                <w:color w:val="auto"/>
                <w:lang w:eastAsia="en-SG"/>
              </w:rPr>
              <w:t xml:space="preserve">. </w:t>
            </w:r>
            <w:r w:rsidRPr="002D1654">
              <w:rPr>
                <w:rFonts w:eastAsia="Times New Roman"/>
                <w:color w:val="auto"/>
                <w:vertAlign w:val="superscript"/>
                <w:lang w:eastAsia="en-SG"/>
              </w:rPr>
              <w:t>a</w:t>
            </w:r>
            <w:r w:rsidRPr="002D1654">
              <w:rPr>
                <w:rFonts w:eastAsia="Times New Roman"/>
                <w:color w:val="auto"/>
                <w:lang w:eastAsia="en-SG"/>
              </w:rPr>
              <w:t>These are the actual customer satisfaction scores as per the ACSI website for the brands that belong to the various ACSI-defined industries classified in the Transportation sector for the data year 2010. Consistent with our measurement of a firm’s overall customer satisfaction, for firms that possess multiple brands across several ACSI-defined sectors, we take the average weighted peers’ customer satisfaction scores across these sectors.</w:t>
            </w:r>
          </w:p>
        </w:tc>
      </w:tr>
    </w:tbl>
    <w:p w14:paraId="5FCE6F88" w14:textId="77777777" w:rsidR="00F731AC" w:rsidRPr="002D1654" w:rsidRDefault="00F731AC" w:rsidP="00F731AC">
      <w:pPr>
        <w:rPr>
          <w:color w:val="auto"/>
          <w:sz w:val="24"/>
          <w:szCs w:val="24"/>
        </w:rPr>
      </w:pPr>
      <w:r w:rsidRPr="002D1654">
        <w:rPr>
          <w:color w:val="auto"/>
          <w:sz w:val="24"/>
          <w:szCs w:val="24"/>
        </w:rPr>
        <w:br w:type="page"/>
      </w:r>
    </w:p>
    <w:p w14:paraId="0D9997EA" w14:textId="77777777" w:rsidR="00F731AC" w:rsidRPr="002D1654" w:rsidRDefault="00F731AC" w:rsidP="00F731AC">
      <w:pPr>
        <w:spacing w:before="120" w:after="0" w:line="240" w:lineRule="auto"/>
        <w:rPr>
          <w:b/>
          <w:color w:val="auto"/>
          <w:sz w:val="24"/>
          <w:szCs w:val="24"/>
          <w:u w:val="single"/>
        </w:rPr>
        <w:sectPr w:rsidR="00F731AC" w:rsidRPr="002D1654" w:rsidSect="00581021">
          <w:pgSz w:w="16838" w:h="11906" w:orient="landscape" w:code="9"/>
          <w:pgMar w:top="1440" w:right="1440" w:bottom="1440" w:left="1440" w:header="706" w:footer="706" w:gutter="0"/>
          <w:cols w:space="708"/>
          <w:noEndnote/>
          <w:docGrid w:linePitch="360"/>
        </w:sectPr>
      </w:pPr>
    </w:p>
    <w:p w14:paraId="5865A7E0" w14:textId="77777777" w:rsidR="00F731AC" w:rsidRDefault="00F731AC" w:rsidP="00F731AC">
      <w:pPr>
        <w:jc w:val="center"/>
        <w:rPr>
          <w:b/>
          <w:color w:val="auto"/>
          <w:sz w:val="24"/>
          <w:szCs w:val="24"/>
        </w:rPr>
      </w:pPr>
      <w:r>
        <w:rPr>
          <w:b/>
          <w:color w:val="auto"/>
          <w:sz w:val="24"/>
          <w:szCs w:val="24"/>
        </w:rPr>
        <w:lastRenderedPageBreak/>
        <w:t>Web Appendix E</w:t>
      </w:r>
    </w:p>
    <w:tbl>
      <w:tblPr>
        <w:tblW w:w="8931" w:type="dxa"/>
        <w:jc w:val="center"/>
        <w:tblLayout w:type="fixed"/>
        <w:tblCellMar>
          <w:left w:w="0" w:type="dxa"/>
          <w:right w:w="0" w:type="dxa"/>
        </w:tblCellMar>
        <w:tblLook w:val="04A0" w:firstRow="1" w:lastRow="0" w:firstColumn="1" w:lastColumn="0" w:noHBand="0" w:noVBand="1"/>
      </w:tblPr>
      <w:tblGrid>
        <w:gridCol w:w="709"/>
        <w:gridCol w:w="5681"/>
        <w:gridCol w:w="840"/>
        <w:gridCol w:w="690"/>
        <w:gridCol w:w="18"/>
        <w:gridCol w:w="993"/>
      </w:tblGrid>
      <w:tr w:rsidR="00F731AC" w:rsidRPr="002D1654" w14:paraId="692BC4A5" w14:textId="77777777" w:rsidTr="00CC768C">
        <w:trPr>
          <w:trHeight w:val="360"/>
          <w:jc w:val="center"/>
        </w:trPr>
        <w:tc>
          <w:tcPr>
            <w:tcW w:w="8931" w:type="dxa"/>
            <w:gridSpan w:val="6"/>
            <w:tcBorders>
              <w:top w:val="nil"/>
              <w:left w:val="nil"/>
              <w:bottom w:val="nil"/>
              <w:right w:val="nil"/>
            </w:tcBorders>
            <w:shd w:val="clear" w:color="000000" w:fill="FFFFFF"/>
            <w:noWrap/>
            <w:tcMar>
              <w:top w:w="29" w:type="dxa"/>
              <w:left w:w="14" w:type="dxa"/>
              <w:bottom w:w="29" w:type="dxa"/>
              <w:right w:w="14" w:type="dxa"/>
            </w:tcMar>
            <w:hideMark/>
          </w:tcPr>
          <w:p w14:paraId="7F164474" w14:textId="36D3DB48" w:rsidR="00F731AC" w:rsidRDefault="007E0638" w:rsidP="00CC768C">
            <w:pPr>
              <w:spacing w:after="0" w:line="245" w:lineRule="auto"/>
              <w:jc w:val="center"/>
              <w:rPr>
                <w:rFonts w:eastAsia="Times New Roman"/>
                <w:b/>
                <w:bCs/>
                <w:color w:val="auto"/>
                <w:sz w:val="24"/>
                <w:szCs w:val="23"/>
              </w:rPr>
            </w:pPr>
            <w:r>
              <w:rPr>
                <w:rFonts w:eastAsia="Times New Roman"/>
                <w:b/>
                <w:bCs/>
                <w:color w:val="auto"/>
                <w:sz w:val="24"/>
                <w:szCs w:val="23"/>
              </w:rPr>
              <w:t xml:space="preserve">TABLE E1: </w:t>
            </w:r>
          </w:p>
          <w:p w14:paraId="144D00FE" w14:textId="04899F6B" w:rsidR="00F731AC" w:rsidRPr="002D1654" w:rsidRDefault="007E0638" w:rsidP="00CC768C">
            <w:pPr>
              <w:spacing w:after="120" w:line="245" w:lineRule="auto"/>
              <w:jc w:val="center"/>
              <w:rPr>
                <w:rFonts w:eastAsia="Times New Roman"/>
                <w:b/>
                <w:bCs/>
                <w:color w:val="auto"/>
                <w:sz w:val="24"/>
                <w:szCs w:val="23"/>
              </w:rPr>
            </w:pPr>
            <w:r>
              <w:rPr>
                <w:rFonts w:eastAsia="Times New Roman"/>
                <w:b/>
                <w:bCs/>
                <w:color w:val="auto"/>
                <w:sz w:val="24"/>
                <w:szCs w:val="23"/>
              </w:rPr>
              <w:t>RESULTS F</w:t>
            </w:r>
            <w:r w:rsidRPr="002D1654">
              <w:rPr>
                <w:rFonts w:eastAsia="Times New Roman"/>
                <w:b/>
                <w:bCs/>
                <w:color w:val="auto"/>
                <w:sz w:val="24"/>
                <w:szCs w:val="23"/>
              </w:rPr>
              <w:t>ROM AUXILIARY REGRESSION</w:t>
            </w:r>
          </w:p>
        </w:tc>
      </w:tr>
      <w:tr w:rsidR="00F731AC" w:rsidRPr="002D1654" w14:paraId="77DE27D9" w14:textId="77777777" w:rsidTr="00CC768C">
        <w:trPr>
          <w:trHeight w:val="283"/>
          <w:jc w:val="center"/>
        </w:trPr>
        <w:tc>
          <w:tcPr>
            <w:tcW w:w="709" w:type="dxa"/>
            <w:tcBorders>
              <w:top w:val="single" w:sz="4" w:space="0" w:color="auto"/>
              <w:left w:val="nil"/>
              <w:bottom w:val="single" w:sz="4" w:space="0" w:color="auto"/>
              <w:right w:val="nil"/>
            </w:tcBorders>
            <w:shd w:val="clear" w:color="000000" w:fill="FFFFFF"/>
            <w:noWrap/>
            <w:tcMar>
              <w:top w:w="29" w:type="dxa"/>
              <w:left w:w="14" w:type="dxa"/>
              <w:bottom w:w="29" w:type="dxa"/>
              <w:right w:w="14" w:type="dxa"/>
            </w:tcMar>
            <w:hideMark/>
          </w:tcPr>
          <w:p w14:paraId="4F23ECDF" w14:textId="77777777" w:rsidR="00F731AC" w:rsidRPr="002D1654" w:rsidRDefault="00F731AC" w:rsidP="00CC768C">
            <w:pPr>
              <w:spacing w:after="0" w:line="245" w:lineRule="auto"/>
              <w:jc w:val="center"/>
              <w:rPr>
                <w:rFonts w:eastAsia="Times New Roman"/>
                <w:b/>
                <w:bCs/>
                <w:i/>
                <w:iCs/>
                <w:color w:val="auto"/>
              </w:rPr>
            </w:pPr>
          </w:p>
        </w:tc>
        <w:tc>
          <w:tcPr>
            <w:tcW w:w="5681" w:type="dxa"/>
            <w:tcBorders>
              <w:top w:val="single" w:sz="4" w:space="0" w:color="auto"/>
              <w:left w:val="nil"/>
              <w:bottom w:val="single" w:sz="4" w:space="0" w:color="auto"/>
              <w:right w:val="nil"/>
            </w:tcBorders>
            <w:shd w:val="clear" w:color="000000" w:fill="FFFFFF"/>
            <w:noWrap/>
            <w:tcMar>
              <w:top w:w="29" w:type="dxa"/>
              <w:left w:w="14" w:type="dxa"/>
              <w:bottom w:w="29" w:type="dxa"/>
              <w:right w:w="14" w:type="dxa"/>
            </w:tcMar>
            <w:hideMark/>
          </w:tcPr>
          <w:p w14:paraId="3042F550" w14:textId="77777777" w:rsidR="00F731AC" w:rsidRPr="002D1654" w:rsidRDefault="00F731AC" w:rsidP="00CC768C">
            <w:pPr>
              <w:spacing w:after="0" w:line="245" w:lineRule="auto"/>
              <w:rPr>
                <w:rFonts w:eastAsia="Times New Roman"/>
                <w:b/>
                <w:bCs/>
                <w:i/>
                <w:iCs/>
                <w:color w:val="auto"/>
              </w:rPr>
            </w:pPr>
          </w:p>
        </w:tc>
        <w:tc>
          <w:tcPr>
            <w:tcW w:w="840" w:type="dxa"/>
            <w:tcBorders>
              <w:top w:val="single" w:sz="4" w:space="0" w:color="auto"/>
              <w:left w:val="nil"/>
              <w:bottom w:val="single" w:sz="4" w:space="0" w:color="auto"/>
              <w:right w:val="nil"/>
            </w:tcBorders>
            <w:shd w:val="clear" w:color="000000" w:fill="FFFFFF"/>
            <w:noWrap/>
            <w:tcMar>
              <w:top w:w="29" w:type="dxa"/>
              <w:left w:w="14" w:type="dxa"/>
              <w:bottom w:w="29" w:type="dxa"/>
              <w:right w:w="14" w:type="dxa"/>
            </w:tcMar>
            <w:hideMark/>
          </w:tcPr>
          <w:p w14:paraId="13C9D0C9" w14:textId="77777777" w:rsidR="00F731AC" w:rsidRPr="005A0DA0" w:rsidRDefault="00F731AC" w:rsidP="00CC768C">
            <w:pPr>
              <w:spacing w:after="0" w:line="245" w:lineRule="auto"/>
              <w:jc w:val="right"/>
              <w:rPr>
                <w:rFonts w:eastAsia="Times New Roman"/>
                <w:b/>
                <w:color w:val="auto"/>
                <w:sz w:val="20"/>
                <w:szCs w:val="20"/>
              </w:rPr>
            </w:pPr>
            <w:r w:rsidRPr="005A0DA0">
              <w:rPr>
                <w:rFonts w:eastAsia="Times New Roman"/>
                <w:b/>
                <w:color w:val="auto"/>
                <w:sz w:val="20"/>
                <w:szCs w:val="20"/>
              </w:rPr>
              <w:t>Coeff</w:t>
            </w:r>
          </w:p>
        </w:tc>
        <w:tc>
          <w:tcPr>
            <w:tcW w:w="708" w:type="dxa"/>
            <w:gridSpan w:val="2"/>
            <w:tcBorders>
              <w:top w:val="single" w:sz="4" w:space="0" w:color="auto"/>
              <w:left w:val="nil"/>
              <w:bottom w:val="single" w:sz="4" w:space="0" w:color="auto"/>
              <w:right w:val="nil"/>
            </w:tcBorders>
            <w:shd w:val="clear" w:color="000000" w:fill="FFFFFF"/>
            <w:noWrap/>
            <w:tcMar>
              <w:top w:w="29" w:type="dxa"/>
              <w:left w:w="14" w:type="dxa"/>
              <w:bottom w:w="29" w:type="dxa"/>
              <w:right w:w="14" w:type="dxa"/>
            </w:tcMar>
            <w:hideMark/>
          </w:tcPr>
          <w:p w14:paraId="405B76E0" w14:textId="77777777" w:rsidR="00F731AC" w:rsidRPr="005A0DA0" w:rsidRDefault="00F731AC" w:rsidP="00CC768C">
            <w:pPr>
              <w:spacing w:after="0" w:line="245" w:lineRule="auto"/>
              <w:jc w:val="right"/>
              <w:rPr>
                <w:rFonts w:eastAsia="Times New Roman"/>
                <w:b/>
                <w:color w:val="auto"/>
                <w:sz w:val="20"/>
                <w:szCs w:val="20"/>
              </w:rPr>
            </w:pPr>
            <w:r w:rsidRPr="005A0DA0">
              <w:rPr>
                <w:rFonts w:eastAsia="Times New Roman"/>
                <w:b/>
                <w:color w:val="auto"/>
                <w:sz w:val="20"/>
                <w:szCs w:val="20"/>
              </w:rPr>
              <w:t>(SE)</w:t>
            </w:r>
          </w:p>
        </w:tc>
        <w:tc>
          <w:tcPr>
            <w:tcW w:w="993" w:type="dxa"/>
            <w:tcBorders>
              <w:top w:val="single" w:sz="4" w:space="0" w:color="auto"/>
              <w:left w:val="nil"/>
              <w:bottom w:val="single" w:sz="4" w:space="0" w:color="auto"/>
              <w:right w:val="nil"/>
            </w:tcBorders>
            <w:shd w:val="clear" w:color="000000" w:fill="FFFFFF"/>
            <w:noWrap/>
            <w:tcMar>
              <w:top w:w="29" w:type="dxa"/>
              <w:left w:w="14" w:type="dxa"/>
              <w:bottom w:w="29" w:type="dxa"/>
              <w:right w:w="14" w:type="dxa"/>
            </w:tcMar>
            <w:hideMark/>
          </w:tcPr>
          <w:p w14:paraId="0FEC50A3" w14:textId="77777777" w:rsidR="00F731AC" w:rsidRPr="005A0DA0" w:rsidRDefault="00F731AC" w:rsidP="00CC768C">
            <w:pPr>
              <w:spacing w:after="0" w:line="245" w:lineRule="auto"/>
              <w:rPr>
                <w:rFonts w:eastAsia="Times New Roman"/>
                <w:b/>
                <w:color w:val="auto"/>
                <w:sz w:val="20"/>
                <w:szCs w:val="20"/>
              </w:rPr>
            </w:pPr>
            <w:r w:rsidRPr="005A0DA0">
              <w:rPr>
                <w:rFonts w:eastAsia="Times New Roman"/>
                <w:b/>
                <w:color w:val="auto"/>
                <w:sz w:val="20"/>
                <w:szCs w:val="20"/>
              </w:rPr>
              <w:t> </w:t>
            </w:r>
          </w:p>
        </w:tc>
      </w:tr>
      <w:tr w:rsidR="00F731AC" w:rsidRPr="002D1654" w14:paraId="2C01EDA7" w14:textId="77777777" w:rsidTr="00CC768C">
        <w:trPr>
          <w:trHeight w:val="283"/>
          <w:jc w:val="center"/>
        </w:trPr>
        <w:tc>
          <w:tcPr>
            <w:tcW w:w="6390" w:type="dxa"/>
            <w:gridSpan w:val="2"/>
            <w:tcBorders>
              <w:top w:val="nil"/>
              <w:left w:val="nil"/>
              <w:bottom w:val="nil"/>
              <w:right w:val="nil"/>
            </w:tcBorders>
            <w:shd w:val="clear" w:color="000000" w:fill="FFFFFF"/>
            <w:noWrap/>
            <w:tcMar>
              <w:top w:w="29" w:type="dxa"/>
              <w:left w:w="14" w:type="dxa"/>
              <w:bottom w:w="29" w:type="dxa"/>
              <w:right w:w="14" w:type="dxa"/>
            </w:tcMar>
          </w:tcPr>
          <w:p w14:paraId="20AB973C" w14:textId="77777777" w:rsidR="00F731AC" w:rsidRPr="0048252D" w:rsidRDefault="00F731AC" w:rsidP="00CC768C">
            <w:pPr>
              <w:spacing w:after="0" w:line="245" w:lineRule="auto"/>
              <w:ind w:left="433"/>
              <w:rPr>
                <w:rFonts w:eastAsia="Times New Roman"/>
                <w:color w:val="auto"/>
                <w:sz w:val="20"/>
                <w:szCs w:val="20"/>
              </w:rPr>
            </w:pPr>
            <w:r>
              <w:rPr>
                <w:rFonts w:eastAsia="Times New Roman"/>
                <w:b/>
                <w:color w:val="auto"/>
                <w:sz w:val="20"/>
                <w:szCs w:val="20"/>
              </w:rPr>
              <w:t>Exclusion Restriction</w:t>
            </w:r>
            <w:r w:rsidRPr="00ED5F10" w:rsidDel="00ED5F10">
              <w:rPr>
                <w:color w:val="auto"/>
                <w:sz w:val="20"/>
                <w:szCs w:val="20"/>
              </w:rPr>
              <w:t xml:space="preserve"> </w:t>
            </w:r>
          </w:p>
        </w:tc>
        <w:tc>
          <w:tcPr>
            <w:tcW w:w="840" w:type="dxa"/>
            <w:tcBorders>
              <w:top w:val="nil"/>
              <w:left w:val="nil"/>
              <w:bottom w:val="nil"/>
              <w:right w:val="nil"/>
            </w:tcBorders>
            <w:shd w:val="clear" w:color="auto" w:fill="auto"/>
            <w:noWrap/>
            <w:tcMar>
              <w:top w:w="29" w:type="dxa"/>
              <w:left w:w="14" w:type="dxa"/>
              <w:bottom w:w="29" w:type="dxa"/>
              <w:right w:w="14" w:type="dxa"/>
            </w:tcMar>
          </w:tcPr>
          <w:p w14:paraId="71D5A5BF" w14:textId="77777777" w:rsidR="00F731AC" w:rsidRPr="0048252D" w:rsidRDefault="00F731AC" w:rsidP="00CC768C">
            <w:pPr>
              <w:spacing w:after="0" w:line="245" w:lineRule="auto"/>
              <w:jc w:val="right"/>
              <w:rPr>
                <w:rFonts w:eastAsia="Times New Roman"/>
                <w:color w:val="auto"/>
                <w:sz w:val="20"/>
                <w:szCs w:val="20"/>
              </w:rPr>
            </w:pPr>
          </w:p>
        </w:tc>
        <w:tc>
          <w:tcPr>
            <w:tcW w:w="708" w:type="dxa"/>
            <w:gridSpan w:val="2"/>
            <w:tcBorders>
              <w:top w:val="nil"/>
              <w:left w:val="nil"/>
              <w:bottom w:val="nil"/>
              <w:right w:val="nil"/>
            </w:tcBorders>
            <w:shd w:val="clear" w:color="auto" w:fill="auto"/>
            <w:noWrap/>
            <w:tcMar>
              <w:top w:w="29" w:type="dxa"/>
              <w:left w:w="14" w:type="dxa"/>
              <w:bottom w:w="29" w:type="dxa"/>
              <w:right w:w="14" w:type="dxa"/>
            </w:tcMar>
          </w:tcPr>
          <w:p w14:paraId="2C447F22" w14:textId="77777777" w:rsidR="00F731AC" w:rsidRPr="0048252D" w:rsidRDefault="00F731AC" w:rsidP="00CC768C">
            <w:pPr>
              <w:spacing w:after="0" w:line="245" w:lineRule="auto"/>
              <w:jc w:val="right"/>
              <w:rPr>
                <w:rFonts w:eastAsia="Times New Roman"/>
                <w:color w:val="auto"/>
                <w:sz w:val="20"/>
                <w:szCs w:val="20"/>
              </w:rPr>
            </w:pPr>
          </w:p>
        </w:tc>
        <w:tc>
          <w:tcPr>
            <w:tcW w:w="993" w:type="dxa"/>
            <w:tcBorders>
              <w:top w:val="nil"/>
              <w:left w:val="nil"/>
              <w:bottom w:val="nil"/>
              <w:right w:val="nil"/>
            </w:tcBorders>
            <w:shd w:val="clear" w:color="auto" w:fill="auto"/>
            <w:noWrap/>
            <w:tcMar>
              <w:top w:w="29" w:type="dxa"/>
              <w:left w:w="14" w:type="dxa"/>
              <w:bottom w:w="29" w:type="dxa"/>
              <w:right w:w="14" w:type="dxa"/>
            </w:tcMar>
          </w:tcPr>
          <w:p w14:paraId="5ACE00CF" w14:textId="77777777" w:rsidR="00F731AC" w:rsidRPr="0048252D" w:rsidRDefault="00F731AC" w:rsidP="00CC768C">
            <w:pPr>
              <w:spacing w:after="0" w:line="245" w:lineRule="auto"/>
              <w:rPr>
                <w:rFonts w:eastAsia="Times New Roman"/>
                <w:color w:val="auto"/>
                <w:sz w:val="20"/>
                <w:szCs w:val="20"/>
              </w:rPr>
            </w:pPr>
          </w:p>
        </w:tc>
      </w:tr>
      <w:tr w:rsidR="00F731AC" w:rsidRPr="002D1654" w14:paraId="16400E16" w14:textId="77777777" w:rsidTr="00CC768C">
        <w:trPr>
          <w:trHeight w:val="283"/>
          <w:jc w:val="center"/>
        </w:trPr>
        <w:tc>
          <w:tcPr>
            <w:tcW w:w="709" w:type="dxa"/>
            <w:tcBorders>
              <w:top w:val="nil"/>
              <w:left w:val="nil"/>
              <w:bottom w:val="nil"/>
              <w:right w:val="nil"/>
            </w:tcBorders>
            <w:shd w:val="clear" w:color="000000" w:fill="FFFFFF"/>
            <w:noWrap/>
            <w:tcMar>
              <w:top w:w="29" w:type="dxa"/>
              <w:left w:w="14" w:type="dxa"/>
              <w:bottom w:w="29" w:type="dxa"/>
              <w:right w:w="14" w:type="dxa"/>
            </w:tcMar>
          </w:tcPr>
          <w:p w14:paraId="6106DB16" w14:textId="77777777" w:rsidR="00F731AC" w:rsidRPr="00ED5F10" w:rsidRDefault="00F731AC" w:rsidP="00CC768C">
            <w:pPr>
              <w:spacing w:after="0" w:line="245" w:lineRule="auto"/>
              <w:rPr>
                <w:rFonts w:eastAsia="Times New Roman"/>
                <w:color w:val="auto"/>
                <w:sz w:val="20"/>
                <w:szCs w:val="20"/>
              </w:rPr>
            </w:pPr>
          </w:p>
        </w:tc>
        <w:tc>
          <w:tcPr>
            <w:tcW w:w="5681" w:type="dxa"/>
            <w:tcBorders>
              <w:top w:val="nil"/>
              <w:left w:val="nil"/>
              <w:bottom w:val="nil"/>
              <w:right w:val="nil"/>
            </w:tcBorders>
            <w:shd w:val="clear" w:color="000000" w:fill="FFFFFF"/>
            <w:noWrap/>
            <w:tcMar>
              <w:top w:w="29" w:type="dxa"/>
              <w:left w:w="14" w:type="dxa"/>
              <w:bottom w:w="29" w:type="dxa"/>
              <w:right w:w="14" w:type="dxa"/>
            </w:tcMar>
          </w:tcPr>
          <w:p w14:paraId="5F0FB667" w14:textId="77777777" w:rsidR="00F731AC" w:rsidRPr="00ED5F10" w:rsidRDefault="00F731AC" w:rsidP="00CC768C">
            <w:pPr>
              <w:spacing w:after="0" w:line="245" w:lineRule="auto"/>
              <w:rPr>
                <w:color w:val="auto"/>
                <w:sz w:val="20"/>
                <w:szCs w:val="20"/>
              </w:rPr>
            </w:pPr>
            <w:r w:rsidRPr="00365A39">
              <w:rPr>
                <w:color w:val="auto"/>
                <w:sz w:val="20"/>
                <w:szCs w:val="20"/>
              </w:rPr>
              <w:t>Weighted Peers’ Customer Satisfaction</w:t>
            </w:r>
          </w:p>
        </w:tc>
        <w:tc>
          <w:tcPr>
            <w:tcW w:w="840" w:type="dxa"/>
            <w:tcBorders>
              <w:top w:val="nil"/>
              <w:left w:val="nil"/>
              <w:bottom w:val="nil"/>
              <w:right w:val="nil"/>
            </w:tcBorders>
            <w:shd w:val="clear" w:color="auto" w:fill="auto"/>
            <w:noWrap/>
            <w:tcMar>
              <w:top w:w="29" w:type="dxa"/>
              <w:left w:w="14" w:type="dxa"/>
              <w:bottom w:w="29" w:type="dxa"/>
              <w:right w:w="14" w:type="dxa"/>
            </w:tcMar>
          </w:tcPr>
          <w:p w14:paraId="78D57E55" w14:textId="77777777" w:rsidR="00F731AC" w:rsidRPr="00ED5F10" w:rsidRDefault="00F731AC" w:rsidP="00CC768C">
            <w:pPr>
              <w:spacing w:after="0" w:line="245" w:lineRule="auto"/>
              <w:jc w:val="right"/>
              <w:rPr>
                <w:sz w:val="20"/>
                <w:szCs w:val="20"/>
              </w:rPr>
            </w:pPr>
            <w:r w:rsidRPr="006E0CC2">
              <w:rPr>
                <w:sz w:val="20"/>
                <w:szCs w:val="20"/>
              </w:rPr>
              <w:t>.567</w:t>
            </w:r>
          </w:p>
        </w:tc>
        <w:tc>
          <w:tcPr>
            <w:tcW w:w="708" w:type="dxa"/>
            <w:gridSpan w:val="2"/>
            <w:tcBorders>
              <w:top w:val="nil"/>
              <w:left w:val="nil"/>
              <w:bottom w:val="nil"/>
              <w:right w:val="nil"/>
            </w:tcBorders>
            <w:shd w:val="clear" w:color="auto" w:fill="auto"/>
            <w:noWrap/>
            <w:tcMar>
              <w:top w:w="29" w:type="dxa"/>
              <w:left w:w="14" w:type="dxa"/>
              <w:bottom w:w="29" w:type="dxa"/>
              <w:right w:w="14" w:type="dxa"/>
            </w:tcMar>
          </w:tcPr>
          <w:p w14:paraId="315C78D1" w14:textId="77777777" w:rsidR="00F731AC" w:rsidRPr="00ED5F10" w:rsidRDefault="00F731AC" w:rsidP="00CC768C">
            <w:pPr>
              <w:spacing w:after="0" w:line="245" w:lineRule="auto"/>
              <w:jc w:val="right"/>
              <w:rPr>
                <w:sz w:val="20"/>
                <w:szCs w:val="20"/>
              </w:rPr>
            </w:pPr>
            <w:r w:rsidRPr="006E0CC2">
              <w:rPr>
                <w:sz w:val="20"/>
                <w:szCs w:val="20"/>
              </w:rPr>
              <w:t>(.057)</w:t>
            </w:r>
          </w:p>
        </w:tc>
        <w:tc>
          <w:tcPr>
            <w:tcW w:w="993" w:type="dxa"/>
            <w:tcBorders>
              <w:top w:val="nil"/>
              <w:left w:val="nil"/>
              <w:bottom w:val="nil"/>
              <w:right w:val="nil"/>
            </w:tcBorders>
            <w:shd w:val="clear" w:color="auto" w:fill="auto"/>
            <w:noWrap/>
            <w:tcMar>
              <w:top w:w="29" w:type="dxa"/>
              <w:left w:w="14" w:type="dxa"/>
              <w:bottom w:w="29" w:type="dxa"/>
              <w:right w:w="14" w:type="dxa"/>
            </w:tcMar>
          </w:tcPr>
          <w:p w14:paraId="4393C02B" w14:textId="77777777" w:rsidR="00F731AC" w:rsidRPr="00ED5F10" w:rsidRDefault="00F731AC" w:rsidP="00CC768C">
            <w:pPr>
              <w:spacing w:after="0" w:line="245" w:lineRule="auto"/>
              <w:rPr>
                <w:sz w:val="20"/>
                <w:szCs w:val="20"/>
              </w:rPr>
            </w:pPr>
            <w:r w:rsidRPr="006E0CC2">
              <w:rPr>
                <w:sz w:val="20"/>
                <w:szCs w:val="20"/>
              </w:rPr>
              <w:t>***</w:t>
            </w:r>
          </w:p>
        </w:tc>
      </w:tr>
      <w:tr w:rsidR="00F731AC" w:rsidRPr="002D1654" w14:paraId="25405EF9" w14:textId="77777777" w:rsidTr="00CC768C">
        <w:trPr>
          <w:trHeight w:val="283"/>
          <w:jc w:val="center"/>
        </w:trPr>
        <w:tc>
          <w:tcPr>
            <w:tcW w:w="6390" w:type="dxa"/>
            <w:gridSpan w:val="2"/>
            <w:tcBorders>
              <w:top w:val="nil"/>
              <w:left w:val="nil"/>
              <w:bottom w:val="nil"/>
              <w:right w:val="nil"/>
            </w:tcBorders>
            <w:shd w:val="clear" w:color="000000" w:fill="FFFFFF"/>
            <w:noWrap/>
            <w:tcMar>
              <w:top w:w="29" w:type="dxa"/>
              <w:left w:w="14" w:type="dxa"/>
              <w:bottom w:w="29" w:type="dxa"/>
              <w:right w:w="14" w:type="dxa"/>
            </w:tcMar>
          </w:tcPr>
          <w:p w14:paraId="32691B04" w14:textId="77777777" w:rsidR="00F731AC" w:rsidRPr="00ED5F10" w:rsidRDefault="00F731AC" w:rsidP="00CC768C">
            <w:pPr>
              <w:spacing w:after="0" w:line="245" w:lineRule="auto"/>
              <w:ind w:left="433"/>
              <w:rPr>
                <w:color w:val="auto"/>
                <w:sz w:val="20"/>
                <w:szCs w:val="20"/>
              </w:rPr>
            </w:pPr>
            <w:r w:rsidRPr="00711E4C">
              <w:rPr>
                <w:rFonts w:eastAsia="Times New Roman"/>
                <w:b/>
                <w:color w:val="auto"/>
                <w:sz w:val="20"/>
                <w:szCs w:val="20"/>
              </w:rPr>
              <w:t>Firm-Level Controls</w:t>
            </w:r>
          </w:p>
        </w:tc>
        <w:tc>
          <w:tcPr>
            <w:tcW w:w="840" w:type="dxa"/>
            <w:tcBorders>
              <w:top w:val="nil"/>
              <w:left w:val="nil"/>
              <w:bottom w:val="nil"/>
              <w:right w:val="nil"/>
            </w:tcBorders>
            <w:shd w:val="clear" w:color="auto" w:fill="auto"/>
            <w:noWrap/>
            <w:tcMar>
              <w:top w:w="29" w:type="dxa"/>
              <w:left w:w="14" w:type="dxa"/>
              <w:bottom w:w="29" w:type="dxa"/>
              <w:right w:w="14" w:type="dxa"/>
            </w:tcMar>
          </w:tcPr>
          <w:p w14:paraId="053E24B3" w14:textId="77777777" w:rsidR="00F731AC" w:rsidRPr="00ED5F10" w:rsidRDefault="00F731AC" w:rsidP="00CC768C">
            <w:pPr>
              <w:spacing w:after="0" w:line="245" w:lineRule="auto"/>
              <w:jc w:val="right"/>
              <w:rPr>
                <w:sz w:val="20"/>
                <w:szCs w:val="20"/>
              </w:rPr>
            </w:pPr>
          </w:p>
        </w:tc>
        <w:tc>
          <w:tcPr>
            <w:tcW w:w="708" w:type="dxa"/>
            <w:gridSpan w:val="2"/>
            <w:tcBorders>
              <w:top w:val="nil"/>
              <w:left w:val="nil"/>
              <w:bottom w:val="nil"/>
              <w:right w:val="nil"/>
            </w:tcBorders>
            <w:shd w:val="clear" w:color="auto" w:fill="auto"/>
            <w:noWrap/>
            <w:tcMar>
              <w:top w:w="29" w:type="dxa"/>
              <w:left w:w="14" w:type="dxa"/>
              <w:bottom w:w="29" w:type="dxa"/>
              <w:right w:w="14" w:type="dxa"/>
            </w:tcMar>
          </w:tcPr>
          <w:p w14:paraId="3C129C01" w14:textId="77777777" w:rsidR="00F731AC" w:rsidRPr="00ED5F10" w:rsidRDefault="00F731AC" w:rsidP="00CC768C">
            <w:pPr>
              <w:spacing w:after="0" w:line="245" w:lineRule="auto"/>
              <w:jc w:val="right"/>
              <w:rPr>
                <w:sz w:val="20"/>
                <w:szCs w:val="20"/>
              </w:rPr>
            </w:pPr>
          </w:p>
        </w:tc>
        <w:tc>
          <w:tcPr>
            <w:tcW w:w="993" w:type="dxa"/>
            <w:tcBorders>
              <w:top w:val="nil"/>
              <w:left w:val="nil"/>
              <w:bottom w:val="nil"/>
              <w:right w:val="nil"/>
            </w:tcBorders>
            <w:shd w:val="clear" w:color="auto" w:fill="auto"/>
            <w:noWrap/>
            <w:tcMar>
              <w:top w:w="29" w:type="dxa"/>
              <w:left w:w="14" w:type="dxa"/>
              <w:bottom w:w="29" w:type="dxa"/>
              <w:right w:w="14" w:type="dxa"/>
            </w:tcMar>
          </w:tcPr>
          <w:p w14:paraId="30F795F3" w14:textId="77777777" w:rsidR="00F731AC" w:rsidRPr="00ED5F10" w:rsidRDefault="00F731AC" w:rsidP="00CC768C">
            <w:pPr>
              <w:spacing w:after="0" w:line="245" w:lineRule="auto"/>
              <w:rPr>
                <w:sz w:val="20"/>
                <w:szCs w:val="20"/>
              </w:rPr>
            </w:pPr>
          </w:p>
        </w:tc>
      </w:tr>
      <w:tr w:rsidR="00F731AC" w:rsidRPr="002D1654" w14:paraId="2535BB83" w14:textId="77777777" w:rsidTr="00CC768C">
        <w:trPr>
          <w:trHeight w:val="283"/>
          <w:jc w:val="center"/>
        </w:trPr>
        <w:tc>
          <w:tcPr>
            <w:tcW w:w="709" w:type="dxa"/>
            <w:tcBorders>
              <w:top w:val="nil"/>
              <w:left w:val="nil"/>
              <w:bottom w:val="nil"/>
              <w:right w:val="nil"/>
            </w:tcBorders>
            <w:shd w:val="clear" w:color="000000" w:fill="FFFFFF"/>
            <w:noWrap/>
            <w:tcMar>
              <w:top w:w="29" w:type="dxa"/>
              <w:left w:w="14" w:type="dxa"/>
              <w:bottom w:w="29" w:type="dxa"/>
              <w:right w:w="14" w:type="dxa"/>
            </w:tcMar>
          </w:tcPr>
          <w:p w14:paraId="31884C2D" w14:textId="77777777" w:rsidR="00F731AC" w:rsidRPr="00ED5F10" w:rsidRDefault="00F731AC" w:rsidP="00CC768C">
            <w:pPr>
              <w:spacing w:after="0" w:line="245" w:lineRule="auto"/>
              <w:rPr>
                <w:rFonts w:eastAsia="Times New Roman"/>
                <w:color w:val="auto"/>
                <w:sz w:val="20"/>
                <w:szCs w:val="20"/>
              </w:rPr>
            </w:pPr>
            <w:r w:rsidRPr="0048252D">
              <w:rPr>
                <w:rFonts w:eastAsia="Times New Roman"/>
                <w:color w:val="auto"/>
                <w:sz w:val="20"/>
                <w:szCs w:val="20"/>
              </w:rPr>
              <w:t> </w:t>
            </w:r>
          </w:p>
        </w:tc>
        <w:tc>
          <w:tcPr>
            <w:tcW w:w="5681" w:type="dxa"/>
            <w:tcBorders>
              <w:top w:val="nil"/>
              <w:left w:val="nil"/>
              <w:bottom w:val="nil"/>
              <w:right w:val="nil"/>
            </w:tcBorders>
            <w:shd w:val="clear" w:color="000000" w:fill="FFFFFF"/>
            <w:noWrap/>
            <w:tcMar>
              <w:top w:w="29" w:type="dxa"/>
              <w:left w:w="14" w:type="dxa"/>
              <w:bottom w:w="29" w:type="dxa"/>
              <w:right w:w="14" w:type="dxa"/>
            </w:tcMar>
          </w:tcPr>
          <w:p w14:paraId="54DF2C65" w14:textId="77777777" w:rsidR="00F731AC" w:rsidRPr="00ED5F10" w:rsidRDefault="00F731AC" w:rsidP="00CC768C">
            <w:pPr>
              <w:spacing w:after="0" w:line="245" w:lineRule="auto"/>
              <w:rPr>
                <w:color w:val="auto"/>
                <w:sz w:val="20"/>
                <w:szCs w:val="20"/>
              </w:rPr>
            </w:pPr>
            <w:r w:rsidRPr="0048252D">
              <w:rPr>
                <w:color w:val="auto"/>
                <w:sz w:val="20"/>
                <w:szCs w:val="20"/>
              </w:rPr>
              <w:t>Firm Diversification</w:t>
            </w:r>
          </w:p>
        </w:tc>
        <w:tc>
          <w:tcPr>
            <w:tcW w:w="840" w:type="dxa"/>
            <w:tcBorders>
              <w:top w:val="nil"/>
              <w:left w:val="nil"/>
              <w:bottom w:val="nil"/>
              <w:right w:val="nil"/>
            </w:tcBorders>
            <w:shd w:val="clear" w:color="auto" w:fill="auto"/>
            <w:noWrap/>
            <w:tcMar>
              <w:top w:w="29" w:type="dxa"/>
              <w:left w:w="14" w:type="dxa"/>
              <w:bottom w:w="29" w:type="dxa"/>
              <w:right w:w="14" w:type="dxa"/>
            </w:tcMar>
          </w:tcPr>
          <w:p w14:paraId="10B6F490" w14:textId="77777777" w:rsidR="00F731AC" w:rsidRPr="00ED5F10" w:rsidRDefault="00F731AC" w:rsidP="00CC768C">
            <w:pPr>
              <w:spacing w:after="0" w:line="245" w:lineRule="auto"/>
              <w:jc w:val="right"/>
              <w:rPr>
                <w:sz w:val="20"/>
                <w:szCs w:val="20"/>
              </w:rPr>
            </w:pPr>
            <w:r w:rsidRPr="0048252D">
              <w:rPr>
                <w:sz w:val="20"/>
                <w:szCs w:val="20"/>
              </w:rPr>
              <w:t>-.006</w:t>
            </w:r>
          </w:p>
        </w:tc>
        <w:tc>
          <w:tcPr>
            <w:tcW w:w="708" w:type="dxa"/>
            <w:gridSpan w:val="2"/>
            <w:tcBorders>
              <w:top w:val="nil"/>
              <w:left w:val="nil"/>
              <w:bottom w:val="nil"/>
              <w:right w:val="nil"/>
            </w:tcBorders>
            <w:shd w:val="clear" w:color="auto" w:fill="auto"/>
            <w:noWrap/>
            <w:tcMar>
              <w:top w:w="29" w:type="dxa"/>
              <w:left w:w="14" w:type="dxa"/>
              <w:bottom w:w="29" w:type="dxa"/>
              <w:right w:w="14" w:type="dxa"/>
            </w:tcMar>
          </w:tcPr>
          <w:p w14:paraId="55D0F1EE" w14:textId="77777777" w:rsidR="00F731AC" w:rsidRPr="00ED5F10" w:rsidRDefault="00F731AC" w:rsidP="00CC768C">
            <w:pPr>
              <w:spacing w:after="0" w:line="245" w:lineRule="auto"/>
              <w:jc w:val="right"/>
              <w:rPr>
                <w:sz w:val="20"/>
                <w:szCs w:val="20"/>
              </w:rPr>
            </w:pPr>
            <w:r w:rsidRPr="0048252D">
              <w:rPr>
                <w:sz w:val="20"/>
                <w:szCs w:val="20"/>
              </w:rPr>
              <w:t>(.400)</w:t>
            </w:r>
          </w:p>
        </w:tc>
        <w:tc>
          <w:tcPr>
            <w:tcW w:w="993" w:type="dxa"/>
            <w:tcBorders>
              <w:top w:val="nil"/>
              <w:left w:val="nil"/>
              <w:bottom w:val="nil"/>
              <w:right w:val="nil"/>
            </w:tcBorders>
            <w:shd w:val="clear" w:color="auto" w:fill="auto"/>
            <w:noWrap/>
            <w:tcMar>
              <w:top w:w="29" w:type="dxa"/>
              <w:left w:w="14" w:type="dxa"/>
              <w:bottom w:w="29" w:type="dxa"/>
              <w:right w:w="14" w:type="dxa"/>
            </w:tcMar>
          </w:tcPr>
          <w:p w14:paraId="4BDE2B73" w14:textId="77777777" w:rsidR="00F731AC" w:rsidRPr="00ED5F10" w:rsidRDefault="00F731AC" w:rsidP="00CC768C">
            <w:pPr>
              <w:spacing w:after="0" w:line="245" w:lineRule="auto"/>
              <w:rPr>
                <w:sz w:val="20"/>
                <w:szCs w:val="20"/>
              </w:rPr>
            </w:pPr>
          </w:p>
        </w:tc>
      </w:tr>
      <w:tr w:rsidR="00F731AC" w:rsidRPr="002D1654" w14:paraId="6A5FF9C1" w14:textId="77777777" w:rsidTr="00CC768C">
        <w:trPr>
          <w:trHeight w:val="283"/>
          <w:jc w:val="center"/>
        </w:trPr>
        <w:tc>
          <w:tcPr>
            <w:tcW w:w="709" w:type="dxa"/>
            <w:tcBorders>
              <w:top w:val="nil"/>
              <w:left w:val="nil"/>
              <w:bottom w:val="nil"/>
              <w:right w:val="nil"/>
            </w:tcBorders>
            <w:shd w:val="clear" w:color="000000" w:fill="FFFFFF"/>
            <w:noWrap/>
            <w:tcMar>
              <w:top w:w="29" w:type="dxa"/>
              <w:left w:w="14" w:type="dxa"/>
              <w:bottom w:w="29" w:type="dxa"/>
              <w:right w:w="14" w:type="dxa"/>
            </w:tcMar>
          </w:tcPr>
          <w:p w14:paraId="1967572D" w14:textId="77777777" w:rsidR="00F731AC" w:rsidRPr="00ED5F10" w:rsidRDefault="00F731AC" w:rsidP="00CC768C">
            <w:pPr>
              <w:spacing w:after="0" w:line="245" w:lineRule="auto"/>
              <w:rPr>
                <w:rFonts w:eastAsia="Times New Roman"/>
                <w:color w:val="auto"/>
                <w:sz w:val="20"/>
                <w:szCs w:val="20"/>
              </w:rPr>
            </w:pPr>
          </w:p>
        </w:tc>
        <w:tc>
          <w:tcPr>
            <w:tcW w:w="5681" w:type="dxa"/>
            <w:tcBorders>
              <w:top w:val="nil"/>
              <w:left w:val="nil"/>
              <w:bottom w:val="nil"/>
              <w:right w:val="nil"/>
            </w:tcBorders>
            <w:shd w:val="clear" w:color="000000" w:fill="FFFFFF"/>
            <w:noWrap/>
            <w:tcMar>
              <w:top w:w="29" w:type="dxa"/>
              <w:left w:w="14" w:type="dxa"/>
              <w:bottom w:w="29" w:type="dxa"/>
              <w:right w:w="14" w:type="dxa"/>
            </w:tcMar>
          </w:tcPr>
          <w:p w14:paraId="2C8810DF" w14:textId="77777777" w:rsidR="00F731AC" w:rsidRPr="00ED5F10" w:rsidRDefault="00F731AC" w:rsidP="00CC768C">
            <w:pPr>
              <w:spacing w:after="0" w:line="245" w:lineRule="auto"/>
              <w:rPr>
                <w:color w:val="auto"/>
                <w:sz w:val="20"/>
                <w:szCs w:val="20"/>
              </w:rPr>
            </w:pPr>
            <w:r w:rsidRPr="00ED5F10">
              <w:rPr>
                <w:color w:val="auto"/>
                <w:sz w:val="20"/>
                <w:szCs w:val="20"/>
              </w:rPr>
              <w:t>Capital Intensity</w:t>
            </w:r>
          </w:p>
        </w:tc>
        <w:tc>
          <w:tcPr>
            <w:tcW w:w="840" w:type="dxa"/>
            <w:tcBorders>
              <w:top w:val="nil"/>
              <w:left w:val="nil"/>
              <w:bottom w:val="nil"/>
              <w:right w:val="nil"/>
            </w:tcBorders>
            <w:shd w:val="clear" w:color="auto" w:fill="auto"/>
            <w:noWrap/>
            <w:tcMar>
              <w:top w:w="29" w:type="dxa"/>
              <w:left w:w="14" w:type="dxa"/>
              <w:bottom w:w="29" w:type="dxa"/>
              <w:right w:w="14" w:type="dxa"/>
            </w:tcMar>
          </w:tcPr>
          <w:p w14:paraId="7AFC0556" w14:textId="77777777" w:rsidR="00F731AC" w:rsidRPr="00ED5F10" w:rsidRDefault="00F731AC" w:rsidP="00CC768C">
            <w:pPr>
              <w:spacing w:after="0" w:line="245" w:lineRule="auto"/>
              <w:jc w:val="right"/>
              <w:rPr>
                <w:color w:val="auto"/>
                <w:sz w:val="20"/>
                <w:szCs w:val="20"/>
              </w:rPr>
            </w:pPr>
            <w:r w:rsidRPr="00ED5F10">
              <w:rPr>
                <w:sz w:val="20"/>
                <w:szCs w:val="20"/>
              </w:rPr>
              <w:t>2.157</w:t>
            </w:r>
          </w:p>
        </w:tc>
        <w:tc>
          <w:tcPr>
            <w:tcW w:w="708" w:type="dxa"/>
            <w:gridSpan w:val="2"/>
            <w:tcBorders>
              <w:top w:val="nil"/>
              <w:left w:val="nil"/>
              <w:bottom w:val="nil"/>
              <w:right w:val="nil"/>
            </w:tcBorders>
            <w:shd w:val="clear" w:color="auto" w:fill="auto"/>
            <w:noWrap/>
            <w:tcMar>
              <w:top w:w="29" w:type="dxa"/>
              <w:left w:w="14" w:type="dxa"/>
              <w:bottom w:w="29" w:type="dxa"/>
              <w:right w:w="14" w:type="dxa"/>
            </w:tcMar>
          </w:tcPr>
          <w:p w14:paraId="3165BBA4" w14:textId="77777777" w:rsidR="00F731AC" w:rsidRPr="00ED5F10" w:rsidRDefault="00F731AC" w:rsidP="00CC768C">
            <w:pPr>
              <w:spacing w:after="0" w:line="245" w:lineRule="auto"/>
              <w:jc w:val="right"/>
              <w:rPr>
                <w:color w:val="auto"/>
                <w:sz w:val="20"/>
                <w:szCs w:val="20"/>
              </w:rPr>
            </w:pPr>
            <w:r w:rsidRPr="00ED5F10">
              <w:rPr>
                <w:sz w:val="20"/>
                <w:szCs w:val="20"/>
              </w:rPr>
              <w:t>(1.052)</w:t>
            </w:r>
          </w:p>
        </w:tc>
        <w:tc>
          <w:tcPr>
            <w:tcW w:w="993" w:type="dxa"/>
            <w:tcBorders>
              <w:top w:val="nil"/>
              <w:left w:val="nil"/>
              <w:bottom w:val="nil"/>
              <w:right w:val="nil"/>
            </w:tcBorders>
            <w:shd w:val="clear" w:color="auto" w:fill="auto"/>
            <w:noWrap/>
            <w:tcMar>
              <w:top w:w="29" w:type="dxa"/>
              <w:left w:w="14" w:type="dxa"/>
              <w:bottom w:w="29" w:type="dxa"/>
              <w:right w:w="14" w:type="dxa"/>
            </w:tcMar>
          </w:tcPr>
          <w:p w14:paraId="26DC3EBF" w14:textId="77777777" w:rsidR="00F731AC" w:rsidRPr="00ED5F10" w:rsidRDefault="00F731AC" w:rsidP="00CC768C">
            <w:pPr>
              <w:spacing w:after="0" w:line="245" w:lineRule="auto"/>
              <w:rPr>
                <w:color w:val="auto"/>
                <w:sz w:val="20"/>
                <w:szCs w:val="20"/>
              </w:rPr>
            </w:pPr>
            <w:r w:rsidRPr="00ED5F10">
              <w:rPr>
                <w:sz w:val="20"/>
                <w:szCs w:val="20"/>
              </w:rPr>
              <w:t>**</w:t>
            </w:r>
          </w:p>
        </w:tc>
      </w:tr>
      <w:tr w:rsidR="00F731AC" w:rsidRPr="002D1654" w14:paraId="46C949A2" w14:textId="77777777" w:rsidTr="00CC768C">
        <w:trPr>
          <w:trHeight w:val="283"/>
          <w:jc w:val="center"/>
        </w:trPr>
        <w:tc>
          <w:tcPr>
            <w:tcW w:w="709" w:type="dxa"/>
            <w:tcBorders>
              <w:top w:val="nil"/>
              <w:left w:val="nil"/>
              <w:bottom w:val="nil"/>
              <w:right w:val="nil"/>
            </w:tcBorders>
            <w:shd w:val="clear" w:color="000000" w:fill="FFFFFF"/>
            <w:noWrap/>
            <w:tcMar>
              <w:top w:w="29" w:type="dxa"/>
              <w:left w:w="14" w:type="dxa"/>
              <w:bottom w:w="29" w:type="dxa"/>
              <w:right w:w="14" w:type="dxa"/>
            </w:tcMar>
          </w:tcPr>
          <w:p w14:paraId="7EFD4F2E" w14:textId="77777777" w:rsidR="00F731AC" w:rsidRPr="0048252D" w:rsidRDefault="00F731AC" w:rsidP="00CC768C">
            <w:pPr>
              <w:spacing w:after="0" w:line="245" w:lineRule="auto"/>
              <w:rPr>
                <w:rFonts w:eastAsia="Times New Roman"/>
                <w:b/>
                <w:bCs/>
                <w:color w:val="auto"/>
                <w:sz w:val="20"/>
                <w:szCs w:val="20"/>
              </w:rPr>
            </w:pPr>
          </w:p>
        </w:tc>
        <w:tc>
          <w:tcPr>
            <w:tcW w:w="5681" w:type="dxa"/>
            <w:tcBorders>
              <w:top w:val="nil"/>
              <w:left w:val="nil"/>
              <w:bottom w:val="nil"/>
              <w:right w:val="nil"/>
            </w:tcBorders>
            <w:shd w:val="clear" w:color="000000" w:fill="FFFFFF"/>
            <w:noWrap/>
            <w:tcMar>
              <w:top w:w="29" w:type="dxa"/>
              <w:left w:w="14" w:type="dxa"/>
              <w:bottom w:w="29" w:type="dxa"/>
              <w:right w:w="14" w:type="dxa"/>
            </w:tcMar>
          </w:tcPr>
          <w:p w14:paraId="56D39165" w14:textId="77777777" w:rsidR="00F731AC" w:rsidRPr="0048252D" w:rsidRDefault="00F731AC" w:rsidP="00CC768C">
            <w:pPr>
              <w:spacing w:after="0" w:line="245" w:lineRule="auto"/>
              <w:rPr>
                <w:color w:val="auto"/>
                <w:sz w:val="20"/>
                <w:szCs w:val="20"/>
              </w:rPr>
            </w:pPr>
            <w:r w:rsidRPr="0048252D">
              <w:rPr>
                <w:color w:val="auto"/>
                <w:sz w:val="20"/>
                <w:szCs w:val="20"/>
              </w:rPr>
              <w:t>Financial Leverage</w:t>
            </w:r>
          </w:p>
        </w:tc>
        <w:tc>
          <w:tcPr>
            <w:tcW w:w="840" w:type="dxa"/>
            <w:tcBorders>
              <w:top w:val="nil"/>
              <w:left w:val="nil"/>
              <w:bottom w:val="nil"/>
              <w:right w:val="nil"/>
            </w:tcBorders>
            <w:shd w:val="clear" w:color="auto" w:fill="auto"/>
            <w:noWrap/>
            <w:tcMar>
              <w:top w:w="29" w:type="dxa"/>
              <w:left w:w="14" w:type="dxa"/>
              <w:bottom w:w="29" w:type="dxa"/>
              <w:right w:w="14" w:type="dxa"/>
            </w:tcMar>
          </w:tcPr>
          <w:p w14:paraId="0D7DA8EF" w14:textId="77777777" w:rsidR="00F731AC" w:rsidRPr="0048252D" w:rsidRDefault="00F731AC" w:rsidP="00CC768C">
            <w:pPr>
              <w:spacing w:after="0" w:line="245" w:lineRule="auto"/>
              <w:jc w:val="right"/>
              <w:rPr>
                <w:color w:val="auto"/>
                <w:sz w:val="20"/>
                <w:szCs w:val="20"/>
              </w:rPr>
            </w:pPr>
            <w:r w:rsidRPr="0048252D">
              <w:rPr>
                <w:sz w:val="20"/>
                <w:szCs w:val="20"/>
              </w:rPr>
              <w:t>-.692</w:t>
            </w:r>
          </w:p>
        </w:tc>
        <w:tc>
          <w:tcPr>
            <w:tcW w:w="708" w:type="dxa"/>
            <w:gridSpan w:val="2"/>
            <w:tcBorders>
              <w:top w:val="nil"/>
              <w:left w:val="nil"/>
              <w:bottom w:val="nil"/>
              <w:right w:val="nil"/>
            </w:tcBorders>
            <w:shd w:val="clear" w:color="auto" w:fill="auto"/>
            <w:noWrap/>
            <w:tcMar>
              <w:top w:w="29" w:type="dxa"/>
              <w:left w:w="14" w:type="dxa"/>
              <w:bottom w:w="29" w:type="dxa"/>
              <w:right w:w="14" w:type="dxa"/>
            </w:tcMar>
          </w:tcPr>
          <w:p w14:paraId="28C6991D" w14:textId="77777777" w:rsidR="00F731AC" w:rsidRPr="0048252D" w:rsidRDefault="00F731AC" w:rsidP="00CC768C">
            <w:pPr>
              <w:spacing w:after="0" w:line="245" w:lineRule="auto"/>
              <w:jc w:val="right"/>
              <w:rPr>
                <w:color w:val="auto"/>
                <w:sz w:val="20"/>
                <w:szCs w:val="20"/>
              </w:rPr>
            </w:pPr>
            <w:r w:rsidRPr="0048252D">
              <w:rPr>
                <w:sz w:val="20"/>
                <w:szCs w:val="20"/>
              </w:rPr>
              <w:t>(.685)</w:t>
            </w:r>
          </w:p>
        </w:tc>
        <w:tc>
          <w:tcPr>
            <w:tcW w:w="993" w:type="dxa"/>
            <w:tcBorders>
              <w:top w:val="nil"/>
              <w:left w:val="nil"/>
              <w:bottom w:val="nil"/>
              <w:right w:val="nil"/>
            </w:tcBorders>
            <w:shd w:val="clear" w:color="auto" w:fill="auto"/>
            <w:noWrap/>
            <w:tcMar>
              <w:top w:w="29" w:type="dxa"/>
              <w:left w:w="14" w:type="dxa"/>
              <w:bottom w:w="29" w:type="dxa"/>
              <w:right w:w="14" w:type="dxa"/>
            </w:tcMar>
          </w:tcPr>
          <w:p w14:paraId="65ECC187" w14:textId="77777777" w:rsidR="00F731AC" w:rsidRPr="0048252D" w:rsidRDefault="00F731AC" w:rsidP="00CC768C">
            <w:pPr>
              <w:spacing w:after="0" w:line="245" w:lineRule="auto"/>
              <w:rPr>
                <w:color w:val="auto"/>
                <w:sz w:val="20"/>
                <w:szCs w:val="20"/>
              </w:rPr>
            </w:pPr>
          </w:p>
        </w:tc>
      </w:tr>
      <w:tr w:rsidR="00F731AC" w:rsidRPr="002D1654" w14:paraId="791C785A" w14:textId="77777777" w:rsidTr="00CC768C">
        <w:trPr>
          <w:trHeight w:val="283"/>
          <w:jc w:val="center"/>
        </w:trPr>
        <w:tc>
          <w:tcPr>
            <w:tcW w:w="709" w:type="dxa"/>
            <w:tcBorders>
              <w:top w:val="nil"/>
              <w:left w:val="nil"/>
              <w:bottom w:val="nil"/>
              <w:right w:val="nil"/>
            </w:tcBorders>
            <w:shd w:val="clear" w:color="000000" w:fill="FFFFFF"/>
            <w:noWrap/>
            <w:tcMar>
              <w:top w:w="29" w:type="dxa"/>
              <w:left w:w="14" w:type="dxa"/>
              <w:bottom w:w="29" w:type="dxa"/>
              <w:right w:w="14" w:type="dxa"/>
            </w:tcMar>
          </w:tcPr>
          <w:p w14:paraId="331AB3C7" w14:textId="77777777" w:rsidR="00F731AC" w:rsidRPr="0048252D" w:rsidRDefault="00F731AC" w:rsidP="00CC768C">
            <w:pPr>
              <w:spacing w:after="0" w:line="245" w:lineRule="auto"/>
              <w:rPr>
                <w:rFonts w:eastAsia="Times New Roman"/>
                <w:b/>
                <w:bCs/>
                <w:color w:val="auto"/>
                <w:sz w:val="20"/>
                <w:szCs w:val="20"/>
              </w:rPr>
            </w:pPr>
          </w:p>
        </w:tc>
        <w:tc>
          <w:tcPr>
            <w:tcW w:w="5681" w:type="dxa"/>
            <w:tcBorders>
              <w:top w:val="nil"/>
              <w:left w:val="nil"/>
              <w:bottom w:val="nil"/>
              <w:right w:val="nil"/>
            </w:tcBorders>
            <w:shd w:val="clear" w:color="000000" w:fill="FFFFFF"/>
            <w:noWrap/>
            <w:tcMar>
              <w:top w:w="29" w:type="dxa"/>
              <w:left w:w="14" w:type="dxa"/>
              <w:bottom w:w="29" w:type="dxa"/>
              <w:right w:w="14" w:type="dxa"/>
            </w:tcMar>
          </w:tcPr>
          <w:p w14:paraId="226FB0A9" w14:textId="77777777" w:rsidR="00F731AC" w:rsidRPr="0048252D" w:rsidRDefault="00F731AC" w:rsidP="00CC768C">
            <w:pPr>
              <w:spacing w:after="0" w:line="245" w:lineRule="auto"/>
              <w:rPr>
                <w:color w:val="auto"/>
                <w:sz w:val="20"/>
                <w:szCs w:val="20"/>
              </w:rPr>
            </w:pPr>
            <w:r w:rsidRPr="0048252D">
              <w:rPr>
                <w:rFonts w:eastAsia="Times New Roman"/>
                <w:color w:val="auto"/>
                <w:sz w:val="20"/>
                <w:szCs w:val="20"/>
              </w:rPr>
              <w:t>Tobin’s Q</w:t>
            </w:r>
          </w:p>
        </w:tc>
        <w:tc>
          <w:tcPr>
            <w:tcW w:w="840" w:type="dxa"/>
            <w:tcBorders>
              <w:top w:val="nil"/>
              <w:left w:val="nil"/>
              <w:bottom w:val="nil"/>
              <w:right w:val="nil"/>
            </w:tcBorders>
            <w:shd w:val="clear" w:color="auto" w:fill="auto"/>
            <w:noWrap/>
            <w:tcMar>
              <w:top w:w="29" w:type="dxa"/>
              <w:left w:w="14" w:type="dxa"/>
              <w:bottom w:w="29" w:type="dxa"/>
              <w:right w:w="14" w:type="dxa"/>
            </w:tcMar>
          </w:tcPr>
          <w:p w14:paraId="31D9154B" w14:textId="77777777" w:rsidR="00F731AC" w:rsidRPr="0048252D" w:rsidRDefault="00F731AC" w:rsidP="00CC768C">
            <w:pPr>
              <w:spacing w:after="0" w:line="245" w:lineRule="auto"/>
              <w:jc w:val="right"/>
              <w:rPr>
                <w:color w:val="auto"/>
                <w:sz w:val="20"/>
                <w:szCs w:val="20"/>
              </w:rPr>
            </w:pPr>
            <w:r w:rsidRPr="0048252D">
              <w:rPr>
                <w:sz w:val="20"/>
                <w:szCs w:val="20"/>
              </w:rPr>
              <w:t>.611</w:t>
            </w:r>
          </w:p>
        </w:tc>
        <w:tc>
          <w:tcPr>
            <w:tcW w:w="708" w:type="dxa"/>
            <w:gridSpan w:val="2"/>
            <w:tcBorders>
              <w:top w:val="nil"/>
              <w:left w:val="nil"/>
              <w:bottom w:val="nil"/>
              <w:right w:val="nil"/>
            </w:tcBorders>
            <w:shd w:val="clear" w:color="auto" w:fill="auto"/>
            <w:noWrap/>
            <w:tcMar>
              <w:top w:w="29" w:type="dxa"/>
              <w:left w:w="14" w:type="dxa"/>
              <w:bottom w:w="29" w:type="dxa"/>
              <w:right w:w="14" w:type="dxa"/>
            </w:tcMar>
          </w:tcPr>
          <w:p w14:paraId="7012A62D" w14:textId="77777777" w:rsidR="00F731AC" w:rsidRPr="0048252D" w:rsidRDefault="00F731AC" w:rsidP="00CC768C">
            <w:pPr>
              <w:spacing w:after="0" w:line="245" w:lineRule="auto"/>
              <w:jc w:val="right"/>
              <w:rPr>
                <w:color w:val="auto"/>
                <w:sz w:val="20"/>
                <w:szCs w:val="20"/>
              </w:rPr>
            </w:pPr>
            <w:r w:rsidRPr="0048252D">
              <w:rPr>
                <w:sz w:val="20"/>
                <w:szCs w:val="20"/>
              </w:rPr>
              <w:t>(.071)</w:t>
            </w:r>
          </w:p>
        </w:tc>
        <w:tc>
          <w:tcPr>
            <w:tcW w:w="993" w:type="dxa"/>
            <w:tcBorders>
              <w:top w:val="nil"/>
              <w:left w:val="nil"/>
              <w:bottom w:val="nil"/>
              <w:right w:val="nil"/>
            </w:tcBorders>
            <w:shd w:val="clear" w:color="auto" w:fill="auto"/>
            <w:noWrap/>
            <w:tcMar>
              <w:top w:w="29" w:type="dxa"/>
              <w:left w:w="14" w:type="dxa"/>
              <w:bottom w:w="29" w:type="dxa"/>
              <w:right w:w="14" w:type="dxa"/>
            </w:tcMar>
          </w:tcPr>
          <w:p w14:paraId="167DF493" w14:textId="77777777" w:rsidR="00F731AC" w:rsidRPr="0048252D" w:rsidRDefault="00F731AC" w:rsidP="00CC768C">
            <w:pPr>
              <w:spacing w:after="0" w:line="245" w:lineRule="auto"/>
              <w:rPr>
                <w:color w:val="auto"/>
                <w:sz w:val="20"/>
                <w:szCs w:val="20"/>
              </w:rPr>
            </w:pPr>
            <w:r w:rsidRPr="0048252D">
              <w:rPr>
                <w:sz w:val="20"/>
                <w:szCs w:val="20"/>
              </w:rPr>
              <w:t>***</w:t>
            </w:r>
          </w:p>
        </w:tc>
      </w:tr>
      <w:tr w:rsidR="00F731AC" w:rsidRPr="002D1654" w14:paraId="2867DF6B" w14:textId="77777777" w:rsidTr="00CC768C">
        <w:trPr>
          <w:trHeight w:val="283"/>
          <w:jc w:val="center"/>
        </w:trPr>
        <w:tc>
          <w:tcPr>
            <w:tcW w:w="709" w:type="dxa"/>
            <w:tcBorders>
              <w:top w:val="nil"/>
              <w:left w:val="nil"/>
              <w:bottom w:val="nil"/>
              <w:right w:val="nil"/>
            </w:tcBorders>
            <w:shd w:val="clear" w:color="000000" w:fill="FFFFFF"/>
            <w:noWrap/>
            <w:tcMar>
              <w:top w:w="29" w:type="dxa"/>
              <w:left w:w="14" w:type="dxa"/>
              <w:bottom w:w="29" w:type="dxa"/>
              <w:right w:w="14" w:type="dxa"/>
            </w:tcMar>
          </w:tcPr>
          <w:p w14:paraId="54420370" w14:textId="77777777" w:rsidR="00F731AC" w:rsidRPr="0048252D" w:rsidRDefault="00F731AC" w:rsidP="00CC768C">
            <w:pPr>
              <w:spacing w:after="0" w:line="245" w:lineRule="auto"/>
              <w:rPr>
                <w:rFonts w:eastAsia="Times New Roman"/>
                <w:b/>
                <w:bCs/>
                <w:color w:val="auto"/>
                <w:sz w:val="20"/>
                <w:szCs w:val="20"/>
              </w:rPr>
            </w:pPr>
          </w:p>
        </w:tc>
        <w:tc>
          <w:tcPr>
            <w:tcW w:w="5681" w:type="dxa"/>
            <w:tcBorders>
              <w:top w:val="nil"/>
              <w:left w:val="nil"/>
              <w:bottom w:val="nil"/>
              <w:right w:val="nil"/>
            </w:tcBorders>
            <w:shd w:val="clear" w:color="000000" w:fill="FFFFFF"/>
            <w:noWrap/>
            <w:tcMar>
              <w:top w:w="29" w:type="dxa"/>
              <w:left w:w="14" w:type="dxa"/>
              <w:bottom w:w="29" w:type="dxa"/>
              <w:right w:w="14" w:type="dxa"/>
            </w:tcMar>
          </w:tcPr>
          <w:p w14:paraId="038ACB83" w14:textId="77777777" w:rsidR="00F731AC" w:rsidRPr="0048252D" w:rsidRDefault="00F731AC" w:rsidP="00CC768C">
            <w:pPr>
              <w:spacing w:after="0" w:line="245" w:lineRule="auto"/>
              <w:rPr>
                <w:color w:val="auto"/>
                <w:sz w:val="20"/>
                <w:szCs w:val="20"/>
              </w:rPr>
            </w:pPr>
            <w:r w:rsidRPr="0048252D">
              <w:rPr>
                <w:color w:val="auto"/>
                <w:sz w:val="20"/>
                <w:szCs w:val="20"/>
              </w:rPr>
              <w:t>Inventory Slack</w:t>
            </w:r>
          </w:p>
        </w:tc>
        <w:tc>
          <w:tcPr>
            <w:tcW w:w="840" w:type="dxa"/>
            <w:tcBorders>
              <w:top w:val="nil"/>
              <w:left w:val="nil"/>
              <w:bottom w:val="nil"/>
              <w:right w:val="nil"/>
            </w:tcBorders>
            <w:shd w:val="clear" w:color="auto" w:fill="auto"/>
            <w:noWrap/>
            <w:tcMar>
              <w:top w:w="29" w:type="dxa"/>
              <w:left w:w="14" w:type="dxa"/>
              <w:bottom w:w="29" w:type="dxa"/>
              <w:right w:w="14" w:type="dxa"/>
            </w:tcMar>
          </w:tcPr>
          <w:p w14:paraId="7EAE22AC" w14:textId="77777777" w:rsidR="00F731AC" w:rsidRPr="0048252D" w:rsidRDefault="00F731AC" w:rsidP="00CC768C">
            <w:pPr>
              <w:spacing w:after="0" w:line="245" w:lineRule="auto"/>
              <w:jc w:val="right"/>
              <w:rPr>
                <w:color w:val="auto"/>
                <w:sz w:val="20"/>
                <w:szCs w:val="20"/>
              </w:rPr>
            </w:pPr>
            <w:r w:rsidRPr="0048252D">
              <w:rPr>
                <w:sz w:val="20"/>
                <w:szCs w:val="20"/>
              </w:rPr>
              <w:t>3.813</w:t>
            </w:r>
          </w:p>
        </w:tc>
        <w:tc>
          <w:tcPr>
            <w:tcW w:w="708" w:type="dxa"/>
            <w:gridSpan w:val="2"/>
            <w:tcBorders>
              <w:top w:val="nil"/>
              <w:left w:val="nil"/>
              <w:bottom w:val="nil"/>
              <w:right w:val="nil"/>
            </w:tcBorders>
            <w:shd w:val="clear" w:color="auto" w:fill="auto"/>
            <w:noWrap/>
            <w:tcMar>
              <w:top w:w="29" w:type="dxa"/>
              <w:left w:w="14" w:type="dxa"/>
              <w:bottom w:w="29" w:type="dxa"/>
              <w:right w:w="14" w:type="dxa"/>
            </w:tcMar>
          </w:tcPr>
          <w:p w14:paraId="797528A0" w14:textId="77777777" w:rsidR="00F731AC" w:rsidRPr="0048252D" w:rsidRDefault="00F731AC" w:rsidP="00CC768C">
            <w:pPr>
              <w:spacing w:after="0" w:line="245" w:lineRule="auto"/>
              <w:jc w:val="right"/>
              <w:rPr>
                <w:color w:val="auto"/>
                <w:sz w:val="20"/>
                <w:szCs w:val="20"/>
              </w:rPr>
            </w:pPr>
            <w:r w:rsidRPr="0048252D">
              <w:rPr>
                <w:sz w:val="20"/>
                <w:szCs w:val="20"/>
              </w:rPr>
              <w:t>(1.848)</w:t>
            </w:r>
          </w:p>
        </w:tc>
        <w:tc>
          <w:tcPr>
            <w:tcW w:w="993" w:type="dxa"/>
            <w:tcBorders>
              <w:top w:val="nil"/>
              <w:left w:val="nil"/>
              <w:bottom w:val="nil"/>
              <w:right w:val="nil"/>
            </w:tcBorders>
            <w:shd w:val="clear" w:color="auto" w:fill="auto"/>
            <w:noWrap/>
            <w:tcMar>
              <w:top w:w="29" w:type="dxa"/>
              <w:left w:w="14" w:type="dxa"/>
              <w:bottom w:w="29" w:type="dxa"/>
              <w:right w:w="14" w:type="dxa"/>
            </w:tcMar>
          </w:tcPr>
          <w:p w14:paraId="1EA483FA" w14:textId="77777777" w:rsidR="00F731AC" w:rsidRPr="0048252D" w:rsidRDefault="00F731AC" w:rsidP="00CC768C">
            <w:pPr>
              <w:spacing w:after="0" w:line="245" w:lineRule="auto"/>
              <w:rPr>
                <w:color w:val="auto"/>
                <w:sz w:val="20"/>
                <w:szCs w:val="20"/>
              </w:rPr>
            </w:pPr>
            <w:r w:rsidRPr="0048252D">
              <w:rPr>
                <w:sz w:val="20"/>
                <w:szCs w:val="20"/>
              </w:rPr>
              <w:t>**</w:t>
            </w:r>
          </w:p>
        </w:tc>
      </w:tr>
      <w:tr w:rsidR="00F731AC" w:rsidRPr="002D1654" w14:paraId="2E1466C3" w14:textId="77777777" w:rsidTr="00CC768C">
        <w:trPr>
          <w:trHeight w:val="283"/>
          <w:jc w:val="center"/>
        </w:trPr>
        <w:tc>
          <w:tcPr>
            <w:tcW w:w="709" w:type="dxa"/>
            <w:tcBorders>
              <w:top w:val="nil"/>
              <w:left w:val="nil"/>
              <w:bottom w:val="nil"/>
              <w:right w:val="nil"/>
            </w:tcBorders>
            <w:shd w:val="clear" w:color="000000" w:fill="FFFFFF"/>
            <w:noWrap/>
            <w:tcMar>
              <w:top w:w="29" w:type="dxa"/>
              <w:left w:w="14" w:type="dxa"/>
              <w:bottom w:w="29" w:type="dxa"/>
              <w:right w:w="14" w:type="dxa"/>
            </w:tcMar>
          </w:tcPr>
          <w:p w14:paraId="33F2DE4B" w14:textId="77777777" w:rsidR="00F731AC" w:rsidRPr="0048252D" w:rsidRDefault="00F731AC" w:rsidP="00CC768C">
            <w:pPr>
              <w:spacing w:after="0" w:line="245" w:lineRule="auto"/>
              <w:rPr>
                <w:rFonts w:eastAsia="Times New Roman"/>
                <w:color w:val="auto"/>
                <w:sz w:val="20"/>
                <w:szCs w:val="20"/>
              </w:rPr>
            </w:pPr>
          </w:p>
        </w:tc>
        <w:tc>
          <w:tcPr>
            <w:tcW w:w="5681" w:type="dxa"/>
            <w:tcBorders>
              <w:top w:val="nil"/>
              <w:left w:val="nil"/>
              <w:bottom w:val="nil"/>
              <w:right w:val="nil"/>
            </w:tcBorders>
            <w:shd w:val="clear" w:color="000000" w:fill="FFFFFF"/>
            <w:noWrap/>
            <w:tcMar>
              <w:top w:w="29" w:type="dxa"/>
              <w:left w:w="14" w:type="dxa"/>
              <w:bottom w:w="29" w:type="dxa"/>
              <w:right w:w="14" w:type="dxa"/>
            </w:tcMar>
          </w:tcPr>
          <w:p w14:paraId="0746B599" w14:textId="77777777" w:rsidR="00F731AC" w:rsidRPr="0048252D" w:rsidRDefault="00F731AC" w:rsidP="00CC768C">
            <w:pPr>
              <w:spacing w:after="0" w:line="245" w:lineRule="auto"/>
              <w:rPr>
                <w:color w:val="auto"/>
                <w:sz w:val="20"/>
                <w:szCs w:val="20"/>
              </w:rPr>
            </w:pPr>
            <w:r w:rsidRPr="0048252D">
              <w:rPr>
                <w:rFonts w:eastAsia="Times New Roman"/>
                <w:color w:val="auto"/>
                <w:sz w:val="20"/>
                <w:szCs w:val="20"/>
              </w:rPr>
              <w:t>Working Capital</w:t>
            </w:r>
          </w:p>
        </w:tc>
        <w:tc>
          <w:tcPr>
            <w:tcW w:w="840" w:type="dxa"/>
            <w:tcBorders>
              <w:top w:val="nil"/>
              <w:left w:val="nil"/>
              <w:bottom w:val="nil"/>
              <w:right w:val="nil"/>
            </w:tcBorders>
            <w:shd w:val="clear" w:color="auto" w:fill="auto"/>
            <w:noWrap/>
            <w:tcMar>
              <w:top w:w="29" w:type="dxa"/>
              <w:left w:w="14" w:type="dxa"/>
              <w:bottom w:w="29" w:type="dxa"/>
              <w:right w:w="14" w:type="dxa"/>
            </w:tcMar>
          </w:tcPr>
          <w:p w14:paraId="3EB15399" w14:textId="77777777" w:rsidR="00F731AC" w:rsidRPr="0048252D" w:rsidRDefault="00F731AC" w:rsidP="00CC768C">
            <w:pPr>
              <w:spacing w:after="0" w:line="245" w:lineRule="auto"/>
              <w:jc w:val="right"/>
              <w:rPr>
                <w:color w:val="auto"/>
                <w:sz w:val="20"/>
                <w:szCs w:val="20"/>
              </w:rPr>
            </w:pPr>
            <w:r w:rsidRPr="0048252D">
              <w:rPr>
                <w:sz w:val="20"/>
                <w:szCs w:val="20"/>
              </w:rPr>
              <w:t>2.133</w:t>
            </w:r>
          </w:p>
        </w:tc>
        <w:tc>
          <w:tcPr>
            <w:tcW w:w="708" w:type="dxa"/>
            <w:gridSpan w:val="2"/>
            <w:tcBorders>
              <w:top w:val="nil"/>
              <w:left w:val="nil"/>
              <w:bottom w:val="nil"/>
              <w:right w:val="nil"/>
            </w:tcBorders>
            <w:shd w:val="clear" w:color="auto" w:fill="auto"/>
            <w:noWrap/>
            <w:tcMar>
              <w:top w:w="29" w:type="dxa"/>
              <w:left w:w="14" w:type="dxa"/>
              <w:bottom w:w="29" w:type="dxa"/>
              <w:right w:w="14" w:type="dxa"/>
            </w:tcMar>
          </w:tcPr>
          <w:p w14:paraId="33E0E415" w14:textId="77777777" w:rsidR="00F731AC" w:rsidRPr="0048252D" w:rsidRDefault="00F731AC" w:rsidP="00CC768C">
            <w:pPr>
              <w:spacing w:after="0" w:line="245" w:lineRule="auto"/>
              <w:jc w:val="right"/>
              <w:rPr>
                <w:color w:val="auto"/>
                <w:sz w:val="20"/>
                <w:szCs w:val="20"/>
              </w:rPr>
            </w:pPr>
            <w:r w:rsidRPr="0048252D">
              <w:rPr>
                <w:sz w:val="20"/>
                <w:szCs w:val="20"/>
              </w:rPr>
              <w:t>(.879)</w:t>
            </w:r>
          </w:p>
        </w:tc>
        <w:tc>
          <w:tcPr>
            <w:tcW w:w="993" w:type="dxa"/>
            <w:tcBorders>
              <w:top w:val="nil"/>
              <w:left w:val="nil"/>
              <w:bottom w:val="nil"/>
              <w:right w:val="nil"/>
            </w:tcBorders>
            <w:shd w:val="clear" w:color="auto" w:fill="auto"/>
            <w:noWrap/>
            <w:tcMar>
              <w:top w:w="29" w:type="dxa"/>
              <w:left w:w="14" w:type="dxa"/>
              <w:bottom w:w="29" w:type="dxa"/>
              <w:right w:w="14" w:type="dxa"/>
            </w:tcMar>
          </w:tcPr>
          <w:p w14:paraId="559AC8C1" w14:textId="77777777" w:rsidR="00F731AC" w:rsidRPr="0048252D" w:rsidRDefault="00F731AC" w:rsidP="00CC768C">
            <w:pPr>
              <w:spacing w:after="0" w:line="245" w:lineRule="auto"/>
              <w:rPr>
                <w:color w:val="auto"/>
                <w:sz w:val="20"/>
                <w:szCs w:val="20"/>
              </w:rPr>
            </w:pPr>
            <w:r w:rsidRPr="0048252D">
              <w:rPr>
                <w:sz w:val="20"/>
                <w:szCs w:val="20"/>
              </w:rPr>
              <w:t>**</w:t>
            </w:r>
          </w:p>
        </w:tc>
      </w:tr>
      <w:tr w:rsidR="00F731AC" w:rsidRPr="002D1654" w14:paraId="2D23F63F" w14:textId="77777777" w:rsidTr="00CC768C">
        <w:trPr>
          <w:trHeight w:val="283"/>
          <w:jc w:val="center"/>
        </w:trPr>
        <w:tc>
          <w:tcPr>
            <w:tcW w:w="709" w:type="dxa"/>
            <w:tcBorders>
              <w:top w:val="nil"/>
              <w:left w:val="nil"/>
              <w:bottom w:val="nil"/>
              <w:right w:val="nil"/>
            </w:tcBorders>
            <w:shd w:val="clear" w:color="000000" w:fill="FFFFFF"/>
            <w:noWrap/>
            <w:tcMar>
              <w:top w:w="29" w:type="dxa"/>
              <w:left w:w="14" w:type="dxa"/>
              <w:bottom w:w="29" w:type="dxa"/>
              <w:right w:w="14" w:type="dxa"/>
            </w:tcMar>
          </w:tcPr>
          <w:p w14:paraId="5FB707BA" w14:textId="77777777" w:rsidR="00F731AC" w:rsidRPr="0048252D" w:rsidRDefault="00F731AC" w:rsidP="00CC768C">
            <w:pPr>
              <w:spacing w:after="0" w:line="245" w:lineRule="auto"/>
              <w:rPr>
                <w:rFonts w:eastAsia="Times New Roman"/>
                <w:color w:val="auto"/>
                <w:sz w:val="20"/>
                <w:szCs w:val="20"/>
              </w:rPr>
            </w:pPr>
          </w:p>
        </w:tc>
        <w:tc>
          <w:tcPr>
            <w:tcW w:w="5681" w:type="dxa"/>
            <w:tcBorders>
              <w:top w:val="nil"/>
              <w:left w:val="nil"/>
              <w:bottom w:val="nil"/>
              <w:right w:val="nil"/>
            </w:tcBorders>
            <w:shd w:val="clear" w:color="000000" w:fill="FFFFFF"/>
            <w:noWrap/>
            <w:tcMar>
              <w:top w:w="29" w:type="dxa"/>
              <w:left w:w="14" w:type="dxa"/>
              <w:bottom w:w="29" w:type="dxa"/>
              <w:right w:w="14" w:type="dxa"/>
            </w:tcMar>
          </w:tcPr>
          <w:p w14:paraId="0BB04FF4" w14:textId="77777777" w:rsidR="00F731AC" w:rsidRPr="0048252D" w:rsidRDefault="00F731AC" w:rsidP="00CC768C">
            <w:pPr>
              <w:spacing w:after="0" w:line="245" w:lineRule="auto"/>
              <w:rPr>
                <w:color w:val="auto"/>
                <w:sz w:val="20"/>
                <w:szCs w:val="20"/>
              </w:rPr>
            </w:pPr>
            <w:r w:rsidRPr="0048252D">
              <w:rPr>
                <w:color w:val="auto"/>
                <w:sz w:val="20"/>
                <w:szCs w:val="20"/>
              </w:rPr>
              <w:t>Retained Earnings</w:t>
            </w:r>
          </w:p>
        </w:tc>
        <w:tc>
          <w:tcPr>
            <w:tcW w:w="840" w:type="dxa"/>
            <w:tcBorders>
              <w:top w:val="nil"/>
              <w:left w:val="nil"/>
              <w:bottom w:val="nil"/>
              <w:right w:val="nil"/>
            </w:tcBorders>
            <w:shd w:val="clear" w:color="auto" w:fill="auto"/>
            <w:noWrap/>
            <w:tcMar>
              <w:top w:w="29" w:type="dxa"/>
              <w:left w:w="14" w:type="dxa"/>
              <w:bottom w:w="29" w:type="dxa"/>
              <w:right w:w="14" w:type="dxa"/>
            </w:tcMar>
          </w:tcPr>
          <w:p w14:paraId="05F7EDE7" w14:textId="77777777" w:rsidR="00F731AC" w:rsidRPr="0048252D" w:rsidRDefault="00F731AC" w:rsidP="00CC768C">
            <w:pPr>
              <w:spacing w:after="0" w:line="245" w:lineRule="auto"/>
              <w:jc w:val="right"/>
              <w:rPr>
                <w:color w:val="auto"/>
                <w:sz w:val="20"/>
                <w:szCs w:val="20"/>
              </w:rPr>
            </w:pPr>
            <w:r w:rsidRPr="0048252D">
              <w:rPr>
                <w:sz w:val="20"/>
                <w:szCs w:val="20"/>
              </w:rPr>
              <w:t>-.618</w:t>
            </w:r>
          </w:p>
        </w:tc>
        <w:tc>
          <w:tcPr>
            <w:tcW w:w="708" w:type="dxa"/>
            <w:gridSpan w:val="2"/>
            <w:tcBorders>
              <w:top w:val="nil"/>
              <w:left w:val="nil"/>
              <w:bottom w:val="nil"/>
              <w:right w:val="nil"/>
            </w:tcBorders>
            <w:shd w:val="clear" w:color="auto" w:fill="auto"/>
            <w:noWrap/>
            <w:tcMar>
              <w:top w:w="29" w:type="dxa"/>
              <w:left w:w="14" w:type="dxa"/>
              <w:bottom w:w="29" w:type="dxa"/>
              <w:right w:w="14" w:type="dxa"/>
            </w:tcMar>
          </w:tcPr>
          <w:p w14:paraId="136E7B7B" w14:textId="77777777" w:rsidR="00F731AC" w:rsidRPr="0048252D" w:rsidRDefault="00F731AC" w:rsidP="00CC768C">
            <w:pPr>
              <w:spacing w:after="0" w:line="245" w:lineRule="auto"/>
              <w:jc w:val="right"/>
              <w:rPr>
                <w:color w:val="auto"/>
                <w:sz w:val="20"/>
                <w:szCs w:val="20"/>
              </w:rPr>
            </w:pPr>
            <w:r w:rsidRPr="0048252D">
              <w:rPr>
                <w:sz w:val="20"/>
                <w:szCs w:val="20"/>
              </w:rPr>
              <w:t>(.330)</w:t>
            </w:r>
          </w:p>
        </w:tc>
        <w:tc>
          <w:tcPr>
            <w:tcW w:w="993" w:type="dxa"/>
            <w:tcBorders>
              <w:top w:val="nil"/>
              <w:left w:val="nil"/>
              <w:bottom w:val="nil"/>
              <w:right w:val="nil"/>
            </w:tcBorders>
            <w:shd w:val="clear" w:color="auto" w:fill="auto"/>
            <w:noWrap/>
            <w:tcMar>
              <w:top w:w="29" w:type="dxa"/>
              <w:left w:w="14" w:type="dxa"/>
              <w:bottom w:w="29" w:type="dxa"/>
              <w:right w:w="14" w:type="dxa"/>
            </w:tcMar>
          </w:tcPr>
          <w:p w14:paraId="1083D8E1" w14:textId="77777777" w:rsidR="00F731AC" w:rsidRPr="0048252D" w:rsidRDefault="00F731AC" w:rsidP="00CC768C">
            <w:pPr>
              <w:spacing w:after="0" w:line="245" w:lineRule="auto"/>
              <w:rPr>
                <w:rFonts w:eastAsia="Times New Roman"/>
                <w:color w:val="auto"/>
                <w:sz w:val="20"/>
                <w:szCs w:val="20"/>
              </w:rPr>
            </w:pPr>
            <w:r w:rsidRPr="0048252D">
              <w:rPr>
                <w:sz w:val="20"/>
                <w:szCs w:val="20"/>
              </w:rPr>
              <w:t>*</w:t>
            </w:r>
          </w:p>
        </w:tc>
      </w:tr>
      <w:tr w:rsidR="00F731AC" w:rsidRPr="002D1654" w14:paraId="3B1A8FD9" w14:textId="77777777" w:rsidTr="00CC768C">
        <w:trPr>
          <w:trHeight w:val="283"/>
          <w:jc w:val="center"/>
        </w:trPr>
        <w:tc>
          <w:tcPr>
            <w:tcW w:w="709" w:type="dxa"/>
            <w:tcBorders>
              <w:top w:val="nil"/>
              <w:left w:val="nil"/>
              <w:bottom w:val="nil"/>
              <w:right w:val="nil"/>
            </w:tcBorders>
            <w:shd w:val="clear" w:color="000000" w:fill="FFFFFF"/>
            <w:noWrap/>
            <w:tcMar>
              <w:top w:w="29" w:type="dxa"/>
              <w:left w:w="14" w:type="dxa"/>
              <w:bottom w:w="29" w:type="dxa"/>
              <w:right w:w="14" w:type="dxa"/>
            </w:tcMar>
            <w:hideMark/>
          </w:tcPr>
          <w:p w14:paraId="57AAA5CD" w14:textId="77777777" w:rsidR="00F731AC" w:rsidRPr="0048252D" w:rsidRDefault="00F731AC" w:rsidP="00CC768C">
            <w:pPr>
              <w:spacing w:after="0" w:line="245" w:lineRule="auto"/>
              <w:rPr>
                <w:rFonts w:eastAsia="Times New Roman"/>
                <w:color w:val="auto"/>
                <w:sz w:val="20"/>
                <w:szCs w:val="20"/>
              </w:rPr>
            </w:pPr>
            <w:r w:rsidRPr="0048252D">
              <w:rPr>
                <w:rFonts w:eastAsia="Times New Roman"/>
                <w:color w:val="auto"/>
                <w:sz w:val="20"/>
                <w:szCs w:val="20"/>
              </w:rPr>
              <w:t> </w:t>
            </w:r>
          </w:p>
        </w:tc>
        <w:tc>
          <w:tcPr>
            <w:tcW w:w="5681" w:type="dxa"/>
            <w:tcBorders>
              <w:top w:val="nil"/>
              <w:left w:val="nil"/>
              <w:bottom w:val="nil"/>
              <w:right w:val="nil"/>
            </w:tcBorders>
            <w:shd w:val="clear" w:color="000000" w:fill="FFFFFF"/>
            <w:noWrap/>
            <w:tcMar>
              <w:top w:w="29" w:type="dxa"/>
              <w:left w:w="14" w:type="dxa"/>
              <w:bottom w:w="29" w:type="dxa"/>
              <w:right w:w="14" w:type="dxa"/>
            </w:tcMar>
            <w:hideMark/>
          </w:tcPr>
          <w:p w14:paraId="48A79E49" w14:textId="77777777" w:rsidR="00F731AC" w:rsidRPr="0048252D" w:rsidRDefault="00F731AC" w:rsidP="00CC768C">
            <w:pPr>
              <w:spacing w:after="0" w:line="245" w:lineRule="auto"/>
              <w:rPr>
                <w:rFonts w:eastAsia="Times New Roman"/>
                <w:color w:val="auto"/>
                <w:sz w:val="20"/>
                <w:szCs w:val="20"/>
              </w:rPr>
            </w:pPr>
            <w:r w:rsidRPr="0048252D">
              <w:rPr>
                <w:color w:val="auto"/>
                <w:sz w:val="20"/>
                <w:szCs w:val="20"/>
              </w:rPr>
              <w:t>R&amp;D Intensity</w:t>
            </w:r>
          </w:p>
        </w:tc>
        <w:tc>
          <w:tcPr>
            <w:tcW w:w="840" w:type="dxa"/>
            <w:tcBorders>
              <w:top w:val="nil"/>
              <w:left w:val="nil"/>
              <w:bottom w:val="nil"/>
              <w:right w:val="nil"/>
            </w:tcBorders>
            <w:shd w:val="clear" w:color="auto" w:fill="auto"/>
            <w:noWrap/>
            <w:tcMar>
              <w:top w:w="29" w:type="dxa"/>
              <w:left w:w="14" w:type="dxa"/>
              <w:bottom w:w="29" w:type="dxa"/>
              <w:right w:w="14" w:type="dxa"/>
            </w:tcMar>
          </w:tcPr>
          <w:p w14:paraId="6170372D" w14:textId="77777777" w:rsidR="00F731AC" w:rsidRPr="0048252D" w:rsidRDefault="00F731AC" w:rsidP="00CC768C">
            <w:pPr>
              <w:spacing w:after="0" w:line="245" w:lineRule="auto"/>
              <w:jc w:val="right"/>
              <w:rPr>
                <w:rFonts w:eastAsia="Times New Roman"/>
                <w:color w:val="auto"/>
                <w:sz w:val="20"/>
                <w:szCs w:val="20"/>
              </w:rPr>
            </w:pPr>
            <w:r w:rsidRPr="0048252D">
              <w:rPr>
                <w:sz w:val="20"/>
                <w:szCs w:val="20"/>
              </w:rPr>
              <w:t>-19.039</w:t>
            </w:r>
          </w:p>
        </w:tc>
        <w:tc>
          <w:tcPr>
            <w:tcW w:w="708" w:type="dxa"/>
            <w:gridSpan w:val="2"/>
            <w:tcBorders>
              <w:top w:val="nil"/>
              <w:left w:val="nil"/>
              <w:bottom w:val="nil"/>
              <w:right w:val="nil"/>
            </w:tcBorders>
            <w:shd w:val="clear" w:color="auto" w:fill="auto"/>
            <w:noWrap/>
            <w:tcMar>
              <w:top w:w="29" w:type="dxa"/>
              <w:left w:w="14" w:type="dxa"/>
              <w:bottom w:w="29" w:type="dxa"/>
              <w:right w:w="14" w:type="dxa"/>
            </w:tcMar>
          </w:tcPr>
          <w:p w14:paraId="29019F54" w14:textId="77777777" w:rsidR="00F731AC" w:rsidRPr="0048252D" w:rsidRDefault="00F731AC" w:rsidP="00CC768C">
            <w:pPr>
              <w:spacing w:after="0" w:line="245" w:lineRule="auto"/>
              <w:jc w:val="right"/>
              <w:rPr>
                <w:rFonts w:eastAsia="Times New Roman"/>
                <w:color w:val="auto"/>
                <w:sz w:val="20"/>
                <w:szCs w:val="20"/>
              </w:rPr>
            </w:pPr>
            <w:r w:rsidRPr="0048252D">
              <w:rPr>
                <w:sz w:val="20"/>
                <w:szCs w:val="20"/>
              </w:rPr>
              <w:t>(6.347)</w:t>
            </w:r>
          </w:p>
        </w:tc>
        <w:tc>
          <w:tcPr>
            <w:tcW w:w="993" w:type="dxa"/>
            <w:tcBorders>
              <w:top w:val="nil"/>
              <w:left w:val="nil"/>
              <w:bottom w:val="nil"/>
              <w:right w:val="nil"/>
            </w:tcBorders>
            <w:shd w:val="clear" w:color="auto" w:fill="auto"/>
            <w:noWrap/>
            <w:tcMar>
              <w:top w:w="29" w:type="dxa"/>
              <w:left w:w="14" w:type="dxa"/>
              <w:bottom w:w="29" w:type="dxa"/>
              <w:right w:w="14" w:type="dxa"/>
            </w:tcMar>
          </w:tcPr>
          <w:p w14:paraId="3E4A1529" w14:textId="77777777" w:rsidR="00F731AC" w:rsidRPr="0048252D" w:rsidRDefault="00F731AC" w:rsidP="00CC768C">
            <w:pPr>
              <w:spacing w:after="0" w:line="245" w:lineRule="auto"/>
              <w:rPr>
                <w:rFonts w:eastAsia="Times New Roman"/>
                <w:color w:val="auto"/>
                <w:sz w:val="20"/>
                <w:szCs w:val="20"/>
              </w:rPr>
            </w:pPr>
            <w:r w:rsidRPr="0048252D">
              <w:rPr>
                <w:sz w:val="20"/>
                <w:szCs w:val="20"/>
              </w:rPr>
              <w:t>***</w:t>
            </w:r>
          </w:p>
        </w:tc>
      </w:tr>
      <w:tr w:rsidR="00F731AC" w:rsidRPr="002D1654" w14:paraId="7B687DE2" w14:textId="77777777" w:rsidTr="00CC768C">
        <w:trPr>
          <w:trHeight w:val="283"/>
          <w:jc w:val="center"/>
        </w:trPr>
        <w:tc>
          <w:tcPr>
            <w:tcW w:w="6390" w:type="dxa"/>
            <w:gridSpan w:val="2"/>
            <w:tcBorders>
              <w:top w:val="nil"/>
              <w:left w:val="nil"/>
              <w:bottom w:val="nil"/>
              <w:right w:val="nil"/>
            </w:tcBorders>
            <w:shd w:val="clear" w:color="000000" w:fill="FFFFFF"/>
            <w:noWrap/>
            <w:tcMar>
              <w:top w:w="29" w:type="dxa"/>
              <w:left w:w="14" w:type="dxa"/>
              <w:bottom w:w="29" w:type="dxa"/>
              <w:right w:w="14" w:type="dxa"/>
            </w:tcMar>
            <w:hideMark/>
          </w:tcPr>
          <w:p w14:paraId="050D5C64" w14:textId="77777777" w:rsidR="00F731AC" w:rsidRPr="0048252D" w:rsidRDefault="00F731AC" w:rsidP="00CC768C">
            <w:pPr>
              <w:spacing w:after="0" w:line="245" w:lineRule="auto"/>
              <w:rPr>
                <w:rFonts w:eastAsia="Times New Roman"/>
                <w:color w:val="auto"/>
                <w:sz w:val="20"/>
                <w:szCs w:val="20"/>
              </w:rPr>
            </w:pPr>
            <w:r w:rsidRPr="0048252D">
              <w:rPr>
                <w:rFonts w:eastAsia="Times New Roman"/>
                <w:b/>
                <w:color w:val="auto"/>
                <w:sz w:val="20"/>
                <w:szCs w:val="20"/>
              </w:rPr>
              <w:t xml:space="preserve">         Industry-Level Controls</w:t>
            </w:r>
          </w:p>
        </w:tc>
        <w:tc>
          <w:tcPr>
            <w:tcW w:w="840" w:type="dxa"/>
            <w:tcBorders>
              <w:left w:val="nil"/>
              <w:right w:val="nil"/>
            </w:tcBorders>
            <w:shd w:val="clear" w:color="000000" w:fill="FFFFFF"/>
            <w:noWrap/>
            <w:tcMar>
              <w:top w:w="29" w:type="dxa"/>
              <w:left w:w="14" w:type="dxa"/>
              <w:bottom w:w="29" w:type="dxa"/>
              <w:right w:w="14" w:type="dxa"/>
            </w:tcMar>
          </w:tcPr>
          <w:p w14:paraId="6C9E12A9" w14:textId="77777777" w:rsidR="00F731AC" w:rsidRPr="0048252D" w:rsidRDefault="00F731AC" w:rsidP="00CC768C">
            <w:pPr>
              <w:spacing w:after="0" w:line="245" w:lineRule="auto"/>
              <w:jc w:val="right"/>
              <w:rPr>
                <w:rFonts w:eastAsia="Times New Roman"/>
                <w:color w:val="auto"/>
                <w:sz w:val="20"/>
                <w:szCs w:val="20"/>
              </w:rPr>
            </w:pPr>
          </w:p>
        </w:tc>
        <w:tc>
          <w:tcPr>
            <w:tcW w:w="708" w:type="dxa"/>
            <w:gridSpan w:val="2"/>
            <w:tcBorders>
              <w:left w:val="nil"/>
              <w:right w:val="nil"/>
            </w:tcBorders>
            <w:shd w:val="clear" w:color="000000" w:fill="FFFFFF"/>
            <w:noWrap/>
            <w:tcMar>
              <w:top w:w="29" w:type="dxa"/>
              <w:left w:w="14" w:type="dxa"/>
              <w:bottom w:w="29" w:type="dxa"/>
              <w:right w:w="14" w:type="dxa"/>
            </w:tcMar>
          </w:tcPr>
          <w:p w14:paraId="073ECF4A" w14:textId="77777777" w:rsidR="00F731AC" w:rsidRPr="0048252D" w:rsidRDefault="00F731AC" w:rsidP="00CC768C">
            <w:pPr>
              <w:spacing w:after="0" w:line="245" w:lineRule="auto"/>
              <w:jc w:val="right"/>
              <w:rPr>
                <w:rFonts w:eastAsia="Times New Roman"/>
                <w:color w:val="auto"/>
                <w:sz w:val="20"/>
                <w:szCs w:val="20"/>
              </w:rPr>
            </w:pPr>
          </w:p>
        </w:tc>
        <w:tc>
          <w:tcPr>
            <w:tcW w:w="993" w:type="dxa"/>
            <w:tcBorders>
              <w:left w:val="nil"/>
              <w:right w:val="nil"/>
            </w:tcBorders>
            <w:shd w:val="clear" w:color="000000" w:fill="FFFFFF"/>
            <w:noWrap/>
            <w:tcMar>
              <w:top w:w="29" w:type="dxa"/>
              <w:left w:w="14" w:type="dxa"/>
              <w:bottom w:w="29" w:type="dxa"/>
              <w:right w:w="14" w:type="dxa"/>
            </w:tcMar>
          </w:tcPr>
          <w:p w14:paraId="0FA300F5" w14:textId="77777777" w:rsidR="00F731AC" w:rsidRPr="0048252D" w:rsidRDefault="00F731AC" w:rsidP="00CC768C">
            <w:pPr>
              <w:spacing w:after="0" w:line="245" w:lineRule="auto"/>
              <w:rPr>
                <w:rFonts w:eastAsia="Times New Roman"/>
                <w:color w:val="auto"/>
                <w:sz w:val="20"/>
                <w:szCs w:val="20"/>
              </w:rPr>
            </w:pPr>
          </w:p>
        </w:tc>
      </w:tr>
      <w:tr w:rsidR="00F731AC" w:rsidRPr="002D1654" w14:paraId="755BEDD5" w14:textId="77777777" w:rsidTr="00CC768C">
        <w:trPr>
          <w:trHeight w:val="283"/>
          <w:jc w:val="center"/>
        </w:trPr>
        <w:tc>
          <w:tcPr>
            <w:tcW w:w="709" w:type="dxa"/>
            <w:tcBorders>
              <w:top w:val="nil"/>
              <w:left w:val="nil"/>
              <w:bottom w:val="nil"/>
              <w:right w:val="nil"/>
            </w:tcBorders>
            <w:shd w:val="clear" w:color="000000" w:fill="FFFFFF"/>
            <w:noWrap/>
            <w:tcMar>
              <w:top w:w="29" w:type="dxa"/>
              <w:left w:w="14" w:type="dxa"/>
              <w:bottom w:w="29" w:type="dxa"/>
              <w:right w:w="14" w:type="dxa"/>
            </w:tcMar>
          </w:tcPr>
          <w:p w14:paraId="72B240DB" w14:textId="77777777" w:rsidR="00F731AC" w:rsidRPr="0048252D" w:rsidRDefault="00F731AC" w:rsidP="00CC768C">
            <w:pPr>
              <w:spacing w:after="0" w:line="245" w:lineRule="auto"/>
              <w:rPr>
                <w:rFonts w:eastAsia="Times New Roman"/>
                <w:color w:val="auto"/>
                <w:sz w:val="20"/>
                <w:szCs w:val="20"/>
              </w:rPr>
            </w:pPr>
          </w:p>
        </w:tc>
        <w:tc>
          <w:tcPr>
            <w:tcW w:w="5681" w:type="dxa"/>
            <w:tcBorders>
              <w:top w:val="nil"/>
              <w:left w:val="nil"/>
              <w:bottom w:val="nil"/>
              <w:right w:val="nil"/>
            </w:tcBorders>
            <w:shd w:val="clear" w:color="000000" w:fill="FFFFFF"/>
            <w:noWrap/>
            <w:tcMar>
              <w:top w:w="29" w:type="dxa"/>
              <w:left w:w="14" w:type="dxa"/>
              <w:bottom w:w="29" w:type="dxa"/>
              <w:right w:w="14" w:type="dxa"/>
            </w:tcMar>
          </w:tcPr>
          <w:p w14:paraId="3B6F1835" w14:textId="77777777" w:rsidR="00F731AC" w:rsidRPr="0048252D" w:rsidRDefault="00F731AC" w:rsidP="00CC768C">
            <w:pPr>
              <w:spacing w:after="0" w:line="245" w:lineRule="auto"/>
              <w:rPr>
                <w:rFonts w:eastAsia="Times New Roman"/>
                <w:color w:val="auto"/>
                <w:sz w:val="20"/>
                <w:szCs w:val="20"/>
              </w:rPr>
            </w:pPr>
            <w:r w:rsidRPr="0048252D">
              <w:rPr>
                <w:color w:val="auto"/>
                <w:sz w:val="20"/>
                <w:szCs w:val="20"/>
              </w:rPr>
              <w:t>Industry Concentration</w:t>
            </w:r>
          </w:p>
        </w:tc>
        <w:tc>
          <w:tcPr>
            <w:tcW w:w="840" w:type="dxa"/>
            <w:tcBorders>
              <w:top w:val="nil"/>
              <w:left w:val="nil"/>
              <w:bottom w:val="nil"/>
              <w:right w:val="nil"/>
            </w:tcBorders>
            <w:shd w:val="clear" w:color="auto" w:fill="auto"/>
            <w:noWrap/>
            <w:tcMar>
              <w:top w:w="29" w:type="dxa"/>
              <w:left w:w="14" w:type="dxa"/>
              <w:bottom w:w="29" w:type="dxa"/>
              <w:right w:w="14" w:type="dxa"/>
            </w:tcMar>
          </w:tcPr>
          <w:p w14:paraId="30006C77" w14:textId="77777777" w:rsidR="00F731AC" w:rsidRPr="0048252D" w:rsidRDefault="00F731AC" w:rsidP="00CC768C">
            <w:pPr>
              <w:spacing w:after="0" w:line="245" w:lineRule="auto"/>
              <w:jc w:val="right"/>
              <w:rPr>
                <w:rFonts w:eastAsia="Times New Roman"/>
                <w:color w:val="auto"/>
                <w:sz w:val="20"/>
                <w:szCs w:val="20"/>
              </w:rPr>
            </w:pPr>
            <w:r w:rsidRPr="0048252D">
              <w:rPr>
                <w:sz w:val="20"/>
                <w:szCs w:val="20"/>
              </w:rPr>
              <w:t>-2.211</w:t>
            </w:r>
          </w:p>
        </w:tc>
        <w:tc>
          <w:tcPr>
            <w:tcW w:w="708" w:type="dxa"/>
            <w:gridSpan w:val="2"/>
            <w:tcBorders>
              <w:top w:val="nil"/>
              <w:left w:val="nil"/>
              <w:bottom w:val="nil"/>
              <w:right w:val="nil"/>
            </w:tcBorders>
            <w:shd w:val="clear" w:color="auto" w:fill="auto"/>
            <w:noWrap/>
            <w:tcMar>
              <w:top w:w="29" w:type="dxa"/>
              <w:left w:w="14" w:type="dxa"/>
              <w:bottom w:w="29" w:type="dxa"/>
              <w:right w:w="14" w:type="dxa"/>
            </w:tcMar>
          </w:tcPr>
          <w:p w14:paraId="1B4DE873" w14:textId="77777777" w:rsidR="00F731AC" w:rsidRPr="0048252D" w:rsidRDefault="00F731AC" w:rsidP="00CC768C">
            <w:pPr>
              <w:spacing w:after="0" w:line="245" w:lineRule="auto"/>
              <w:jc w:val="right"/>
              <w:rPr>
                <w:rFonts w:eastAsia="Times New Roman"/>
                <w:color w:val="auto"/>
                <w:sz w:val="20"/>
                <w:szCs w:val="20"/>
              </w:rPr>
            </w:pPr>
            <w:r w:rsidRPr="0048252D">
              <w:rPr>
                <w:sz w:val="20"/>
                <w:szCs w:val="20"/>
              </w:rPr>
              <w:t>(1.600)</w:t>
            </w:r>
          </w:p>
        </w:tc>
        <w:tc>
          <w:tcPr>
            <w:tcW w:w="993" w:type="dxa"/>
            <w:tcBorders>
              <w:top w:val="nil"/>
              <w:left w:val="nil"/>
              <w:bottom w:val="nil"/>
              <w:right w:val="nil"/>
            </w:tcBorders>
            <w:shd w:val="clear" w:color="auto" w:fill="auto"/>
            <w:noWrap/>
            <w:tcMar>
              <w:top w:w="29" w:type="dxa"/>
              <w:left w:w="14" w:type="dxa"/>
              <w:bottom w:w="29" w:type="dxa"/>
              <w:right w:w="14" w:type="dxa"/>
            </w:tcMar>
          </w:tcPr>
          <w:p w14:paraId="16DB47BD" w14:textId="77777777" w:rsidR="00F731AC" w:rsidRPr="0048252D" w:rsidRDefault="00F731AC" w:rsidP="00CC768C">
            <w:pPr>
              <w:spacing w:after="0" w:line="245" w:lineRule="auto"/>
              <w:rPr>
                <w:rFonts w:eastAsia="Times New Roman"/>
                <w:color w:val="auto"/>
                <w:sz w:val="20"/>
                <w:szCs w:val="20"/>
              </w:rPr>
            </w:pPr>
          </w:p>
        </w:tc>
      </w:tr>
      <w:tr w:rsidR="00F731AC" w:rsidRPr="002D1654" w14:paraId="71923730" w14:textId="77777777" w:rsidTr="00CC768C">
        <w:trPr>
          <w:trHeight w:val="283"/>
          <w:jc w:val="center"/>
        </w:trPr>
        <w:tc>
          <w:tcPr>
            <w:tcW w:w="709" w:type="dxa"/>
            <w:tcBorders>
              <w:top w:val="nil"/>
              <w:left w:val="nil"/>
              <w:bottom w:val="nil"/>
              <w:right w:val="nil"/>
            </w:tcBorders>
            <w:shd w:val="clear" w:color="000000" w:fill="FFFFFF"/>
            <w:noWrap/>
            <w:tcMar>
              <w:top w:w="29" w:type="dxa"/>
              <w:left w:w="14" w:type="dxa"/>
              <w:bottom w:w="29" w:type="dxa"/>
              <w:right w:w="14" w:type="dxa"/>
            </w:tcMar>
          </w:tcPr>
          <w:p w14:paraId="62BFEBDA" w14:textId="77777777" w:rsidR="00F731AC" w:rsidRPr="0048252D" w:rsidRDefault="00F731AC" w:rsidP="00CC768C">
            <w:pPr>
              <w:spacing w:after="0" w:line="245" w:lineRule="auto"/>
              <w:rPr>
                <w:rFonts w:eastAsia="Times New Roman"/>
                <w:color w:val="auto"/>
                <w:sz w:val="20"/>
                <w:szCs w:val="20"/>
              </w:rPr>
            </w:pPr>
          </w:p>
        </w:tc>
        <w:tc>
          <w:tcPr>
            <w:tcW w:w="5681" w:type="dxa"/>
            <w:tcBorders>
              <w:top w:val="nil"/>
              <w:left w:val="nil"/>
              <w:bottom w:val="nil"/>
              <w:right w:val="nil"/>
            </w:tcBorders>
            <w:shd w:val="clear" w:color="000000" w:fill="FFFFFF"/>
            <w:noWrap/>
            <w:tcMar>
              <w:top w:w="29" w:type="dxa"/>
              <w:left w:w="14" w:type="dxa"/>
              <w:bottom w:w="29" w:type="dxa"/>
              <w:right w:w="14" w:type="dxa"/>
            </w:tcMar>
          </w:tcPr>
          <w:p w14:paraId="77C8048D" w14:textId="77777777" w:rsidR="00F731AC" w:rsidRPr="0048252D" w:rsidRDefault="00F731AC" w:rsidP="00CC768C">
            <w:pPr>
              <w:spacing w:after="0" w:line="245" w:lineRule="auto"/>
              <w:rPr>
                <w:rFonts w:eastAsia="Times New Roman"/>
                <w:color w:val="auto"/>
                <w:sz w:val="20"/>
                <w:szCs w:val="20"/>
              </w:rPr>
            </w:pPr>
            <w:r w:rsidRPr="0048252D">
              <w:rPr>
                <w:color w:val="auto"/>
                <w:sz w:val="20"/>
                <w:szCs w:val="20"/>
              </w:rPr>
              <w:t xml:space="preserve">Industry Growth </w:t>
            </w:r>
          </w:p>
        </w:tc>
        <w:tc>
          <w:tcPr>
            <w:tcW w:w="840" w:type="dxa"/>
            <w:tcBorders>
              <w:top w:val="nil"/>
              <w:left w:val="nil"/>
              <w:bottom w:val="nil"/>
              <w:right w:val="nil"/>
            </w:tcBorders>
            <w:shd w:val="clear" w:color="auto" w:fill="auto"/>
            <w:noWrap/>
            <w:tcMar>
              <w:top w:w="29" w:type="dxa"/>
              <w:left w:w="14" w:type="dxa"/>
              <w:bottom w:w="29" w:type="dxa"/>
              <w:right w:w="14" w:type="dxa"/>
            </w:tcMar>
          </w:tcPr>
          <w:p w14:paraId="4F6386D0" w14:textId="77777777" w:rsidR="00F731AC" w:rsidRPr="0048252D" w:rsidRDefault="00F731AC" w:rsidP="00CC768C">
            <w:pPr>
              <w:spacing w:after="0" w:line="245" w:lineRule="auto"/>
              <w:jc w:val="right"/>
              <w:rPr>
                <w:rFonts w:eastAsia="Times New Roman"/>
                <w:color w:val="auto"/>
                <w:sz w:val="20"/>
                <w:szCs w:val="20"/>
              </w:rPr>
            </w:pPr>
            <w:r w:rsidRPr="0048252D">
              <w:rPr>
                <w:sz w:val="20"/>
                <w:szCs w:val="20"/>
              </w:rPr>
              <w:t>-.154</w:t>
            </w:r>
          </w:p>
        </w:tc>
        <w:tc>
          <w:tcPr>
            <w:tcW w:w="708" w:type="dxa"/>
            <w:gridSpan w:val="2"/>
            <w:tcBorders>
              <w:top w:val="nil"/>
              <w:left w:val="nil"/>
              <w:bottom w:val="nil"/>
              <w:right w:val="nil"/>
            </w:tcBorders>
            <w:shd w:val="clear" w:color="auto" w:fill="auto"/>
            <w:noWrap/>
            <w:tcMar>
              <w:top w:w="29" w:type="dxa"/>
              <w:left w:w="14" w:type="dxa"/>
              <w:bottom w:w="29" w:type="dxa"/>
              <w:right w:w="14" w:type="dxa"/>
            </w:tcMar>
          </w:tcPr>
          <w:p w14:paraId="3837C17D" w14:textId="77777777" w:rsidR="00F731AC" w:rsidRPr="0048252D" w:rsidRDefault="00F731AC" w:rsidP="00CC768C">
            <w:pPr>
              <w:spacing w:after="0" w:line="245" w:lineRule="auto"/>
              <w:jc w:val="right"/>
              <w:rPr>
                <w:rFonts w:eastAsia="Times New Roman"/>
                <w:color w:val="auto"/>
                <w:sz w:val="20"/>
                <w:szCs w:val="20"/>
              </w:rPr>
            </w:pPr>
            <w:r w:rsidRPr="0048252D">
              <w:rPr>
                <w:sz w:val="20"/>
                <w:szCs w:val="20"/>
              </w:rPr>
              <w:t>(.828)</w:t>
            </w:r>
          </w:p>
        </w:tc>
        <w:tc>
          <w:tcPr>
            <w:tcW w:w="993" w:type="dxa"/>
            <w:tcBorders>
              <w:top w:val="nil"/>
              <w:left w:val="nil"/>
              <w:bottom w:val="nil"/>
              <w:right w:val="nil"/>
            </w:tcBorders>
            <w:shd w:val="clear" w:color="auto" w:fill="auto"/>
            <w:noWrap/>
            <w:tcMar>
              <w:top w:w="29" w:type="dxa"/>
              <w:left w:w="14" w:type="dxa"/>
              <w:bottom w:w="29" w:type="dxa"/>
              <w:right w:w="14" w:type="dxa"/>
            </w:tcMar>
          </w:tcPr>
          <w:p w14:paraId="4E06AFC7" w14:textId="77777777" w:rsidR="00F731AC" w:rsidRPr="0048252D" w:rsidRDefault="00F731AC" w:rsidP="00CC768C">
            <w:pPr>
              <w:spacing w:after="0" w:line="245" w:lineRule="auto"/>
              <w:rPr>
                <w:rFonts w:eastAsia="Times New Roman"/>
                <w:color w:val="auto"/>
                <w:sz w:val="20"/>
                <w:szCs w:val="20"/>
              </w:rPr>
            </w:pPr>
          </w:p>
        </w:tc>
      </w:tr>
      <w:tr w:rsidR="00F731AC" w:rsidRPr="002D1654" w14:paraId="04794233" w14:textId="77777777" w:rsidTr="00CC768C">
        <w:trPr>
          <w:trHeight w:val="283"/>
          <w:jc w:val="center"/>
        </w:trPr>
        <w:tc>
          <w:tcPr>
            <w:tcW w:w="709" w:type="dxa"/>
            <w:tcBorders>
              <w:top w:val="nil"/>
              <w:left w:val="nil"/>
              <w:right w:val="nil"/>
            </w:tcBorders>
            <w:shd w:val="clear" w:color="000000" w:fill="FFFFFF"/>
            <w:noWrap/>
            <w:tcMar>
              <w:top w:w="29" w:type="dxa"/>
              <w:left w:w="14" w:type="dxa"/>
              <w:bottom w:w="29" w:type="dxa"/>
              <w:right w:w="14" w:type="dxa"/>
            </w:tcMar>
            <w:hideMark/>
          </w:tcPr>
          <w:p w14:paraId="115C1ABC" w14:textId="77777777" w:rsidR="00F731AC" w:rsidRPr="0048252D" w:rsidRDefault="00F731AC" w:rsidP="00CC768C">
            <w:pPr>
              <w:spacing w:after="0" w:line="245" w:lineRule="auto"/>
              <w:rPr>
                <w:rFonts w:eastAsia="Times New Roman"/>
                <w:color w:val="auto"/>
                <w:sz w:val="20"/>
                <w:szCs w:val="20"/>
              </w:rPr>
            </w:pPr>
            <w:r w:rsidRPr="0048252D">
              <w:rPr>
                <w:rFonts w:eastAsia="Times New Roman"/>
                <w:color w:val="auto"/>
                <w:sz w:val="20"/>
                <w:szCs w:val="20"/>
              </w:rPr>
              <w:t> </w:t>
            </w:r>
          </w:p>
        </w:tc>
        <w:tc>
          <w:tcPr>
            <w:tcW w:w="5681" w:type="dxa"/>
            <w:tcBorders>
              <w:top w:val="nil"/>
              <w:left w:val="nil"/>
              <w:right w:val="nil"/>
            </w:tcBorders>
            <w:shd w:val="clear" w:color="000000" w:fill="FFFFFF"/>
            <w:noWrap/>
            <w:tcMar>
              <w:top w:w="29" w:type="dxa"/>
              <w:left w:w="14" w:type="dxa"/>
              <w:bottom w:w="29" w:type="dxa"/>
              <w:right w:w="14" w:type="dxa"/>
            </w:tcMar>
            <w:hideMark/>
          </w:tcPr>
          <w:p w14:paraId="157A6029" w14:textId="77777777" w:rsidR="00F731AC" w:rsidRPr="0048252D" w:rsidRDefault="00F731AC" w:rsidP="00CC768C">
            <w:pPr>
              <w:spacing w:after="0" w:line="245" w:lineRule="auto"/>
              <w:rPr>
                <w:rFonts w:eastAsia="Times New Roman"/>
                <w:color w:val="auto"/>
                <w:sz w:val="20"/>
                <w:szCs w:val="20"/>
              </w:rPr>
            </w:pPr>
            <w:r w:rsidRPr="0048252D">
              <w:rPr>
                <w:color w:val="auto"/>
                <w:sz w:val="20"/>
                <w:szCs w:val="20"/>
              </w:rPr>
              <w:t xml:space="preserve">Industry Turbulence </w:t>
            </w:r>
          </w:p>
        </w:tc>
        <w:tc>
          <w:tcPr>
            <w:tcW w:w="840" w:type="dxa"/>
            <w:tcBorders>
              <w:top w:val="nil"/>
              <w:left w:val="nil"/>
              <w:bottom w:val="nil"/>
              <w:right w:val="nil"/>
            </w:tcBorders>
            <w:shd w:val="clear" w:color="auto" w:fill="auto"/>
            <w:noWrap/>
            <w:tcMar>
              <w:top w:w="29" w:type="dxa"/>
              <w:left w:w="14" w:type="dxa"/>
              <w:bottom w:w="29" w:type="dxa"/>
              <w:right w:w="14" w:type="dxa"/>
            </w:tcMar>
          </w:tcPr>
          <w:p w14:paraId="12C7D1C6" w14:textId="77777777" w:rsidR="00F731AC" w:rsidRPr="0048252D" w:rsidRDefault="00F731AC" w:rsidP="00CC768C">
            <w:pPr>
              <w:spacing w:after="0" w:line="245" w:lineRule="auto"/>
              <w:jc w:val="right"/>
              <w:rPr>
                <w:rFonts w:eastAsia="Times New Roman"/>
                <w:color w:val="auto"/>
                <w:sz w:val="20"/>
                <w:szCs w:val="20"/>
              </w:rPr>
            </w:pPr>
            <w:r w:rsidRPr="0048252D">
              <w:rPr>
                <w:sz w:val="20"/>
                <w:szCs w:val="20"/>
              </w:rPr>
              <w:t>-1.108</w:t>
            </w:r>
          </w:p>
        </w:tc>
        <w:tc>
          <w:tcPr>
            <w:tcW w:w="708" w:type="dxa"/>
            <w:gridSpan w:val="2"/>
            <w:tcBorders>
              <w:top w:val="nil"/>
              <w:left w:val="nil"/>
              <w:bottom w:val="nil"/>
              <w:right w:val="nil"/>
            </w:tcBorders>
            <w:shd w:val="clear" w:color="auto" w:fill="auto"/>
            <w:noWrap/>
            <w:tcMar>
              <w:top w:w="29" w:type="dxa"/>
              <w:left w:w="14" w:type="dxa"/>
              <w:bottom w:w="29" w:type="dxa"/>
              <w:right w:w="14" w:type="dxa"/>
            </w:tcMar>
          </w:tcPr>
          <w:p w14:paraId="16C75A58" w14:textId="77777777" w:rsidR="00F731AC" w:rsidRPr="0048252D" w:rsidRDefault="00F731AC" w:rsidP="00CC768C">
            <w:pPr>
              <w:spacing w:after="0" w:line="245" w:lineRule="auto"/>
              <w:jc w:val="right"/>
              <w:rPr>
                <w:rFonts w:eastAsia="Times New Roman"/>
                <w:color w:val="auto"/>
                <w:sz w:val="20"/>
                <w:szCs w:val="20"/>
              </w:rPr>
            </w:pPr>
            <w:r w:rsidRPr="0048252D">
              <w:rPr>
                <w:sz w:val="20"/>
                <w:szCs w:val="20"/>
              </w:rPr>
              <w:t>(1.306)</w:t>
            </w:r>
          </w:p>
        </w:tc>
        <w:tc>
          <w:tcPr>
            <w:tcW w:w="993" w:type="dxa"/>
            <w:tcBorders>
              <w:top w:val="nil"/>
              <w:left w:val="nil"/>
              <w:bottom w:val="nil"/>
              <w:right w:val="nil"/>
            </w:tcBorders>
            <w:shd w:val="clear" w:color="auto" w:fill="auto"/>
            <w:noWrap/>
            <w:tcMar>
              <w:top w:w="29" w:type="dxa"/>
              <w:left w:w="14" w:type="dxa"/>
              <w:bottom w:w="29" w:type="dxa"/>
              <w:right w:w="14" w:type="dxa"/>
            </w:tcMar>
          </w:tcPr>
          <w:p w14:paraId="78E1AB65" w14:textId="77777777" w:rsidR="00F731AC" w:rsidRPr="0048252D" w:rsidRDefault="00F731AC" w:rsidP="00CC768C">
            <w:pPr>
              <w:spacing w:after="0" w:line="245" w:lineRule="auto"/>
              <w:rPr>
                <w:rFonts w:eastAsia="Times New Roman"/>
                <w:color w:val="auto"/>
                <w:sz w:val="20"/>
                <w:szCs w:val="20"/>
              </w:rPr>
            </w:pPr>
          </w:p>
        </w:tc>
      </w:tr>
      <w:tr w:rsidR="00F731AC" w:rsidRPr="002D1654" w14:paraId="0DE6CB23" w14:textId="77777777" w:rsidTr="00CC768C">
        <w:trPr>
          <w:trHeight w:val="283"/>
          <w:jc w:val="center"/>
        </w:trPr>
        <w:tc>
          <w:tcPr>
            <w:tcW w:w="709" w:type="dxa"/>
            <w:tcBorders>
              <w:top w:val="nil"/>
              <w:left w:val="nil"/>
              <w:right w:val="nil"/>
            </w:tcBorders>
            <w:shd w:val="clear" w:color="000000" w:fill="FFFFFF"/>
            <w:noWrap/>
            <w:tcMar>
              <w:top w:w="29" w:type="dxa"/>
              <w:left w:w="14" w:type="dxa"/>
              <w:bottom w:w="29" w:type="dxa"/>
              <w:right w:w="14" w:type="dxa"/>
            </w:tcMar>
          </w:tcPr>
          <w:p w14:paraId="3AED3F6C" w14:textId="77777777" w:rsidR="00F731AC" w:rsidRPr="0048252D" w:rsidRDefault="00F731AC" w:rsidP="00CC768C">
            <w:pPr>
              <w:spacing w:after="0" w:line="245" w:lineRule="auto"/>
              <w:rPr>
                <w:rFonts w:eastAsia="Times New Roman"/>
                <w:color w:val="auto"/>
                <w:sz w:val="20"/>
                <w:szCs w:val="20"/>
              </w:rPr>
            </w:pPr>
          </w:p>
        </w:tc>
        <w:tc>
          <w:tcPr>
            <w:tcW w:w="5681" w:type="dxa"/>
            <w:tcBorders>
              <w:top w:val="nil"/>
              <w:left w:val="nil"/>
              <w:right w:val="nil"/>
            </w:tcBorders>
            <w:shd w:val="clear" w:color="000000" w:fill="FFFFFF"/>
            <w:noWrap/>
            <w:tcMar>
              <w:top w:w="29" w:type="dxa"/>
              <w:left w:w="14" w:type="dxa"/>
              <w:bottom w:w="29" w:type="dxa"/>
              <w:right w:w="14" w:type="dxa"/>
            </w:tcMar>
          </w:tcPr>
          <w:p w14:paraId="3AA6E21C" w14:textId="77777777" w:rsidR="00F731AC" w:rsidRPr="0048252D" w:rsidRDefault="00F731AC" w:rsidP="00CC768C">
            <w:pPr>
              <w:spacing w:after="0" w:line="245" w:lineRule="auto"/>
              <w:rPr>
                <w:color w:val="auto"/>
                <w:sz w:val="20"/>
                <w:szCs w:val="20"/>
              </w:rPr>
            </w:pPr>
            <w:r w:rsidRPr="0048252D">
              <w:rPr>
                <w:color w:val="auto"/>
                <w:sz w:val="20"/>
                <w:szCs w:val="20"/>
              </w:rPr>
              <w:t>Industry Labor Intensity</w:t>
            </w:r>
          </w:p>
        </w:tc>
        <w:tc>
          <w:tcPr>
            <w:tcW w:w="840" w:type="dxa"/>
            <w:tcBorders>
              <w:top w:val="nil"/>
              <w:left w:val="nil"/>
              <w:bottom w:val="nil"/>
              <w:right w:val="nil"/>
            </w:tcBorders>
            <w:shd w:val="clear" w:color="auto" w:fill="auto"/>
            <w:noWrap/>
            <w:tcMar>
              <w:top w:w="29" w:type="dxa"/>
              <w:left w:w="14" w:type="dxa"/>
              <w:bottom w:w="29" w:type="dxa"/>
              <w:right w:w="14" w:type="dxa"/>
            </w:tcMar>
          </w:tcPr>
          <w:p w14:paraId="2F3D17C7" w14:textId="77777777" w:rsidR="00F731AC" w:rsidRPr="0048252D" w:rsidRDefault="00F731AC" w:rsidP="00CC768C">
            <w:pPr>
              <w:spacing w:after="0" w:line="245" w:lineRule="auto"/>
              <w:jc w:val="right"/>
              <w:rPr>
                <w:color w:val="auto"/>
                <w:sz w:val="20"/>
                <w:szCs w:val="20"/>
              </w:rPr>
            </w:pPr>
            <w:r w:rsidRPr="0048252D">
              <w:rPr>
                <w:sz w:val="20"/>
                <w:szCs w:val="20"/>
              </w:rPr>
              <w:t>1.495</w:t>
            </w:r>
          </w:p>
        </w:tc>
        <w:tc>
          <w:tcPr>
            <w:tcW w:w="708" w:type="dxa"/>
            <w:gridSpan w:val="2"/>
            <w:tcBorders>
              <w:top w:val="nil"/>
              <w:left w:val="nil"/>
              <w:bottom w:val="nil"/>
              <w:right w:val="nil"/>
            </w:tcBorders>
            <w:shd w:val="clear" w:color="auto" w:fill="auto"/>
            <w:noWrap/>
            <w:tcMar>
              <w:top w:w="29" w:type="dxa"/>
              <w:left w:w="14" w:type="dxa"/>
              <w:bottom w:w="29" w:type="dxa"/>
              <w:right w:w="14" w:type="dxa"/>
            </w:tcMar>
          </w:tcPr>
          <w:p w14:paraId="55C5EB55" w14:textId="77777777" w:rsidR="00F731AC" w:rsidRPr="0048252D" w:rsidRDefault="00F731AC" w:rsidP="00CC768C">
            <w:pPr>
              <w:spacing w:after="0" w:line="245" w:lineRule="auto"/>
              <w:jc w:val="right"/>
              <w:rPr>
                <w:color w:val="auto"/>
                <w:sz w:val="20"/>
                <w:szCs w:val="20"/>
              </w:rPr>
            </w:pPr>
            <w:r w:rsidRPr="0048252D">
              <w:rPr>
                <w:sz w:val="20"/>
                <w:szCs w:val="20"/>
              </w:rPr>
              <w:t>(4.182)</w:t>
            </w:r>
          </w:p>
        </w:tc>
        <w:tc>
          <w:tcPr>
            <w:tcW w:w="993" w:type="dxa"/>
            <w:tcBorders>
              <w:top w:val="nil"/>
              <w:left w:val="nil"/>
              <w:bottom w:val="nil"/>
              <w:right w:val="nil"/>
            </w:tcBorders>
            <w:shd w:val="clear" w:color="auto" w:fill="auto"/>
            <w:noWrap/>
            <w:tcMar>
              <w:top w:w="29" w:type="dxa"/>
              <w:left w:w="14" w:type="dxa"/>
              <w:bottom w:w="29" w:type="dxa"/>
              <w:right w:w="14" w:type="dxa"/>
            </w:tcMar>
          </w:tcPr>
          <w:p w14:paraId="24E20501" w14:textId="77777777" w:rsidR="00F731AC" w:rsidRPr="0048252D" w:rsidRDefault="00F731AC" w:rsidP="00CC768C">
            <w:pPr>
              <w:spacing w:after="0" w:line="245" w:lineRule="auto"/>
              <w:rPr>
                <w:color w:val="auto"/>
                <w:sz w:val="20"/>
                <w:szCs w:val="20"/>
              </w:rPr>
            </w:pPr>
          </w:p>
        </w:tc>
      </w:tr>
      <w:tr w:rsidR="00F731AC" w:rsidRPr="002D1654" w14:paraId="41D69131" w14:textId="77777777" w:rsidTr="00CC768C">
        <w:trPr>
          <w:trHeight w:val="283"/>
          <w:jc w:val="center"/>
        </w:trPr>
        <w:tc>
          <w:tcPr>
            <w:tcW w:w="6390" w:type="dxa"/>
            <w:gridSpan w:val="2"/>
            <w:tcBorders>
              <w:top w:val="nil"/>
              <w:left w:val="nil"/>
              <w:right w:val="nil"/>
            </w:tcBorders>
            <w:shd w:val="clear" w:color="000000" w:fill="FFFFFF"/>
            <w:noWrap/>
            <w:tcMar>
              <w:top w:w="29" w:type="dxa"/>
              <w:left w:w="14" w:type="dxa"/>
              <w:bottom w:w="29" w:type="dxa"/>
              <w:right w:w="14" w:type="dxa"/>
            </w:tcMar>
          </w:tcPr>
          <w:p w14:paraId="6A0BB409" w14:textId="77777777" w:rsidR="00F731AC" w:rsidRPr="0048252D" w:rsidRDefault="00F731AC" w:rsidP="00CC768C">
            <w:pPr>
              <w:spacing w:after="0" w:line="245" w:lineRule="auto"/>
              <w:rPr>
                <w:rFonts w:eastAsia="Times New Roman"/>
                <w:b/>
                <w:color w:val="auto"/>
                <w:sz w:val="20"/>
                <w:szCs w:val="20"/>
              </w:rPr>
            </w:pPr>
            <w:r w:rsidRPr="0048252D">
              <w:rPr>
                <w:rFonts w:eastAsia="Times New Roman"/>
                <w:b/>
                <w:color w:val="auto"/>
                <w:sz w:val="20"/>
                <w:szCs w:val="20"/>
              </w:rPr>
              <w:t xml:space="preserve">         Firm Fixed-Effects</w:t>
            </w:r>
          </w:p>
        </w:tc>
        <w:tc>
          <w:tcPr>
            <w:tcW w:w="2541" w:type="dxa"/>
            <w:gridSpan w:val="4"/>
            <w:tcBorders>
              <w:top w:val="nil"/>
              <w:left w:val="nil"/>
              <w:bottom w:val="nil"/>
              <w:right w:val="nil"/>
            </w:tcBorders>
            <w:shd w:val="clear" w:color="auto" w:fill="auto"/>
            <w:noWrap/>
            <w:tcMar>
              <w:top w:w="29" w:type="dxa"/>
              <w:left w:w="14" w:type="dxa"/>
              <w:bottom w:w="29" w:type="dxa"/>
              <w:right w:w="14" w:type="dxa"/>
            </w:tcMar>
          </w:tcPr>
          <w:p w14:paraId="5E06B18F" w14:textId="77777777" w:rsidR="00F731AC" w:rsidRPr="0048252D" w:rsidRDefault="00F731AC" w:rsidP="00CC768C">
            <w:pPr>
              <w:spacing w:after="0" w:line="245" w:lineRule="auto"/>
              <w:jc w:val="center"/>
              <w:rPr>
                <w:color w:val="auto"/>
                <w:sz w:val="20"/>
                <w:szCs w:val="20"/>
              </w:rPr>
            </w:pPr>
            <w:r w:rsidRPr="0048252D">
              <w:rPr>
                <w:color w:val="auto"/>
                <w:sz w:val="20"/>
                <w:szCs w:val="20"/>
              </w:rPr>
              <w:t>Included</w:t>
            </w:r>
          </w:p>
        </w:tc>
      </w:tr>
      <w:tr w:rsidR="00F731AC" w:rsidRPr="002D1654" w14:paraId="3FCAE9D0" w14:textId="77777777" w:rsidTr="00CC768C">
        <w:trPr>
          <w:trHeight w:val="283"/>
          <w:jc w:val="center"/>
        </w:trPr>
        <w:tc>
          <w:tcPr>
            <w:tcW w:w="6390" w:type="dxa"/>
            <w:gridSpan w:val="2"/>
            <w:tcBorders>
              <w:left w:val="nil"/>
              <w:right w:val="nil"/>
            </w:tcBorders>
            <w:shd w:val="clear" w:color="000000" w:fill="FFFFFF"/>
            <w:noWrap/>
            <w:tcMar>
              <w:top w:w="29" w:type="dxa"/>
              <w:left w:w="14" w:type="dxa"/>
              <w:bottom w:w="29" w:type="dxa"/>
              <w:right w:w="14" w:type="dxa"/>
            </w:tcMar>
          </w:tcPr>
          <w:p w14:paraId="5F8CE143" w14:textId="77777777" w:rsidR="00F731AC" w:rsidRPr="0048252D" w:rsidRDefault="00F731AC" w:rsidP="00CC768C">
            <w:pPr>
              <w:spacing w:after="0" w:line="245" w:lineRule="auto"/>
              <w:rPr>
                <w:rFonts w:eastAsia="Times New Roman"/>
                <w:b/>
                <w:color w:val="auto"/>
                <w:sz w:val="20"/>
                <w:szCs w:val="20"/>
              </w:rPr>
            </w:pPr>
            <w:r w:rsidRPr="0048252D">
              <w:rPr>
                <w:rFonts w:eastAsia="Times New Roman"/>
                <w:b/>
                <w:color w:val="auto"/>
                <w:sz w:val="20"/>
                <w:szCs w:val="20"/>
              </w:rPr>
              <w:t xml:space="preserve">         Year Dummies</w:t>
            </w:r>
          </w:p>
        </w:tc>
        <w:tc>
          <w:tcPr>
            <w:tcW w:w="2541" w:type="dxa"/>
            <w:gridSpan w:val="4"/>
            <w:tcBorders>
              <w:top w:val="nil"/>
              <w:left w:val="nil"/>
              <w:bottom w:val="nil"/>
              <w:right w:val="nil"/>
            </w:tcBorders>
            <w:shd w:val="clear" w:color="auto" w:fill="auto"/>
            <w:noWrap/>
            <w:tcMar>
              <w:top w:w="29" w:type="dxa"/>
              <w:left w:w="14" w:type="dxa"/>
              <w:bottom w:w="29" w:type="dxa"/>
              <w:right w:w="14" w:type="dxa"/>
            </w:tcMar>
          </w:tcPr>
          <w:p w14:paraId="3AAAA6B9" w14:textId="77777777" w:rsidR="00F731AC" w:rsidRPr="0048252D" w:rsidRDefault="00F731AC" w:rsidP="00CC768C">
            <w:pPr>
              <w:spacing w:after="0" w:line="245" w:lineRule="auto"/>
              <w:jc w:val="center"/>
              <w:rPr>
                <w:color w:val="auto"/>
                <w:sz w:val="20"/>
                <w:szCs w:val="20"/>
              </w:rPr>
            </w:pPr>
            <w:r w:rsidRPr="0048252D">
              <w:rPr>
                <w:color w:val="auto"/>
                <w:sz w:val="20"/>
                <w:szCs w:val="20"/>
              </w:rPr>
              <w:t>Included</w:t>
            </w:r>
          </w:p>
        </w:tc>
      </w:tr>
      <w:tr w:rsidR="00F731AC" w:rsidRPr="002D1654" w14:paraId="0257B12C" w14:textId="77777777" w:rsidTr="00CC768C">
        <w:trPr>
          <w:trHeight w:val="283"/>
          <w:jc w:val="center"/>
        </w:trPr>
        <w:tc>
          <w:tcPr>
            <w:tcW w:w="6390" w:type="dxa"/>
            <w:gridSpan w:val="2"/>
            <w:tcBorders>
              <w:left w:val="nil"/>
              <w:bottom w:val="single" w:sz="4" w:space="0" w:color="auto"/>
              <w:right w:val="nil"/>
            </w:tcBorders>
            <w:shd w:val="clear" w:color="000000" w:fill="FFFFFF"/>
            <w:noWrap/>
            <w:tcMar>
              <w:top w:w="29" w:type="dxa"/>
              <w:left w:w="14" w:type="dxa"/>
              <w:bottom w:w="29" w:type="dxa"/>
              <w:right w:w="14" w:type="dxa"/>
            </w:tcMar>
          </w:tcPr>
          <w:p w14:paraId="6678ABE6" w14:textId="77777777" w:rsidR="00F731AC" w:rsidRPr="0048252D" w:rsidRDefault="00F731AC" w:rsidP="00CC768C">
            <w:pPr>
              <w:spacing w:after="0" w:line="245" w:lineRule="auto"/>
              <w:rPr>
                <w:color w:val="auto"/>
                <w:sz w:val="20"/>
                <w:szCs w:val="20"/>
              </w:rPr>
            </w:pPr>
            <w:r w:rsidRPr="0048252D">
              <w:rPr>
                <w:rFonts w:eastAsia="Times New Roman"/>
                <w:b/>
                <w:color w:val="auto"/>
                <w:sz w:val="20"/>
                <w:szCs w:val="20"/>
              </w:rPr>
              <w:t xml:space="preserve">         </w:t>
            </w:r>
            <w:r w:rsidRPr="0048252D">
              <w:rPr>
                <w:rFonts w:eastAsia="Times New Roman"/>
                <w:b/>
                <w:bCs/>
                <w:color w:val="auto"/>
                <w:sz w:val="20"/>
                <w:szCs w:val="20"/>
              </w:rPr>
              <w:t>Constant</w:t>
            </w:r>
          </w:p>
        </w:tc>
        <w:tc>
          <w:tcPr>
            <w:tcW w:w="840" w:type="dxa"/>
            <w:tcBorders>
              <w:top w:val="nil"/>
              <w:left w:val="nil"/>
              <w:bottom w:val="nil"/>
              <w:right w:val="nil"/>
            </w:tcBorders>
            <w:shd w:val="clear" w:color="auto" w:fill="auto"/>
            <w:noWrap/>
            <w:tcMar>
              <w:top w:w="29" w:type="dxa"/>
              <w:left w:w="14" w:type="dxa"/>
              <w:bottom w:w="29" w:type="dxa"/>
              <w:right w:w="14" w:type="dxa"/>
            </w:tcMar>
          </w:tcPr>
          <w:p w14:paraId="3E678081" w14:textId="77777777" w:rsidR="00F731AC" w:rsidRPr="0048252D" w:rsidRDefault="00F731AC" w:rsidP="00CC768C">
            <w:pPr>
              <w:spacing w:after="0" w:line="245" w:lineRule="auto"/>
              <w:jc w:val="right"/>
              <w:rPr>
                <w:rFonts w:eastAsia="Times New Roman"/>
                <w:color w:val="auto"/>
                <w:sz w:val="20"/>
                <w:szCs w:val="20"/>
              </w:rPr>
            </w:pPr>
            <w:r w:rsidRPr="0048252D">
              <w:rPr>
                <w:sz w:val="20"/>
                <w:szCs w:val="20"/>
              </w:rPr>
              <w:t>.229</w:t>
            </w:r>
          </w:p>
        </w:tc>
        <w:tc>
          <w:tcPr>
            <w:tcW w:w="708" w:type="dxa"/>
            <w:gridSpan w:val="2"/>
            <w:tcBorders>
              <w:top w:val="nil"/>
              <w:left w:val="nil"/>
              <w:bottom w:val="nil"/>
              <w:right w:val="nil"/>
            </w:tcBorders>
            <w:shd w:val="clear" w:color="auto" w:fill="auto"/>
            <w:noWrap/>
            <w:tcMar>
              <w:top w:w="29" w:type="dxa"/>
              <w:left w:w="14" w:type="dxa"/>
              <w:bottom w:w="29" w:type="dxa"/>
              <w:right w:w="14" w:type="dxa"/>
            </w:tcMar>
          </w:tcPr>
          <w:p w14:paraId="23B9A88F" w14:textId="77777777" w:rsidR="00F731AC" w:rsidRPr="0048252D" w:rsidRDefault="00F731AC" w:rsidP="00CC768C">
            <w:pPr>
              <w:spacing w:after="0" w:line="245" w:lineRule="auto"/>
              <w:jc w:val="right"/>
              <w:rPr>
                <w:rFonts w:eastAsia="Times New Roman"/>
                <w:color w:val="auto"/>
                <w:sz w:val="20"/>
                <w:szCs w:val="20"/>
              </w:rPr>
            </w:pPr>
            <w:r w:rsidRPr="0048252D">
              <w:rPr>
                <w:sz w:val="20"/>
                <w:szCs w:val="20"/>
              </w:rPr>
              <w:t>(.400)</w:t>
            </w:r>
          </w:p>
        </w:tc>
        <w:tc>
          <w:tcPr>
            <w:tcW w:w="993" w:type="dxa"/>
            <w:tcBorders>
              <w:top w:val="nil"/>
              <w:left w:val="nil"/>
              <w:bottom w:val="nil"/>
              <w:right w:val="nil"/>
            </w:tcBorders>
            <w:shd w:val="clear" w:color="auto" w:fill="auto"/>
            <w:noWrap/>
            <w:tcMar>
              <w:top w:w="29" w:type="dxa"/>
              <w:left w:w="14" w:type="dxa"/>
              <w:bottom w:w="29" w:type="dxa"/>
              <w:right w:w="14" w:type="dxa"/>
            </w:tcMar>
          </w:tcPr>
          <w:p w14:paraId="24844BAB" w14:textId="77777777" w:rsidR="00F731AC" w:rsidRPr="0048252D" w:rsidRDefault="00F731AC" w:rsidP="00CC768C">
            <w:pPr>
              <w:spacing w:after="0" w:line="245" w:lineRule="auto"/>
              <w:rPr>
                <w:rFonts w:eastAsia="Times New Roman"/>
                <w:color w:val="auto"/>
                <w:sz w:val="20"/>
                <w:szCs w:val="20"/>
              </w:rPr>
            </w:pPr>
          </w:p>
        </w:tc>
      </w:tr>
      <w:tr w:rsidR="00F731AC" w:rsidRPr="002D1654" w14:paraId="51384388" w14:textId="77777777" w:rsidTr="00CC768C">
        <w:trPr>
          <w:trHeight w:val="283"/>
          <w:jc w:val="center"/>
        </w:trPr>
        <w:tc>
          <w:tcPr>
            <w:tcW w:w="6390" w:type="dxa"/>
            <w:gridSpan w:val="2"/>
            <w:tcBorders>
              <w:top w:val="single" w:sz="4" w:space="0" w:color="auto"/>
              <w:left w:val="nil"/>
              <w:right w:val="nil"/>
            </w:tcBorders>
            <w:shd w:val="clear" w:color="000000" w:fill="FFFFFF"/>
            <w:noWrap/>
            <w:tcMar>
              <w:top w:w="29" w:type="dxa"/>
              <w:left w:w="14" w:type="dxa"/>
              <w:bottom w:w="29" w:type="dxa"/>
              <w:right w:w="14" w:type="dxa"/>
            </w:tcMar>
          </w:tcPr>
          <w:p w14:paraId="7934947C" w14:textId="77777777" w:rsidR="00F731AC" w:rsidRPr="0048252D" w:rsidRDefault="00F731AC" w:rsidP="00CC768C">
            <w:pPr>
              <w:spacing w:after="0" w:line="245" w:lineRule="auto"/>
              <w:rPr>
                <w:rFonts w:eastAsia="Times New Roman"/>
                <w:b/>
                <w:color w:val="auto"/>
                <w:sz w:val="20"/>
                <w:szCs w:val="20"/>
              </w:rPr>
            </w:pPr>
            <w:r w:rsidRPr="0048252D">
              <w:rPr>
                <w:rFonts w:eastAsia="Times New Roman"/>
                <w:b/>
                <w:color w:val="auto"/>
                <w:sz w:val="20"/>
                <w:szCs w:val="20"/>
              </w:rPr>
              <w:t xml:space="preserve">         Summary Statistics</w:t>
            </w:r>
          </w:p>
        </w:tc>
        <w:tc>
          <w:tcPr>
            <w:tcW w:w="1548" w:type="dxa"/>
            <w:gridSpan w:val="3"/>
            <w:tcBorders>
              <w:top w:val="single" w:sz="4" w:space="0" w:color="auto"/>
              <w:left w:val="nil"/>
              <w:right w:val="nil"/>
            </w:tcBorders>
            <w:shd w:val="clear" w:color="auto" w:fill="auto"/>
            <w:noWrap/>
            <w:tcMar>
              <w:top w:w="29" w:type="dxa"/>
              <w:left w:w="14" w:type="dxa"/>
              <w:bottom w:w="29" w:type="dxa"/>
              <w:right w:w="14" w:type="dxa"/>
            </w:tcMar>
          </w:tcPr>
          <w:p w14:paraId="71315F65" w14:textId="77777777" w:rsidR="00F731AC" w:rsidRPr="0048252D" w:rsidRDefault="00F731AC" w:rsidP="00CC768C">
            <w:pPr>
              <w:spacing w:after="0" w:line="245" w:lineRule="auto"/>
              <w:jc w:val="right"/>
              <w:rPr>
                <w:rFonts w:eastAsia="Times New Roman"/>
                <w:color w:val="auto"/>
                <w:sz w:val="20"/>
                <w:szCs w:val="20"/>
              </w:rPr>
            </w:pPr>
          </w:p>
        </w:tc>
        <w:tc>
          <w:tcPr>
            <w:tcW w:w="993" w:type="dxa"/>
            <w:tcBorders>
              <w:top w:val="single" w:sz="4" w:space="0" w:color="auto"/>
              <w:left w:val="nil"/>
              <w:right w:val="nil"/>
            </w:tcBorders>
            <w:shd w:val="clear" w:color="auto" w:fill="auto"/>
            <w:noWrap/>
            <w:tcMar>
              <w:top w:w="29" w:type="dxa"/>
              <w:left w:w="14" w:type="dxa"/>
              <w:bottom w:w="29" w:type="dxa"/>
              <w:right w:w="14" w:type="dxa"/>
            </w:tcMar>
          </w:tcPr>
          <w:p w14:paraId="0E258A53" w14:textId="77777777" w:rsidR="00F731AC" w:rsidRPr="0048252D" w:rsidRDefault="00F731AC" w:rsidP="00CC768C">
            <w:pPr>
              <w:spacing w:after="0" w:line="245" w:lineRule="auto"/>
              <w:rPr>
                <w:rFonts w:eastAsia="Times New Roman"/>
                <w:color w:val="auto"/>
                <w:sz w:val="20"/>
                <w:szCs w:val="20"/>
              </w:rPr>
            </w:pPr>
          </w:p>
        </w:tc>
      </w:tr>
      <w:tr w:rsidR="00F731AC" w:rsidRPr="002D1654" w14:paraId="191BBF92" w14:textId="77777777" w:rsidTr="00CC768C">
        <w:trPr>
          <w:trHeight w:val="283"/>
          <w:jc w:val="center"/>
        </w:trPr>
        <w:tc>
          <w:tcPr>
            <w:tcW w:w="709" w:type="dxa"/>
            <w:tcBorders>
              <w:left w:val="nil"/>
              <w:right w:val="nil"/>
            </w:tcBorders>
            <w:shd w:val="clear" w:color="000000" w:fill="FFFFFF"/>
            <w:noWrap/>
            <w:tcMar>
              <w:top w:w="29" w:type="dxa"/>
              <w:left w:w="14" w:type="dxa"/>
              <w:bottom w:w="29" w:type="dxa"/>
              <w:right w:w="14" w:type="dxa"/>
            </w:tcMar>
          </w:tcPr>
          <w:p w14:paraId="768386C7" w14:textId="77777777" w:rsidR="00F731AC" w:rsidRPr="00ED5F10" w:rsidRDefault="00F731AC" w:rsidP="00CC768C">
            <w:pPr>
              <w:spacing w:after="0" w:line="245" w:lineRule="auto"/>
              <w:rPr>
                <w:rFonts w:eastAsia="Times New Roman"/>
                <w:color w:val="auto"/>
                <w:sz w:val="20"/>
                <w:szCs w:val="20"/>
              </w:rPr>
            </w:pPr>
          </w:p>
        </w:tc>
        <w:tc>
          <w:tcPr>
            <w:tcW w:w="5681" w:type="dxa"/>
            <w:tcBorders>
              <w:left w:val="nil"/>
              <w:right w:val="nil"/>
            </w:tcBorders>
            <w:shd w:val="clear" w:color="000000" w:fill="FFFFFF"/>
            <w:tcMar>
              <w:top w:w="29" w:type="dxa"/>
              <w:left w:w="14" w:type="dxa"/>
              <w:bottom w:w="29" w:type="dxa"/>
              <w:right w:w="14" w:type="dxa"/>
            </w:tcMar>
          </w:tcPr>
          <w:p w14:paraId="2ED68059" w14:textId="77777777" w:rsidR="00F731AC" w:rsidRPr="00ED5F10" w:rsidRDefault="00F731AC" w:rsidP="00CC768C">
            <w:pPr>
              <w:spacing w:after="0" w:line="245" w:lineRule="auto"/>
              <w:rPr>
                <w:rFonts w:eastAsia="Times New Roman"/>
                <w:color w:val="auto"/>
                <w:sz w:val="20"/>
                <w:szCs w:val="20"/>
              </w:rPr>
            </w:pPr>
            <w:r w:rsidRPr="00ED5F10">
              <w:rPr>
                <w:rFonts w:eastAsia="Times New Roman"/>
                <w:color w:val="auto"/>
                <w:sz w:val="20"/>
                <w:szCs w:val="20"/>
              </w:rPr>
              <w:t xml:space="preserve">F-Statistic </w:t>
            </w:r>
            <w:r>
              <w:rPr>
                <w:rFonts w:eastAsia="Times New Roman"/>
                <w:color w:val="auto"/>
                <w:sz w:val="20"/>
                <w:szCs w:val="20"/>
              </w:rPr>
              <w:t>(df)</w:t>
            </w:r>
          </w:p>
        </w:tc>
        <w:tc>
          <w:tcPr>
            <w:tcW w:w="1548" w:type="dxa"/>
            <w:gridSpan w:val="3"/>
            <w:tcBorders>
              <w:left w:val="nil"/>
              <w:right w:val="nil"/>
            </w:tcBorders>
            <w:shd w:val="clear" w:color="auto" w:fill="auto"/>
            <w:noWrap/>
            <w:tcMar>
              <w:top w:w="29" w:type="dxa"/>
              <w:left w:w="14" w:type="dxa"/>
              <w:bottom w:w="29" w:type="dxa"/>
              <w:right w:w="14" w:type="dxa"/>
            </w:tcMar>
          </w:tcPr>
          <w:p w14:paraId="76069A24" w14:textId="77777777" w:rsidR="00F731AC" w:rsidRPr="00ED5F10" w:rsidRDefault="00F731AC" w:rsidP="00CC768C">
            <w:pPr>
              <w:spacing w:after="0" w:line="245" w:lineRule="auto"/>
              <w:jc w:val="right"/>
              <w:rPr>
                <w:rFonts w:eastAsia="Times New Roman"/>
                <w:color w:val="auto"/>
                <w:sz w:val="20"/>
                <w:szCs w:val="20"/>
              </w:rPr>
            </w:pPr>
            <w:r w:rsidRPr="00ED5F10">
              <w:rPr>
                <w:rFonts w:eastAsia="Times New Roman"/>
                <w:color w:val="auto"/>
                <w:sz w:val="20"/>
                <w:szCs w:val="20"/>
              </w:rPr>
              <w:t>15.510</w:t>
            </w:r>
            <w:r>
              <w:rPr>
                <w:rFonts w:eastAsia="Times New Roman"/>
                <w:color w:val="auto"/>
                <w:sz w:val="20"/>
                <w:szCs w:val="20"/>
              </w:rPr>
              <w:t xml:space="preserve"> </w:t>
            </w:r>
            <w:r w:rsidRPr="00ED5F10">
              <w:rPr>
                <w:rFonts w:eastAsia="Times New Roman"/>
                <w:color w:val="auto"/>
                <w:sz w:val="20"/>
                <w:szCs w:val="20"/>
              </w:rPr>
              <w:t>(31, 1048)</w:t>
            </w:r>
          </w:p>
        </w:tc>
        <w:tc>
          <w:tcPr>
            <w:tcW w:w="993" w:type="dxa"/>
            <w:tcBorders>
              <w:left w:val="nil"/>
              <w:right w:val="nil"/>
            </w:tcBorders>
            <w:shd w:val="clear" w:color="auto" w:fill="auto"/>
            <w:noWrap/>
            <w:tcMar>
              <w:top w:w="29" w:type="dxa"/>
              <w:left w:w="14" w:type="dxa"/>
              <w:bottom w:w="29" w:type="dxa"/>
              <w:right w:w="14" w:type="dxa"/>
            </w:tcMar>
          </w:tcPr>
          <w:p w14:paraId="76543FAD" w14:textId="77777777" w:rsidR="00F731AC" w:rsidRPr="00ED5F10" w:rsidRDefault="00F731AC" w:rsidP="00CC768C">
            <w:pPr>
              <w:spacing w:after="0" w:line="245" w:lineRule="auto"/>
              <w:rPr>
                <w:rFonts w:eastAsia="Times New Roman"/>
                <w:color w:val="auto"/>
                <w:sz w:val="20"/>
                <w:szCs w:val="20"/>
              </w:rPr>
            </w:pPr>
            <w:r w:rsidRPr="00ED5F10">
              <w:rPr>
                <w:rFonts w:eastAsia="Times New Roman"/>
                <w:color w:val="auto"/>
                <w:sz w:val="20"/>
                <w:szCs w:val="20"/>
              </w:rPr>
              <w:t>***</w:t>
            </w:r>
          </w:p>
        </w:tc>
      </w:tr>
      <w:tr w:rsidR="00F731AC" w:rsidRPr="002D1654" w14:paraId="61F19F55" w14:textId="77777777" w:rsidTr="00CC768C">
        <w:trPr>
          <w:trHeight w:val="283"/>
          <w:jc w:val="center"/>
        </w:trPr>
        <w:tc>
          <w:tcPr>
            <w:tcW w:w="709" w:type="dxa"/>
            <w:tcBorders>
              <w:left w:val="nil"/>
              <w:bottom w:val="single" w:sz="4" w:space="0" w:color="auto"/>
              <w:right w:val="nil"/>
            </w:tcBorders>
            <w:shd w:val="clear" w:color="000000" w:fill="FFFFFF"/>
            <w:noWrap/>
            <w:tcMar>
              <w:top w:w="29" w:type="dxa"/>
              <w:left w:w="14" w:type="dxa"/>
              <w:bottom w:w="29" w:type="dxa"/>
              <w:right w:w="14" w:type="dxa"/>
            </w:tcMar>
          </w:tcPr>
          <w:p w14:paraId="5890F0EC" w14:textId="77777777" w:rsidR="00F731AC" w:rsidRPr="0048252D" w:rsidRDefault="00F731AC" w:rsidP="00CC768C">
            <w:pPr>
              <w:spacing w:after="0" w:line="245" w:lineRule="auto"/>
              <w:rPr>
                <w:rFonts w:eastAsia="Times New Roman"/>
                <w:color w:val="auto"/>
                <w:sz w:val="20"/>
                <w:szCs w:val="20"/>
              </w:rPr>
            </w:pPr>
          </w:p>
        </w:tc>
        <w:tc>
          <w:tcPr>
            <w:tcW w:w="5681" w:type="dxa"/>
            <w:tcBorders>
              <w:left w:val="nil"/>
              <w:bottom w:val="single" w:sz="4" w:space="0" w:color="auto"/>
              <w:right w:val="nil"/>
            </w:tcBorders>
            <w:shd w:val="clear" w:color="000000" w:fill="FFFFFF"/>
            <w:tcMar>
              <w:top w:w="29" w:type="dxa"/>
              <w:left w:w="14" w:type="dxa"/>
              <w:bottom w:w="29" w:type="dxa"/>
              <w:right w:w="14" w:type="dxa"/>
            </w:tcMar>
          </w:tcPr>
          <w:p w14:paraId="4B776001" w14:textId="77777777" w:rsidR="00F731AC" w:rsidRPr="0048252D" w:rsidRDefault="00F731AC" w:rsidP="00CC768C">
            <w:pPr>
              <w:spacing w:after="0" w:line="245" w:lineRule="auto"/>
              <w:rPr>
                <w:rFonts w:eastAsia="Times New Roman"/>
                <w:color w:val="auto"/>
                <w:sz w:val="20"/>
                <w:szCs w:val="20"/>
              </w:rPr>
            </w:pPr>
            <w:r w:rsidRPr="0048252D">
              <w:rPr>
                <w:rFonts w:eastAsia="Times New Roman"/>
                <w:color w:val="auto"/>
                <w:sz w:val="20"/>
                <w:szCs w:val="20"/>
              </w:rPr>
              <w:t>N (n)</w:t>
            </w:r>
          </w:p>
        </w:tc>
        <w:tc>
          <w:tcPr>
            <w:tcW w:w="2541" w:type="dxa"/>
            <w:gridSpan w:val="4"/>
            <w:tcBorders>
              <w:left w:val="nil"/>
              <w:bottom w:val="single" w:sz="4" w:space="0" w:color="auto"/>
              <w:right w:val="nil"/>
            </w:tcBorders>
            <w:shd w:val="clear" w:color="auto" w:fill="auto"/>
            <w:noWrap/>
            <w:tcMar>
              <w:top w:w="29" w:type="dxa"/>
              <w:left w:w="14" w:type="dxa"/>
              <w:bottom w:w="29" w:type="dxa"/>
              <w:right w:w="14" w:type="dxa"/>
            </w:tcMar>
          </w:tcPr>
          <w:p w14:paraId="3DAAF123" w14:textId="77777777" w:rsidR="00F731AC" w:rsidRPr="0048252D" w:rsidRDefault="00F731AC" w:rsidP="00CC768C">
            <w:pPr>
              <w:spacing w:after="0" w:line="245" w:lineRule="auto"/>
              <w:rPr>
                <w:rFonts w:eastAsia="Times New Roman"/>
                <w:color w:val="auto"/>
                <w:sz w:val="20"/>
                <w:szCs w:val="20"/>
              </w:rPr>
            </w:pPr>
            <w:r>
              <w:rPr>
                <w:rFonts w:eastAsia="Times New Roman"/>
                <w:color w:val="auto"/>
                <w:sz w:val="20"/>
                <w:szCs w:val="20"/>
              </w:rPr>
              <w:t xml:space="preserve">    </w:t>
            </w:r>
            <w:r w:rsidRPr="0048252D">
              <w:rPr>
                <w:rFonts w:eastAsia="Times New Roman"/>
                <w:color w:val="auto"/>
                <w:sz w:val="20"/>
                <w:szCs w:val="20"/>
              </w:rPr>
              <w:t>1,207 (128)</w:t>
            </w:r>
          </w:p>
        </w:tc>
      </w:tr>
      <w:tr w:rsidR="00F731AC" w:rsidRPr="002D1654" w14:paraId="1388668C" w14:textId="77777777" w:rsidTr="00CC768C">
        <w:trPr>
          <w:trHeight w:val="283"/>
          <w:jc w:val="center"/>
        </w:trPr>
        <w:tc>
          <w:tcPr>
            <w:tcW w:w="6390" w:type="dxa"/>
            <w:gridSpan w:val="2"/>
            <w:tcBorders>
              <w:top w:val="single" w:sz="4" w:space="0" w:color="auto"/>
              <w:left w:val="nil"/>
              <w:right w:val="nil"/>
            </w:tcBorders>
            <w:shd w:val="clear" w:color="000000" w:fill="FFFFFF"/>
            <w:noWrap/>
            <w:tcMar>
              <w:top w:w="29" w:type="dxa"/>
              <w:left w:w="14" w:type="dxa"/>
              <w:bottom w:w="29" w:type="dxa"/>
              <w:right w:w="14" w:type="dxa"/>
            </w:tcMar>
          </w:tcPr>
          <w:p w14:paraId="0D7A74FF" w14:textId="77777777" w:rsidR="00F731AC" w:rsidRPr="0048252D" w:rsidRDefault="00F731AC" w:rsidP="00CC768C">
            <w:pPr>
              <w:spacing w:after="0" w:line="245" w:lineRule="auto"/>
              <w:rPr>
                <w:rFonts w:eastAsia="Times New Roman"/>
                <w:color w:val="auto"/>
                <w:sz w:val="20"/>
                <w:szCs w:val="20"/>
              </w:rPr>
            </w:pPr>
            <w:r w:rsidRPr="0048252D">
              <w:rPr>
                <w:rFonts w:eastAsia="Times New Roman"/>
                <w:b/>
                <w:color w:val="auto"/>
                <w:sz w:val="20"/>
                <w:szCs w:val="20"/>
              </w:rPr>
              <w:t xml:space="preserve">         F-Test for Instrument Strength</w:t>
            </w:r>
          </w:p>
        </w:tc>
        <w:tc>
          <w:tcPr>
            <w:tcW w:w="2541" w:type="dxa"/>
            <w:gridSpan w:val="4"/>
            <w:tcBorders>
              <w:top w:val="single" w:sz="4" w:space="0" w:color="auto"/>
              <w:left w:val="nil"/>
              <w:right w:val="nil"/>
            </w:tcBorders>
            <w:shd w:val="clear" w:color="auto" w:fill="auto"/>
            <w:noWrap/>
            <w:tcMar>
              <w:top w:w="29" w:type="dxa"/>
              <w:left w:w="14" w:type="dxa"/>
              <w:bottom w:w="29" w:type="dxa"/>
              <w:right w:w="14" w:type="dxa"/>
            </w:tcMar>
          </w:tcPr>
          <w:p w14:paraId="2DE70A71" w14:textId="77777777" w:rsidR="00F731AC" w:rsidRPr="0048252D" w:rsidRDefault="00F731AC" w:rsidP="00CC768C">
            <w:pPr>
              <w:spacing w:after="0" w:line="245" w:lineRule="auto"/>
              <w:jc w:val="center"/>
              <w:rPr>
                <w:rFonts w:eastAsia="Times New Roman"/>
                <w:color w:val="auto"/>
                <w:sz w:val="20"/>
                <w:szCs w:val="20"/>
              </w:rPr>
            </w:pPr>
          </w:p>
        </w:tc>
      </w:tr>
      <w:tr w:rsidR="00F731AC" w:rsidRPr="002D1654" w14:paraId="33399B67" w14:textId="77777777" w:rsidTr="00CC768C">
        <w:trPr>
          <w:trHeight w:val="283"/>
          <w:jc w:val="center"/>
        </w:trPr>
        <w:tc>
          <w:tcPr>
            <w:tcW w:w="709" w:type="dxa"/>
            <w:tcBorders>
              <w:left w:val="nil"/>
              <w:right w:val="nil"/>
            </w:tcBorders>
            <w:shd w:val="clear" w:color="000000" w:fill="FFFFFF"/>
            <w:noWrap/>
            <w:tcMar>
              <w:top w:w="29" w:type="dxa"/>
              <w:left w:w="14" w:type="dxa"/>
              <w:bottom w:w="29" w:type="dxa"/>
              <w:right w:w="14" w:type="dxa"/>
            </w:tcMar>
          </w:tcPr>
          <w:p w14:paraId="72D2C600" w14:textId="77777777" w:rsidR="00F731AC" w:rsidRPr="0048252D" w:rsidRDefault="00F731AC" w:rsidP="00CC768C">
            <w:pPr>
              <w:spacing w:after="0" w:line="245" w:lineRule="auto"/>
              <w:rPr>
                <w:rFonts w:eastAsia="Times New Roman"/>
                <w:color w:val="auto"/>
                <w:sz w:val="20"/>
                <w:szCs w:val="20"/>
              </w:rPr>
            </w:pPr>
          </w:p>
        </w:tc>
        <w:tc>
          <w:tcPr>
            <w:tcW w:w="5681" w:type="dxa"/>
            <w:tcBorders>
              <w:left w:val="nil"/>
              <w:right w:val="nil"/>
            </w:tcBorders>
            <w:shd w:val="clear" w:color="000000" w:fill="FFFFFF"/>
            <w:tcMar>
              <w:top w:w="29" w:type="dxa"/>
              <w:left w:w="14" w:type="dxa"/>
              <w:bottom w:w="29" w:type="dxa"/>
              <w:right w:w="14" w:type="dxa"/>
            </w:tcMar>
          </w:tcPr>
          <w:p w14:paraId="1B02D03C" w14:textId="77777777" w:rsidR="00F731AC" w:rsidRPr="0048252D" w:rsidRDefault="00F731AC" w:rsidP="00CC768C">
            <w:pPr>
              <w:spacing w:after="0" w:line="245" w:lineRule="auto"/>
              <w:rPr>
                <w:rFonts w:eastAsia="Times New Roman"/>
                <w:color w:val="auto"/>
                <w:sz w:val="20"/>
                <w:szCs w:val="20"/>
              </w:rPr>
            </w:pPr>
            <w:r w:rsidRPr="0048252D">
              <w:rPr>
                <w:rFonts w:eastAsia="Times New Roman"/>
                <w:color w:val="auto"/>
                <w:sz w:val="20"/>
                <w:szCs w:val="20"/>
              </w:rPr>
              <w:t>F-Statistic (df)</w:t>
            </w:r>
          </w:p>
        </w:tc>
        <w:tc>
          <w:tcPr>
            <w:tcW w:w="1530" w:type="dxa"/>
            <w:gridSpan w:val="2"/>
            <w:tcBorders>
              <w:left w:val="nil"/>
              <w:bottom w:val="single" w:sz="4" w:space="0" w:color="auto"/>
              <w:right w:val="nil"/>
            </w:tcBorders>
            <w:shd w:val="clear" w:color="auto" w:fill="auto"/>
            <w:noWrap/>
            <w:tcMar>
              <w:top w:w="29" w:type="dxa"/>
              <w:left w:w="14" w:type="dxa"/>
              <w:bottom w:w="29" w:type="dxa"/>
              <w:right w:w="14" w:type="dxa"/>
            </w:tcMar>
          </w:tcPr>
          <w:p w14:paraId="55FB465E" w14:textId="77777777" w:rsidR="00F731AC" w:rsidRPr="0048252D" w:rsidRDefault="00F731AC" w:rsidP="00CC768C">
            <w:pPr>
              <w:spacing w:after="0" w:line="245" w:lineRule="auto"/>
              <w:jc w:val="right"/>
              <w:rPr>
                <w:rFonts w:eastAsia="Times New Roman"/>
                <w:color w:val="auto"/>
                <w:sz w:val="20"/>
                <w:szCs w:val="20"/>
              </w:rPr>
            </w:pPr>
            <w:r w:rsidRPr="0048252D">
              <w:rPr>
                <w:rFonts w:eastAsia="Times New Roman"/>
                <w:color w:val="auto"/>
                <w:sz w:val="20"/>
                <w:szCs w:val="20"/>
              </w:rPr>
              <w:t>98.570 (1, 1048)</w:t>
            </w:r>
          </w:p>
        </w:tc>
        <w:tc>
          <w:tcPr>
            <w:tcW w:w="1011" w:type="dxa"/>
            <w:gridSpan w:val="2"/>
            <w:tcBorders>
              <w:left w:val="nil"/>
              <w:bottom w:val="single" w:sz="4" w:space="0" w:color="auto"/>
              <w:right w:val="nil"/>
            </w:tcBorders>
            <w:shd w:val="clear" w:color="auto" w:fill="auto"/>
            <w:tcMar>
              <w:top w:w="29" w:type="dxa"/>
              <w:left w:w="14" w:type="dxa"/>
              <w:bottom w:w="29" w:type="dxa"/>
              <w:right w:w="14" w:type="dxa"/>
            </w:tcMar>
          </w:tcPr>
          <w:p w14:paraId="23C7634F" w14:textId="77777777" w:rsidR="00F731AC" w:rsidRPr="0048252D" w:rsidRDefault="00F731AC" w:rsidP="00CC768C">
            <w:pPr>
              <w:spacing w:after="0" w:line="245" w:lineRule="auto"/>
              <w:rPr>
                <w:rFonts w:eastAsia="Times New Roman"/>
                <w:color w:val="auto"/>
                <w:sz w:val="20"/>
                <w:szCs w:val="20"/>
              </w:rPr>
            </w:pPr>
            <w:r w:rsidRPr="0048252D">
              <w:rPr>
                <w:rFonts w:eastAsia="Times New Roman"/>
                <w:color w:val="auto"/>
                <w:sz w:val="20"/>
                <w:szCs w:val="20"/>
              </w:rPr>
              <w:t>***</w:t>
            </w:r>
          </w:p>
        </w:tc>
      </w:tr>
      <w:tr w:rsidR="00F731AC" w:rsidRPr="002D1654" w14:paraId="19465296" w14:textId="77777777" w:rsidTr="00CC768C">
        <w:tblPrEx>
          <w:jc w:val="left"/>
          <w:tblCellMar>
            <w:left w:w="108" w:type="dxa"/>
            <w:right w:w="108" w:type="dxa"/>
          </w:tblCellMar>
        </w:tblPrEx>
        <w:trPr>
          <w:trHeight w:val="558"/>
        </w:trPr>
        <w:tc>
          <w:tcPr>
            <w:tcW w:w="8931" w:type="dxa"/>
            <w:gridSpan w:val="6"/>
            <w:tcBorders>
              <w:top w:val="single" w:sz="4" w:space="0" w:color="auto"/>
              <w:left w:val="nil"/>
            </w:tcBorders>
            <w:shd w:val="clear" w:color="000000" w:fill="FFFFFF"/>
            <w:tcMar>
              <w:top w:w="29" w:type="dxa"/>
              <w:left w:w="14" w:type="dxa"/>
              <w:bottom w:w="29" w:type="dxa"/>
              <w:right w:w="14" w:type="dxa"/>
            </w:tcMar>
            <w:hideMark/>
          </w:tcPr>
          <w:p w14:paraId="440B7FC1" w14:textId="77777777" w:rsidR="00F731AC" w:rsidRPr="002D1654" w:rsidRDefault="00F731AC" w:rsidP="00CC768C">
            <w:pPr>
              <w:spacing w:after="0" w:line="245" w:lineRule="auto"/>
              <w:rPr>
                <w:rFonts w:eastAsia="Times New Roman"/>
                <w:i/>
                <w:iCs/>
                <w:color w:val="auto"/>
                <w:sz w:val="6"/>
                <w:lang w:eastAsia="en-SG"/>
              </w:rPr>
            </w:pPr>
          </w:p>
          <w:p w14:paraId="0830F7F1" w14:textId="77777777" w:rsidR="00F731AC" w:rsidRPr="002D1654" w:rsidRDefault="00F731AC" w:rsidP="00CC768C">
            <w:pPr>
              <w:spacing w:after="0" w:line="245" w:lineRule="auto"/>
              <w:rPr>
                <w:rFonts w:eastAsia="Times New Roman"/>
                <w:i/>
                <w:iCs/>
                <w:color w:val="auto"/>
                <w:sz w:val="6"/>
                <w:lang w:eastAsia="en-SG"/>
              </w:rPr>
            </w:pPr>
          </w:p>
          <w:p w14:paraId="59A49072" w14:textId="77777777" w:rsidR="00F731AC" w:rsidRPr="005A0DA0" w:rsidRDefault="00F731AC" w:rsidP="00CC768C">
            <w:pPr>
              <w:spacing w:after="0" w:line="245" w:lineRule="auto"/>
              <w:rPr>
                <w:rFonts w:eastAsia="Times New Roman"/>
                <w:color w:val="auto"/>
                <w:sz w:val="16"/>
                <w:szCs w:val="16"/>
              </w:rPr>
            </w:pPr>
            <w:r w:rsidRPr="002D1654">
              <w:rPr>
                <w:rFonts w:eastAsia="Times New Roman"/>
                <w:i/>
                <w:iCs/>
                <w:color w:val="auto"/>
                <w:lang w:eastAsia="en-SG"/>
              </w:rPr>
              <w:t>Notes</w:t>
            </w:r>
            <w:r w:rsidRPr="002D1654">
              <w:rPr>
                <w:rFonts w:eastAsia="Times New Roman"/>
                <w:color w:val="auto"/>
                <w:sz w:val="16"/>
                <w:szCs w:val="16"/>
                <w:lang w:eastAsia="en-SG"/>
              </w:rPr>
              <w:t>.</w:t>
            </w:r>
            <w:r w:rsidRPr="002D1654">
              <w:rPr>
                <w:rFonts w:eastAsia="Times New Roman"/>
                <w:color w:val="auto"/>
                <w:sz w:val="16"/>
                <w:szCs w:val="16"/>
              </w:rPr>
              <w:t xml:space="preserve"> </w:t>
            </w:r>
            <w:r w:rsidRPr="002D1654">
              <w:rPr>
                <w:rFonts w:eastAsia="Times New Roman"/>
                <w:color w:val="auto"/>
                <w:lang w:eastAsia="en-SG"/>
              </w:rPr>
              <w:t xml:space="preserve">* </w:t>
            </w:r>
            <w:r w:rsidRPr="002D1654">
              <w:rPr>
                <w:rFonts w:eastAsia="Times New Roman"/>
                <w:i/>
                <w:iCs/>
                <w:color w:val="auto"/>
                <w:lang w:eastAsia="en-SG"/>
              </w:rPr>
              <w:t>p</w:t>
            </w:r>
            <w:r w:rsidRPr="002D1654">
              <w:rPr>
                <w:rFonts w:eastAsia="Times New Roman"/>
                <w:color w:val="auto"/>
                <w:lang w:eastAsia="en-SG"/>
              </w:rPr>
              <w:t xml:space="preserve"> &lt; 0.10; **</w:t>
            </w:r>
            <w:r w:rsidRPr="002D1654">
              <w:rPr>
                <w:rFonts w:eastAsia="Times New Roman"/>
                <w:i/>
                <w:iCs/>
                <w:color w:val="auto"/>
                <w:lang w:eastAsia="en-SG"/>
              </w:rPr>
              <w:t xml:space="preserve"> p</w:t>
            </w:r>
            <w:r w:rsidRPr="002D1654">
              <w:rPr>
                <w:rFonts w:eastAsia="Times New Roman"/>
                <w:color w:val="auto"/>
                <w:lang w:eastAsia="en-SG"/>
              </w:rPr>
              <w:t xml:space="preserve"> &lt;0.05; *** </w:t>
            </w:r>
            <w:r w:rsidRPr="002D1654">
              <w:rPr>
                <w:rFonts w:eastAsia="Times New Roman"/>
                <w:i/>
                <w:iCs/>
                <w:color w:val="auto"/>
                <w:lang w:eastAsia="en-SG"/>
              </w:rPr>
              <w:t>p</w:t>
            </w:r>
            <w:r w:rsidRPr="002D1654">
              <w:rPr>
                <w:rFonts w:eastAsia="Times New Roman"/>
                <w:color w:val="auto"/>
                <w:lang w:eastAsia="en-SG"/>
              </w:rPr>
              <w:t xml:space="preserve"> &lt; 0.01 (two-sided);</w:t>
            </w:r>
            <w:r>
              <w:rPr>
                <w:rFonts w:eastAsia="Times New Roman"/>
                <w:color w:val="auto"/>
                <w:lang w:eastAsia="en-SG"/>
              </w:rPr>
              <w:t xml:space="preserve"> </w:t>
            </w:r>
            <w:r w:rsidRPr="002D1654">
              <w:rPr>
                <w:rFonts w:eastAsia="Times New Roman"/>
                <w:color w:val="auto"/>
                <w:lang w:eastAsia="en-SG"/>
              </w:rPr>
              <w:t xml:space="preserve">Coeff = Coefficient; SE = Standard Error; N (n) = Total number of observations (unique firms). </w:t>
            </w:r>
            <w:r>
              <w:rPr>
                <w:rFonts w:eastAsia="Times New Roman"/>
                <w:color w:val="auto"/>
                <w:lang w:eastAsia="en-SG"/>
              </w:rPr>
              <w:t>A</w:t>
            </w:r>
            <w:r w:rsidRPr="002D1654">
              <w:rPr>
                <w:rFonts w:eastAsia="Times New Roman"/>
                <w:color w:val="auto"/>
                <w:lang w:eastAsia="en-SG"/>
              </w:rPr>
              <w:t xml:space="preserve">ll continuous variables </w:t>
            </w:r>
            <w:r>
              <w:rPr>
                <w:rFonts w:eastAsia="Times New Roman"/>
                <w:color w:val="auto"/>
                <w:lang w:eastAsia="en-SG"/>
              </w:rPr>
              <w:t>are</w:t>
            </w:r>
            <w:r w:rsidRPr="002D1654">
              <w:rPr>
                <w:rFonts w:eastAsia="Times New Roman"/>
                <w:color w:val="auto"/>
                <w:lang w:eastAsia="en-SG"/>
              </w:rPr>
              <w:t xml:space="preserve"> </w:t>
            </w:r>
            <w:r>
              <w:rPr>
                <w:rFonts w:eastAsia="Times New Roman"/>
                <w:color w:val="auto"/>
                <w:lang w:eastAsia="en-SG"/>
              </w:rPr>
              <w:t>w</w:t>
            </w:r>
            <w:r w:rsidRPr="002D1654">
              <w:rPr>
                <w:rFonts w:eastAsia="Times New Roman"/>
                <w:color w:val="auto"/>
                <w:lang w:eastAsia="en-SG"/>
              </w:rPr>
              <w:t>insorize</w:t>
            </w:r>
            <w:r>
              <w:rPr>
                <w:rFonts w:eastAsia="Times New Roman"/>
                <w:color w:val="auto"/>
                <w:lang w:eastAsia="en-SG"/>
              </w:rPr>
              <w:t>d</w:t>
            </w:r>
            <w:r w:rsidRPr="002D1654">
              <w:rPr>
                <w:rFonts w:eastAsia="Times New Roman"/>
                <w:color w:val="auto"/>
                <w:lang w:eastAsia="en-SG"/>
              </w:rPr>
              <w:t xml:space="preserve"> at the 1</w:t>
            </w:r>
            <w:r w:rsidRPr="002D1654">
              <w:rPr>
                <w:rFonts w:eastAsia="Times New Roman"/>
                <w:color w:val="auto"/>
                <w:vertAlign w:val="superscript"/>
                <w:lang w:eastAsia="en-SG"/>
              </w:rPr>
              <w:t>st</w:t>
            </w:r>
            <w:r w:rsidRPr="002D1654">
              <w:rPr>
                <w:rFonts w:eastAsia="Times New Roman"/>
                <w:color w:val="auto"/>
                <w:lang w:eastAsia="en-SG"/>
              </w:rPr>
              <w:t xml:space="preserve"> and 99</w:t>
            </w:r>
            <w:r w:rsidRPr="002D1654">
              <w:rPr>
                <w:rFonts w:eastAsia="Times New Roman"/>
                <w:color w:val="auto"/>
                <w:vertAlign w:val="superscript"/>
                <w:lang w:eastAsia="en-SG"/>
              </w:rPr>
              <w:t>th</w:t>
            </w:r>
            <w:r w:rsidRPr="002D1654">
              <w:rPr>
                <w:rFonts w:eastAsia="Times New Roman"/>
                <w:color w:val="auto"/>
                <w:lang w:eastAsia="en-SG"/>
              </w:rPr>
              <w:t xml:space="preserve"> percentile levels</w:t>
            </w:r>
            <w:r>
              <w:rPr>
                <w:rFonts w:eastAsia="Times New Roman"/>
                <w:color w:val="auto"/>
                <w:lang w:eastAsia="en-SG"/>
              </w:rPr>
              <w:t xml:space="preserve">. All </w:t>
            </w:r>
            <w:r w:rsidRPr="002D1654">
              <w:rPr>
                <w:rFonts w:eastAsia="Times New Roman"/>
                <w:color w:val="auto"/>
                <w:lang w:eastAsia="en-SG"/>
              </w:rPr>
              <w:t xml:space="preserve">continuous variables </w:t>
            </w:r>
            <w:r>
              <w:rPr>
                <w:rFonts w:eastAsia="Times New Roman"/>
                <w:color w:val="auto"/>
                <w:lang w:eastAsia="en-SG"/>
              </w:rPr>
              <w:t xml:space="preserve">are </w:t>
            </w:r>
            <w:r w:rsidRPr="002D1654">
              <w:rPr>
                <w:rFonts w:eastAsia="Times New Roman"/>
                <w:color w:val="auto"/>
                <w:lang w:eastAsia="en-SG"/>
              </w:rPr>
              <w:t>mean center</w:t>
            </w:r>
            <w:r>
              <w:rPr>
                <w:rFonts w:eastAsia="Times New Roman"/>
                <w:color w:val="auto"/>
                <w:lang w:eastAsia="en-SG"/>
              </w:rPr>
              <w:t>ed</w:t>
            </w:r>
            <w:r w:rsidRPr="002D1654">
              <w:rPr>
                <w:rFonts w:eastAsia="Times New Roman"/>
                <w:color w:val="auto"/>
                <w:lang w:eastAsia="en-SG"/>
              </w:rPr>
              <w:t>.</w:t>
            </w:r>
          </w:p>
        </w:tc>
      </w:tr>
    </w:tbl>
    <w:p w14:paraId="39DB10EB" w14:textId="77777777" w:rsidR="00F731AC" w:rsidRPr="00F109B2" w:rsidRDefault="00F731AC" w:rsidP="00F731AC">
      <w:pPr>
        <w:jc w:val="center"/>
        <w:rPr>
          <w:sz w:val="24"/>
          <w:szCs w:val="24"/>
        </w:rPr>
        <w:sectPr w:rsidR="00F731AC" w:rsidRPr="00F109B2" w:rsidSect="00CC768C">
          <w:headerReference w:type="default" r:id="rId10"/>
          <w:footerReference w:type="default" r:id="rId11"/>
          <w:pgSz w:w="11906" w:h="16838" w:code="9"/>
          <w:pgMar w:top="1440" w:right="1440" w:bottom="1440" w:left="1440" w:header="706" w:footer="706" w:gutter="0"/>
          <w:cols w:space="708"/>
          <w:noEndnote/>
          <w:docGrid w:linePitch="360"/>
        </w:sectPr>
      </w:pPr>
    </w:p>
    <w:tbl>
      <w:tblPr>
        <w:tblW w:w="12600" w:type="dxa"/>
        <w:jc w:val="center"/>
        <w:tblLook w:val="04A0" w:firstRow="1" w:lastRow="0" w:firstColumn="1" w:lastColumn="0" w:noHBand="0" w:noVBand="1"/>
      </w:tblPr>
      <w:tblGrid>
        <w:gridCol w:w="12600"/>
      </w:tblGrid>
      <w:tr w:rsidR="00F731AC" w:rsidRPr="002D1654" w14:paraId="3773142F" w14:textId="77777777" w:rsidTr="00CC768C">
        <w:trPr>
          <w:trHeight w:val="339"/>
          <w:jc w:val="center"/>
        </w:trPr>
        <w:tc>
          <w:tcPr>
            <w:tcW w:w="12600" w:type="dxa"/>
            <w:tcBorders>
              <w:top w:val="nil"/>
              <w:left w:val="nil"/>
              <w:right w:val="nil"/>
            </w:tcBorders>
            <w:shd w:val="clear" w:color="000000" w:fill="FFFFFF"/>
            <w:noWrap/>
            <w:hideMark/>
          </w:tcPr>
          <w:p w14:paraId="2424EBB4" w14:textId="2F71E810" w:rsidR="00F731AC" w:rsidRPr="002D1654" w:rsidRDefault="007E0638" w:rsidP="00CC768C">
            <w:pPr>
              <w:spacing w:after="0" w:line="240" w:lineRule="auto"/>
              <w:jc w:val="center"/>
              <w:rPr>
                <w:rFonts w:eastAsia="Times New Roman"/>
                <w:b/>
                <w:bCs/>
                <w:color w:val="auto"/>
                <w:sz w:val="24"/>
                <w:szCs w:val="24"/>
                <w:lang w:eastAsia="en-SG"/>
              </w:rPr>
            </w:pPr>
            <w:r>
              <w:rPr>
                <w:rFonts w:eastAsia="Times New Roman"/>
                <w:b/>
                <w:bCs/>
                <w:color w:val="auto"/>
                <w:sz w:val="24"/>
                <w:szCs w:val="24"/>
                <w:lang w:eastAsia="en-SG"/>
              </w:rPr>
              <w:lastRenderedPageBreak/>
              <w:t>FIGURE E1</w:t>
            </w:r>
            <w:r w:rsidRPr="002D1654">
              <w:rPr>
                <w:rFonts w:eastAsia="Times New Roman"/>
                <w:b/>
                <w:bCs/>
                <w:color w:val="auto"/>
                <w:sz w:val="24"/>
                <w:szCs w:val="24"/>
                <w:lang w:eastAsia="en-SG"/>
              </w:rPr>
              <w:t>:</w:t>
            </w:r>
          </w:p>
        </w:tc>
      </w:tr>
      <w:tr w:rsidR="00F731AC" w:rsidRPr="002D1654" w14:paraId="5015AE0B" w14:textId="77777777" w:rsidTr="00CC768C">
        <w:trPr>
          <w:trHeight w:val="339"/>
          <w:jc w:val="center"/>
        </w:trPr>
        <w:tc>
          <w:tcPr>
            <w:tcW w:w="12600" w:type="dxa"/>
            <w:tcBorders>
              <w:top w:val="nil"/>
              <w:left w:val="nil"/>
              <w:bottom w:val="single" w:sz="4" w:space="0" w:color="auto"/>
              <w:right w:val="nil"/>
            </w:tcBorders>
            <w:shd w:val="clear" w:color="000000" w:fill="FFFFFF"/>
            <w:noWrap/>
            <w:hideMark/>
          </w:tcPr>
          <w:p w14:paraId="54DA26F7" w14:textId="2322CA74" w:rsidR="00F731AC" w:rsidRPr="002D1654" w:rsidRDefault="007E0638" w:rsidP="00CC768C">
            <w:pPr>
              <w:spacing w:after="120" w:line="240" w:lineRule="auto"/>
              <w:jc w:val="center"/>
              <w:rPr>
                <w:rFonts w:eastAsia="Times New Roman"/>
                <w:b/>
                <w:bCs/>
                <w:color w:val="auto"/>
                <w:sz w:val="12"/>
                <w:szCs w:val="24"/>
                <w:lang w:eastAsia="en-SG"/>
              </w:rPr>
            </w:pPr>
            <w:r w:rsidRPr="002D1654">
              <w:rPr>
                <w:rFonts w:eastAsia="Times New Roman"/>
                <w:b/>
                <w:bCs/>
                <w:color w:val="auto"/>
                <w:sz w:val="24"/>
                <w:szCs w:val="24"/>
                <w:lang w:eastAsia="en-SG"/>
              </w:rPr>
              <w:t>HISTOGRAM OF WEIGHTED PEERS’ CUSTOMER SATISFACTION BY ACSI-DEFINED SECTORS</w:t>
            </w:r>
          </w:p>
        </w:tc>
      </w:tr>
      <w:tr w:rsidR="00F731AC" w:rsidRPr="002D1654" w14:paraId="6FD5A315" w14:textId="77777777" w:rsidTr="00CC768C">
        <w:trPr>
          <w:trHeight w:val="6618"/>
          <w:jc w:val="center"/>
        </w:trPr>
        <w:tc>
          <w:tcPr>
            <w:tcW w:w="12600" w:type="dxa"/>
            <w:tcBorders>
              <w:top w:val="single" w:sz="4" w:space="0" w:color="auto"/>
              <w:left w:val="nil"/>
              <w:bottom w:val="single" w:sz="4" w:space="0" w:color="auto"/>
              <w:right w:val="nil"/>
            </w:tcBorders>
            <w:shd w:val="clear" w:color="000000" w:fill="FFFFFF"/>
            <w:noWrap/>
            <w:vAlign w:val="center"/>
          </w:tcPr>
          <w:p w14:paraId="6AC2AD71" w14:textId="77777777" w:rsidR="00F731AC" w:rsidRPr="002D1654" w:rsidRDefault="00F731AC" w:rsidP="00CC768C">
            <w:pPr>
              <w:spacing w:after="0" w:line="240" w:lineRule="auto"/>
              <w:jc w:val="center"/>
              <w:rPr>
                <w:rFonts w:eastAsia="Times New Roman"/>
                <w:bCs/>
                <w:color w:val="auto"/>
                <w:sz w:val="24"/>
                <w:szCs w:val="24"/>
                <w:lang w:eastAsia="en-SG"/>
              </w:rPr>
            </w:pPr>
            <w:r w:rsidRPr="002D1654">
              <w:rPr>
                <w:rFonts w:eastAsia="Times New Roman"/>
                <w:bCs/>
                <w:noProof/>
                <w:color w:val="auto"/>
                <w:sz w:val="24"/>
                <w:szCs w:val="24"/>
                <w:lang w:val="en-SG" w:eastAsia="en-SG"/>
              </w:rPr>
              <w:drawing>
                <wp:anchor distT="0" distB="0" distL="114300" distR="114300" simplePos="0" relativeHeight="251803648" behindDoc="0" locked="0" layoutInCell="1" allowOverlap="1" wp14:anchorId="45127494" wp14:editId="700F296E">
                  <wp:simplePos x="0" y="0"/>
                  <wp:positionH relativeFrom="column">
                    <wp:posOffset>384175</wp:posOffset>
                  </wp:positionH>
                  <wp:positionV relativeFrom="paragraph">
                    <wp:posOffset>500380</wp:posOffset>
                  </wp:positionV>
                  <wp:extent cx="250190" cy="237744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 cy="2377440"/>
                          </a:xfrm>
                          <a:prstGeom prst="rect">
                            <a:avLst/>
                          </a:prstGeom>
                          <a:noFill/>
                        </pic:spPr>
                      </pic:pic>
                    </a:graphicData>
                  </a:graphic>
                  <wp14:sizeRelH relativeFrom="page">
                    <wp14:pctWidth>0</wp14:pctWidth>
                  </wp14:sizeRelH>
                  <wp14:sizeRelV relativeFrom="page">
                    <wp14:pctHeight>0</wp14:pctHeight>
                  </wp14:sizeRelV>
                </wp:anchor>
              </w:drawing>
            </w:r>
            <w:r w:rsidRPr="002D1654">
              <w:rPr>
                <w:rFonts w:eastAsia="Times New Roman"/>
                <w:bCs/>
                <w:color w:val="auto"/>
                <w:sz w:val="24"/>
                <w:szCs w:val="24"/>
                <w:lang w:eastAsia="en-SG"/>
              </w:rPr>
              <w:t xml:space="preserve"> </w:t>
            </w:r>
          </w:p>
          <w:p w14:paraId="4984B2E6" w14:textId="77777777" w:rsidR="00F731AC" w:rsidRPr="002D1654" w:rsidRDefault="00F731AC" w:rsidP="00CC768C">
            <w:pPr>
              <w:spacing w:after="0" w:line="240" w:lineRule="auto"/>
              <w:jc w:val="center"/>
              <w:rPr>
                <w:rFonts w:eastAsia="Times New Roman"/>
                <w:bCs/>
                <w:color w:val="auto"/>
                <w:sz w:val="24"/>
                <w:szCs w:val="24"/>
                <w:lang w:eastAsia="en-SG"/>
              </w:rPr>
            </w:pPr>
            <w:r>
              <w:rPr>
                <w:noProof/>
                <w:lang w:val="en-SG" w:eastAsia="en-SG"/>
              </w:rPr>
              <mc:AlternateContent>
                <mc:Choice Requires="wpg">
                  <w:drawing>
                    <wp:anchor distT="0" distB="0" distL="114300" distR="114300" simplePos="0" relativeHeight="251804672" behindDoc="0" locked="0" layoutInCell="1" allowOverlap="1" wp14:anchorId="10B54EBC" wp14:editId="169A39D2">
                      <wp:simplePos x="0" y="0"/>
                      <wp:positionH relativeFrom="column">
                        <wp:posOffset>1232535</wp:posOffset>
                      </wp:positionH>
                      <wp:positionV relativeFrom="paragraph">
                        <wp:posOffset>3540125</wp:posOffset>
                      </wp:positionV>
                      <wp:extent cx="5914390" cy="281940"/>
                      <wp:effectExtent l="0" t="0" r="0" b="3810"/>
                      <wp:wrapNone/>
                      <wp:docPr id="1" name="Group 1"/>
                      <wp:cNvGraphicFramePr/>
                      <a:graphic xmlns:a="http://schemas.openxmlformats.org/drawingml/2006/main">
                        <a:graphicData uri="http://schemas.microsoft.com/office/word/2010/wordprocessingGroup">
                          <wpg:wgp>
                            <wpg:cNvGrpSpPr/>
                            <wpg:grpSpPr>
                              <a:xfrm>
                                <a:off x="0" y="0"/>
                                <a:ext cx="5914390" cy="281940"/>
                                <a:chOff x="34130" y="0"/>
                                <a:chExt cx="5916629" cy="281941"/>
                              </a:xfrm>
                            </wpg:grpSpPr>
                            <wps:wsp>
                              <wps:cNvPr id="21" name="TextBox 7"/>
                              <wps:cNvSpPr txBox="1"/>
                              <wps:spPr>
                                <a:xfrm>
                                  <a:off x="34130" y="0"/>
                                  <a:ext cx="725337" cy="276674"/>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1764B0D" w14:textId="77777777" w:rsidR="002C0FC3" w:rsidRDefault="002C0FC3" w:rsidP="00F731AC">
                                    <w:pPr>
                                      <w:jc w:val="center"/>
                                      <w:rPr>
                                        <w:sz w:val="24"/>
                                        <w:szCs w:val="24"/>
                                      </w:rPr>
                                    </w:pPr>
                                    <w:r>
                                      <w:rPr>
                                        <w:color w:val="000000" w:themeColor="dark1"/>
                                        <w:sz w:val="22"/>
                                        <w:szCs w:val="22"/>
                                      </w:rPr>
                                      <w:t>&lt; 70</w:t>
                                    </w:r>
                                  </w:p>
                                </w:txbxContent>
                              </wps:txbx>
                              <wps:bodyPr wrap="square" rtlCol="0" anchor="t"/>
                            </wps:wsp>
                            <wps:wsp>
                              <wps:cNvPr id="27" name="TextBox 8"/>
                              <wps:cNvSpPr txBox="1"/>
                              <wps:spPr>
                                <a:xfrm>
                                  <a:off x="2639614" y="0"/>
                                  <a:ext cx="694823" cy="276674"/>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6A7CFFC" w14:textId="77777777" w:rsidR="002C0FC3" w:rsidRDefault="002C0FC3" w:rsidP="00F731AC">
                                    <w:pPr>
                                      <w:jc w:val="center"/>
                                      <w:rPr>
                                        <w:sz w:val="24"/>
                                        <w:szCs w:val="24"/>
                                      </w:rPr>
                                    </w:pPr>
                                    <w:r>
                                      <w:rPr>
                                        <w:color w:val="000000" w:themeColor="dark1"/>
                                        <w:sz w:val="22"/>
                                        <w:szCs w:val="22"/>
                                      </w:rPr>
                                      <w:t xml:space="preserve">76 </w:t>
                                    </w:r>
                                    <w:r>
                                      <w:rPr>
                                        <w:rFonts w:asciiTheme="minorHAnsi" w:hAnsi="Calibri" w:cstheme="minorBidi"/>
                                        <w:color w:val="000000" w:themeColor="dark1"/>
                                        <w:sz w:val="22"/>
                                        <w:szCs w:val="22"/>
                                      </w:rPr>
                                      <w:t>–</w:t>
                                    </w:r>
                                    <w:r>
                                      <w:rPr>
                                        <w:color w:val="000000" w:themeColor="dark1"/>
                                        <w:sz w:val="22"/>
                                        <w:szCs w:val="22"/>
                                      </w:rPr>
                                      <w:t xml:space="preserve"> 78</w:t>
                                    </w:r>
                                  </w:p>
                                </w:txbxContent>
                              </wps:txbx>
                              <wps:bodyPr wrap="square" rtlCol="0" anchor="t"/>
                            </wps:wsp>
                            <wps:wsp>
                              <wps:cNvPr id="28" name="TextBox 9"/>
                              <wps:cNvSpPr txBox="1"/>
                              <wps:spPr>
                                <a:xfrm>
                                  <a:off x="3509314" y="0"/>
                                  <a:ext cx="715793" cy="25286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9C98C89" w14:textId="77777777" w:rsidR="002C0FC3" w:rsidRDefault="002C0FC3" w:rsidP="00F731AC">
                                    <w:pPr>
                                      <w:jc w:val="center"/>
                                      <w:rPr>
                                        <w:sz w:val="24"/>
                                        <w:szCs w:val="24"/>
                                      </w:rPr>
                                    </w:pPr>
                                    <w:r>
                                      <w:rPr>
                                        <w:color w:val="000000" w:themeColor="dark1"/>
                                        <w:sz w:val="22"/>
                                        <w:szCs w:val="22"/>
                                      </w:rPr>
                                      <w:t xml:space="preserve">78 </w:t>
                                    </w:r>
                                    <w:r>
                                      <w:rPr>
                                        <w:rFonts w:asciiTheme="minorHAnsi" w:hAnsi="Calibri" w:cstheme="minorBidi"/>
                                        <w:color w:val="000000" w:themeColor="dark1"/>
                                        <w:sz w:val="22"/>
                                        <w:szCs w:val="22"/>
                                      </w:rPr>
                                      <w:t>–</w:t>
                                    </w:r>
                                    <w:r>
                                      <w:rPr>
                                        <w:color w:val="000000" w:themeColor="dark1"/>
                                        <w:sz w:val="22"/>
                                        <w:szCs w:val="22"/>
                                      </w:rPr>
                                      <w:t xml:space="preserve"> 81</w:t>
                                    </w:r>
                                  </w:p>
                                </w:txbxContent>
                              </wps:txbx>
                              <wps:bodyPr wrap="square" rtlCol="0" anchor="t"/>
                            </wps:wsp>
                            <wps:wsp>
                              <wps:cNvPr id="29" name="TextBox 10"/>
                              <wps:cNvSpPr txBox="1"/>
                              <wps:spPr>
                                <a:xfrm>
                                  <a:off x="4399984" y="0"/>
                                  <a:ext cx="706261" cy="28194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4186279" w14:textId="77777777" w:rsidR="002C0FC3" w:rsidRDefault="002C0FC3" w:rsidP="00F731AC">
                                    <w:pPr>
                                      <w:jc w:val="center"/>
                                      <w:rPr>
                                        <w:sz w:val="24"/>
                                        <w:szCs w:val="24"/>
                                      </w:rPr>
                                    </w:pPr>
                                    <w:r>
                                      <w:rPr>
                                        <w:color w:val="000000" w:themeColor="dark1"/>
                                        <w:sz w:val="22"/>
                                        <w:szCs w:val="22"/>
                                      </w:rPr>
                                      <w:t xml:space="preserve">81 </w:t>
                                    </w:r>
                                    <w:r>
                                      <w:rPr>
                                        <w:rFonts w:asciiTheme="minorHAnsi" w:hAnsi="Calibri" w:cstheme="minorBidi"/>
                                        <w:color w:val="000000" w:themeColor="dark1"/>
                                        <w:sz w:val="22"/>
                                        <w:szCs w:val="22"/>
                                      </w:rPr>
                                      <w:t>–</w:t>
                                    </w:r>
                                    <w:r>
                                      <w:rPr>
                                        <w:color w:val="000000" w:themeColor="dark1"/>
                                        <w:sz w:val="22"/>
                                        <w:szCs w:val="22"/>
                                      </w:rPr>
                                      <w:t xml:space="preserve"> 82</w:t>
                                    </w:r>
                                  </w:p>
                                </w:txbxContent>
                              </wps:txbx>
                              <wps:bodyPr wrap="square" rtlCol="0" anchor="t"/>
                            </wps:wsp>
                            <wps:wsp>
                              <wps:cNvPr id="30" name="TextBox 11"/>
                              <wps:cNvSpPr txBox="1"/>
                              <wps:spPr>
                                <a:xfrm>
                                  <a:off x="5219699" y="0"/>
                                  <a:ext cx="731060" cy="28194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4950020" w14:textId="77777777" w:rsidR="002C0FC3" w:rsidRDefault="002C0FC3" w:rsidP="00F731AC">
                                    <w:pPr>
                                      <w:jc w:val="center"/>
                                      <w:rPr>
                                        <w:sz w:val="24"/>
                                        <w:szCs w:val="24"/>
                                      </w:rPr>
                                    </w:pPr>
                                    <w:r>
                                      <w:rPr>
                                        <w:color w:val="000000" w:themeColor="dark1"/>
                                        <w:sz w:val="22"/>
                                        <w:szCs w:val="22"/>
                                      </w:rPr>
                                      <w:t>&gt; 82</w:t>
                                    </w:r>
                                  </w:p>
                                </w:txbxContent>
                              </wps:txbx>
                              <wps:bodyPr wrap="square" rtlCol="0" anchor="t"/>
                            </wps:wsp>
                            <wps:wsp>
                              <wps:cNvPr id="31" name="TextBox 21"/>
                              <wps:cNvSpPr txBox="1"/>
                              <wps:spPr>
                                <a:xfrm>
                                  <a:off x="1769914" y="0"/>
                                  <a:ext cx="694823" cy="27667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9B4CFE2" w14:textId="77777777" w:rsidR="002C0FC3" w:rsidRDefault="002C0FC3" w:rsidP="00F731AC">
                                    <w:pPr>
                                      <w:jc w:val="center"/>
                                      <w:rPr>
                                        <w:sz w:val="24"/>
                                        <w:szCs w:val="24"/>
                                      </w:rPr>
                                    </w:pPr>
                                    <w:r>
                                      <w:rPr>
                                        <w:color w:val="000000" w:themeColor="dark1"/>
                                        <w:sz w:val="22"/>
                                        <w:szCs w:val="22"/>
                                      </w:rPr>
                                      <w:t xml:space="preserve">74 </w:t>
                                    </w:r>
                                    <w:r>
                                      <w:rPr>
                                        <w:rFonts w:asciiTheme="minorHAnsi" w:hAnsi="Calibri" w:cstheme="minorBidi"/>
                                        <w:color w:val="000000" w:themeColor="dark1"/>
                                        <w:sz w:val="22"/>
                                        <w:szCs w:val="22"/>
                                      </w:rPr>
                                      <w:t>–</w:t>
                                    </w:r>
                                    <w:r>
                                      <w:rPr>
                                        <w:color w:val="000000" w:themeColor="dark1"/>
                                        <w:sz w:val="22"/>
                                        <w:szCs w:val="22"/>
                                      </w:rPr>
                                      <w:t xml:space="preserve"> 76</w:t>
                                    </w:r>
                                  </w:p>
                                </w:txbxContent>
                              </wps:txbx>
                              <wps:bodyPr wrap="square" rtlCol="0" anchor="t"/>
                            </wps:wsp>
                            <wps:wsp>
                              <wps:cNvPr id="32" name="TextBox 22"/>
                              <wps:cNvSpPr txBox="1"/>
                              <wps:spPr>
                                <a:xfrm>
                                  <a:off x="900214" y="0"/>
                                  <a:ext cx="694823" cy="27667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8FFDB7F" w14:textId="77777777" w:rsidR="002C0FC3" w:rsidRDefault="002C0FC3" w:rsidP="00F731AC">
                                    <w:pPr>
                                      <w:jc w:val="center"/>
                                      <w:rPr>
                                        <w:sz w:val="24"/>
                                        <w:szCs w:val="24"/>
                                      </w:rPr>
                                    </w:pPr>
                                    <w:r>
                                      <w:rPr>
                                        <w:color w:val="000000" w:themeColor="dark1"/>
                                        <w:sz w:val="22"/>
                                        <w:szCs w:val="22"/>
                                      </w:rPr>
                                      <w:t xml:space="preserve">70 </w:t>
                                    </w:r>
                                    <w:r>
                                      <w:rPr>
                                        <w:rFonts w:asciiTheme="minorHAnsi" w:hAnsi="Calibri" w:cstheme="minorBidi"/>
                                        <w:color w:val="000000" w:themeColor="dark1"/>
                                        <w:sz w:val="22"/>
                                        <w:szCs w:val="22"/>
                                      </w:rPr>
                                      <w:t>–</w:t>
                                    </w:r>
                                    <w:r>
                                      <w:rPr>
                                        <w:color w:val="000000" w:themeColor="dark1"/>
                                        <w:sz w:val="22"/>
                                        <w:szCs w:val="22"/>
                                      </w:rPr>
                                      <w:t xml:space="preserve"> 74</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B54EBC" id="Group 1" o:spid="_x0000_s1026" style="position:absolute;left:0;text-align:left;margin-left:97.05pt;margin-top:278.75pt;width:465.7pt;height:22.2pt;z-index:251804672;mso-width-relative:margin;mso-height-relative:margin" coordorigin="341" coordsize="59166,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vKbQMAAKEVAAAOAAAAZHJzL2Uyb0RvYy54bWzsWF1vmzAUfZ+0/2DxvvIVIKAmldaufZm2&#10;au1+gAPmQwOb2W5I//2uDSZpEnVKpk6plBcSbN9r33OPL8e+vFo1NVoSLipGZ5Z74ViI0JRlFS1m&#10;1s/H209TCwmJaYZrRsnMeibCupp//HDZtQnxWMnqjHAETqhIunZmlVK2iW2LtCQNFhesJRQ6c8Yb&#10;LOGVF3bGcQfem9r2HCe0O8azlrOUCAGtN32nNdf+85yk8nueCyJRPbNgbVI/uX4u1NOeX+Kk4Lgt&#10;q3RYBj5iFQ2uKEw6urrBEqMnXu24aqqUM8FyeZGyxmZ5XqVExwDRuM5WNHecPbU6liLpinaECaDd&#10;wulot+m35T1HVQa5sxDFDaRIz4pcBU3XFgmMuOPtQ3vPh4aif1PRrnLeqF+IA600qM8jqGQlUQqN&#10;QexO/BiwT6HPm7rxZEA9LSE1ysyfuD70r03T8svaOAy9eMNYr8s2U9tqheOCuhZIJNY4iX/D6aHE&#10;LdHwC4XCgJM3AvUIIX5mKxT1UOlBCickV9CsENWIiURA4x64duI2kEVe4PvREHQUhtFEeRqDxknL&#10;hbwjrEHqz8ziQHPNPrz8KmQ/1AxR81J2W9U1tOOkpqibWXHgBeC+aSHvghbadhwE89QUplNo9ivX&#10;/+RzTXoPP0gOjNH5Vg0i5cXiuuao31ZATkim2VzaGRiogTks4kDbwURZE72bD7QfjfT8jMrRvqko&#10;4zpwXWuICmCJoUpkvwzF8n68gaIHQGEhV4vVkNoFy54h4x1UEIDy9xPmxEJc1tesLziYpiUDYKTO&#10;4EBQtbH+B1OBQv2WNkydGkYCnQ9hqhf6cehONveo4WoYT6aef+bqSO8T5OpQ398DZUEuvKRsfCRl&#10;/cCJ/f2Ujdwgig1lA28aBufyemrlVVPWM7k/6SoL6uQlZV0tcFSJP7DMgk6K4+neMhs5oReC8hhF&#10;lPlIGQlmvvdnSfAXOfJ2kkBz1n8PnFVye4uzo1g9kLOB58ZhDHtgLd+NNIh81wk3hf+ZsycnYzVn&#10;9fFC1atTrrP+zrkLTmKDpDmQs24EjN2vDXbkrN7P56MXnDDHo5MzHJteP/a9cZ3Vmu3kOett11lv&#10;1DQHcjZ2HO9M2dcpd7q3BbrMhqZcHVlm9WUX3APqq6DhzlJdNG6+68uK9c3q/A8AAAD//wMAUEsD&#10;BBQABgAIAAAAIQB114Bd4gAAAAwBAAAPAAAAZHJzL2Rvd25yZXYueG1sTI/BbsIwDIbvk/YOkSft&#10;NtKwhUHXFCG07YSQBpPQbqExbUXjVE1oy9svnLabf/nT78/ZcrQN67HztSMFYpIAQyqcqalU8L3/&#10;eJoD80GT0Y0jVHBFD8v8/i7TqXEDfWG/CyWLJeRTraAKoU0590WFVvuJa5Hi7uQ6q0OMXclNp4dY&#10;bhs+TZIZt7qmeKHSLa4rLM67i1XwOehh9Sze+835tL7+7OX2sBGo1OPDuHoDFnAMfzDc9KM65NHp&#10;6C5kPGtiXryIiCqQ8lUCuxFiKuN0VDBLxAJ4nvH/T+S/AAAA//8DAFBLAQItABQABgAIAAAAIQC2&#10;gziS/gAAAOEBAAATAAAAAAAAAAAAAAAAAAAAAABbQ29udGVudF9UeXBlc10ueG1sUEsBAi0AFAAG&#10;AAgAAAAhADj9If/WAAAAlAEAAAsAAAAAAAAAAAAAAAAALwEAAF9yZWxzLy5yZWxzUEsBAi0AFAAG&#10;AAgAAAAhAC9qy8ptAwAAoRUAAA4AAAAAAAAAAAAAAAAALgIAAGRycy9lMm9Eb2MueG1sUEsBAi0A&#10;FAAGAAgAAAAhAHXXgF3iAAAADAEAAA8AAAAAAAAAAAAAAAAAxwUAAGRycy9kb3ducmV2LnhtbFBL&#10;BQYAAAAABAAEAPMAAADWBgAAAAA=&#10;">
                      <v:shapetype id="_x0000_t202" coordsize="21600,21600" o:spt="202" path="m,l,21600r21600,l21600,xe">
                        <v:stroke joinstyle="miter"/>
                        <v:path gradientshapeok="t" o:connecttype="rect"/>
                      </v:shapetype>
                      <v:shape id="TextBox 7" o:spid="_x0000_s1027" type="#_x0000_t202" style="position:absolute;left:341;width:7253;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71764B0D" w14:textId="77777777" w:rsidR="002C0FC3" w:rsidRDefault="002C0FC3" w:rsidP="00F731AC">
                              <w:pPr>
                                <w:jc w:val="center"/>
                                <w:rPr>
                                  <w:sz w:val="24"/>
                                  <w:szCs w:val="24"/>
                                </w:rPr>
                              </w:pPr>
                              <w:r>
                                <w:rPr>
                                  <w:color w:val="000000" w:themeColor="dark1"/>
                                  <w:sz w:val="22"/>
                                  <w:szCs w:val="22"/>
                                </w:rPr>
                                <w:t>&lt; 70</w:t>
                              </w:r>
                            </w:p>
                          </w:txbxContent>
                        </v:textbox>
                      </v:shape>
                      <v:shape id="TextBox 8" o:spid="_x0000_s1028" type="#_x0000_t202" style="position:absolute;left:26396;width:6948;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06A7CFFC" w14:textId="77777777" w:rsidR="002C0FC3" w:rsidRDefault="002C0FC3" w:rsidP="00F731AC">
                              <w:pPr>
                                <w:jc w:val="center"/>
                                <w:rPr>
                                  <w:sz w:val="24"/>
                                  <w:szCs w:val="24"/>
                                </w:rPr>
                              </w:pPr>
                              <w:r>
                                <w:rPr>
                                  <w:color w:val="000000" w:themeColor="dark1"/>
                                  <w:sz w:val="22"/>
                                  <w:szCs w:val="22"/>
                                </w:rPr>
                                <w:t xml:space="preserve">76 </w:t>
                              </w:r>
                              <w:r>
                                <w:rPr>
                                  <w:rFonts w:asciiTheme="minorHAnsi" w:hAnsi="Calibri" w:cstheme="minorBidi"/>
                                  <w:color w:val="000000" w:themeColor="dark1"/>
                                  <w:sz w:val="22"/>
                                  <w:szCs w:val="22"/>
                                </w:rPr>
                                <w:t>–</w:t>
                              </w:r>
                              <w:r>
                                <w:rPr>
                                  <w:color w:val="000000" w:themeColor="dark1"/>
                                  <w:sz w:val="22"/>
                                  <w:szCs w:val="22"/>
                                </w:rPr>
                                <w:t xml:space="preserve"> 78</w:t>
                              </w:r>
                            </w:p>
                          </w:txbxContent>
                        </v:textbox>
                      </v:shape>
                      <v:shape id="TextBox 9" o:spid="_x0000_s1029" type="#_x0000_t202" style="position:absolute;left:35093;width:7158;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9C98C89" w14:textId="77777777" w:rsidR="002C0FC3" w:rsidRDefault="002C0FC3" w:rsidP="00F731AC">
                              <w:pPr>
                                <w:jc w:val="center"/>
                                <w:rPr>
                                  <w:sz w:val="24"/>
                                  <w:szCs w:val="24"/>
                                </w:rPr>
                              </w:pPr>
                              <w:r>
                                <w:rPr>
                                  <w:color w:val="000000" w:themeColor="dark1"/>
                                  <w:sz w:val="22"/>
                                  <w:szCs w:val="22"/>
                                </w:rPr>
                                <w:t xml:space="preserve">78 </w:t>
                              </w:r>
                              <w:r>
                                <w:rPr>
                                  <w:rFonts w:asciiTheme="minorHAnsi" w:hAnsi="Calibri" w:cstheme="minorBidi"/>
                                  <w:color w:val="000000" w:themeColor="dark1"/>
                                  <w:sz w:val="22"/>
                                  <w:szCs w:val="22"/>
                                </w:rPr>
                                <w:t>–</w:t>
                              </w:r>
                              <w:r>
                                <w:rPr>
                                  <w:color w:val="000000" w:themeColor="dark1"/>
                                  <w:sz w:val="22"/>
                                  <w:szCs w:val="22"/>
                                </w:rPr>
                                <w:t xml:space="preserve"> 81</w:t>
                              </w:r>
                            </w:p>
                          </w:txbxContent>
                        </v:textbox>
                      </v:shape>
                      <v:shape id="TextBox 10" o:spid="_x0000_s1030" type="#_x0000_t202" style="position:absolute;left:43999;width:7063;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54186279" w14:textId="77777777" w:rsidR="002C0FC3" w:rsidRDefault="002C0FC3" w:rsidP="00F731AC">
                              <w:pPr>
                                <w:jc w:val="center"/>
                                <w:rPr>
                                  <w:sz w:val="24"/>
                                  <w:szCs w:val="24"/>
                                </w:rPr>
                              </w:pPr>
                              <w:r>
                                <w:rPr>
                                  <w:color w:val="000000" w:themeColor="dark1"/>
                                  <w:sz w:val="22"/>
                                  <w:szCs w:val="22"/>
                                </w:rPr>
                                <w:t xml:space="preserve">81 </w:t>
                              </w:r>
                              <w:r>
                                <w:rPr>
                                  <w:rFonts w:asciiTheme="minorHAnsi" w:hAnsi="Calibri" w:cstheme="minorBidi"/>
                                  <w:color w:val="000000" w:themeColor="dark1"/>
                                  <w:sz w:val="22"/>
                                  <w:szCs w:val="22"/>
                                </w:rPr>
                                <w:t>–</w:t>
                              </w:r>
                              <w:r>
                                <w:rPr>
                                  <w:color w:val="000000" w:themeColor="dark1"/>
                                  <w:sz w:val="22"/>
                                  <w:szCs w:val="22"/>
                                </w:rPr>
                                <w:t xml:space="preserve"> 82</w:t>
                              </w:r>
                            </w:p>
                          </w:txbxContent>
                        </v:textbox>
                      </v:shape>
                      <v:shape id="TextBox 11" o:spid="_x0000_s1031" type="#_x0000_t202" style="position:absolute;left:52196;width:7311;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4950020" w14:textId="77777777" w:rsidR="002C0FC3" w:rsidRDefault="002C0FC3" w:rsidP="00F731AC">
                              <w:pPr>
                                <w:jc w:val="center"/>
                                <w:rPr>
                                  <w:sz w:val="24"/>
                                  <w:szCs w:val="24"/>
                                </w:rPr>
                              </w:pPr>
                              <w:r>
                                <w:rPr>
                                  <w:color w:val="000000" w:themeColor="dark1"/>
                                  <w:sz w:val="22"/>
                                  <w:szCs w:val="22"/>
                                </w:rPr>
                                <w:t>&gt; 82</w:t>
                              </w:r>
                            </w:p>
                          </w:txbxContent>
                        </v:textbox>
                      </v:shape>
                      <v:shape id="TextBox 21" o:spid="_x0000_s1032" type="#_x0000_t202" style="position:absolute;left:17699;width:6948;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9B4CFE2" w14:textId="77777777" w:rsidR="002C0FC3" w:rsidRDefault="002C0FC3" w:rsidP="00F731AC">
                              <w:pPr>
                                <w:jc w:val="center"/>
                                <w:rPr>
                                  <w:sz w:val="24"/>
                                  <w:szCs w:val="24"/>
                                </w:rPr>
                              </w:pPr>
                              <w:r>
                                <w:rPr>
                                  <w:color w:val="000000" w:themeColor="dark1"/>
                                  <w:sz w:val="22"/>
                                  <w:szCs w:val="22"/>
                                </w:rPr>
                                <w:t xml:space="preserve">74 </w:t>
                              </w:r>
                              <w:r>
                                <w:rPr>
                                  <w:rFonts w:asciiTheme="minorHAnsi" w:hAnsi="Calibri" w:cstheme="minorBidi"/>
                                  <w:color w:val="000000" w:themeColor="dark1"/>
                                  <w:sz w:val="22"/>
                                  <w:szCs w:val="22"/>
                                </w:rPr>
                                <w:t>–</w:t>
                              </w:r>
                              <w:r>
                                <w:rPr>
                                  <w:color w:val="000000" w:themeColor="dark1"/>
                                  <w:sz w:val="22"/>
                                  <w:szCs w:val="22"/>
                                </w:rPr>
                                <w:t xml:space="preserve"> 76</w:t>
                              </w:r>
                            </w:p>
                          </w:txbxContent>
                        </v:textbox>
                      </v:shape>
                      <v:shape id="TextBox 22" o:spid="_x0000_s1033" type="#_x0000_t202" style="position:absolute;left:9002;width:6948;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48FFDB7F" w14:textId="77777777" w:rsidR="002C0FC3" w:rsidRDefault="002C0FC3" w:rsidP="00F731AC">
                              <w:pPr>
                                <w:jc w:val="center"/>
                                <w:rPr>
                                  <w:sz w:val="24"/>
                                  <w:szCs w:val="24"/>
                                </w:rPr>
                              </w:pPr>
                              <w:r>
                                <w:rPr>
                                  <w:color w:val="000000" w:themeColor="dark1"/>
                                  <w:sz w:val="22"/>
                                  <w:szCs w:val="22"/>
                                </w:rPr>
                                <w:t xml:space="preserve">70 </w:t>
                              </w:r>
                              <w:r>
                                <w:rPr>
                                  <w:rFonts w:asciiTheme="minorHAnsi" w:hAnsi="Calibri" w:cstheme="minorBidi"/>
                                  <w:color w:val="000000" w:themeColor="dark1"/>
                                  <w:sz w:val="22"/>
                                  <w:szCs w:val="22"/>
                                </w:rPr>
                                <w:t>–</w:t>
                              </w:r>
                              <w:r>
                                <w:rPr>
                                  <w:color w:val="000000" w:themeColor="dark1"/>
                                  <w:sz w:val="22"/>
                                  <w:szCs w:val="22"/>
                                </w:rPr>
                                <w:t xml:space="preserve"> 74</w:t>
                              </w:r>
                            </w:p>
                          </w:txbxContent>
                        </v:textbox>
                      </v:shape>
                    </v:group>
                  </w:pict>
                </mc:Fallback>
              </mc:AlternateContent>
            </w:r>
            <w:r w:rsidRPr="002D1654">
              <w:rPr>
                <w:rFonts w:eastAsia="Times New Roman"/>
                <w:bCs/>
                <w:color w:val="auto"/>
                <w:sz w:val="24"/>
                <w:szCs w:val="24"/>
                <w:lang w:eastAsia="en-SG"/>
              </w:rPr>
              <w:t xml:space="preserve">          </w:t>
            </w:r>
            <w:r>
              <w:rPr>
                <w:rFonts w:eastAsia="Times New Roman"/>
                <w:bCs/>
                <w:noProof/>
                <w:color w:val="auto"/>
                <w:sz w:val="24"/>
                <w:szCs w:val="24"/>
                <w:lang w:val="en-SG" w:eastAsia="en-SG"/>
              </w:rPr>
              <w:drawing>
                <wp:inline distT="0" distB="0" distL="0" distR="0" wp14:anchorId="35A8F79E" wp14:editId="2E30496F">
                  <wp:extent cx="6227064" cy="3630168"/>
                  <wp:effectExtent l="0" t="0" r="2540" b="8890"/>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3">
                            <a:extLst>
                              <a:ext uri="{28A0092B-C50C-407E-A947-70E740481C1C}">
                                <a14:useLocalDpi xmlns:a14="http://schemas.microsoft.com/office/drawing/2010/main" val="0"/>
                              </a:ext>
                            </a:extLst>
                          </a:blip>
                          <a:srcRect l="3550" t="1658" b="21090"/>
                          <a:stretch/>
                        </pic:blipFill>
                        <pic:spPr bwMode="auto">
                          <a:xfrm>
                            <a:off x="0" y="0"/>
                            <a:ext cx="6227064" cy="3630168"/>
                          </a:xfrm>
                          <a:prstGeom prst="rect">
                            <a:avLst/>
                          </a:prstGeom>
                          <a:noFill/>
                          <a:ln>
                            <a:noFill/>
                          </a:ln>
                          <a:extLst>
                            <a:ext uri="{53640926-AAD7-44D8-BBD7-CCE9431645EC}">
                              <a14:shadowObscured xmlns:a14="http://schemas.microsoft.com/office/drawing/2010/main"/>
                            </a:ext>
                          </a:extLst>
                        </pic:spPr>
                      </pic:pic>
                    </a:graphicData>
                  </a:graphic>
                </wp:inline>
              </w:drawing>
            </w:r>
            <w:r w:rsidRPr="002D1654">
              <w:rPr>
                <w:rFonts w:eastAsia="Times New Roman"/>
                <w:bCs/>
                <w:color w:val="auto"/>
                <w:sz w:val="24"/>
                <w:szCs w:val="24"/>
                <w:lang w:eastAsia="en-SG"/>
              </w:rPr>
              <w:t xml:space="preserve">       </w:t>
            </w:r>
          </w:p>
          <w:p w14:paraId="02CFFC26" w14:textId="77777777" w:rsidR="00F731AC" w:rsidRPr="002D1654" w:rsidRDefault="00F731AC" w:rsidP="00CC768C">
            <w:pPr>
              <w:spacing w:after="0" w:line="240" w:lineRule="auto"/>
              <w:rPr>
                <w:rFonts w:eastAsia="Times New Roman"/>
                <w:bCs/>
                <w:color w:val="auto"/>
                <w:sz w:val="24"/>
                <w:szCs w:val="24"/>
                <w:lang w:eastAsia="en-SG"/>
              </w:rPr>
            </w:pPr>
            <w:r w:rsidRPr="002D1654">
              <w:rPr>
                <w:rFonts w:eastAsia="Times New Roman"/>
                <w:bCs/>
                <w:color w:val="auto"/>
                <w:sz w:val="24"/>
                <w:szCs w:val="24"/>
                <w:lang w:eastAsia="en-SG"/>
              </w:rPr>
              <w:t xml:space="preserve">                                   </w:t>
            </w:r>
          </w:p>
          <w:p w14:paraId="0008E213" w14:textId="77777777" w:rsidR="00F731AC" w:rsidRPr="002D1654" w:rsidRDefault="00F731AC" w:rsidP="00CC768C">
            <w:pPr>
              <w:spacing w:after="0" w:line="240" w:lineRule="auto"/>
              <w:rPr>
                <w:rFonts w:eastAsia="Times New Roman"/>
                <w:bCs/>
                <w:color w:val="auto"/>
                <w:sz w:val="24"/>
                <w:szCs w:val="24"/>
                <w:lang w:eastAsia="en-SG"/>
              </w:rPr>
            </w:pPr>
            <w:r w:rsidRPr="002D1654">
              <w:rPr>
                <w:rFonts w:eastAsia="Times New Roman"/>
                <w:bCs/>
                <w:color w:val="auto"/>
                <w:sz w:val="24"/>
                <w:szCs w:val="24"/>
                <w:lang w:eastAsia="en-SG"/>
              </w:rPr>
              <w:t xml:space="preserve">                                                         </w:t>
            </w:r>
            <w:r w:rsidRPr="002D1654">
              <w:rPr>
                <w:rFonts w:eastAsia="Times New Roman"/>
                <w:bCs/>
                <w:noProof/>
                <w:color w:val="auto"/>
                <w:sz w:val="24"/>
                <w:szCs w:val="24"/>
                <w:lang w:val="en-SG" w:eastAsia="en-SG"/>
              </w:rPr>
              <w:drawing>
                <wp:inline distT="0" distB="0" distL="0" distR="0" wp14:anchorId="0D7DE36C" wp14:editId="318A4D46">
                  <wp:extent cx="3444240" cy="25019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4240" cy="250190"/>
                          </a:xfrm>
                          <a:prstGeom prst="rect">
                            <a:avLst/>
                          </a:prstGeom>
                          <a:noFill/>
                        </pic:spPr>
                      </pic:pic>
                    </a:graphicData>
                  </a:graphic>
                </wp:inline>
              </w:drawing>
            </w:r>
          </w:p>
        </w:tc>
      </w:tr>
      <w:tr w:rsidR="00F731AC" w:rsidRPr="002D1654" w14:paraId="4254F665" w14:textId="77777777" w:rsidTr="00CC768C">
        <w:trPr>
          <w:trHeight w:val="314"/>
          <w:jc w:val="center"/>
        </w:trPr>
        <w:tc>
          <w:tcPr>
            <w:tcW w:w="12600" w:type="dxa"/>
            <w:tcBorders>
              <w:top w:val="single" w:sz="4" w:space="0" w:color="auto"/>
              <w:left w:val="nil"/>
              <w:bottom w:val="nil"/>
              <w:right w:val="nil"/>
            </w:tcBorders>
            <w:shd w:val="clear" w:color="000000" w:fill="FFFFFF"/>
            <w:noWrap/>
          </w:tcPr>
          <w:p w14:paraId="71DE4598" w14:textId="77777777" w:rsidR="00F731AC" w:rsidRPr="002D1654" w:rsidRDefault="00F731AC" w:rsidP="00CC768C">
            <w:pPr>
              <w:spacing w:after="0" w:line="240" w:lineRule="auto"/>
              <w:rPr>
                <w:rFonts w:eastAsia="Times New Roman"/>
                <w:bCs/>
                <w:i/>
                <w:color w:val="auto"/>
                <w:sz w:val="20"/>
                <w:lang w:eastAsia="en-SG"/>
              </w:rPr>
            </w:pPr>
          </w:p>
          <w:p w14:paraId="7720D9EB" w14:textId="77777777" w:rsidR="00F731AC" w:rsidRPr="002D1654" w:rsidRDefault="00F731AC" w:rsidP="00CC768C">
            <w:pPr>
              <w:spacing w:after="0" w:line="240" w:lineRule="auto"/>
              <w:rPr>
                <w:rFonts w:eastAsia="Times New Roman"/>
                <w:bCs/>
                <w:color w:val="auto"/>
                <w:lang w:eastAsia="en-SG"/>
              </w:rPr>
            </w:pPr>
            <w:r w:rsidRPr="002D1654">
              <w:rPr>
                <w:rFonts w:eastAsia="Times New Roman"/>
                <w:bCs/>
                <w:i/>
                <w:color w:val="auto"/>
                <w:lang w:eastAsia="en-SG"/>
              </w:rPr>
              <w:t xml:space="preserve">Notes. </w:t>
            </w:r>
            <w:r w:rsidRPr="002D1654">
              <w:rPr>
                <w:rFonts w:eastAsia="Times New Roman"/>
                <w:bCs/>
                <w:color w:val="auto"/>
                <w:lang w:eastAsia="en-SG"/>
              </w:rPr>
              <w:t>ACSI = American Customer Satisfaction Index. The histogram is generated based on the raw values of weighted peers’ customer satisfaction scores, i.e., before applying any variable transformations.</w:t>
            </w:r>
          </w:p>
        </w:tc>
      </w:tr>
    </w:tbl>
    <w:p w14:paraId="507D5B6E" w14:textId="77777777" w:rsidR="00F731AC" w:rsidRDefault="00F731AC" w:rsidP="00F731AC">
      <w:pPr>
        <w:rPr>
          <w:b/>
          <w:color w:val="auto"/>
          <w:sz w:val="24"/>
          <w:szCs w:val="24"/>
        </w:rPr>
      </w:pPr>
      <w:r>
        <w:rPr>
          <w:b/>
          <w:color w:val="auto"/>
          <w:sz w:val="24"/>
          <w:szCs w:val="24"/>
        </w:rPr>
        <w:br w:type="page"/>
      </w:r>
    </w:p>
    <w:p w14:paraId="74296386" w14:textId="77777777" w:rsidR="00F731AC" w:rsidRDefault="00F731AC" w:rsidP="00F731AC">
      <w:pPr>
        <w:jc w:val="center"/>
        <w:rPr>
          <w:b/>
          <w:color w:val="auto"/>
          <w:sz w:val="24"/>
          <w:szCs w:val="24"/>
        </w:rPr>
        <w:sectPr w:rsidR="00F731AC" w:rsidSect="00CC768C">
          <w:pgSz w:w="16838" w:h="11906" w:orient="landscape" w:code="9"/>
          <w:pgMar w:top="1440" w:right="1440" w:bottom="1440" w:left="1440" w:header="706" w:footer="706" w:gutter="0"/>
          <w:cols w:space="708"/>
          <w:noEndnote/>
          <w:docGrid w:linePitch="360"/>
        </w:sectPr>
      </w:pPr>
    </w:p>
    <w:p w14:paraId="72DC0057" w14:textId="77777777" w:rsidR="00F731AC" w:rsidRDefault="00F731AC" w:rsidP="00F731AC">
      <w:pPr>
        <w:jc w:val="center"/>
        <w:rPr>
          <w:b/>
          <w:color w:val="auto"/>
          <w:sz w:val="24"/>
          <w:szCs w:val="24"/>
        </w:rPr>
      </w:pPr>
      <w:r>
        <w:rPr>
          <w:b/>
          <w:color w:val="auto"/>
          <w:sz w:val="24"/>
          <w:szCs w:val="24"/>
        </w:rPr>
        <w:lastRenderedPageBreak/>
        <w:t>Web Appendix F</w:t>
      </w:r>
    </w:p>
    <w:p w14:paraId="7D0602C3" w14:textId="77777777" w:rsidR="00F731AC" w:rsidRDefault="00F731AC" w:rsidP="00F731AC">
      <w:pPr>
        <w:jc w:val="center"/>
        <w:rPr>
          <w:b/>
          <w:color w:val="auto"/>
          <w:sz w:val="24"/>
          <w:szCs w:val="24"/>
        </w:rPr>
      </w:pPr>
      <w:r>
        <w:rPr>
          <w:b/>
          <w:color w:val="auto"/>
          <w:sz w:val="24"/>
          <w:szCs w:val="24"/>
        </w:rPr>
        <w:t>Detailed Explanation of Sensitivity Analyses</w:t>
      </w:r>
    </w:p>
    <w:p w14:paraId="6AA4E81A" w14:textId="77777777" w:rsidR="00F731AC" w:rsidRPr="00A3678B" w:rsidRDefault="00F731AC" w:rsidP="00F731AC">
      <w:pPr>
        <w:spacing w:before="120" w:after="120" w:line="240" w:lineRule="auto"/>
        <w:ind w:firstLine="720"/>
        <w:rPr>
          <w:rFonts w:eastAsia="DengXian"/>
          <w:color w:val="auto"/>
          <w:sz w:val="24"/>
          <w:szCs w:val="24"/>
        </w:rPr>
      </w:pPr>
      <w:r w:rsidRPr="00DF1A29">
        <w:rPr>
          <w:rFonts w:eastAsia="DengXian"/>
          <w:i/>
          <w:color w:val="auto"/>
          <w:sz w:val="24"/>
          <w:szCs w:val="24"/>
        </w:rPr>
        <w:t xml:space="preserve">Alternative Instrument. </w:t>
      </w:r>
      <w:r w:rsidRPr="00DF1A29">
        <w:rPr>
          <w:rFonts w:eastAsia="DengXian"/>
          <w:color w:val="auto"/>
          <w:sz w:val="24"/>
          <w:szCs w:val="24"/>
        </w:rPr>
        <w:t xml:space="preserve">Since the type of instrument utilized can significantly influence the parameter estimates of our model, we examine the robustness of our results to alternative instruments. </w:t>
      </w:r>
      <w:r>
        <w:rPr>
          <w:rFonts w:eastAsia="DengXian"/>
          <w:color w:val="auto"/>
          <w:sz w:val="24"/>
          <w:szCs w:val="24"/>
        </w:rPr>
        <w:t>First</w:t>
      </w:r>
      <w:r w:rsidRPr="00DF1A29">
        <w:rPr>
          <w:rFonts w:eastAsia="DengXian"/>
          <w:color w:val="auto"/>
          <w:sz w:val="24"/>
          <w:szCs w:val="24"/>
        </w:rPr>
        <w:t>, we re-estimate our model using</w:t>
      </w:r>
      <w:r>
        <w:rPr>
          <w:rFonts w:eastAsia="DengXian"/>
          <w:color w:val="auto"/>
          <w:sz w:val="24"/>
          <w:szCs w:val="24"/>
        </w:rPr>
        <w:t xml:space="preserve"> the </w:t>
      </w:r>
      <w:r w:rsidRPr="00DF1A29">
        <w:rPr>
          <w:rFonts w:eastAsia="DengXian"/>
          <w:color w:val="auto"/>
          <w:sz w:val="24"/>
          <w:szCs w:val="24"/>
        </w:rPr>
        <w:t>common operationalization of peer-based instrument</w:t>
      </w:r>
      <w:r>
        <w:rPr>
          <w:rFonts w:eastAsia="DengXian"/>
          <w:color w:val="auto"/>
          <w:sz w:val="24"/>
          <w:szCs w:val="24"/>
        </w:rPr>
        <w:t xml:space="preserve"> – </w:t>
      </w:r>
      <w:r w:rsidRPr="00DF1A29">
        <w:rPr>
          <w:rFonts w:eastAsia="DengXian"/>
          <w:color w:val="auto"/>
          <w:sz w:val="24"/>
          <w:szCs w:val="24"/>
        </w:rPr>
        <w:t xml:space="preserve">the Unweighted Peers’ Customer Satisfaction, where we </w:t>
      </w:r>
      <w:r>
        <w:rPr>
          <w:rFonts w:eastAsia="DengXian"/>
          <w:color w:val="auto"/>
          <w:sz w:val="24"/>
          <w:szCs w:val="24"/>
        </w:rPr>
        <w:t xml:space="preserve">compute the peer average customer satisfaction scores excluding that of the focal firm within an ACSI-defined sector. Second, we assess the robustness of our results </w:t>
      </w:r>
      <w:r w:rsidRPr="00977826">
        <w:rPr>
          <w:rFonts w:eastAsia="DengXian"/>
          <w:color w:val="auto"/>
          <w:sz w:val="24"/>
          <w:szCs w:val="24"/>
        </w:rPr>
        <w:t>using the Weighted Non-Industry Peers’ Customer Satisfaction as an alternative instrument. Specifically,</w:t>
      </w:r>
      <w:r>
        <w:rPr>
          <w:rFonts w:eastAsia="DengXian"/>
          <w:color w:val="auto"/>
          <w:sz w:val="24"/>
          <w:szCs w:val="24"/>
        </w:rPr>
        <w:t xml:space="preserve"> we modify the computation of our focal instrument using an alternative way of identifying peers, i.e., firms with brands that are classified in the same ACSI-defined sector as that of the focal firm but not within the same ACSI-defined industry. </w:t>
      </w:r>
      <w:r w:rsidRPr="00344D3F">
        <w:rPr>
          <w:rFonts w:eastAsia="DengXian"/>
          <w:color w:val="auto"/>
          <w:sz w:val="24"/>
          <w:szCs w:val="24"/>
        </w:rPr>
        <w:t>To illustrate, consider the Transportation sector in 2010 (see Web Appendix D, Table D1). Using the alternative way of identifying peers, all the airlines are considered peers of FedEx, while UPS is not considered a peer.</w:t>
      </w:r>
      <w:r>
        <w:rPr>
          <w:rFonts w:eastAsia="DengXian"/>
          <w:color w:val="auto"/>
          <w:sz w:val="24"/>
          <w:szCs w:val="24"/>
        </w:rPr>
        <w:t xml:space="preserve"> </w:t>
      </w:r>
      <w:r w:rsidRPr="00DF1A29">
        <w:rPr>
          <w:rFonts w:eastAsia="DengXian"/>
          <w:color w:val="auto"/>
          <w:sz w:val="24"/>
          <w:szCs w:val="24"/>
        </w:rPr>
        <w:t xml:space="preserve">Reassuringly, our results remain </w:t>
      </w:r>
      <w:r>
        <w:rPr>
          <w:rFonts w:eastAsia="DengXian"/>
          <w:color w:val="auto"/>
          <w:sz w:val="24"/>
          <w:szCs w:val="24"/>
        </w:rPr>
        <w:t xml:space="preserve">largely </w:t>
      </w:r>
      <w:r w:rsidRPr="00DF1A29">
        <w:rPr>
          <w:rFonts w:eastAsia="DengXian"/>
          <w:color w:val="auto"/>
          <w:sz w:val="24"/>
          <w:szCs w:val="24"/>
        </w:rPr>
        <w:t>unchanged</w:t>
      </w:r>
      <w:r>
        <w:rPr>
          <w:rFonts w:eastAsia="DengXian"/>
          <w:color w:val="auto"/>
          <w:sz w:val="24"/>
          <w:szCs w:val="24"/>
        </w:rPr>
        <w:t xml:space="preserve"> in both instances (see Table F1)</w:t>
      </w:r>
      <w:r w:rsidRPr="00DF1A29">
        <w:rPr>
          <w:rFonts w:eastAsia="DengXian"/>
          <w:color w:val="auto"/>
          <w:sz w:val="24"/>
          <w:szCs w:val="24"/>
        </w:rPr>
        <w:t>.</w:t>
      </w:r>
      <w:r w:rsidRPr="004B5BD8">
        <w:rPr>
          <w:rFonts w:eastAsia="DengXian"/>
          <w:color w:val="FF0000"/>
          <w:sz w:val="24"/>
          <w:szCs w:val="24"/>
        </w:rPr>
        <w:t xml:space="preserve"> </w:t>
      </w:r>
    </w:p>
    <w:p w14:paraId="536911A0" w14:textId="77777777" w:rsidR="00F731AC" w:rsidRPr="00DF1A29" w:rsidRDefault="00F731AC" w:rsidP="00F731AC">
      <w:pPr>
        <w:spacing w:before="120" w:after="120" w:line="240" w:lineRule="auto"/>
        <w:ind w:firstLine="720"/>
        <w:rPr>
          <w:rFonts w:eastAsia="DengXian"/>
          <w:color w:val="auto"/>
          <w:sz w:val="24"/>
          <w:szCs w:val="24"/>
        </w:rPr>
      </w:pPr>
      <w:r w:rsidRPr="00DF1A29">
        <w:rPr>
          <w:rFonts w:eastAsia="DengXian"/>
          <w:i/>
          <w:color w:val="auto"/>
          <w:sz w:val="24"/>
          <w:szCs w:val="24"/>
        </w:rPr>
        <w:t xml:space="preserve">Results without Control Function. </w:t>
      </w:r>
      <w:r w:rsidRPr="00DF1A29">
        <w:rPr>
          <w:rFonts w:eastAsia="DengXian"/>
          <w:color w:val="auto"/>
          <w:sz w:val="24"/>
          <w:szCs w:val="24"/>
        </w:rPr>
        <w:t xml:space="preserve">We also investigate the sensitivity of our results to </w:t>
      </w:r>
      <w:r>
        <w:rPr>
          <w:rFonts w:eastAsia="DengXian"/>
          <w:color w:val="auto"/>
          <w:sz w:val="24"/>
          <w:szCs w:val="24"/>
        </w:rPr>
        <w:t>the use of the control function approach</w:t>
      </w:r>
      <w:r w:rsidRPr="00DF1A29">
        <w:rPr>
          <w:rFonts w:eastAsia="DengXian"/>
          <w:color w:val="auto"/>
          <w:sz w:val="24"/>
          <w:szCs w:val="24"/>
        </w:rPr>
        <w:t>. Specifically, we re-estimate the model without any endogeneity correction. Our substantive conclusions remain unchanged</w:t>
      </w:r>
      <w:r>
        <w:rPr>
          <w:rFonts w:eastAsia="DengXian"/>
          <w:color w:val="auto"/>
          <w:sz w:val="24"/>
          <w:szCs w:val="24"/>
        </w:rPr>
        <w:t xml:space="preserve"> (see Table F1)</w:t>
      </w:r>
      <w:r w:rsidRPr="00DF1A29">
        <w:rPr>
          <w:rFonts w:eastAsia="DengXian"/>
          <w:color w:val="auto"/>
          <w:sz w:val="24"/>
          <w:szCs w:val="24"/>
        </w:rPr>
        <w:t>.</w:t>
      </w:r>
    </w:p>
    <w:p w14:paraId="00D5FB59" w14:textId="77777777" w:rsidR="00F731AC" w:rsidRPr="00DF1A29" w:rsidRDefault="00F731AC" w:rsidP="00F731AC">
      <w:pPr>
        <w:spacing w:before="120" w:after="120" w:line="240" w:lineRule="auto"/>
        <w:rPr>
          <w:rFonts w:eastAsia="DengXian"/>
          <w:color w:val="auto"/>
          <w:sz w:val="24"/>
          <w:szCs w:val="24"/>
        </w:rPr>
      </w:pPr>
      <w:r w:rsidRPr="00DF1A29">
        <w:rPr>
          <w:rFonts w:eastAsia="DengXian"/>
          <w:color w:val="auto"/>
          <w:sz w:val="24"/>
          <w:szCs w:val="24"/>
        </w:rPr>
        <w:tab/>
      </w:r>
      <w:r w:rsidRPr="00DF1A29">
        <w:rPr>
          <w:rFonts w:eastAsia="DengXian"/>
          <w:i/>
          <w:color w:val="auto"/>
          <w:sz w:val="24"/>
          <w:szCs w:val="24"/>
        </w:rPr>
        <w:t xml:space="preserve">Alternative Model Specification. </w:t>
      </w:r>
      <w:r w:rsidRPr="00DF1A29">
        <w:rPr>
          <w:rFonts w:eastAsia="DengXian"/>
          <w:color w:val="auto"/>
          <w:sz w:val="24"/>
          <w:szCs w:val="24"/>
        </w:rPr>
        <w:t>We re-estimate our model using the following alternative model specification</w:t>
      </w:r>
      <w:r>
        <w:rPr>
          <w:rFonts w:eastAsia="DengXian"/>
          <w:color w:val="auto"/>
          <w:sz w:val="24"/>
          <w:szCs w:val="24"/>
        </w:rPr>
        <w:t>s</w:t>
      </w:r>
      <w:r w:rsidRPr="00DF1A29">
        <w:rPr>
          <w:rFonts w:eastAsia="DengXian"/>
          <w:color w:val="auto"/>
          <w:sz w:val="24"/>
          <w:szCs w:val="24"/>
        </w:rPr>
        <w:t xml:space="preserve"> – a model with firm random effects and year dummies</w:t>
      </w:r>
      <w:r>
        <w:rPr>
          <w:rFonts w:eastAsia="DengXian"/>
          <w:color w:val="auto"/>
          <w:sz w:val="24"/>
          <w:szCs w:val="24"/>
        </w:rPr>
        <w:t>, a model with firm fixed effects and no year dummies, and a model with random effects and no year dummies</w:t>
      </w:r>
      <w:r w:rsidRPr="00DF1A29">
        <w:rPr>
          <w:rFonts w:eastAsia="DengXian"/>
          <w:color w:val="auto"/>
          <w:sz w:val="24"/>
          <w:szCs w:val="24"/>
        </w:rPr>
        <w:t xml:space="preserve">. </w:t>
      </w:r>
      <w:r>
        <w:rPr>
          <w:rFonts w:eastAsia="DengXian"/>
          <w:color w:val="auto"/>
          <w:sz w:val="24"/>
          <w:szCs w:val="24"/>
        </w:rPr>
        <w:t>Across the analyses, o</w:t>
      </w:r>
      <w:r w:rsidRPr="00DF1A29">
        <w:rPr>
          <w:rFonts w:eastAsia="DengXian"/>
          <w:color w:val="auto"/>
          <w:sz w:val="24"/>
          <w:szCs w:val="24"/>
        </w:rPr>
        <w:t>ur conclusions remain unchanged</w:t>
      </w:r>
      <w:r>
        <w:rPr>
          <w:rFonts w:eastAsia="DengXian"/>
          <w:color w:val="auto"/>
          <w:sz w:val="24"/>
          <w:szCs w:val="24"/>
        </w:rPr>
        <w:t xml:space="preserve"> (see Table F1)</w:t>
      </w:r>
      <w:r w:rsidRPr="00DF1A29">
        <w:rPr>
          <w:rFonts w:eastAsia="DengXian"/>
          <w:color w:val="auto"/>
          <w:sz w:val="24"/>
          <w:szCs w:val="24"/>
        </w:rPr>
        <w:t>.</w:t>
      </w:r>
    </w:p>
    <w:p w14:paraId="2C183F1A" w14:textId="77777777" w:rsidR="00F731AC" w:rsidRPr="00DF1A29" w:rsidRDefault="00F731AC" w:rsidP="00F731AC">
      <w:pPr>
        <w:spacing w:before="120" w:after="120" w:line="240" w:lineRule="auto"/>
        <w:rPr>
          <w:rFonts w:eastAsia="DengXian"/>
          <w:color w:val="auto"/>
          <w:sz w:val="24"/>
          <w:szCs w:val="24"/>
        </w:rPr>
      </w:pPr>
      <w:r w:rsidRPr="00DF1A29">
        <w:rPr>
          <w:rFonts w:eastAsia="DengXian"/>
          <w:color w:val="auto"/>
          <w:sz w:val="24"/>
          <w:szCs w:val="24"/>
        </w:rPr>
        <w:tab/>
      </w:r>
      <w:r w:rsidRPr="00DF1A29">
        <w:rPr>
          <w:rFonts w:eastAsia="DengXian"/>
          <w:i/>
          <w:color w:val="auto"/>
          <w:sz w:val="24"/>
          <w:szCs w:val="24"/>
        </w:rPr>
        <w:t>Alternative Industry Classification</w:t>
      </w:r>
      <w:r w:rsidRPr="00DF1A29">
        <w:rPr>
          <w:rFonts w:eastAsia="DengXian"/>
          <w:color w:val="auto"/>
          <w:sz w:val="24"/>
          <w:szCs w:val="24"/>
        </w:rPr>
        <w:t>. We also examine the sensitivity of our findings to alternative industry classifications by us</w:t>
      </w:r>
      <w:r>
        <w:rPr>
          <w:rFonts w:eastAsia="DengXian"/>
          <w:color w:val="auto"/>
          <w:sz w:val="24"/>
          <w:szCs w:val="24"/>
        </w:rPr>
        <w:t>ing five-digit NAICS,</w:t>
      </w:r>
      <w:r w:rsidRPr="00DF1A29">
        <w:rPr>
          <w:rFonts w:eastAsia="DengXian"/>
          <w:color w:val="auto"/>
          <w:sz w:val="24"/>
          <w:szCs w:val="24"/>
        </w:rPr>
        <w:t xml:space="preserve"> six-digit NAICS and four-digit Standard Industrial Classification (SIC) codes as alternative definitions of a firm’s industry. </w:t>
      </w:r>
      <w:r>
        <w:rPr>
          <w:rFonts w:eastAsia="DengXian"/>
          <w:color w:val="auto"/>
          <w:sz w:val="24"/>
          <w:szCs w:val="24"/>
        </w:rPr>
        <w:t>We find that our</w:t>
      </w:r>
      <w:r w:rsidRPr="00DF1A29">
        <w:rPr>
          <w:rFonts w:eastAsia="DengXian"/>
          <w:color w:val="auto"/>
          <w:sz w:val="24"/>
          <w:szCs w:val="24"/>
        </w:rPr>
        <w:t xml:space="preserve"> substantive results remain </w:t>
      </w:r>
      <w:r>
        <w:rPr>
          <w:rFonts w:eastAsia="DengXian"/>
          <w:color w:val="auto"/>
          <w:sz w:val="24"/>
          <w:szCs w:val="24"/>
        </w:rPr>
        <w:t xml:space="preserve">largely </w:t>
      </w:r>
      <w:r w:rsidRPr="00DF1A29">
        <w:rPr>
          <w:rFonts w:eastAsia="DengXian"/>
          <w:color w:val="auto"/>
          <w:sz w:val="24"/>
          <w:szCs w:val="24"/>
        </w:rPr>
        <w:t>unchanged</w:t>
      </w:r>
      <w:r>
        <w:rPr>
          <w:rFonts w:eastAsia="DengXian"/>
          <w:color w:val="auto"/>
          <w:sz w:val="24"/>
          <w:szCs w:val="24"/>
        </w:rPr>
        <w:t xml:space="preserve"> (see Table F1)</w:t>
      </w:r>
      <w:r w:rsidRPr="00DF1A29">
        <w:rPr>
          <w:rFonts w:eastAsia="DengXian"/>
          <w:color w:val="auto"/>
          <w:sz w:val="24"/>
          <w:szCs w:val="24"/>
        </w:rPr>
        <w:t>.</w:t>
      </w:r>
    </w:p>
    <w:p w14:paraId="3939A402" w14:textId="4384FC46" w:rsidR="00F731AC" w:rsidRDefault="00F731AC" w:rsidP="00F731AC">
      <w:pPr>
        <w:spacing w:before="120" w:after="120" w:line="240" w:lineRule="auto"/>
        <w:rPr>
          <w:rFonts w:eastAsia="DengXian"/>
          <w:color w:val="auto"/>
          <w:sz w:val="24"/>
          <w:szCs w:val="24"/>
        </w:rPr>
      </w:pPr>
      <w:r w:rsidRPr="00DF1A29">
        <w:rPr>
          <w:rFonts w:eastAsia="DengXian"/>
          <w:color w:val="auto"/>
          <w:sz w:val="24"/>
          <w:szCs w:val="24"/>
        </w:rPr>
        <w:tab/>
      </w:r>
      <w:r w:rsidRPr="00DF1A29">
        <w:rPr>
          <w:rFonts w:eastAsia="DengXian"/>
          <w:i/>
          <w:color w:val="auto"/>
          <w:sz w:val="24"/>
          <w:szCs w:val="24"/>
        </w:rPr>
        <w:t xml:space="preserve">Alternative Dataset. </w:t>
      </w:r>
      <w:r w:rsidRPr="00DF1A29">
        <w:rPr>
          <w:rFonts w:eastAsia="DengXian"/>
          <w:color w:val="auto"/>
          <w:sz w:val="24"/>
          <w:szCs w:val="24"/>
        </w:rPr>
        <w:t>Consistent with prior research (e.g.,</w:t>
      </w:r>
      <w:r w:rsidRPr="00A37C7A">
        <w:t xml:space="preserve"> </w:t>
      </w:r>
      <w:r w:rsidR="008F0F3B">
        <w:rPr>
          <w:rFonts w:eastAsia="DengXian"/>
          <w:color w:val="auto"/>
          <w:sz w:val="24"/>
          <w:szCs w:val="24"/>
        </w:rPr>
        <w:fldChar w:fldCharType="begin"/>
      </w:r>
      <w:r w:rsidR="008F0F3B">
        <w:rPr>
          <w:rFonts w:eastAsia="DengXian"/>
          <w:color w:val="auto"/>
          <w:sz w:val="24"/>
          <w:szCs w:val="24"/>
        </w:rPr>
        <w:instrText xml:space="preserve"> ADDIN EN.CITE &lt;EndNote&gt;&lt;Cite&gt;&lt;Author&gt;Fornell&lt;/Author&gt;&lt;Year&gt;2010&lt;/Year&gt;&lt;RecNum&gt;1544&lt;/RecNum&gt;&lt;DisplayText&gt;Fornell, Rust, and Dekimpe 2010&lt;/DisplayText&gt;&lt;record&gt;&lt;rec-number&gt;1544&lt;/rec-number&gt;&lt;foreign-keys&gt;&lt;key app="EN" db-id="d05sxppah09pwxe9fpbva0972x9paswspf90" timestamp="1482290058" guid="fbfc7183-07ab-43f9-8ac4-344d6bd2c212"&gt;1544&lt;/key&gt;&lt;/foreign-keys&gt;&lt;ref-type name="Journal Article"&gt;17&lt;/ref-type&gt;&lt;contributors&gt;&lt;authors&gt;&lt;author&gt;Claes Fornell&lt;/author&gt;&lt;author&gt;Roland T. Rust&lt;/author&gt;&lt;author&gt;Marnik G. Dekimpe&lt;/author&gt;&lt;/authors&gt;&lt;/contributors&gt;&lt;titles&gt;&lt;title&gt;The Effect of Customer Satisfaction on Consumer Spending Growth&lt;/title&gt;&lt;secondary-title&gt;Journal of Marketing Research&lt;/secondary-title&gt;&lt;/titles&gt;&lt;periodical&gt;&lt;full-title&gt;Journal of Marketing Research&lt;/full-title&gt;&lt;/periodical&gt;&lt;pages&gt;28-35&lt;/pages&gt;&lt;volume&gt;47&lt;/volume&gt;&lt;number&gt;1&lt;/number&gt;&lt;keywords&gt;&lt;keyword&gt;customer satisfaction,consumer spending,consumer confidence,forecasting&lt;/keyword&gt;&lt;/keywords&gt;&lt;dates&gt;&lt;year&gt;2010&lt;/year&gt;&lt;/dates&gt;&lt;urls&gt;&lt;related-urls&gt;&lt;url&gt;http://journals.ama.org/doi/abs/10.1509/jmkr.47.1.28&lt;/url&gt;&lt;/related-urls&gt;&lt;/urls&gt;&lt;electronic-resource-num&gt;10.1509/jmkr.47.1.28&lt;/electronic-resource-num&gt;&lt;/record&gt;&lt;/Cite&gt;&lt;/EndNote&gt;</w:instrText>
      </w:r>
      <w:r w:rsidR="008F0F3B">
        <w:rPr>
          <w:rFonts w:eastAsia="DengXian"/>
          <w:color w:val="auto"/>
          <w:sz w:val="24"/>
          <w:szCs w:val="24"/>
        </w:rPr>
        <w:fldChar w:fldCharType="separate"/>
      </w:r>
      <w:r w:rsidR="008F0F3B">
        <w:rPr>
          <w:rFonts w:eastAsia="DengXian"/>
          <w:noProof/>
          <w:color w:val="auto"/>
          <w:sz w:val="24"/>
          <w:szCs w:val="24"/>
        </w:rPr>
        <w:t>Fornell, Rust, and Dekimpe 2010</w:t>
      </w:r>
      <w:r w:rsidR="008F0F3B">
        <w:rPr>
          <w:rFonts w:eastAsia="DengXian"/>
          <w:color w:val="auto"/>
          <w:sz w:val="24"/>
          <w:szCs w:val="24"/>
        </w:rPr>
        <w:fldChar w:fldCharType="end"/>
      </w:r>
      <w:r w:rsidRPr="00DF1A29">
        <w:rPr>
          <w:rFonts w:eastAsia="DengXian"/>
          <w:color w:val="auto"/>
          <w:sz w:val="24"/>
          <w:szCs w:val="24"/>
        </w:rPr>
        <w:t>), we examine if our findings are subjected to the idiosyncrasies of the selected sample period. Particularly, we estimated a model using data prior to 2010 to control for the change in reporting standards in that year (</w:t>
      </w:r>
      <w:r w:rsidR="00966C71">
        <w:rPr>
          <w:rFonts w:eastAsia="DengXian"/>
          <w:color w:val="auto"/>
          <w:sz w:val="24"/>
          <w:szCs w:val="24"/>
        </w:rPr>
        <w:fldChar w:fldCharType="begin"/>
      </w:r>
      <w:r w:rsidR="00966C71">
        <w:rPr>
          <w:rFonts w:eastAsia="DengXian"/>
          <w:color w:val="auto"/>
          <w:sz w:val="24"/>
          <w:szCs w:val="24"/>
        </w:rPr>
        <w:instrText xml:space="preserve"> ADDIN EN.CITE &lt;EndNote&gt;&lt;Cite&gt;&lt;Author&gt;ACSI&lt;/Author&gt;&lt;Year&gt;2016&lt;/Year&gt;&lt;RecNum&gt;2160&lt;/RecNum&gt;&lt;DisplayText&gt;ACSI 2016&lt;/DisplayText&gt;&lt;record&gt;&lt;rec-number&gt;2160&lt;/rec-number&gt;&lt;foreign-keys&gt;&lt;key app="EN" db-id="d05sxppah09pwxe9fpbva0972x9paswspf90" timestamp="1493692278" guid="f6951525-bd46-4894-80dd-d5873472e022"&gt;2160&lt;/key&gt;&lt;/foreign-keys&gt;&lt;ref-type name="Newspaper Article"&gt;23&lt;/ref-type&gt;&lt;contributors&gt;&lt;authors&gt;&lt;author&gt;ACSI&lt;/author&gt;&lt;/authors&gt;&lt;/contributors&gt;&lt;titles&gt;&lt;title&gt;History of the American Customer Satisfaction Index&lt;/title&gt;&lt;secondary-title&gt;American Customer Satisfaction Index&lt;/secondary-title&gt;&lt;/titles&gt;&lt;volume&gt;2016&lt;/volume&gt;&lt;number&gt;March 14&lt;/number&gt;&lt;dates&gt;&lt;year&gt;2016&lt;/year&gt;&lt;/dates&gt;&lt;urls&gt;&lt;related-urls&gt;&lt;url&gt;http://www.theacsi.org/about-acsi/history&lt;/url&gt;&lt;/related-urls&gt;&lt;/urls&gt;&lt;access-date&gt;8 June 2016&lt;/access-date&gt;&lt;/record&gt;&lt;/Cite&gt;&lt;/EndNote&gt;</w:instrText>
      </w:r>
      <w:r w:rsidR="00966C71">
        <w:rPr>
          <w:rFonts w:eastAsia="DengXian"/>
          <w:color w:val="auto"/>
          <w:sz w:val="24"/>
          <w:szCs w:val="24"/>
        </w:rPr>
        <w:fldChar w:fldCharType="separate"/>
      </w:r>
      <w:r w:rsidR="00966C71">
        <w:rPr>
          <w:rFonts w:eastAsia="DengXian"/>
          <w:noProof/>
          <w:color w:val="auto"/>
          <w:sz w:val="24"/>
          <w:szCs w:val="24"/>
        </w:rPr>
        <w:t>ACSI 2016</w:t>
      </w:r>
      <w:r w:rsidR="00966C71">
        <w:rPr>
          <w:rFonts w:eastAsia="DengXian"/>
          <w:color w:val="auto"/>
          <w:sz w:val="24"/>
          <w:szCs w:val="24"/>
        </w:rPr>
        <w:fldChar w:fldCharType="end"/>
      </w:r>
      <w:r w:rsidRPr="00DF1A29">
        <w:rPr>
          <w:rFonts w:eastAsia="DengXian"/>
          <w:color w:val="auto"/>
          <w:sz w:val="24"/>
          <w:szCs w:val="24"/>
        </w:rPr>
        <w:t xml:space="preserve">). </w:t>
      </w:r>
      <w:r>
        <w:rPr>
          <w:rFonts w:eastAsia="DengXian"/>
          <w:color w:val="auto"/>
          <w:sz w:val="24"/>
          <w:szCs w:val="24"/>
        </w:rPr>
        <w:t>As observed in Table F1, o</w:t>
      </w:r>
      <w:r w:rsidRPr="00DF1A29">
        <w:rPr>
          <w:rFonts w:eastAsia="DengXian"/>
          <w:color w:val="auto"/>
          <w:sz w:val="24"/>
          <w:szCs w:val="24"/>
        </w:rPr>
        <w:t xml:space="preserve">ur findings remain unchanged. </w:t>
      </w:r>
    </w:p>
    <w:p w14:paraId="7355C4B7" w14:textId="77777777" w:rsidR="00F731AC" w:rsidRDefault="00F731AC" w:rsidP="00F731AC">
      <w:pPr>
        <w:spacing w:before="120" w:after="120" w:line="240" w:lineRule="auto"/>
        <w:rPr>
          <w:rFonts w:eastAsia="DengXian"/>
          <w:color w:val="auto"/>
          <w:sz w:val="24"/>
          <w:szCs w:val="24"/>
        </w:rPr>
      </w:pPr>
      <w:r>
        <w:rPr>
          <w:rFonts w:eastAsia="DengXian"/>
          <w:color w:val="auto"/>
          <w:sz w:val="24"/>
          <w:szCs w:val="24"/>
        </w:rPr>
        <w:tab/>
      </w:r>
      <w:r w:rsidRPr="00207B12">
        <w:rPr>
          <w:rFonts w:eastAsia="DengXian"/>
          <w:i/>
          <w:iCs/>
          <w:color w:val="auto"/>
          <w:sz w:val="24"/>
          <w:szCs w:val="24"/>
        </w:rPr>
        <w:t xml:space="preserve">Alternative Dependent Variable. </w:t>
      </w:r>
      <w:r w:rsidRPr="00207B12">
        <w:rPr>
          <w:rFonts w:eastAsia="DengXian"/>
          <w:color w:val="auto"/>
          <w:sz w:val="24"/>
          <w:szCs w:val="24"/>
        </w:rPr>
        <w:t>To investigate the robustness of our results to alternative computation</w:t>
      </w:r>
      <w:r>
        <w:rPr>
          <w:rFonts w:eastAsia="DengXian"/>
          <w:color w:val="auto"/>
          <w:sz w:val="24"/>
          <w:szCs w:val="24"/>
        </w:rPr>
        <w:t>s</w:t>
      </w:r>
      <w:r w:rsidRPr="00207B12">
        <w:rPr>
          <w:rFonts w:eastAsia="DengXian"/>
          <w:color w:val="auto"/>
          <w:sz w:val="24"/>
          <w:szCs w:val="24"/>
        </w:rPr>
        <w:t xml:space="preserve"> of our dependent variable, i.e., COS, we also re-estimate our model by excluding freight-out </w:t>
      </w:r>
      <w:r>
        <w:rPr>
          <w:rFonts w:eastAsia="DengXian"/>
          <w:color w:val="auto"/>
          <w:sz w:val="24"/>
          <w:szCs w:val="24"/>
        </w:rPr>
        <w:t xml:space="preserve">and bad debt </w:t>
      </w:r>
      <w:r w:rsidRPr="00207B12">
        <w:rPr>
          <w:rFonts w:eastAsia="DengXian"/>
          <w:color w:val="auto"/>
          <w:sz w:val="24"/>
          <w:szCs w:val="24"/>
        </w:rPr>
        <w:t>expenses</w:t>
      </w:r>
      <w:r>
        <w:rPr>
          <w:rFonts w:eastAsia="DengXian"/>
          <w:color w:val="auto"/>
          <w:sz w:val="24"/>
          <w:szCs w:val="24"/>
        </w:rPr>
        <w:t xml:space="preserve"> respectively</w:t>
      </w:r>
      <w:r w:rsidRPr="00207B12">
        <w:rPr>
          <w:rFonts w:eastAsia="DengXian"/>
          <w:color w:val="auto"/>
          <w:sz w:val="24"/>
          <w:szCs w:val="24"/>
        </w:rPr>
        <w:t xml:space="preserve">. </w:t>
      </w:r>
      <w:r>
        <w:rPr>
          <w:rFonts w:eastAsia="DengXian"/>
          <w:color w:val="auto"/>
          <w:sz w:val="24"/>
          <w:szCs w:val="24"/>
        </w:rPr>
        <w:t>Specifically</w:t>
      </w:r>
      <w:r w:rsidRPr="00207B12">
        <w:rPr>
          <w:rFonts w:eastAsia="DengXian"/>
          <w:color w:val="auto"/>
          <w:sz w:val="24"/>
          <w:szCs w:val="24"/>
        </w:rPr>
        <w:t>, we use the same procedure as outlined in the “</w:t>
      </w:r>
      <w:r w:rsidRPr="00207B12">
        <w:rPr>
          <w:rFonts w:eastAsia="DengXian"/>
          <w:i/>
          <w:iCs/>
          <w:color w:val="auto"/>
          <w:sz w:val="24"/>
          <w:szCs w:val="24"/>
        </w:rPr>
        <w:t>Measures and Data</w:t>
      </w:r>
      <w:r w:rsidRPr="00207B12">
        <w:rPr>
          <w:rFonts w:eastAsia="DengXian"/>
          <w:color w:val="auto"/>
          <w:sz w:val="24"/>
          <w:szCs w:val="24"/>
        </w:rPr>
        <w:t xml:space="preserve">” section of the paper to identify and subtract freight-out </w:t>
      </w:r>
      <w:r>
        <w:rPr>
          <w:rFonts w:eastAsia="DengXian"/>
          <w:color w:val="auto"/>
          <w:sz w:val="24"/>
          <w:szCs w:val="24"/>
        </w:rPr>
        <w:t xml:space="preserve">and bad debt </w:t>
      </w:r>
      <w:r w:rsidRPr="00207B12">
        <w:rPr>
          <w:rFonts w:eastAsia="DengXian"/>
          <w:color w:val="auto"/>
          <w:sz w:val="24"/>
          <w:szCs w:val="24"/>
        </w:rPr>
        <w:t xml:space="preserve">expenses from our focal measure of COS. Please refer to Web Appendix </w:t>
      </w:r>
      <w:r>
        <w:rPr>
          <w:rFonts w:eastAsia="DengXian"/>
          <w:color w:val="auto"/>
          <w:sz w:val="24"/>
          <w:szCs w:val="24"/>
        </w:rPr>
        <w:t>B</w:t>
      </w:r>
      <w:r w:rsidRPr="00207B12">
        <w:rPr>
          <w:rFonts w:eastAsia="DengXian"/>
          <w:color w:val="auto"/>
          <w:sz w:val="24"/>
          <w:szCs w:val="24"/>
        </w:rPr>
        <w:t xml:space="preserve"> for the set of keywords used in the text analyses to </w:t>
      </w:r>
      <w:r>
        <w:rPr>
          <w:rFonts w:eastAsia="DengXian"/>
          <w:color w:val="auto"/>
          <w:sz w:val="24"/>
          <w:szCs w:val="24"/>
        </w:rPr>
        <w:t>search for</w:t>
      </w:r>
      <w:r w:rsidRPr="00207B12">
        <w:rPr>
          <w:rFonts w:eastAsia="DengXian"/>
          <w:color w:val="auto"/>
          <w:sz w:val="24"/>
          <w:szCs w:val="24"/>
        </w:rPr>
        <w:t xml:space="preserve"> freight-out </w:t>
      </w:r>
      <w:r>
        <w:rPr>
          <w:rFonts w:eastAsia="DengXian"/>
          <w:color w:val="auto"/>
          <w:sz w:val="24"/>
          <w:szCs w:val="24"/>
        </w:rPr>
        <w:t xml:space="preserve">and bad debt </w:t>
      </w:r>
      <w:r w:rsidRPr="00207B12">
        <w:rPr>
          <w:rFonts w:eastAsia="DengXian"/>
          <w:color w:val="auto"/>
          <w:sz w:val="24"/>
          <w:szCs w:val="24"/>
        </w:rPr>
        <w:t>expenses</w:t>
      </w:r>
      <w:r>
        <w:rPr>
          <w:rFonts w:eastAsia="DengXian"/>
          <w:color w:val="auto"/>
          <w:sz w:val="24"/>
          <w:szCs w:val="24"/>
        </w:rPr>
        <w:t xml:space="preserve"> in firms’ 10-K filings</w:t>
      </w:r>
      <w:r w:rsidRPr="00207B12">
        <w:rPr>
          <w:rFonts w:eastAsia="DengXian"/>
          <w:color w:val="auto"/>
          <w:sz w:val="24"/>
          <w:szCs w:val="24"/>
        </w:rPr>
        <w:t>.</w:t>
      </w:r>
      <w:r>
        <w:rPr>
          <w:rFonts w:eastAsia="DengXian"/>
          <w:color w:val="auto"/>
          <w:sz w:val="24"/>
          <w:szCs w:val="24"/>
        </w:rPr>
        <w:t xml:space="preserve"> </w:t>
      </w:r>
      <w:r w:rsidRPr="00530F31">
        <w:rPr>
          <w:rFonts w:eastAsia="DengXian"/>
          <w:color w:val="auto"/>
          <w:sz w:val="24"/>
          <w:szCs w:val="24"/>
        </w:rPr>
        <w:t>In addition, we</w:t>
      </w:r>
      <w:r w:rsidRPr="009B0BCB">
        <w:rPr>
          <w:rFonts w:eastAsia="DengXian"/>
          <w:color w:val="auto"/>
          <w:sz w:val="24"/>
          <w:szCs w:val="24"/>
        </w:rPr>
        <w:t xml:space="preserve"> also re-estimate our model using a commonly used SG&amp;A-based proxy of selling-related expenses, i.e., </w:t>
      </w:r>
      <w:r w:rsidRPr="00346B10">
        <w:rPr>
          <w:sz w:val="24"/>
          <w:szCs w:val="24"/>
        </w:rPr>
        <w:t>a firm’s SG&amp;A scaled by its total sales.</w:t>
      </w:r>
      <w:r>
        <w:rPr>
          <w:sz w:val="23"/>
          <w:szCs w:val="23"/>
        </w:rPr>
        <w:t xml:space="preserve"> </w:t>
      </w:r>
      <w:r w:rsidRPr="00207B12">
        <w:rPr>
          <w:rFonts w:eastAsia="DengXian"/>
          <w:color w:val="auto"/>
          <w:sz w:val="24"/>
          <w:szCs w:val="24"/>
        </w:rPr>
        <w:t xml:space="preserve">Reassuringly, our results </w:t>
      </w:r>
      <w:r>
        <w:rPr>
          <w:rFonts w:eastAsia="DengXian"/>
          <w:color w:val="auto"/>
          <w:sz w:val="24"/>
          <w:szCs w:val="24"/>
        </w:rPr>
        <w:t>remain unchanged across all analyses (see Table F1).</w:t>
      </w:r>
      <w:r w:rsidRPr="00207B12">
        <w:rPr>
          <w:rFonts w:eastAsia="DengXian"/>
          <w:color w:val="auto"/>
          <w:sz w:val="24"/>
          <w:szCs w:val="24"/>
        </w:rPr>
        <w:t xml:space="preserve"> </w:t>
      </w:r>
    </w:p>
    <w:p w14:paraId="3C689CDD" w14:textId="77777777" w:rsidR="00F731AC" w:rsidRDefault="00F731AC" w:rsidP="00F731AC">
      <w:pPr>
        <w:jc w:val="center"/>
        <w:sectPr w:rsidR="00F731AC" w:rsidSect="00CC768C">
          <w:pgSz w:w="11906" w:h="16838" w:code="9"/>
          <w:pgMar w:top="1440" w:right="1440" w:bottom="1440" w:left="1440" w:header="706" w:footer="706" w:gutter="0"/>
          <w:cols w:space="708"/>
          <w:noEndnote/>
          <w:docGrid w:linePitch="360"/>
        </w:sectPr>
      </w:pPr>
      <w:r>
        <w:br w:type="page"/>
      </w:r>
    </w:p>
    <w:tbl>
      <w:tblPr>
        <w:tblW w:w="13875" w:type="dxa"/>
        <w:jc w:val="center"/>
        <w:tblLayout w:type="fixed"/>
        <w:tblCellMar>
          <w:left w:w="0" w:type="dxa"/>
          <w:right w:w="0" w:type="dxa"/>
        </w:tblCellMar>
        <w:tblLook w:val="04A0" w:firstRow="1" w:lastRow="0" w:firstColumn="1" w:lastColumn="0" w:noHBand="0" w:noVBand="1"/>
      </w:tblPr>
      <w:tblGrid>
        <w:gridCol w:w="3960"/>
        <w:gridCol w:w="706"/>
        <w:gridCol w:w="644"/>
        <w:gridCol w:w="771"/>
        <w:gridCol w:w="669"/>
        <w:gridCol w:w="745"/>
        <w:gridCol w:w="695"/>
        <w:gridCol w:w="720"/>
        <w:gridCol w:w="720"/>
        <w:gridCol w:w="696"/>
        <w:gridCol w:w="654"/>
        <w:gridCol w:w="760"/>
        <w:gridCol w:w="680"/>
        <w:gridCol w:w="735"/>
        <w:gridCol w:w="708"/>
        <w:gridCol w:w="12"/>
      </w:tblGrid>
      <w:tr w:rsidR="00F731AC" w:rsidRPr="00097EC4" w14:paraId="59CBE6C9" w14:textId="77777777" w:rsidTr="00CC768C">
        <w:trPr>
          <w:trHeight w:val="621"/>
          <w:jc w:val="center"/>
        </w:trPr>
        <w:tc>
          <w:tcPr>
            <w:tcW w:w="13875" w:type="dxa"/>
            <w:gridSpan w:val="16"/>
            <w:tcBorders>
              <w:top w:val="nil"/>
              <w:left w:val="nil"/>
              <w:bottom w:val="single" w:sz="4" w:space="0" w:color="auto"/>
              <w:right w:val="nil"/>
            </w:tcBorders>
            <w:shd w:val="clear" w:color="000000" w:fill="FFFFFF"/>
          </w:tcPr>
          <w:p w14:paraId="5825D0DA" w14:textId="77777777" w:rsidR="00F731AC" w:rsidRDefault="00F731AC" w:rsidP="00CC768C">
            <w:pPr>
              <w:spacing w:after="0" w:line="245" w:lineRule="auto"/>
              <w:jc w:val="center"/>
              <w:rPr>
                <w:rFonts w:eastAsia="Times New Roman"/>
                <w:b/>
                <w:bCs/>
                <w:color w:val="auto"/>
                <w:sz w:val="24"/>
                <w:szCs w:val="24"/>
                <w:lang w:eastAsia="en-SG"/>
              </w:rPr>
            </w:pPr>
          </w:p>
          <w:p w14:paraId="3DCA1CAD" w14:textId="7061CEC1" w:rsidR="00F731AC" w:rsidRDefault="007E0638" w:rsidP="00CC768C">
            <w:pPr>
              <w:spacing w:after="0" w:line="245" w:lineRule="auto"/>
              <w:jc w:val="center"/>
              <w:rPr>
                <w:rFonts w:eastAsia="Times New Roman"/>
                <w:b/>
                <w:bCs/>
                <w:color w:val="auto"/>
                <w:sz w:val="24"/>
                <w:szCs w:val="24"/>
                <w:lang w:eastAsia="en-SG"/>
              </w:rPr>
            </w:pPr>
            <w:r>
              <w:rPr>
                <w:rFonts w:eastAsia="Times New Roman"/>
                <w:b/>
                <w:bCs/>
                <w:color w:val="auto"/>
                <w:sz w:val="24"/>
                <w:szCs w:val="24"/>
                <w:lang w:eastAsia="en-SG"/>
              </w:rPr>
              <w:t>TABLE F1</w:t>
            </w:r>
            <w:r w:rsidRPr="00097EC4">
              <w:rPr>
                <w:rFonts w:eastAsia="Times New Roman"/>
                <w:b/>
                <w:bCs/>
                <w:color w:val="auto"/>
                <w:sz w:val="24"/>
                <w:szCs w:val="24"/>
                <w:lang w:eastAsia="en-SG"/>
              </w:rPr>
              <w:t xml:space="preserve">: </w:t>
            </w:r>
          </w:p>
          <w:p w14:paraId="0DBAFEC1" w14:textId="559729FA" w:rsidR="00F731AC" w:rsidRPr="00097EC4" w:rsidRDefault="007E0638" w:rsidP="00CC768C">
            <w:pPr>
              <w:spacing w:after="120" w:line="245" w:lineRule="auto"/>
              <w:jc w:val="center"/>
              <w:rPr>
                <w:rFonts w:eastAsia="Times New Roman"/>
                <w:b/>
                <w:bCs/>
                <w:color w:val="auto"/>
                <w:sz w:val="24"/>
                <w:szCs w:val="24"/>
                <w:lang w:eastAsia="en-SG"/>
              </w:rPr>
            </w:pPr>
            <w:r>
              <w:rPr>
                <w:rFonts w:eastAsia="Times New Roman"/>
                <w:b/>
                <w:bCs/>
                <w:color w:val="auto"/>
                <w:sz w:val="24"/>
                <w:szCs w:val="24"/>
                <w:lang w:eastAsia="en-SG"/>
              </w:rPr>
              <w:t xml:space="preserve">RESULTS OF </w:t>
            </w:r>
            <w:r w:rsidRPr="00097EC4">
              <w:rPr>
                <w:rFonts w:eastAsia="Times New Roman"/>
                <w:b/>
                <w:bCs/>
                <w:color w:val="auto"/>
                <w:sz w:val="24"/>
                <w:szCs w:val="24"/>
                <w:lang w:eastAsia="en-SG"/>
              </w:rPr>
              <w:t>SENSITIVITY ANALYSES</w:t>
            </w:r>
          </w:p>
        </w:tc>
      </w:tr>
      <w:tr w:rsidR="00F731AC" w:rsidRPr="00097EC4" w14:paraId="66C0B2DE" w14:textId="77777777" w:rsidTr="00CC768C">
        <w:trPr>
          <w:trHeight w:val="112"/>
          <w:jc w:val="center"/>
        </w:trPr>
        <w:tc>
          <w:tcPr>
            <w:tcW w:w="3960" w:type="dxa"/>
            <w:tcBorders>
              <w:top w:val="single" w:sz="4" w:space="0" w:color="auto"/>
              <w:left w:val="nil"/>
              <w:right w:val="single" w:sz="4" w:space="0" w:color="auto"/>
            </w:tcBorders>
            <w:shd w:val="clear" w:color="000000" w:fill="FFFFFF"/>
            <w:tcMar>
              <w:top w:w="28" w:type="dxa"/>
              <w:bottom w:w="28" w:type="dxa"/>
            </w:tcMar>
            <w:vAlign w:val="center"/>
          </w:tcPr>
          <w:p w14:paraId="7E61A174" w14:textId="77777777" w:rsidR="00F731AC" w:rsidRPr="00097EC4" w:rsidRDefault="00F731AC" w:rsidP="00CC768C">
            <w:pPr>
              <w:spacing w:after="0" w:line="245" w:lineRule="auto"/>
              <w:jc w:val="center"/>
              <w:rPr>
                <w:rFonts w:eastAsia="Times New Roman"/>
                <w:bCs/>
                <w:color w:val="auto"/>
                <w:lang w:eastAsia="en-SG"/>
              </w:rPr>
            </w:pPr>
          </w:p>
        </w:tc>
        <w:tc>
          <w:tcPr>
            <w:tcW w:w="9915" w:type="dxa"/>
            <w:gridSpan w:val="15"/>
            <w:tcBorders>
              <w:top w:val="single" w:sz="4" w:space="0" w:color="auto"/>
              <w:left w:val="single" w:sz="4" w:space="0" w:color="auto"/>
              <w:right w:val="nil"/>
            </w:tcBorders>
            <w:shd w:val="clear" w:color="000000" w:fill="FFFFFF"/>
          </w:tcPr>
          <w:p w14:paraId="027BE9B0" w14:textId="77777777" w:rsidR="00F731AC" w:rsidRPr="00097EC4" w:rsidRDefault="00F731AC" w:rsidP="00CC768C">
            <w:pPr>
              <w:spacing w:after="0" w:line="245" w:lineRule="auto"/>
              <w:jc w:val="center"/>
              <w:rPr>
                <w:i/>
                <w:color w:val="auto"/>
              </w:rPr>
            </w:pPr>
            <w:r w:rsidRPr="00097EC4">
              <w:rPr>
                <w:i/>
                <w:color w:val="auto"/>
              </w:rPr>
              <w:t>Hypotheses and its Expected Sign</w:t>
            </w:r>
          </w:p>
        </w:tc>
      </w:tr>
      <w:tr w:rsidR="00F731AC" w:rsidRPr="00097EC4" w14:paraId="440B7484" w14:textId="77777777" w:rsidTr="00CC768C">
        <w:trPr>
          <w:gridAfter w:val="1"/>
          <w:wAfter w:w="12" w:type="dxa"/>
          <w:trHeight w:val="112"/>
          <w:jc w:val="center"/>
        </w:trPr>
        <w:tc>
          <w:tcPr>
            <w:tcW w:w="3960" w:type="dxa"/>
            <w:tcBorders>
              <w:left w:val="nil"/>
              <w:right w:val="single" w:sz="4" w:space="0" w:color="auto"/>
            </w:tcBorders>
            <w:shd w:val="clear" w:color="000000" w:fill="FFFFFF"/>
            <w:tcMar>
              <w:top w:w="28" w:type="dxa"/>
              <w:bottom w:w="28" w:type="dxa"/>
            </w:tcMar>
            <w:vAlign w:val="center"/>
          </w:tcPr>
          <w:p w14:paraId="099AD5C1" w14:textId="77777777" w:rsidR="00F731AC" w:rsidRPr="00097EC4" w:rsidRDefault="00F731AC" w:rsidP="00CC768C">
            <w:pPr>
              <w:spacing w:after="0" w:line="245" w:lineRule="auto"/>
              <w:jc w:val="center"/>
              <w:rPr>
                <w:rFonts w:eastAsia="Times New Roman"/>
                <w:bCs/>
                <w:color w:val="auto"/>
                <w:lang w:eastAsia="en-SG"/>
              </w:rPr>
            </w:pPr>
          </w:p>
        </w:tc>
        <w:tc>
          <w:tcPr>
            <w:tcW w:w="1350" w:type="dxa"/>
            <w:gridSpan w:val="2"/>
            <w:tcBorders>
              <w:top w:val="single" w:sz="4" w:space="0" w:color="auto"/>
              <w:left w:val="single" w:sz="4" w:space="0" w:color="auto"/>
              <w:right w:val="single" w:sz="4" w:space="0" w:color="auto"/>
            </w:tcBorders>
            <w:shd w:val="clear" w:color="000000" w:fill="FFFFFF"/>
            <w:vAlign w:val="center"/>
          </w:tcPr>
          <w:p w14:paraId="14071533" w14:textId="77777777" w:rsidR="00F731AC" w:rsidRPr="00097EC4" w:rsidRDefault="00F731AC" w:rsidP="00CC768C">
            <w:pPr>
              <w:spacing w:after="0" w:line="245" w:lineRule="auto"/>
              <w:jc w:val="center"/>
              <w:rPr>
                <w:rFonts w:eastAsia="Times New Roman"/>
                <w:bCs/>
                <w:color w:val="auto"/>
                <w:lang w:eastAsia="en-SG"/>
              </w:rPr>
            </w:pPr>
            <w:r w:rsidRPr="00097EC4">
              <w:rPr>
                <w:b/>
                <w:color w:val="auto"/>
              </w:rPr>
              <w:t>– H1</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EC4EEF6" w14:textId="77777777" w:rsidR="00F731AC" w:rsidRPr="00097EC4" w:rsidRDefault="00F731AC" w:rsidP="00CC768C">
            <w:pPr>
              <w:spacing w:after="0" w:line="245" w:lineRule="auto"/>
              <w:jc w:val="center"/>
              <w:rPr>
                <w:rFonts w:eastAsia="Times New Roman"/>
                <w:bCs/>
                <w:color w:val="auto"/>
                <w:lang w:eastAsia="en-SG"/>
              </w:rPr>
            </w:pPr>
            <w:r w:rsidRPr="00097EC4">
              <w:rPr>
                <w:b/>
                <w:color w:val="auto"/>
              </w:rPr>
              <w:t>? H2</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4103E5E" w14:textId="77777777" w:rsidR="00F731AC" w:rsidRPr="00097EC4" w:rsidRDefault="00F731AC" w:rsidP="00CC768C">
            <w:pPr>
              <w:spacing w:after="0" w:line="245" w:lineRule="auto"/>
              <w:jc w:val="center"/>
              <w:rPr>
                <w:rFonts w:eastAsia="Times New Roman"/>
                <w:bCs/>
                <w:color w:val="auto"/>
                <w:lang w:eastAsia="en-SG"/>
              </w:rPr>
            </w:pPr>
            <w:r w:rsidRPr="00097EC4">
              <w:rPr>
                <w:b/>
                <w:color w:val="auto"/>
              </w:rPr>
              <w:t>+ H3</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E355E4F" w14:textId="77777777" w:rsidR="00F731AC" w:rsidRPr="00097EC4" w:rsidRDefault="00F731AC" w:rsidP="00CC768C">
            <w:pPr>
              <w:spacing w:after="0" w:line="245" w:lineRule="auto"/>
              <w:jc w:val="center"/>
              <w:rPr>
                <w:b/>
                <w:color w:val="auto"/>
              </w:rPr>
            </w:pPr>
            <w:r w:rsidRPr="00097EC4">
              <w:rPr>
                <w:b/>
                <w:color w:val="auto"/>
              </w:rPr>
              <w:t>+ H4</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tcPr>
          <w:p w14:paraId="706FE572" w14:textId="77777777" w:rsidR="00F731AC" w:rsidRPr="00097EC4" w:rsidRDefault="00F731AC" w:rsidP="00CC768C">
            <w:pPr>
              <w:spacing w:after="0" w:line="245" w:lineRule="auto"/>
              <w:jc w:val="center"/>
              <w:rPr>
                <w:b/>
                <w:color w:val="auto"/>
              </w:rPr>
            </w:pPr>
            <w:r w:rsidRPr="00097EC4">
              <w:rPr>
                <w:b/>
                <w:color w:val="auto"/>
              </w:rPr>
              <w:t>– H5</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tcPr>
          <w:p w14:paraId="0FC24412" w14:textId="77777777" w:rsidR="00F731AC" w:rsidRPr="00097EC4" w:rsidRDefault="00F731AC" w:rsidP="00CC768C">
            <w:pPr>
              <w:spacing w:after="0" w:line="245" w:lineRule="auto"/>
              <w:jc w:val="center"/>
              <w:rPr>
                <w:b/>
                <w:color w:val="auto"/>
              </w:rPr>
            </w:pPr>
            <w:r w:rsidRPr="00097EC4">
              <w:rPr>
                <w:b/>
                <w:color w:val="auto"/>
              </w:rPr>
              <w:t>– H6</w:t>
            </w:r>
          </w:p>
        </w:tc>
        <w:tc>
          <w:tcPr>
            <w:tcW w:w="1443" w:type="dxa"/>
            <w:gridSpan w:val="2"/>
            <w:tcBorders>
              <w:top w:val="single" w:sz="4" w:space="0" w:color="auto"/>
              <w:left w:val="single" w:sz="4" w:space="0" w:color="auto"/>
              <w:bottom w:val="single" w:sz="4" w:space="0" w:color="auto"/>
            </w:tcBorders>
            <w:shd w:val="clear" w:color="000000" w:fill="FFFFFF"/>
            <w:vAlign w:val="center"/>
          </w:tcPr>
          <w:p w14:paraId="2ABA318B" w14:textId="77777777" w:rsidR="00F731AC" w:rsidRPr="00097EC4" w:rsidRDefault="00F731AC" w:rsidP="00CC768C">
            <w:pPr>
              <w:spacing w:after="0" w:line="245" w:lineRule="auto"/>
              <w:jc w:val="center"/>
              <w:rPr>
                <w:rFonts w:eastAsia="Times New Roman"/>
                <w:b/>
                <w:bCs/>
                <w:color w:val="auto"/>
                <w:lang w:eastAsia="en-SG"/>
              </w:rPr>
            </w:pPr>
            <w:r w:rsidRPr="00097EC4">
              <w:rPr>
                <w:b/>
                <w:color w:val="auto"/>
              </w:rPr>
              <w:t>– H7</w:t>
            </w:r>
          </w:p>
        </w:tc>
      </w:tr>
      <w:tr w:rsidR="00F731AC" w:rsidRPr="00097EC4" w14:paraId="38AA8323" w14:textId="77777777" w:rsidTr="00CC768C">
        <w:trPr>
          <w:gridAfter w:val="1"/>
          <w:wAfter w:w="12" w:type="dxa"/>
          <w:trHeight w:val="112"/>
          <w:jc w:val="center"/>
        </w:trPr>
        <w:tc>
          <w:tcPr>
            <w:tcW w:w="3960" w:type="dxa"/>
            <w:tcBorders>
              <w:left w:val="nil"/>
              <w:right w:val="single" w:sz="4" w:space="0" w:color="auto"/>
            </w:tcBorders>
            <w:shd w:val="clear" w:color="000000" w:fill="FFFFFF"/>
            <w:tcMar>
              <w:top w:w="28" w:type="dxa"/>
              <w:bottom w:w="28" w:type="dxa"/>
            </w:tcMar>
            <w:vAlign w:val="center"/>
          </w:tcPr>
          <w:p w14:paraId="0681CFB0" w14:textId="77777777" w:rsidR="00F731AC" w:rsidRPr="00097EC4" w:rsidRDefault="00F731AC" w:rsidP="00CC768C">
            <w:pPr>
              <w:spacing w:after="0" w:line="245" w:lineRule="auto"/>
              <w:jc w:val="center"/>
              <w:rPr>
                <w:rFonts w:eastAsia="Times New Roman"/>
                <w:bCs/>
                <w:color w:val="auto"/>
                <w:lang w:eastAsia="en-SG"/>
              </w:rPr>
            </w:pPr>
          </w:p>
        </w:tc>
        <w:tc>
          <w:tcPr>
            <w:tcW w:w="1350" w:type="dxa"/>
            <w:gridSpan w:val="2"/>
            <w:vMerge w:val="restart"/>
            <w:tcBorders>
              <w:top w:val="single" w:sz="4" w:space="0" w:color="auto"/>
              <w:left w:val="single" w:sz="4" w:space="0" w:color="auto"/>
              <w:right w:val="single" w:sz="4" w:space="0" w:color="auto"/>
            </w:tcBorders>
            <w:shd w:val="clear" w:color="000000" w:fill="FFFFFF"/>
            <w:vAlign w:val="center"/>
          </w:tcPr>
          <w:p w14:paraId="3D093D59" w14:textId="77777777" w:rsidR="00F731AC" w:rsidRPr="00097EC4" w:rsidRDefault="00F731AC" w:rsidP="00CC768C">
            <w:pPr>
              <w:spacing w:after="0" w:line="245" w:lineRule="auto"/>
              <w:jc w:val="center"/>
              <w:rPr>
                <w:color w:val="auto"/>
              </w:rPr>
            </w:pPr>
            <w:r w:rsidRPr="00097EC4">
              <w:rPr>
                <w:color w:val="auto"/>
              </w:rPr>
              <w:t xml:space="preserve">Customer </w:t>
            </w:r>
          </w:p>
          <w:p w14:paraId="268351D4" w14:textId="77777777" w:rsidR="00F731AC" w:rsidRPr="00097EC4" w:rsidRDefault="00F731AC" w:rsidP="00CC768C">
            <w:pPr>
              <w:spacing w:after="0" w:line="245" w:lineRule="auto"/>
              <w:jc w:val="center"/>
              <w:rPr>
                <w:b/>
                <w:color w:val="auto"/>
              </w:rPr>
            </w:pPr>
            <w:r w:rsidRPr="00097EC4">
              <w:rPr>
                <w:color w:val="auto"/>
              </w:rPr>
              <w:t>Satisfaction</w:t>
            </w:r>
          </w:p>
        </w:tc>
        <w:tc>
          <w:tcPr>
            <w:tcW w:w="8553" w:type="dxa"/>
            <w:gridSpan w:val="12"/>
            <w:tcBorders>
              <w:top w:val="single" w:sz="4" w:space="0" w:color="auto"/>
              <w:left w:val="single" w:sz="4" w:space="0" w:color="auto"/>
              <w:bottom w:val="single" w:sz="4" w:space="0" w:color="auto"/>
            </w:tcBorders>
            <w:shd w:val="clear" w:color="000000" w:fill="FFFFFF"/>
            <w:vAlign w:val="center"/>
          </w:tcPr>
          <w:p w14:paraId="16E70B55" w14:textId="77777777" w:rsidR="00F731AC" w:rsidRPr="00097EC4" w:rsidRDefault="00F731AC" w:rsidP="00CC768C">
            <w:pPr>
              <w:spacing w:after="0" w:line="245" w:lineRule="auto"/>
              <w:jc w:val="center"/>
              <w:rPr>
                <w:bCs/>
                <w:color w:val="auto"/>
              </w:rPr>
            </w:pPr>
            <w:r w:rsidRPr="00097EC4">
              <w:rPr>
                <w:bCs/>
                <w:color w:val="auto"/>
              </w:rPr>
              <w:t>Interaction of Customer Satisfaction and</w:t>
            </w:r>
          </w:p>
        </w:tc>
      </w:tr>
      <w:tr w:rsidR="00F731AC" w:rsidRPr="00097EC4" w14:paraId="4CF95065" w14:textId="77777777" w:rsidTr="00CC768C">
        <w:trPr>
          <w:gridAfter w:val="1"/>
          <w:wAfter w:w="12" w:type="dxa"/>
          <w:trHeight w:val="127"/>
          <w:jc w:val="center"/>
        </w:trPr>
        <w:tc>
          <w:tcPr>
            <w:tcW w:w="3960" w:type="dxa"/>
            <w:tcBorders>
              <w:left w:val="nil"/>
              <w:bottom w:val="single" w:sz="4" w:space="0" w:color="auto"/>
              <w:right w:val="single" w:sz="4" w:space="0" w:color="auto"/>
            </w:tcBorders>
            <w:shd w:val="clear" w:color="000000" w:fill="FFFFFF"/>
            <w:tcMar>
              <w:top w:w="28" w:type="dxa"/>
              <w:bottom w:w="28" w:type="dxa"/>
            </w:tcMar>
            <w:vAlign w:val="center"/>
          </w:tcPr>
          <w:p w14:paraId="0075A598" w14:textId="77777777" w:rsidR="00F731AC" w:rsidRPr="00097EC4" w:rsidRDefault="00F731AC" w:rsidP="00CC768C">
            <w:pPr>
              <w:spacing w:after="0" w:line="245" w:lineRule="auto"/>
              <w:jc w:val="center"/>
              <w:rPr>
                <w:b/>
                <w:color w:val="auto"/>
              </w:rPr>
            </w:pPr>
          </w:p>
        </w:tc>
        <w:tc>
          <w:tcPr>
            <w:tcW w:w="1350" w:type="dxa"/>
            <w:gridSpan w:val="2"/>
            <w:vMerge/>
            <w:tcBorders>
              <w:left w:val="single" w:sz="4" w:space="0" w:color="auto"/>
              <w:bottom w:val="single" w:sz="4" w:space="0" w:color="auto"/>
              <w:right w:val="single" w:sz="4" w:space="0" w:color="auto"/>
            </w:tcBorders>
            <w:shd w:val="clear" w:color="000000" w:fill="FFFFFF"/>
            <w:vAlign w:val="center"/>
          </w:tcPr>
          <w:p w14:paraId="3C5E5D75" w14:textId="77777777" w:rsidR="00F731AC" w:rsidRPr="00097EC4" w:rsidRDefault="00F731AC" w:rsidP="00CC768C">
            <w:pPr>
              <w:spacing w:after="0" w:line="245" w:lineRule="auto"/>
              <w:jc w:val="center"/>
              <w:rPr>
                <w:color w:val="auto"/>
              </w:rPr>
            </w:pP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B3435EA" w14:textId="77777777" w:rsidR="00F731AC" w:rsidRPr="00097EC4" w:rsidRDefault="00F731AC" w:rsidP="00CC768C">
            <w:pPr>
              <w:spacing w:after="0" w:line="245" w:lineRule="auto"/>
              <w:jc w:val="center"/>
              <w:rPr>
                <w:color w:val="auto"/>
              </w:rPr>
            </w:pPr>
            <w:r w:rsidRPr="00097EC4">
              <w:rPr>
                <w:color w:val="auto"/>
              </w:rPr>
              <w:t>Firm Diversification</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D04F9DE" w14:textId="77777777" w:rsidR="00F731AC" w:rsidRPr="00097EC4" w:rsidRDefault="00F731AC" w:rsidP="00CC768C">
            <w:pPr>
              <w:spacing w:after="0" w:line="245" w:lineRule="auto"/>
              <w:jc w:val="center"/>
              <w:rPr>
                <w:color w:val="auto"/>
              </w:rPr>
            </w:pPr>
            <w:r w:rsidRPr="00097EC4">
              <w:rPr>
                <w:color w:val="auto"/>
              </w:rPr>
              <w:t>Capital Intensity</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F2ABC3" w14:textId="77777777" w:rsidR="00F731AC" w:rsidRPr="00097EC4" w:rsidRDefault="00F731AC" w:rsidP="00CC768C">
            <w:pPr>
              <w:spacing w:after="0" w:line="245" w:lineRule="auto"/>
              <w:jc w:val="center"/>
              <w:rPr>
                <w:color w:val="auto"/>
              </w:rPr>
            </w:pPr>
            <w:r w:rsidRPr="00097EC4">
              <w:rPr>
                <w:color w:val="auto"/>
              </w:rPr>
              <w:t>Financial Leverage</w:t>
            </w: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2B44A41" w14:textId="77777777" w:rsidR="00F731AC" w:rsidRPr="00097EC4" w:rsidRDefault="00F731AC" w:rsidP="00CC768C">
            <w:pPr>
              <w:spacing w:after="0" w:line="245" w:lineRule="auto"/>
              <w:jc w:val="center"/>
              <w:rPr>
                <w:color w:val="auto"/>
              </w:rPr>
            </w:pPr>
            <w:r w:rsidRPr="00097EC4">
              <w:rPr>
                <w:color w:val="auto"/>
              </w:rPr>
              <w:t>Industry Concentration</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991878A" w14:textId="77777777" w:rsidR="00F731AC" w:rsidRPr="00097EC4" w:rsidRDefault="00F731AC" w:rsidP="00CC768C">
            <w:pPr>
              <w:spacing w:after="0" w:line="245" w:lineRule="auto"/>
              <w:jc w:val="center"/>
              <w:rPr>
                <w:color w:val="auto"/>
              </w:rPr>
            </w:pPr>
            <w:r w:rsidRPr="00097EC4">
              <w:rPr>
                <w:color w:val="auto"/>
              </w:rPr>
              <w:t>Industry Growth</w:t>
            </w:r>
          </w:p>
        </w:tc>
        <w:tc>
          <w:tcPr>
            <w:tcW w:w="1443" w:type="dxa"/>
            <w:gridSpan w:val="2"/>
            <w:tcBorders>
              <w:top w:val="single" w:sz="4" w:space="0" w:color="auto"/>
              <w:left w:val="single" w:sz="4" w:space="0" w:color="auto"/>
              <w:bottom w:val="single" w:sz="4" w:space="0" w:color="auto"/>
              <w:right w:val="nil"/>
            </w:tcBorders>
            <w:shd w:val="clear" w:color="000000" w:fill="FFFFFF"/>
            <w:vAlign w:val="center"/>
          </w:tcPr>
          <w:p w14:paraId="1F099080" w14:textId="77777777" w:rsidR="00F731AC" w:rsidRPr="00097EC4" w:rsidRDefault="00F731AC" w:rsidP="00CC768C">
            <w:pPr>
              <w:spacing w:after="0" w:line="245" w:lineRule="auto"/>
              <w:jc w:val="center"/>
              <w:rPr>
                <w:color w:val="auto"/>
              </w:rPr>
            </w:pPr>
            <w:r w:rsidRPr="00097EC4">
              <w:rPr>
                <w:color w:val="auto"/>
              </w:rPr>
              <w:t>Industry Labor Intensity</w:t>
            </w:r>
          </w:p>
        </w:tc>
      </w:tr>
      <w:tr w:rsidR="00F731AC" w:rsidRPr="00097EC4" w14:paraId="7E99D43E" w14:textId="77777777" w:rsidTr="00CC768C">
        <w:trPr>
          <w:gridAfter w:val="1"/>
          <w:wAfter w:w="12" w:type="dxa"/>
          <w:trHeight w:val="227"/>
          <w:jc w:val="center"/>
        </w:trPr>
        <w:tc>
          <w:tcPr>
            <w:tcW w:w="3960" w:type="dxa"/>
            <w:tcBorders>
              <w:top w:val="single" w:sz="4" w:space="0" w:color="auto"/>
              <w:left w:val="nil"/>
              <w:bottom w:val="single" w:sz="12" w:space="0" w:color="auto"/>
              <w:right w:val="single" w:sz="4" w:space="0" w:color="auto"/>
            </w:tcBorders>
            <w:shd w:val="clear" w:color="000000" w:fill="FFFFFF"/>
            <w:tcMar>
              <w:top w:w="28" w:type="dxa"/>
              <w:bottom w:w="28" w:type="dxa"/>
            </w:tcMar>
            <w:vAlign w:val="center"/>
          </w:tcPr>
          <w:p w14:paraId="138E20FD" w14:textId="77777777" w:rsidR="00F731AC" w:rsidRPr="00097EC4" w:rsidRDefault="00F731AC" w:rsidP="00CC768C">
            <w:pPr>
              <w:spacing w:after="0" w:line="245" w:lineRule="auto"/>
              <w:rPr>
                <w:rFonts w:eastAsia="Times New Roman"/>
                <w:b/>
                <w:color w:val="auto"/>
                <w:lang w:eastAsia="en-SG"/>
              </w:rPr>
            </w:pPr>
            <w:r w:rsidRPr="00097EC4">
              <w:rPr>
                <w:rFonts w:eastAsia="Times New Roman"/>
                <w:b/>
                <w:color w:val="auto"/>
                <w:lang w:eastAsia="en-SG"/>
              </w:rPr>
              <w:t>Focal Model Results</w:t>
            </w:r>
          </w:p>
        </w:tc>
        <w:tc>
          <w:tcPr>
            <w:tcW w:w="706" w:type="dxa"/>
            <w:tcBorders>
              <w:top w:val="nil"/>
              <w:left w:val="single" w:sz="4" w:space="0" w:color="auto"/>
              <w:bottom w:val="single" w:sz="12" w:space="0" w:color="auto"/>
              <w:right w:val="nil"/>
            </w:tcBorders>
            <w:shd w:val="clear" w:color="auto" w:fill="auto"/>
            <w:vAlign w:val="center"/>
          </w:tcPr>
          <w:p w14:paraId="4E944BC6" w14:textId="77777777" w:rsidR="00F731AC" w:rsidRPr="00097EC4" w:rsidRDefault="00F731AC" w:rsidP="00CC768C">
            <w:pPr>
              <w:spacing w:after="0" w:line="245" w:lineRule="auto"/>
              <w:jc w:val="right"/>
              <w:rPr>
                <w:rFonts w:eastAsia="Times New Roman"/>
                <w:b/>
                <w:color w:val="auto"/>
                <w:lang w:eastAsia="en-SG"/>
              </w:rPr>
            </w:pPr>
            <w:r w:rsidRPr="00097EC4">
              <w:rPr>
                <w:color w:val="auto"/>
              </w:rPr>
              <w:t>-.005</w:t>
            </w:r>
          </w:p>
        </w:tc>
        <w:tc>
          <w:tcPr>
            <w:tcW w:w="644" w:type="dxa"/>
            <w:tcBorders>
              <w:top w:val="nil"/>
              <w:left w:val="nil"/>
              <w:bottom w:val="single" w:sz="12" w:space="0" w:color="auto"/>
              <w:right w:val="single" w:sz="4" w:space="0" w:color="auto"/>
            </w:tcBorders>
            <w:shd w:val="clear" w:color="auto" w:fill="auto"/>
            <w:vAlign w:val="center"/>
          </w:tcPr>
          <w:p w14:paraId="2A2BB7CF" w14:textId="77777777" w:rsidR="00F731AC" w:rsidRPr="00097EC4" w:rsidRDefault="00F731AC" w:rsidP="00CC768C">
            <w:pPr>
              <w:spacing w:after="0" w:line="245" w:lineRule="auto"/>
              <w:rPr>
                <w:rFonts w:eastAsia="Times New Roman"/>
                <w:b/>
                <w:color w:val="auto"/>
                <w:lang w:eastAsia="en-SG"/>
              </w:rPr>
            </w:pPr>
            <w:r w:rsidRPr="00097EC4">
              <w:rPr>
                <w:color w:val="auto"/>
              </w:rPr>
              <w:t>**</w:t>
            </w:r>
          </w:p>
        </w:tc>
        <w:tc>
          <w:tcPr>
            <w:tcW w:w="771" w:type="dxa"/>
            <w:tcBorders>
              <w:top w:val="nil"/>
              <w:left w:val="single" w:sz="4" w:space="0" w:color="auto"/>
              <w:bottom w:val="single" w:sz="12" w:space="0" w:color="auto"/>
              <w:right w:val="nil"/>
            </w:tcBorders>
            <w:shd w:val="clear" w:color="auto" w:fill="auto"/>
            <w:vAlign w:val="center"/>
          </w:tcPr>
          <w:p w14:paraId="6A37419C" w14:textId="77777777" w:rsidR="00F731AC" w:rsidRPr="00097EC4" w:rsidRDefault="00F731AC" w:rsidP="00CC768C">
            <w:pPr>
              <w:spacing w:after="0" w:line="245" w:lineRule="auto"/>
              <w:jc w:val="right"/>
              <w:rPr>
                <w:rFonts w:eastAsia="Times New Roman"/>
                <w:color w:val="auto"/>
                <w:lang w:eastAsia="en-SG"/>
              </w:rPr>
            </w:pPr>
            <w:r w:rsidRPr="00097EC4">
              <w:rPr>
                <w:color w:val="auto"/>
              </w:rPr>
              <w:t>-.003</w:t>
            </w:r>
          </w:p>
        </w:tc>
        <w:tc>
          <w:tcPr>
            <w:tcW w:w="669" w:type="dxa"/>
            <w:tcBorders>
              <w:top w:val="nil"/>
              <w:left w:val="nil"/>
              <w:bottom w:val="single" w:sz="12" w:space="0" w:color="auto"/>
              <w:right w:val="single" w:sz="4" w:space="0" w:color="auto"/>
            </w:tcBorders>
            <w:shd w:val="clear" w:color="auto" w:fill="auto"/>
            <w:vAlign w:val="center"/>
          </w:tcPr>
          <w:p w14:paraId="64DCED77" w14:textId="77777777" w:rsidR="00F731AC" w:rsidRPr="00097EC4" w:rsidRDefault="00F731AC" w:rsidP="00CC768C">
            <w:pPr>
              <w:spacing w:after="0" w:line="245" w:lineRule="auto"/>
              <w:rPr>
                <w:rFonts w:eastAsia="Times New Roman"/>
                <w:color w:val="auto"/>
                <w:lang w:eastAsia="en-SG"/>
              </w:rPr>
            </w:pPr>
            <w:r w:rsidRPr="00097EC4">
              <w:rPr>
                <w:color w:val="auto"/>
              </w:rPr>
              <w:t>***</w:t>
            </w:r>
          </w:p>
        </w:tc>
        <w:tc>
          <w:tcPr>
            <w:tcW w:w="745" w:type="dxa"/>
            <w:tcBorders>
              <w:top w:val="nil"/>
              <w:left w:val="single" w:sz="4" w:space="0" w:color="auto"/>
              <w:bottom w:val="single" w:sz="12" w:space="0" w:color="auto"/>
              <w:right w:val="nil"/>
            </w:tcBorders>
            <w:shd w:val="clear" w:color="auto" w:fill="auto"/>
            <w:vAlign w:val="center"/>
          </w:tcPr>
          <w:p w14:paraId="0A8EC85F" w14:textId="77777777" w:rsidR="00F731AC" w:rsidRPr="00097EC4" w:rsidRDefault="00F731AC" w:rsidP="00CC768C">
            <w:pPr>
              <w:spacing w:after="0" w:line="245" w:lineRule="auto"/>
              <w:jc w:val="right"/>
              <w:rPr>
                <w:rFonts w:eastAsia="Times New Roman"/>
                <w:color w:val="auto"/>
                <w:lang w:eastAsia="en-SG"/>
              </w:rPr>
            </w:pPr>
            <w:r w:rsidRPr="00097EC4">
              <w:rPr>
                <w:color w:val="auto"/>
              </w:rPr>
              <w:t>.005</w:t>
            </w:r>
          </w:p>
        </w:tc>
        <w:tc>
          <w:tcPr>
            <w:tcW w:w="695" w:type="dxa"/>
            <w:tcBorders>
              <w:top w:val="nil"/>
              <w:left w:val="nil"/>
              <w:bottom w:val="single" w:sz="12" w:space="0" w:color="auto"/>
              <w:right w:val="single" w:sz="4" w:space="0" w:color="auto"/>
            </w:tcBorders>
            <w:shd w:val="clear" w:color="auto" w:fill="auto"/>
            <w:vAlign w:val="center"/>
          </w:tcPr>
          <w:p w14:paraId="22A9ABB2" w14:textId="77777777" w:rsidR="00F731AC" w:rsidRPr="00097EC4" w:rsidRDefault="00F731AC" w:rsidP="00CC768C">
            <w:pPr>
              <w:spacing w:after="0" w:line="245" w:lineRule="auto"/>
              <w:rPr>
                <w:rFonts w:eastAsia="Times New Roman"/>
                <w:color w:val="auto"/>
                <w:lang w:eastAsia="en-SG"/>
              </w:rPr>
            </w:pPr>
            <w:r w:rsidRPr="00097EC4">
              <w:rPr>
                <w:color w:val="auto"/>
              </w:rPr>
              <w:t>***</w:t>
            </w:r>
          </w:p>
        </w:tc>
        <w:tc>
          <w:tcPr>
            <w:tcW w:w="720" w:type="dxa"/>
            <w:tcBorders>
              <w:top w:val="nil"/>
              <w:left w:val="single" w:sz="4" w:space="0" w:color="auto"/>
              <w:bottom w:val="single" w:sz="12" w:space="0" w:color="auto"/>
              <w:right w:val="nil"/>
            </w:tcBorders>
            <w:shd w:val="clear" w:color="auto" w:fill="auto"/>
            <w:vAlign w:val="center"/>
          </w:tcPr>
          <w:p w14:paraId="622C9491" w14:textId="77777777" w:rsidR="00F731AC" w:rsidRPr="00097EC4" w:rsidRDefault="00F731AC" w:rsidP="00CC768C">
            <w:pPr>
              <w:spacing w:after="0" w:line="245" w:lineRule="auto"/>
              <w:jc w:val="right"/>
              <w:rPr>
                <w:rFonts w:eastAsia="Times New Roman"/>
                <w:color w:val="auto"/>
                <w:lang w:eastAsia="en-SG"/>
              </w:rPr>
            </w:pPr>
            <w:r w:rsidRPr="00097EC4">
              <w:rPr>
                <w:color w:val="auto"/>
              </w:rPr>
              <w:t>.002</w:t>
            </w:r>
          </w:p>
        </w:tc>
        <w:tc>
          <w:tcPr>
            <w:tcW w:w="720" w:type="dxa"/>
            <w:tcBorders>
              <w:top w:val="nil"/>
              <w:left w:val="nil"/>
              <w:bottom w:val="single" w:sz="12" w:space="0" w:color="auto"/>
              <w:right w:val="single" w:sz="4" w:space="0" w:color="auto"/>
            </w:tcBorders>
            <w:shd w:val="clear" w:color="auto" w:fill="auto"/>
            <w:vAlign w:val="center"/>
          </w:tcPr>
          <w:p w14:paraId="634C74C3" w14:textId="77777777" w:rsidR="00F731AC" w:rsidRPr="00097EC4" w:rsidRDefault="00F731AC" w:rsidP="00CC768C">
            <w:pPr>
              <w:spacing w:after="0" w:line="245" w:lineRule="auto"/>
              <w:rPr>
                <w:rFonts w:eastAsia="Times New Roman"/>
                <w:color w:val="auto"/>
                <w:lang w:eastAsia="en-SG"/>
              </w:rPr>
            </w:pPr>
            <w:r w:rsidRPr="00097EC4">
              <w:rPr>
                <w:color w:val="auto"/>
              </w:rPr>
              <w:t>*</w:t>
            </w:r>
          </w:p>
        </w:tc>
        <w:tc>
          <w:tcPr>
            <w:tcW w:w="696" w:type="dxa"/>
            <w:tcBorders>
              <w:top w:val="nil"/>
              <w:left w:val="single" w:sz="4" w:space="0" w:color="auto"/>
              <w:bottom w:val="single" w:sz="12" w:space="0" w:color="auto"/>
              <w:right w:val="nil"/>
            </w:tcBorders>
            <w:vAlign w:val="center"/>
          </w:tcPr>
          <w:p w14:paraId="072840DF" w14:textId="77777777" w:rsidR="00F731AC" w:rsidRPr="00097EC4" w:rsidRDefault="00F731AC" w:rsidP="00CC768C">
            <w:pPr>
              <w:spacing w:after="0" w:line="245" w:lineRule="auto"/>
              <w:jc w:val="right"/>
              <w:rPr>
                <w:rFonts w:eastAsia="Times New Roman"/>
                <w:color w:val="auto"/>
                <w:lang w:eastAsia="en-SG"/>
              </w:rPr>
            </w:pPr>
            <w:r w:rsidRPr="00097EC4">
              <w:rPr>
                <w:color w:val="auto"/>
              </w:rPr>
              <w:t>.003</w:t>
            </w:r>
          </w:p>
        </w:tc>
        <w:tc>
          <w:tcPr>
            <w:tcW w:w="654" w:type="dxa"/>
            <w:tcBorders>
              <w:top w:val="nil"/>
              <w:left w:val="nil"/>
              <w:bottom w:val="single" w:sz="12" w:space="0" w:color="auto"/>
              <w:right w:val="single" w:sz="4" w:space="0" w:color="auto"/>
            </w:tcBorders>
            <w:vAlign w:val="center"/>
          </w:tcPr>
          <w:p w14:paraId="2E4D714C" w14:textId="77777777" w:rsidR="00F731AC" w:rsidRPr="00097EC4" w:rsidRDefault="00F731AC" w:rsidP="00CC768C">
            <w:pPr>
              <w:spacing w:after="0" w:line="245" w:lineRule="auto"/>
              <w:rPr>
                <w:rFonts w:eastAsia="Times New Roman"/>
                <w:color w:val="auto"/>
                <w:lang w:eastAsia="en-SG"/>
              </w:rPr>
            </w:pPr>
          </w:p>
        </w:tc>
        <w:tc>
          <w:tcPr>
            <w:tcW w:w="760" w:type="dxa"/>
            <w:tcBorders>
              <w:top w:val="nil"/>
              <w:left w:val="single" w:sz="4" w:space="0" w:color="auto"/>
              <w:bottom w:val="single" w:sz="12" w:space="0" w:color="auto"/>
              <w:right w:val="nil"/>
            </w:tcBorders>
            <w:vAlign w:val="center"/>
          </w:tcPr>
          <w:p w14:paraId="6C00329E" w14:textId="77777777" w:rsidR="00F731AC" w:rsidRPr="00097EC4" w:rsidRDefault="00F731AC" w:rsidP="00CC768C">
            <w:pPr>
              <w:spacing w:after="0" w:line="245" w:lineRule="auto"/>
              <w:jc w:val="right"/>
              <w:rPr>
                <w:rFonts w:eastAsia="Times New Roman"/>
                <w:color w:val="auto"/>
                <w:lang w:eastAsia="en-SG"/>
              </w:rPr>
            </w:pPr>
            <w:r w:rsidRPr="00097EC4">
              <w:rPr>
                <w:color w:val="auto"/>
              </w:rPr>
              <w:t>-.005</w:t>
            </w:r>
          </w:p>
        </w:tc>
        <w:tc>
          <w:tcPr>
            <w:tcW w:w="680" w:type="dxa"/>
            <w:tcBorders>
              <w:top w:val="nil"/>
              <w:left w:val="nil"/>
              <w:bottom w:val="single" w:sz="12" w:space="0" w:color="auto"/>
              <w:right w:val="single" w:sz="4" w:space="0" w:color="auto"/>
            </w:tcBorders>
            <w:vAlign w:val="center"/>
          </w:tcPr>
          <w:p w14:paraId="5EA2D893" w14:textId="77777777" w:rsidR="00F731AC" w:rsidRPr="00097EC4" w:rsidRDefault="00F731AC" w:rsidP="00CC768C">
            <w:pPr>
              <w:spacing w:after="0" w:line="245" w:lineRule="auto"/>
              <w:rPr>
                <w:rFonts w:eastAsia="Times New Roman"/>
                <w:color w:val="auto"/>
                <w:lang w:eastAsia="en-SG"/>
              </w:rPr>
            </w:pPr>
            <w:r w:rsidRPr="00097EC4">
              <w:rPr>
                <w:color w:val="auto"/>
              </w:rPr>
              <w:t>***</w:t>
            </w:r>
          </w:p>
        </w:tc>
        <w:tc>
          <w:tcPr>
            <w:tcW w:w="735" w:type="dxa"/>
            <w:tcBorders>
              <w:top w:val="nil"/>
              <w:left w:val="single" w:sz="4" w:space="0" w:color="auto"/>
              <w:bottom w:val="single" w:sz="12" w:space="0" w:color="auto"/>
              <w:right w:val="nil"/>
            </w:tcBorders>
            <w:shd w:val="clear" w:color="auto" w:fill="auto"/>
            <w:tcMar>
              <w:top w:w="28" w:type="dxa"/>
              <w:bottom w:w="28" w:type="dxa"/>
            </w:tcMar>
            <w:vAlign w:val="center"/>
          </w:tcPr>
          <w:p w14:paraId="285B5EF0" w14:textId="77777777" w:rsidR="00F731AC" w:rsidRPr="00097EC4" w:rsidRDefault="00F731AC" w:rsidP="00CC768C">
            <w:pPr>
              <w:spacing w:after="0" w:line="245" w:lineRule="auto"/>
              <w:jc w:val="right"/>
              <w:rPr>
                <w:rFonts w:eastAsia="Times New Roman"/>
                <w:color w:val="auto"/>
                <w:lang w:eastAsia="en-SG"/>
              </w:rPr>
            </w:pPr>
            <w:r w:rsidRPr="00097EC4">
              <w:rPr>
                <w:color w:val="auto"/>
              </w:rPr>
              <w:t>-.035</w:t>
            </w:r>
          </w:p>
        </w:tc>
        <w:tc>
          <w:tcPr>
            <w:tcW w:w="708" w:type="dxa"/>
            <w:tcBorders>
              <w:top w:val="nil"/>
              <w:left w:val="nil"/>
              <w:bottom w:val="single" w:sz="12" w:space="0" w:color="auto"/>
              <w:right w:val="nil"/>
            </w:tcBorders>
            <w:shd w:val="clear" w:color="auto" w:fill="auto"/>
            <w:vAlign w:val="center"/>
          </w:tcPr>
          <w:p w14:paraId="5455E75E" w14:textId="77777777" w:rsidR="00F731AC" w:rsidRPr="00097EC4" w:rsidRDefault="00F731AC" w:rsidP="00CC768C">
            <w:pPr>
              <w:spacing w:after="0" w:line="245" w:lineRule="auto"/>
              <w:rPr>
                <w:rFonts w:eastAsia="Times New Roman"/>
                <w:color w:val="auto"/>
                <w:lang w:eastAsia="en-SG"/>
              </w:rPr>
            </w:pPr>
            <w:r w:rsidRPr="00097EC4">
              <w:rPr>
                <w:color w:val="auto"/>
              </w:rPr>
              <w:t>**</w:t>
            </w:r>
          </w:p>
        </w:tc>
      </w:tr>
      <w:tr w:rsidR="00F731AC" w:rsidRPr="00097EC4" w14:paraId="3E13A055" w14:textId="77777777" w:rsidTr="00CC768C">
        <w:trPr>
          <w:gridAfter w:val="1"/>
          <w:wAfter w:w="12" w:type="dxa"/>
          <w:trHeight w:val="227"/>
          <w:jc w:val="center"/>
        </w:trPr>
        <w:tc>
          <w:tcPr>
            <w:tcW w:w="3960" w:type="dxa"/>
            <w:tcBorders>
              <w:top w:val="single" w:sz="12" w:space="0" w:color="auto"/>
              <w:left w:val="nil"/>
              <w:right w:val="single" w:sz="4" w:space="0" w:color="auto"/>
            </w:tcBorders>
            <w:shd w:val="clear" w:color="000000" w:fill="FFFFFF"/>
            <w:tcMar>
              <w:top w:w="28" w:type="dxa"/>
              <w:bottom w:w="28" w:type="dxa"/>
            </w:tcMar>
            <w:vAlign w:val="center"/>
          </w:tcPr>
          <w:p w14:paraId="6E703938" w14:textId="77777777" w:rsidR="00F731AC" w:rsidRPr="00097EC4" w:rsidRDefault="00F731AC" w:rsidP="00CC768C">
            <w:pPr>
              <w:spacing w:after="0" w:line="245" w:lineRule="auto"/>
              <w:rPr>
                <w:rFonts w:eastAsia="Times New Roman"/>
                <w:color w:val="auto"/>
                <w:vertAlign w:val="superscript"/>
                <w:lang w:eastAsia="en-SG"/>
              </w:rPr>
            </w:pPr>
            <w:r w:rsidRPr="00097EC4">
              <w:rPr>
                <w:rFonts w:eastAsia="Times New Roman"/>
                <w:b/>
                <w:color w:val="auto"/>
                <w:lang w:eastAsia="en-SG"/>
              </w:rPr>
              <w:t>Alternative Instrument</w:t>
            </w:r>
          </w:p>
        </w:tc>
        <w:tc>
          <w:tcPr>
            <w:tcW w:w="706" w:type="dxa"/>
            <w:tcBorders>
              <w:top w:val="single" w:sz="12" w:space="0" w:color="auto"/>
              <w:left w:val="single" w:sz="4" w:space="0" w:color="auto"/>
              <w:right w:val="nil"/>
            </w:tcBorders>
            <w:shd w:val="clear" w:color="auto" w:fill="auto"/>
            <w:tcMar>
              <w:top w:w="28" w:type="dxa"/>
              <w:bottom w:w="28" w:type="dxa"/>
            </w:tcMar>
            <w:vAlign w:val="center"/>
          </w:tcPr>
          <w:p w14:paraId="62500C5B" w14:textId="77777777" w:rsidR="00F731AC" w:rsidRPr="00097EC4" w:rsidRDefault="00F731AC" w:rsidP="00CC768C">
            <w:pPr>
              <w:spacing w:after="0" w:line="245" w:lineRule="auto"/>
              <w:jc w:val="right"/>
              <w:rPr>
                <w:color w:val="auto"/>
              </w:rPr>
            </w:pPr>
          </w:p>
        </w:tc>
        <w:tc>
          <w:tcPr>
            <w:tcW w:w="644" w:type="dxa"/>
            <w:tcBorders>
              <w:top w:val="single" w:sz="12" w:space="0" w:color="auto"/>
              <w:left w:val="nil"/>
              <w:right w:val="single" w:sz="4" w:space="0" w:color="auto"/>
            </w:tcBorders>
            <w:shd w:val="clear" w:color="auto" w:fill="auto"/>
            <w:vAlign w:val="center"/>
          </w:tcPr>
          <w:p w14:paraId="33F6F85E" w14:textId="77777777" w:rsidR="00F731AC" w:rsidRPr="00097EC4" w:rsidRDefault="00F731AC" w:rsidP="00CC768C">
            <w:pPr>
              <w:spacing w:after="0" w:line="245" w:lineRule="auto"/>
              <w:rPr>
                <w:color w:val="auto"/>
              </w:rPr>
            </w:pPr>
          </w:p>
        </w:tc>
        <w:tc>
          <w:tcPr>
            <w:tcW w:w="771" w:type="dxa"/>
            <w:tcBorders>
              <w:top w:val="single" w:sz="12" w:space="0" w:color="auto"/>
              <w:left w:val="single" w:sz="4" w:space="0" w:color="auto"/>
              <w:right w:val="nil"/>
            </w:tcBorders>
            <w:shd w:val="clear" w:color="auto" w:fill="auto"/>
            <w:vAlign w:val="center"/>
          </w:tcPr>
          <w:p w14:paraId="24A30AE9" w14:textId="77777777" w:rsidR="00F731AC" w:rsidRPr="00097EC4" w:rsidRDefault="00F731AC" w:rsidP="00CC768C">
            <w:pPr>
              <w:spacing w:after="0" w:line="245" w:lineRule="auto"/>
              <w:jc w:val="right"/>
              <w:rPr>
                <w:color w:val="auto"/>
              </w:rPr>
            </w:pPr>
          </w:p>
        </w:tc>
        <w:tc>
          <w:tcPr>
            <w:tcW w:w="669" w:type="dxa"/>
            <w:tcBorders>
              <w:top w:val="single" w:sz="12" w:space="0" w:color="auto"/>
              <w:left w:val="nil"/>
              <w:right w:val="single" w:sz="4" w:space="0" w:color="auto"/>
            </w:tcBorders>
            <w:shd w:val="clear" w:color="auto" w:fill="auto"/>
            <w:vAlign w:val="center"/>
          </w:tcPr>
          <w:p w14:paraId="1DE6618A" w14:textId="77777777" w:rsidR="00F731AC" w:rsidRPr="00097EC4" w:rsidRDefault="00F731AC" w:rsidP="00CC768C">
            <w:pPr>
              <w:spacing w:after="0" w:line="245" w:lineRule="auto"/>
              <w:rPr>
                <w:color w:val="auto"/>
              </w:rPr>
            </w:pPr>
          </w:p>
        </w:tc>
        <w:tc>
          <w:tcPr>
            <w:tcW w:w="745" w:type="dxa"/>
            <w:tcBorders>
              <w:top w:val="single" w:sz="12" w:space="0" w:color="auto"/>
              <w:left w:val="single" w:sz="4" w:space="0" w:color="auto"/>
              <w:right w:val="nil"/>
            </w:tcBorders>
            <w:shd w:val="clear" w:color="auto" w:fill="auto"/>
            <w:vAlign w:val="center"/>
          </w:tcPr>
          <w:p w14:paraId="2A38BD42" w14:textId="77777777" w:rsidR="00F731AC" w:rsidRPr="00097EC4" w:rsidRDefault="00F731AC" w:rsidP="00CC768C">
            <w:pPr>
              <w:spacing w:after="0" w:line="245" w:lineRule="auto"/>
              <w:jc w:val="right"/>
              <w:rPr>
                <w:color w:val="auto"/>
              </w:rPr>
            </w:pPr>
          </w:p>
        </w:tc>
        <w:tc>
          <w:tcPr>
            <w:tcW w:w="695" w:type="dxa"/>
            <w:tcBorders>
              <w:top w:val="single" w:sz="12" w:space="0" w:color="auto"/>
              <w:left w:val="nil"/>
              <w:right w:val="single" w:sz="4" w:space="0" w:color="auto"/>
            </w:tcBorders>
            <w:shd w:val="clear" w:color="auto" w:fill="auto"/>
            <w:vAlign w:val="center"/>
          </w:tcPr>
          <w:p w14:paraId="5DC14373" w14:textId="77777777" w:rsidR="00F731AC" w:rsidRPr="00097EC4" w:rsidRDefault="00F731AC" w:rsidP="00CC768C">
            <w:pPr>
              <w:spacing w:after="0" w:line="245" w:lineRule="auto"/>
              <w:rPr>
                <w:color w:val="auto"/>
              </w:rPr>
            </w:pPr>
          </w:p>
        </w:tc>
        <w:tc>
          <w:tcPr>
            <w:tcW w:w="720" w:type="dxa"/>
            <w:tcBorders>
              <w:top w:val="single" w:sz="12" w:space="0" w:color="auto"/>
              <w:left w:val="single" w:sz="4" w:space="0" w:color="auto"/>
              <w:right w:val="nil"/>
            </w:tcBorders>
            <w:shd w:val="clear" w:color="auto" w:fill="auto"/>
            <w:vAlign w:val="center"/>
          </w:tcPr>
          <w:p w14:paraId="5A456EA3" w14:textId="77777777" w:rsidR="00F731AC" w:rsidRPr="00097EC4" w:rsidRDefault="00F731AC" w:rsidP="00CC768C">
            <w:pPr>
              <w:spacing w:after="0" w:line="245" w:lineRule="auto"/>
              <w:jc w:val="right"/>
              <w:rPr>
                <w:color w:val="auto"/>
              </w:rPr>
            </w:pPr>
          </w:p>
        </w:tc>
        <w:tc>
          <w:tcPr>
            <w:tcW w:w="720" w:type="dxa"/>
            <w:tcBorders>
              <w:top w:val="single" w:sz="12" w:space="0" w:color="auto"/>
              <w:left w:val="nil"/>
              <w:right w:val="single" w:sz="4" w:space="0" w:color="auto"/>
            </w:tcBorders>
            <w:shd w:val="clear" w:color="auto" w:fill="auto"/>
            <w:vAlign w:val="center"/>
          </w:tcPr>
          <w:p w14:paraId="34B25794" w14:textId="77777777" w:rsidR="00F731AC" w:rsidRPr="00097EC4" w:rsidRDefault="00F731AC" w:rsidP="00CC768C">
            <w:pPr>
              <w:spacing w:after="0" w:line="245" w:lineRule="auto"/>
              <w:rPr>
                <w:color w:val="auto"/>
              </w:rPr>
            </w:pPr>
          </w:p>
        </w:tc>
        <w:tc>
          <w:tcPr>
            <w:tcW w:w="696" w:type="dxa"/>
            <w:tcBorders>
              <w:top w:val="single" w:sz="12" w:space="0" w:color="auto"/>
              <w:left w:val="single" w:sz="4" w:space="0" w:color="auto"/>
              <w:right w:val="nil"/>
            </w:tcBorders>
            <w:vAlign w:val="center"/>
          </w:tcPr>
          <w:p w14:paraId="38D6A5FA" w14:textId="77777777" w:rsidR="00F731AC" w:rsidRPr="00097EC4" w:rsidRDefault="00F731AC" w:rsidP="00CC768C">
            <w:pPr>
              <w:spacing w:after="0" w:line="245" w:lineRule="auto"/>
              <w:jc w:val="right"/>
              <w:rPr>
                <w:color w:val="auto"/>
              </w:rPr>
            </w:pPr>
          </w:p>
        </w:tc>
        <w:tc>
          <w:tcPr>
            <w:tcW w:w="654" w:type="dxa"/>
            <w:tcBorders>
              <w:top w:val="single" w:sz="12" w:space="0" w:color="auto"/>
              <w:left w:val="nil"/>
              <w:right w:val="single" w:sz="4" w:space="0" w:color="auto"/>
            </w:tcBorders>
            <w:vAlign w:val="center"/>
          </w:tcPr>
          <w:p w14:paraId="1DAA402A" w14:textId="77777777" w:rsidR="00F731AC" w:rsidRPr="00097EC4" w:rsidRDefault="00F731AC" w:rsidP="00CC768C">
            <w:pPr>
              <w:spacing w:after="0" w:line="245" w:lineRule="auto"/>
              <w:rPr>
                <w:color w:val="auto"/>
              </w:rPr>
            </w:pPr>
          </w:p>
        </w:tc>
        <w:tc>
          <w:tcPr>
            <w:tcW w:w="760" w:type="dxa"/>
            <w:tcBorders>
              <w:top w:val="single" w:sz="12" w:space="0" w:color="auto"/>
              <w:left w:val="single" w:sz="4" w:space="0" w:color="auto"/>
              <w:right w:val="nil"/>
            </w:tcBorders>
            <w:vAlign w:val="center"/>
          </w:tcPr>
          <w:p w14:paraId="276C44A8" w14:textId="77777777" w:rsidR="00F731AC" w:rsidRPr="00097EC4" w:rsidRDefault="00F731AC" w:rsidP="00CC768C">
            <w:pPr>
              <w:spacing w:after="0" w:line="245" w:lineRule="auto"/>
              <w:jc w:val="right"/>
              <w:rPr>
                <w:color w:val="auto"/>
              </w:rPr>
            </w:pPr>
          </w:p>
        </w:tc>
        <w:tc>
          <w:tcPr>
            <w:tcW w:w="680" w:type="dxa"/>
            <w:tcBorders>
              <w:top w:val="single" w:sz="12" w:space="0" w:color="auto"/>
              <w:left w:val="nil"/>
              <w:right w:val="single" w:sz="4" w:space="0" w:color="auto"/>
            </w:tcBorders>
            <w:vAlign w:val="center"/>
          </w:tcPr>
          <w:p w14:paraId="7F9299C0" w14:textId="77777777" w:rsidR="00F731AC" w:rsidRPr="00097EC4" w:rsidRDefault="00F731AC" w:rsidP="00CC768C">
            <w:pPr>
              <w:spacing w:after="0" w:line="245" w:lineRule="auto"/>
              <w:rPr>
                <w:color w:val="auto"/>
              </w:rPr>
            </w:pPr>
          </w:p>
        </w:tc>
        <w:tc>
          <w:tcPr>
            <w:tcW w:w="735" w:type="dxa"/>
            <w:tcBorders>
              <w:top w:val="single" w:sz="12" w:space="0" w:color="auto"/>
              <w:left w:val="single" w:sz="4" w:space="0" w:color="auto"/>
              <w:right w:val="nil"/>
            </w:tcBorders>
            <w:shd w:val="clear" w:color="auto" w:fill="auto"/>
            <w:vAlign w:val="center"/>
          </w:tcPr>
          <w:p w14:paraId="362147D9" w14:textId="77777777" w:rsidR="00F731AC" w:rsidRPr="00097EC4" w:rsidRDefault="00F731AC" w:rsidP="00CC768C">
            <w:pPr>
              <w:spacing w:after="0" w:line="245" w:lineRule="auto"/>
              <w:jc w:val="right"/>
              <w:rPr>
                <w:color w:val="auto"/>
              </w:rPr>
            </w:pPr>
          </w:p>
        </w:tc>
        <w:tc>
          <w:tcPr>
            <w:tcW w:w="708" w:type="dxa"/>
            <w:tcBorders>
              <w:top w:val="single" w:sz="12" w:space="0" w:color="auto"/>
              <w:left w:val="nil"/>
              <w:right w:val="nil"/>
            </w:tcBorders>
            <w:shd w:val="clear" w:color="auto" w:fill="auto"/>
            <w:vAlign w:val="center"/>
          </w:tcPr>
          <w:p w14:paraId="35CE154B" w14:textId="77777777" w:rsidR="00F731AC" w:rsidRPr="00097EC4" w:rsidRDefault="00F731AC" w:rsidP="00CC768C">
            <w:pPr>
              <w:spacing w:after="0" w:line="245" w:lineRule="auto"/>
              <w:rPr>
                <w:color w:val="auto"/>
              </w:rPr>
            </w:pPr>
          </w:p>
        </w:tc>
      </w:tr>
      <w:tr w:rsidR="00F731AC" w:rsidRPr="00097EC4" w14:paraId="4F0062A7" w14:textId="77777777" w:rsidTr="00CC768C">
        <w:trPr>
          <w:gridAfter w:val="1"/>
          <w:wAfter w:w="12" w:type="dxa"/>
          <w:trHeight w:val="227"/>
          <w:jc w:val="center"/>
        </w:trPr>
        <w:tc>
          <w:tcPr>
            <w:tcW w:w="3960" w:type="dxa"/>
            <w:tcBorders>
              <w:left w:val="nil"/>
              <w:right w:val="single" w:sz="4" w:space="0" w:color="auto"/>
            </w:tcBorders>
            <w:shd w:val="clear" w:color="000000" w:fill="FFFFFF"/>
            <w:tcMar>
              <w:top w:w="28" w:type="dxa"/>
              <w:bottom w:w="28" w:type="dxa"/>
            </w:tcMar>
            <w:vAlign w:val="center"/>
          </w:tcPr>
          <w:p w14:paraId="11FABEAA" w14:textId="77777777" w:rsidR="00F731AC" w:rsidRPr="00097EC4" w:rsidRDefault="00F731AC" w:rsidP="00CC768C">
            <w:pPr>
              <w:spacing w:after="0" w:line="245" w:lineRule="auto"/>
              <w:rPr>
                <w:rFonts w:eastAsia="Times New Roman"/>
                <w:b/>
                <w:color w:val="auto"/>
                <w:lang w:eastAsia="en-SG"/>
              </w:rPr>
            </w:pPr>
            <w:r w:rsidRPr="00097EC4">
              <w:rPr>
                <w:rFonts w:eastAsia="Times New Roman"/>
                <w:color w:val="auto"/>
                <w:lang w:eastAsia="en-SG"/>
              </w:rPr>
              <w:t xml:space="preserve">   Unweighted Peers’ Customer Satisfaction</w:t>
            </w:r>
          </w:p>
        </w:tc>
        <w:tc>
          <w:tcPr>
            <w:tcW w:w="706" w:type="dxa"/>
            <w:tcBorders>
              <w:left w:val="single" w:sz="4" w:space="0" w:color="auto"/>
              <w:right w:val="nil"/>
            </w:tcBorders>
            <w:shd w:val="clear" w:color="auto" w:fill="auto"/>
            <w:tcMar>
              <w:top w:w="28" w:type="dxa"/>
              <w:bottom w:w="28" w:type="dxa"/>
            </w:tcMar>
            <w:vAlign w:val="center"/>
          </w:tcPr>
          <w:p w14:paraId="5B7134CE" w14:textId="77777777" w:rsidR="00F731AC" w:rsidRPr="00097EC4" w:rsidRDefault="00F731AC" w:rsidP="00CC768C">
            <w:pPr>
              <w:spacing w:after="0" w:line="245" w:lineRule="auto"/>
              <w:jc w:val="right"/>
              <w:rPr>
                <w:color w:val="auto"/>
              </w:rPr>
            </w:pPr>
            <w:r w:rsidRPr="00097EC4">
              <w:rPr>
                <w:color w:val="auto"/>
              </w:rPr>
              <w:t>-.005</w:t>
            </w:r>
          </w:p>
        </w:tc>
        <w:tc>
          <w:tcPr>
            <w:tcW w:w="644" w:type="dxa"/>
            <w:tcBorders>
              <w:left w:val="nil"/>
              <w:right w:val="single" w:sz="4" w:space="0" w:color="auto"/>
            </w:tcBorders>
            <w:shd w:val="clear" w:color="auto" w:fill="auto"/>
            <w:vAlign w:val="center"/>
          </w:tcPr>
          <w:p w14:paraId="2103B3C1" w14:textId="77777777" w:rsidR="00F731AC" w:rsidRPr="00097EC4" w:rsidRDefault="00F731AC" w:rsidP="00CC768C">
            <w:pPr>
              <w:spacing w:after="0" w:line="245" w:lineRule="auto"/>
              <w:rPr>
                <w:color w:val="auto"/>
              </w:rPr>
            </w:pPr>
            <w:r w:rsidRPr="00097EC4">
              <w:rPr>
                <w:color w:val="auto"/>
              </w:rPr>
              <w:t>†††</w:t>
            </w:r>
          </w:p>
        </w:tc>
        <w:tc>
          <w:tcPr>
            <w:tcW w:w="771" w:type="dxa"/>
            <w:tcBorders>
              <w:left w:val="single" w:sz="4" w:space="0" w:color="auto"/>
              <w:right w:val="nil"/>
            </w:tcBorders>
            <w:shd w:val="clear" w:color="auto" w:fill="auto"/>
            <w:vAlign w:val="center"/>
          </w:tcPr>
          <w:p w14:paraId="2613C2B0" w14:textId="77777777" w:rsidR="00F731AC" w:rsidRPr="00097EC4" w:rsidRDefault="00F731AC" w:rsidP="00CC768C">
            <w:pPr>
              <w:spacing w:after="0" w:line="245" w:lineRule="auto"/>
              <w:jc w:val="right"/>
              <w:rPr>
                <w:color w:val="auto"/>
              </w:rPr>
            </w:pPr>
            <w:r w:rsidRPr="00097EC4">
              <w:rPr>
                <w:color w:val="auto"/>
              </w:rPr>
              <w:t>-.003</w:t>
            </w:r>
          </w:p>
        </w:tc>
        <w:tc>
          <w:tcPr>
            <w:tcW w:w="669" w:type="dxa"/>
            <w:tcBorders>
              <w:left w:val="nil"/>
              <w:right w:val="single" w:sz="4" w:space="0" w:color="auto"/>
            </w:tcBorders>
            <w:shd w:val="clear" w:color="auto" w:fill="auto"/>
            <w:vAlign w:val="center"/>
          </w:tcPr>
          <w:p w14:paraId="5F20B007" w14:textId="77777777" w:rsidR="00F731AC" w:rsidRPr="00097EC4" w:rsidRDefault="00F731AC" w:rsidP="00CC768C">
            <w:pPr>
              <w:spacing w:after="0" w:line="245" w:lineRule="auto"/>
              <w:rPr>
                <w:color w:val="auto"/>
              </w:rPr>
            </w:pPr>
            <w:r w:rsidRPr="00097EC4">
              <w:rPr>
                <w:color w:val="auto"/>
              </w:rPr>
              <w:t>†††</w:t>
            </w:r>
          </w:p>
        </w:tc>
        <w:tc>
          <w:tcPr>
            <w:tcW w:w="745" w:type="dxa"/>
            <w:tcBorders>
              <w:left w:val="single" w:sz="4" w:space="0" w:color="auto"/>
              <w:right w:val="nil"/>
            </w:tcBorders>
            <w:shd w:val="clear" w:color="auto" w:fill="auto"/>
            <w:vAlign w:val="center"/>
          </w:tcPr>
          <w:p w14:paraId="040DF16F" w14:textId="77777777" w:rsidR="00F731AC" w:rsidRPr="00097EC4" w:rsidRDefault="00F731AC" w:rsidP="00CC768C">
            <w:pPr>
              <w:spacing w:after="0" w:line="245" w:lineRule="auto"/>
              <w:jc w:val="right"/>
              <w:rPr>
                <w:color w:val="auto"/>
              </w:rPr>
            </w:pPr>
            <w:r w:rsidRPr="00097EC4">
              <w:rPr>
                <w:color w:val="auto"/>
              </w:rPr>
              <w:t>.006</w:t>
            </w:r>
          </w:p>
        </w:tc>
        <w:tc>
          <w:tcPr>
            <w:tcW w:w="695" w:type="dxa"/>
            <w:tcBorders>
              <w:left w:val="nil"/>
              <w:right w:val="single" w:sz="4" w:space="0" w:color="auto"/>
            </w:tcBorders>
            <w:shd w:val="clear" w:color="auto" w:fill="auto"/>
            <w:vAlign w:val="center"/>
          </w:tcPr>
          <w:p w14:paraId="25F3F097" w14:textId="77777777" w:rsidR="00F731AC" w:rsidRPr="00097EC4" w:rsidRDefault="00F731AC" w:rsidP="00CC768C">
            <w:pPr>
              <w:spacing w:after="0" w:line="245" w:lineRule="auto"/>
              <w:rPr>
                <w:color w:val="auto"/>
              </w:rPr>
            </w:pPr>
            <w:r w:rsidRPr="00097EC4">
              <w:rPr>
                <w:color w:val="auto"/>
              </w:rPr>
              <w:t>†††</w:t>
            </w:r>
          </w:p>
        </w:tc>
        <w:tc>
          <w:tcPr>
            <w:tcW w:w="720" w:type="dxa"/>
            <w:tcBorders>
              <w:left w:val="single" w:sz="4" w:space="0" w:color="auto"/>
              <w:right w:val="nil"/>
            </w:tcBorders>
            <w:shd w:val="clear" w:color="auto" w:fill="auto"/>
            <w:vAlign w:val="center"/>
          </w:tcPr>
          <w:p w14:paraId="1A618C5A" w14:textId="77777777" w:rsidR="00F731AC" w:rsidRPr="00097EC4" w:rsidRDefault="00F731AC" w:rsidP="00CC768C">
            <w:pPr>
              <w:spacing w:after="0" w:line="245" w:lineRule="auto"/>
              <w:jc w:val="right"/>
              <w:rPr>
                <w:color w:val="auto"/>
              </w:rPr>
            </w:pPr>
            <w:r w:rsidRPr="00097EC4">
              <w:rPr>
                <w:color w:val="auto"/>
              </w:rPr>
              <w:t>.002</w:t>
            </w:r>
          </w:p>
        </w:tc>
        <w:tc>
          <w:tcPr>
            <w:tcW w:w="720" w:type="dxa"/>
            <w:tcBorders>
              <w:left w:val="nil"/>
              <w:right w:val="single" w:sz="4" w:space="0" w:color="auto"/>
            </w:tcBorders>
            <w:shd w:val="clear" w:color="auto" w:fill="auto"/>
            <w:vAlign w:val="center"/>
          </w:tcPr>
          <w:p w14:paraId="2B5214B7" w14:textId="77777777" w:rsidR="00F731AC" w:rsidRPr="00097EC4" w:rsidRDefault="00F731AC" w:rsidP="00CC768C">
            <w:pPr>
              <w:spacing w:after="0" w:line="245" w:lineRule="auto"/>
              <w:rPr>
                <w:color w:val="auto"/>
              </w:rPr>
            </w:pPr>
            <w:r w:rsidRPr="00097EC4">
              <w:rPr>
                <w:color w:val="auto"/>
              </w:rPr>
              <w:t>††</w:t>
            </w:r>
          </w:p>
        </w:tc>
        <w:tc>
          <w:tcPr>
            <w:tcW w:w="696" w:type="dxa"/>
            <w:tcBorders>
              <w:left w:val="single" w:sz="4" w:space="0" w:color="auto"/>
              <w:right w:val="nil"/>
            </w:tcBorders>
            <w:vAlign w:val="center"/>
          </w:tcPr>
          <w:p w14:paraId="06F176EB" w14:textId="77777777" w:rsidR="00F731AC" w:rsidRPr="00097EC4" w:rsidRDefault="00F731AC" w:rsidP="00CC768C">
            <w:pPr>
              <w:spacing w:after="0" w:line="245" w:lineRule="auto"/>
              <w:jc w:val="right"/>
              <w:rPr>
                <w:color w:val="auto"/>
              </w:rPr>
            </w:pPr>
            <w:r w:rsidRPr="00097EC4">
              <w:rPr>
                <w:color w:val="auto"/>
              </w:rPr>
              <w:t>.003</w:t>
            </w:r>
          </w:p>
        </w:tc>
        <w:tc>
          <w:tcPr>
            <w:tcW w:w="654" w:type="dxa"/>
            <w:tcBorders>
              <w:left w:val="nil"/>
              <w:right w:val="single" w:sz="4" w:space="0" w:color="auto"/>
            </w:tcBorders>
            <w:vAlign w:val="center"/>
          </w:tcPr>
          <w:p w14:paraId="786BBEF4" w14:textId="77777777" w:rsidR="00F731AC" w:rsidRPr="00097EC4" w:rsidRDefault="00F731AC" w:rsidP="00CC768C">
            <w:pPr>
              <w:spacing w:after="0" w:line="245" w:lineRule="auto"/>
              <w:rPr>
                <w:color w:val="auto"/>
              </w:rPr>
            </w:pPr>
          </w:p>
        </w:tc>
        <w:tc>
          <w:tcPr>
            <w:tcW w:w="760" w:type="dxa"/>
            <w:tcBorders>
              <w:left w:val="single" w:sz="4" w:space="0" w:color="auto"/>
              <w:right w:val="nil"/>
            </w:tcBorders>
            <w:vAlign w:val="center"/>
          </w:tcPr>
          <w:p w14:paraId="58898F93" w14:textId="77777777" w:rsidR="00F731AC" w:rsidRPr="00097EC4" w:rsidRDefault="00F731AC" w:rsidP="00CC768C">
            <w:pPr>
              <w:spacing w:after="0" w:line="245" w:lineRule="auto"/>
              <w:jc w:val="right"/>
              <w:rPr>
                <w:color w:val="auto"/>
              </w:rPr>
            </w:pPr>
            <w:r w:rsidRPr="00097EC4">
              <w:rPr>
                <w:color w:val="auto"/>
              </w:rPr>
              <w:t>-.004</w:t>
            </w:r>
          </w:p>
        </w:tc>
        <w:tc>
          <w:tcPr>
            <w:tcW w:w="680" w:type="dxa"/>
            <w:tcBorders>
              <w:left w:val="nil"/>
              <w:right w:val="single" w:sz="4" w:space="0" w:color="auto"/>
            </w:tcBorders>
            <w:vAlign w:val="center"/>
          </w:tcPr>
          <w:p w14:paraId="3055DAD6" w14:textId="77777777" w:rsidR="00F731AC" w:rsidRPr="00097EC4" w:rsidRDefault="00F731AC" w:rsidP="00CC768C">
            <w:pPr>
              <w:spacing w:after="0" w:line="245" w:lineRule="auto"/>
              <w:rPr>
                <w:color w:val="auto"/>
              </w:rPr>
            </w:pPr>
            <w:r w:rsidRPr="00097EC4">
              <w:rPr>
                <w:color w:val="auto"/>
              </w:rPr>
              <w:t>†††</w:t>
            </w:r>
          </w:p>
        </w:tc>
        <w:tc>
          <w:tcPr>
            <w:tcW w:w="735" w:type="dxa"/>
            <w:tcBorders>
              <w:left w:val="single" w:sz="4" w:space="0" w:color="auto"/>
              <w:right w:val="nil"/>
            </w:tcBorders>
            <w:shd w:val="clear" w:color="auto" w:fill="auto"/>
            <w:vAlign w:val="center"/>
          </w:tcPr>
          <w:p w14:paraId="68B914D0" w14:textId="77777777" w:rsidR="00F731AC" w:rsidRPr="00097EC4" w:rsidRDefault="00F731AC" w:rsidP="00CC768C">
            <w:pPr>
              <w:spacing w:after="0" w:line="245" w:lineRule="auto"/>
              <w:jc w:val="right"/>
              <w:rPr>
                <w:color w:val="auto"/>
              </w:rPr>
            </w:pPr>
            <w:r w:rsidRPr="00097EC4">
              <w:rPr>
                <w:color w:val="auto"/>
              </w:rPr>
              <w:t>-.034</w:t>
            </w:r>
          </w:p>
        </w:tc>
        <w:tc>
          <w:tcPr>
            <w:tcW w:w="708" w:type="dxa"/>
            <w:tcBorders>
              <w:left w:val="nil"/>
              <w:right w:val="nil"/>
            </w:tcBorders>
            <w:shd w:val="clear" w:color="auto" w:fill="auto"/>
            <w:vAlign w:val="center"/>
          </w:tcPr>
          <w:p w14:paraId="1F605DEF" w14:textId="77777777" w:rsidR="00F731AC" w:rsidRPr="00097EC4" w:rsidRDefault="00F731AC" w:rsidP="00CC768C">
            <w:pPr>
              <w:spacing w:after="0" w:line="245" w:lineRule="auto"/>
              <w:rPr>
                <w:color w:val="auto"/>
              </w:rPr>
            </w:pPr>
            <w:r w:rsidRPr="00097EC4">
              <w:rPr>
                <w:color w:val="auto"/>
              </w:rPr>
              <w:t>††</w:t>
            </w:r>
          </w:p>
        </w:tc>
      </w:tr>
      <w:tr w:rsidR="00F731AC" w:rsidRPr="00097EC4" w14:paraId="52843659" w14:textId="77777777" w:rsidTr="00CC768C">
        <w:trPr>
          <w:gridAfter w:val="1"/>
          <w:wAfter w:w="12" w:type="dxa"/>
          <w:trHeight w:val="227"/>
          <w:jc w:val="center"/>
        </w:trPr>
        <w:tc>
          <w:tcPr>
            <w:tcW w:w="3960" w:type="dxa"/>
            <w:tcBorders>
              <w:left w:val="nil"/>
              <w:bottom w:val="single" w:sz="4" w:space="0" w:color="auto"/>
              <w:right w:val="single" w:sz="4" w:space="0" w:color="auto"/>
            </w:tcBorders>
            <w:shd w:val="clear" w:color="000000" w:fill="FFFFFF"/>
            <w:tcMar>
              <w:top w:w="28" w:type="dxa"/>
              <w:bottom w:w="28" w:type="dxa"/>
            </w:tcMar>
            <w:vAlign w:val="center"/>
          </w:tcPr>
          <w:p w14:paraId="5CD58FC9" w14:textId="77777777" w:rsidR="00F731AC" w:rsidRPr="00097EC4" w:rsidRDefault="00F731AC" w:rsidP="00CC768C">
            <w:pPr>
              <w:spacing w:after="0" w:line="245" w:lineRule="auto"/>
              <w:rPr>
                <w:rFonts w:eastAsia="Times New Roman"/>
                <w:b/>
                <w:color w:val="auto"/>
                <w:vertAlign w:val="superscript"/>
                <w:lang w:eastAsia="en-SG"/>
              </w:rPr>
            </w:pPr>
            <w:r w:rsidRPr="00097EC4">
              <w:rPr>
                <w:rFonts w:eastAsia="Times New Roman"/>
                <w:color w:val="auto"/>
                <w:lang w:eastAsia="en-SG"/>
              </w:rPr>
              <w:t xml:space="preserve">   Weighted Non-Industry Peers’ Customer Satisfaction</w:t>
            </w:r>
          </w:p>
        </w:tc>
        <w:tc>
          <w:tcPr>
            <w:tcW w:w="706" w:type="dxa"/>
            <w:tcBorders>
              <w:left w:val="single" w:sz="4" w:space="0" w:color="auto"/>
              <w:bottom w:val="single" w:sz="4" w:space="0" w:color="auto"/>
              <w:right w:val="nil"/>
            </w:tcBorders>
            <w:shd w:val="clear" w:color="auto" w:fill="auto"/>
            <w:tcMar>
              <w:top w:w="28" w:type="dxa"/>
              <w:bottom w:w="28" w:type="dxa"/>
            </w:tcMar>
            <w:vAlign w:val="center"/>
          </w:tcPr>
          <w:p w14:paraId="07F9FA2C" w14:textId="77777777" w:rsidR="00F731AC" w:rsidRPr="00097EC4" w:rsidRDefault="00F731AC" w:rsidP="00CC768C">
            <w:pPr>
              <w:spacing w:after="0" w:line="245" w:lineRule="auto"/>
              <w:jc w:val="right"/>
              <w:rPr>
                <w:color w:val="auto"/>
              </w:rPr>
            </w:pPr>
            <w:r w:rsidRPr="00097EC4">
              <w:rPr>
                <w:color w:val="auto"/>
              </w:rPr>
              <w:t>-.019</w:t>
            </w:r>
          </w:p>
        </w:tc>
        <w:tc>
          <w:tcPr>
            <w:tcW w:w="644" w:type="dxa"/>
            <w:tcBorders>
              <w:left w:val="nil"/>
              <w:bottom w:val="single" w:sz="4" w:space="0" w:color="auto"/>
              <w:right w:val="single" w:sz="4" w:space="0" w:color="auto"/>
            </w:tcBorders>
            <w:shd w:val="clear" w:color="auto" w:fill="auto"/>
            <w:vAlign w:val="center"/>
          </w:tcPr>
          <w:p w14:paraId="1BFF2FE5" w14:textId="77777777" w:rsidR="00F731AC" w:rsidRPr="00097EC4" w:rsidRDefault="00F731AC" w:rsidP="00CC768C">
            <w:pPr>
              <w:spacing w:after="0" w:line="245" w:lineRule="auto"/>
              <w:rPr>
                <w:color w:val="auto"/>
              </w:rPr>
            </w:pPr>
          </w:p>
        </w:tc>
        <w:tc>
          <w:tcPr>
            <w:tcW w:w="771" w:type="dxa"/>
            <w:tcBorders>
              <w:left w:val="single" w:sz="4" w:space="0" w:color="auto"/>
              <w:bottom w:val="single" w:sz="4" w:space="0" w:color="auto"/>
              <w:right w:val="nil"/>
            </w:tcBorders>
            <w:shd w:val="clear" w:color="auto" w:fill="auto"/>
            <w:vAlign w:val="center"/>
          </w:tcPr>
          <w:p w14:paraId="27DD29BA" w14:textId="77777777" w:rsidR="00F731AC" w:rsidRPr="00097EC4" w:rsidRDefault="00F731AC" w:rsidP="00CC768C">
            <w:pPr>
              <w:spacing w:after="0" w:line="245" w:lineRule="auto"/>
              <w:jc w:val="right"/>
              <w:rPr>
                <w:color w:val="auto"/>
              </w:rPr>
            </w:pPr>
            <w:r w:rsidRPr="00097EC4">
              <w:rPr>
                <w:color w:val="auto"/>
              </w:rPr>
              <w:t>-.004</w:t>
            </w:r>
          </w:p>
        </w:tc>
        <w:tc>
          <w:tcPr>
            <w:tcW w:w="669" w:type="dxa"/>
            <w:tcBorders>
              <w:left w:val="nil"/>
              <w:bottom w:val="single" w:sz="4" w:space="0" w:color="auto"/>
              <w:right w:val="single" w:sz="4" w:space="0" w:color="auto"/>
            </w:tcBorders>
            <w:shd w:val="clear" w:color="auto" w:fill="auto"/>
            <w:vAlign w:val="center"/>
          </w:tcPr>
          <w:p w14:paraId="6A968DA0" w14:textId="77777777" w:rsidR="00F731AC" w:rsidRPr="00097EC4" w:rsidRDefault="00F731AC" w:rsidP="00CC768C">
            <w:pPr>
              <w:spacing w:after="0" w:line="245" w:lineRule="auto"/>
              <w:rPr>
                <w:color w:val="auto"/>
              </w:rPr>
            </w:pPr>
            <w:r w:rsidRPr="00097EC4">
              <w:rPr>
                <w:color w:val="auto"/>
              </w:rPr>
              <w:t>†††</w:t>
            </w:r>
          </w:p>
        </w:tc>
        <w:tc>
          <w:tcPr>
            <w:tcW w:w="745" w:type="dxa"/>
            <w:tcBorders>
              <w:left w:val="single" w:sz="4" w:space="0" w:color="auto"/>
              <w:bottom w:val="single" w:sz="4" w:space="0" w:color="auto"/>
              <w:right w:val="nil"/>
            </w:tcBorders>
            <w:shd w:val="clear" w:color="auto" w:fill="auto"/>
            <w:vAlign w:val="center"/>
          </w:tcPr>
          <w:p w14:paraId="2CC410C9" w14:textId="77777777" w:rsidR="00F731AC" w:rsidRPr="00097EC4" w:rsidRDefault="00F731AC" w:rsidP="00CC768C">
            <w:pPr>
              <w:spacing w:after="0" w:line="245" w:lineRule="auto"/>
              <w:jc w:val="right"/>
              <w:rPr>
                <w:color w:val="auto"/>
              </w:rPr>
            </w:pPr>
            <w:r w:rsidRPr="00097EC4">
              <w:rPr>
                <w:color w:val="auto"/>
              </w:rPr>
              <w:t>.005</w:t>
            </w:r>
          </w:p>
        </w:tc>
        <w:tc>
          <w:tcPr>
            <w:tcW w:w="695" w:type="dxa"/>
            <w:tcBorders>
              <w:left w:val="nil"/>
              <w:bottom w:val="single" w:sz="4" w:space="0" w:color="auto"/>
              <w:right w:val="single" w:sz="4" w:space="0" w:color="auto"/>
            </w:tcBorders>
            <w:shd w:val="clear" w:color="auto" w:fill="auto"/>
            <w:vAlign w:val="center"/>
          </w:tcPr>
          <w:p w14:paraId="78C4CACE" w14:textId="77777777" w:rsidR="00F731AC" w:rsidRPr="00097EC4" w:rsidRDefault="00F731AC" w:rsidP="00CC768C">
            <w:pPr>
              <w:spacing w:after="0" w:line="245" w:lineRule="auto"/>
              <w:rPr>
                <w:color w:val="auto"/>
              </w:rPr>
            </w:pPr>
            <w:r w:rsidRPr="00097EC4">
              <w:rPr>
                <w:color w:val="auto"/>
              </w:rPr>
              <w:t>†††</w:t>
            </w:r>
          </w:p>
        </w:tc>
        <w:tc>
          <w:tcPr>
            <w:tcW w:w="720" w:type="dxa"/>
            <w:tcBorders>
              <w:left w:val="single" w:sz="4" w:space="0" w:color="auto"/>
              <w:bottom w:val="single" w:sz="4" w:space="0" w:color="auto"/>
              <w:right w:val="nil"/>
            </w:tcBorders>
            <w:shd w:val="clear" w:color="auto" w:fill="auto"/>
            <w:vAlign w:val="center"/>
          </w:tcPr>
          <w:p w14:paraId="30A52E3C" w14:textId="77777777" w:rsidR="00F731AC" w:rsidRPr="00097EC4" w:rsidRDefault="00F731AC" w:rsidP="00CC768C">
            <w:pPr>
              <w:spacing w:after="0" w:line="245" w:lineRule="auto"/>
              <w:jc w:val="right"/>
              <w:rPr>
                <w:color w:val="auto"/>
              </w:rPr>
            </w:pPr>
            <w:r w:rsidRPr="00097EC4">
              <w:rPr>
                <w:color w:val="auto"/>
              </w:rPr>
              <w:t>.002</w:t>
            </w:r>
          </w:p>
        </w:tc>
        <w:tc>
          <w:tcPr>
            <w:tcW w:w="720" w:type="dxa"/>
            <w:tcBorders>
              <w:left w:val="nil"/>
              <w:bottom w:val="single" w:sz="4" w:space="0" w:color="auto"/>
              <w:right w:val="single" w:sz="4" w:space="0" w:color="auto"/>
            </w:tcBorders>
            <w:shd w:val="clear" w:color="auto" w:fill="auto"/>
            <w:vAlign w:val="center"/>
          </w:tcPr>
          <w:p w14:paraId="4BEB6EC4" w14:textId="77777777" w:rsidR="00F731AC" w:rsidRPr="00097EC4" w:rsidRDefault="00F731AC" w:rsidP="00CC768C">
            <w:pPr>
              <w:spacing w:after="0" w:line="245" w:lineRule="auto"/>
              <w:rPr>
                <w:color w:val="auto"/>
              </w:rPr>
            </w:pPr>
            <w:r w:rsidRPr="00097EC4">
              <w:rPr>
                <w:color w:val="auto"/>
              </w:rPr>
              <w:t>†</w:t>
            </w:r>
          </w:p>
        </w:tc>
        <w:tc>
          <w:tcPr>
            <w:tcW w:w="696" w:type="dxa"/>
            <w:tcBorders>
              <w:left w:val="single" w:sz="4" w:space="0" w:color="auto"/>
              <w:bottom w:val="single" w:sz="4" w:space="0" w:color="auto"/>
              <w:right w:val="nil"/>
            </w:tcBorders>
            <w:vAlign w:val="center"/>
          </w:tcPr>
          <w:p w14:paraId="22052D2C" w14:textId="77777777" w:rsidR="00F731AC" w:rsidRPr="00097EC4" w:rsidRDefault="00F731AC" w:rsidP="00CC768C">
            <w:pPr>
              <w:spacing w:after="0" w:line="245" w:lineRule="auto"/>
              <w:jc w:val="right"/>
              <w:rPr>
                <w:color w:val="auto"/>
              </w:rPr>
            </w:pPr>
            <w:r w:rsidRPr="00097EC4">
              <w:rPr>
                <w:color w:val="auto"/>
              </w:rPr>
              <w:t>.003</w:t>
            </w:r>
          </w:p>
        </w:tc>
        <w:tc>
          <w:tcPr>
            <w:tcW w:w="654" w:type="dxa"/>
            <w:tcBorders>
              <w:left w:val="nil"/>
              <w:bottom w:val="single" w:sz="4" w:space="0" w:color="auto"/>
              <w:right w:val="single" w:sz="4" w:space="0" w:color="auto"/>
            </w:tcBorders>
            <w:vAlign w:val="center"/>
          </w:tcPr>
          <w:p w14:paraId="3BA2ADE7" w14:textId="77777777" w:rsidR="00F731AC" w:rsidRPr="00097EC4" w:rsidRDefault="00F731AC" w:rsidP="00CC768C">
            <w:pPr>
              <w:spacing w:after="0" w:line="245" w:lineRule="auto"/>
              <w:rPr>
                <w:color w:val="auto"/>
              </w:rPr>
            </w:pPr>
          </w:p>
        </w:tc>
        <w:tc>
          <w:tcPr>
            <w:tcW w:w="760" w:type="dxa"/>
            <w:tcBorders>
              <w:left w:val="single" w:sz="4" w:space="0" w:color="auto"/>
              <w:bottom w:val="single" w:sz="4" w:space="0" w:color="auto"/>
              <w:right w:val="nil"/>
            </w:tcBorders>
            <w:vAlign w:val="center"/>
          </w:tcPr>
          <w:p w14:paraId="6AF6443E" w14:textId="77777777" w:rsidR="00F731AC" w:rsidRPr="00097EC4" w:rsidRDefault="00F731AC" w:rsidP="00CC768C">
            <w:pPr>
              <w:spacing w:after="0" w:line="245" w:lineRule="auto"/>
              <w:jc w:val="right"/>
              <w:rPr>
                <w:color w:val="auto"/>
              </w:rPr>
            </w:pPr>
            <w:r w:rsidRPr="00097EC4">
              <w:rPr>
                <w:color w:val="auto"/>
              </w:rPr>
              <w:t>-.004</w:t>
            </w:r>
          </w:p>
        </w:tc>
        <w:tc>
          <w:tcPr>
            <w:tcW w:w="680" w:type="dxa"/>
            <w:tcBorders>
              <w:left w:val="nil"/>
              <w:bottom w:val="single" w:sz="4" w:space="0" w:color="auto"/>
              <w:right w:val="single" w:sz="4" w:space="0" w:color="auto"/>
            </w:tcBorders>
            <w:vAlign w:val="center"/>
          </w:tcPr>
          <w:p w14:paraId="04A4E9C0" w14:textId="77777777" w:rsidR="00F731AC" w:rsidRPr="00097EC4" w:rsidRDefault="00F731AC" w:rsidP="00CC768C">
            <w:pPr>
              <w:spacing w:after="0" w:line="245" w:lineRule="auto"/>
              <w:rPr>
                <w:color w:val="auto"/>
              </w:rPr>
            </w:pPr>
            <w:r w:rsidRPr="00097EC4">
              <w:rPr>
                <w:color w:val="auto"/>
              </w:rPr>
              <w:t>†††</w:t>
            </w:r>
          </w:p>
        </w:tc>
        <w:tc>
          <w:tcPr>
            <w:tcW w:w="735" w:type="dxa"/>
            <w:tcBorders>
              <w:left w:val="single" w:sz="4" w:space="0" w:color="auto"/>
              <w:bottom w:val="single" w:sz="4" w:space="0" w:color="auto"/>
              <w:right w:val="nil"/>
            </w:tcBorders>
            <w:shd w:val="clear" w:color="auto" w:fill="auto"/>
            <w:vAlign w:val="center"/>
          </w:tcPr>
          <w:p w14:paraId="45A81B87" w14:textId="77777777" w:rsidR="00F731AC" w:rsidRPr="00097EC4" w:rsidRDefault="00F731AC" w:rsidP="00CC768C">
            <w:pPr>
              <w:spacing w:after="0" w:line="245" w:lineRule="auto"/>
              <w:jc w:val="right"/>
              <w:rPr>
                <w:color w:val="auto"/>
              </w:rPr>
            </w:pPr>
            <w:r w:rsidRPr="00097EC4">
              <w:rPr>
                <w:color w:val="auto"/>
              </w:rPr>
              <w:t>-.040</w:t>
            </w:r>
          </w:p>
        </w:tc>
        <w:tc>
          <w:tcPr>
            <w:tcW w:w="708" w:type="dxa"/>
            <w:tcBorders>
              <w:left w:val="nil"/>
              <w:bottom w:val="single" w:sz="4" w:space="0" w:color="auto"/>
              <w:right w:val="nil"/>
            </w:tcBorders>
            <w:shd w:val="clear" w:color="auto" w:fill="auto"/>
            <w:vAlign w:val="center"/>
          </w:tcPr>
          <w:p w14:paraId="5D34ED65" w14:textId="77777777" w:rsidR="00F731AC" w:rsidRPr="00097EC4" w:rsidRDefault="00F731AC" w:rsidP="00CC768C">
            <w:pPr>
              <w:spacing w:after="0" w:line="245" w:lineRule="auto"/>
              <w:rPr>
                <w:color w:val="auto"/>
              </w:rPr>
            </w:pPr>
            <w:r w:rsidRPr="00097EC4">
              <w:rPr>
                <w:color w:val="auto"/>
              </w:rPr>
              <w:t>†††</w:t>
            </w:r>
          </w:p>
        </w:tc>
      </w:tr>
      <w:tr w:rsidR="00F731AC" w:rsidRPr="00097EC4" w14:paraId="78A6D735" w14:textId="77777777" w:rsidTr="00CC768C">
        <w:trPr>
          <w:gridAfter w:val="1"/>
          <w:wAfter w:w="12" w:type="dxa"/>
          <w:trHeight w:val="227"/>
          <w:jc w:val="center"/>
        </w:trPr>
        <w:tc>
          <w:tcPr>
            <w:tcW w:w="3960" w:type="dxa"/>
            <w:tcBorders>
              <w:top w:val="single" w:sz="4" w:space="0" w:color="auto"/>
              <w:left w:val="nil"/>
              <w:bottom w:val="single" w:sz="4" w:space="0" w:color="auto"/>
              <w:right w:val="single" w:sz="4" w:space="0" w:color="auto"/>
            </w:tcBorders>
            <w:shd w:val="clear" w:color="000000" w:fill="FFFFFF"/>
            <w:tcMar>
              <w:top w:w="28" w:type="dxa"/>
              <w:bottom w:w="28" w:type="dxa"/>
            </w:tcMar>
            <w:vAlign w:val="center"/>
          </w:tcPr>
          <w:p w14:paraId="3525DB6F" w14:textId="77777777" w:rsidR="00F731AC" w:rsidRPr="00097EC4" w:rsidRDefault="00F731AC" w:rsidP="00CC768C">
            <w:pPr>
              <w:spacing w:after="0" w:line="245" w:lineRule="auto"/>
              <w:rPr>
                <w:rFonts w:eastAsia="Times New Roman"/>
                <w:b/>
                <w:color w:val="auto"/>
                <w:lang w:eastAsia="en-SG"/>
              </w:rPr>
            </w:pPr>
            <w:r w:rsidRPr="00097EC4">
              <w:rPr>
                <w:rFonts w:eastAsia="Times New Roman"/>
                <w:b/>
                <w:color w:val="auto"/>
                <w:lang w:eastAsia="en-SG"/>
              </w:rPr>
              <w:t>Results Without Control Function</w:t>
            </w:r>
          </w:p>
        </w:tc>
        <w:tc>
          <w:tcPr>
            <w:tcW w:w="706" w:type="dxa"/>
            <w:tcBorders>
              <w:top w:val="single" w:sz="4" w:space="0" w:color="auto"/>
              <w:left w:val="single" w:sz="4" w:space="0" w:color="auto"/>
              <w:bottom w:val="single" w:sz="4" w:space="0" w:color="auto"/>
              <w:right w:val="nil"/>
            </w:tcBorders>
            <w:shd w:val="clear" w:color="auto" w:fill="auto"/>
            <w:tcMar>
              <w:top w:w="28" w:type="dxa"/>
              <w:bottom w:w="28" w:type="dxa"/>
            </w:tcMar>
            <w:vAlign w:val="center"/>
          </w:tcPr>
          <w:p w14:paraId="086008C5" w14:textId="77777777" w:rsidR="00F731AC" w:rsidRPr="00097EC4" w:rsidRDefault="00F731AC" w:rsidP="00CC768C">
            <w:pPr>
              <w:spacing w:after="0" w:line="245" w:lineRule="auto"/>
              <w:jc w:val="right"/>
              <w:rPr>
                <w:color w:val="auto"/>
              </w:rPr>
            </w:pPr>
            <w:r w:rsidRPr="00097EC4">
              <w:rPr>
                <w:color w:val="auto"/>
              </w:rPr>
              <w:t>-.001</w:t>
            </w:r>
          </w:p>
        </w:tc>
        <w:tc>
          <w:tcPr>
            <w:tcW w:w="644" w:type="dxa"/>
            <w:tcBorders>
              <w:top w:val="single" w:sz="4" w:space="0" w:color="auto"/>
              <w:left w:val="nil"/>
              <w:bottom w:val="single" w:sz="4" w:space="0" w:color="auto"/>
              <w:right w:val="single" w:sz="4" w:space="0" w:color="auto"/>
            </w:tcBorders>
            <w:shd w:val="clear" w:color="auto" w:fill="auto"/>
            <w:vAlign w:val="center"/>
          </w:tcPr>
          <w:p w14:paraId="673D2011" w14:textId="77777777" w:rsidR="00F731AC" w:rsidRPr="00097EC4" w:rsidRDefault="00F731AC" w:rsidP="00CC768C">
            <w:pPr>
              <w:spacing w:after="0" w:line="245" w:lineRule="auto"/>
              <w:rPr>
                <w:color w:val="auto"/>
              </w:rPr>
            </w:pPr>
            <w:r w:rsidRPr="00097EC4">
              <w:rPr>
                <w:color w:val="auto"/>
              </w:rPr>
              <w:t>†††</w:t>
            </w:r>
          </w:p>
        </w:tc>
        <w:tc>
          <w:tcPr>
            <w:tcW w:w="771" w:type="dxa"/>
            <w:tcBorders>
              <w:top w:val="single" w:sz="4" w:space="0" w:color="auto"/>
              <w:left w:val="single" w:sz="4" w:space="0" w:color="auto"/>
              <w:bottom w:val="single" w:sz="4" w:space="0" w:color="auto"/>
              <w:right w:val="nil"/>
            </w:tcBorders>
            <w:shd w:val="clear" w:color="auto" w:fill="auto"/>
            <w:vAlign w:val="center"/>
          </w:tcPr>
          <w:p w14:paraId="2F04165A" w14:textId="77777777" w:rsidR="00F731AC" w:rsidRPr="00097EC4" w:rsidRDefault="00F731AC" w:rsidP="00CC768C">
            <w:pPr>
              <w:spacing w:after="0" w:line="245" w:lineRule="auto"/>
              <w:jc w:val="right"/>
              <w:rPr>
                <w:color w:val="auto"/>
              </w:rPr>
            </w:pPr>
            <w:r w:rsidRPr="00097EC4">
              <w:rPr>
                <w:color w:val="auto"/>
              </w:rPr>
              <w:t>-.003</w:t>
            </w:r>
          </w:p>
        </w:tc>
        <w:tc>
          <w:tcPr>
            <w:tcW w:w="669" w:type="dxa"/>
            <w:tcBorders>
              <w:top w:val="single" w:sz="4" w:space="0" w:color="auto"/>
              <w:left w:val="nil"/>
              <w:bottom w:val="single" w:sz="4" w:space="0" w:color="auto"/>
              <w:right w:val="single" w:sz="4" w:space="0" w:color="auto"/>
            </w:tcBorders>
            <w:shd w:val="clear" w:color="auto" w:fill="auto"/>
            <w:vAlign w:val="center"/>
          </w:tcPr>
          <w:p w14:paraId="4ADA3CEE" w14:textId="77777777" w:rsidR="00F731AC" w:rsidRPr="00097EC4" w:rsidRDefault="00F731AC" w:rsidP="00CC768C">
            <w:pPr>
              <w:spacing w:after="0" w:line="245" w:lineRule="auto"/>
              <w:rPr>
                <w:color w:val="auto"/>
              </w:rPr>
            </w:pPr>
            <w:r w:rsidRPr="00097EC4">
              <w:rPr>
                <w:color w:val="auto"/>
              </w:rPr>
              <w:t>†††</w:t>
            </w:r>
          </w:p>
        </w:tc>
        <w:tc>
          <w:tcPr>
            <w:tcW w:w="745" w:type="dxa"/>
            <w:tcBorders>
              <w:top w:val="single" w:sz="4" w:space="0" w:color="auto"/>
              <w:left w:val="single" w:sz="4" w:space="0" w:color="auto"/>
              <w:bottom w:val="single" w:sz="4" w:space="0" w:color="auto"/>
              <w:right w:val="nil"/>
            </w:tcBorders>
            <w:shd w:val="clear" w:color="auto" w:fill="auto"/>
            <w:vAlign w:val="center"/>
          </w:tcPr>
          <w:p w14:paraId="3160662E" w14:textId="77777777" w:rsidR="00F731AC" w:rsidRPr="00097EC4" w:rsidRDefault="00F731AC" w:rsidP="00CC768C">
            <w:pPr>
              <w:spacing w:after="0" w:line="245" w:lineRule="auto"/>
              <w:jc w:val="right"/>
              <w:rPr>
                <w:color w:val="auto"/>
              </w:rPr>
            </w:pPr>
            <w:r w:rsidRPr="00097EC4">
              <w:rPr>
                <w:color w:val="auto"/>
              </w:rPr>
              <w:t>.005</w:t>
            </w:r>
          </w:p>
        </w:tc>
        <w:tc>
          <w:tcPr>
            <w:tcW w:w="695" w:type="dxa"/>
            <w:tcBorders>
              <w:top w:val="single" w:sz="4" w:space="0" w:color="auto"/>
              <w:left w:val="nil"/>
              <w:bottom w:val="single" w:sz="4" w:space="0" w:color="auto"/>
              <w:right w:val="single" w:sz="4" w:space="0" w:color="auto"/>
            </w:tcBorders>
            <w:shd w:val="clear" w:color="auto" w:fill="auto"/>
            <w:vAlign w:val="center"/>
          </w:tcPr>
          <w:p w14:paraId="5A3CC5E1" w14:textId="77777777" w:rsidR="00F731AC" w:rsidRPr="00097EC4" w:rsidRDefault="00F731AC" w:rsidP="00CC768C">
            <w:pPr>
              <w:spacing w:after="0" w:line="245" w:lineRule="auto"/>
              <w:rPr>
                <w:color w:val="auto"/>
              </w:rPr>
            </w:pPr>
            <w:r w:rsidRPr="00097EC4">
              <w:rPr>
                <w:color w:val="auto"/>
              </w:rPr>
              <w:t>†††</w:t>
            </w:r>
          </w:p>
        </w:tc>
        <w:tc>
          <w:tcPr>
            <w:tcW w:w="720" w:type="dxa"/>
            <w:tcBorders>
              <w:top w:val="single" w:sz="4" w:space="0" w:color="auto"/>
              <w:left w:val="single" w:sz="4" w:space="0" w:color="auto"/>
              <w:bottom w:val="single" w:sz="4" w:space="0" w:color="auto"/>
              <w:right w:val="nil"/>
            </w:tcBorders>
            <w:shd w:val="clear" w:color="auto" w:fill="auto"/>
            <w:vAlign w:val="center"/>
          </w:tcPr>
          <w:p w14:paraId="68803A67" w14:textId="77777777" w:rsidR="00F731AC" w:rsidRPr="00097EC4" w:rsidRDefault="00F731AC" w:rsidP="00CC768C">
            <w:pPr>
              <w:spacing w:after="0" w:line="245" w:lineRule="auto"/>
              <w:jc w:val="right"/>
              <w:rPr>
                <w:color w:val="auto"/>
              </w:rPr>
            </w:pPr>
            <w:r w:rsidRPr="00097EC4">
              <w:rPr>
                <w:color w:val="auto"/>
              </w:rPr>
              <w:t>.002</w:t>
            </w:r>
          </w:p>
        </w:tc>
        <w:tc>
          <w:tcPr>
            <w:tcW w:w="720" w:type="dxa"/>
            <w:tcBorders>
              <w:top w:val="single" w:sz="4" w:space="0" w:color="auto"/>
              <w:left w:val="nil"/>
              <w:bottom w:val="single" w:sz="4" w:space="0" w:color="auto"/>
              <w:right w:val="single" w:sz="4" w:space="0" w:color="auto"/>
            </w:tcBorders>
            <w:shd w:val="clear" w:color="auto" w:fill="auto"/>
            <w:vAlign w:val="center"/>
          </w:tcPr>
          <w:p w14:paraId="1A4D7051" w14:textId="77777777" w:rsidR="00F731AC" w:rsidRPr="00097EC4" w:rsidRDefault="00F731AC" w:rsidP="00CC768C">
            <w:pPr>
              <w:spacing w:after="0" w:line="245" w:lineRule="auto"/>
              <w:rPr>
                <w:color w:val="auto"/>
              </w:rPr>
            </w:pPr>
            <w:r w:rsidRPr="00097EC4">
              <w:rPr>
                <w:color w:val="auto"/>
              </w:rPr>
              <w:t>††</w:t>
            </w:r>
          </w:p>
        </w:tc>
        <w:tc>
          <w:tcPr>
            <w:tcW w:w="696" w:type="dxa"/>
            <w:tcBorders>
              <w:top w:val="single" w:sz="4" w:space="0" w:color="auto"/>
              <w:left w:val="single" w:sz="4" w:space="0" w:color="auto"/>
              <w:bottom w:val="single" w:sz="4" w:space="0" w:color="auto"/>
              <w:right w:val="nil"/>
            </w:tcBorders>
            <w:vAlign w:val="center"/>
          </w:tcPr>
          <w:p w14:paraId="27DA804F" w14:textId="77777777" w:rsidR="00F731AC" w:rsidRPr="00097EC4" w:rsidRDefault="00F731AC" w:rsidP="00CC768C">
            <w:pPr>
              <w:spacing w:after="0" w:line="245" w:lineRule="auto"/>
              <w:jc w:val="right"/>
              <w:rPr>
                <w:color w:val="auto"/>
              </w:rPr>
            </w:pPr>
            <w:r w:rsidRPr="00097EC4">
              <w:rPr>
                <w:color w:val="auto"/>
              </w:rPr>
              <w:t>.004</w:t>
            </w:r>
          </w:p>
        </w:tc>
        <w:tc>
          <w:tcPr>
            <w:tcW w:w="654" w:type="dxa"/>
            <w:tcBorders>
              <w:top w:val="single" w:sz="4" w:space="0" w:color="auto"/>
              <w:left w:val="nil"/>
              <w:bottom w:val="single" w:sz="4" w:space="0" w:color="auto"/>
              <w:right w:val="single" w:sz="4" w:space="0" w:color="auto"/>
            </w:tcBorders>
            <w:vAlign w:val="center"/>
          </w:tcPr>
          <w:p w14:paraId="047928F9" w14:textId="77777777" w:rsidR="00F731AC" w:rsidRPr="00097EC4" w:rsidRDefault="00F731AC" w:rsidP="00CC768C">
            <w:pPr>
              <w:spacing w:after="0" w:line="245" w:lineRule="auto"/>
              <w:rPr>
                <w:color w:val="auto"/>
              </w:rPr>
            </w:pPr>
            <w:r w:rsidRPr="00097EC4">
              <w:rPr>
                <w:color w:val="auto"/>
              </w:rPr>
              <w:t>†</w:t>
            </w:r>
          </w:p>
        </w:tc>
        <w:tc>
          <w:tcPr>
            <w:tcW w:w="760" w:type="dxa"/>
            <w:tcBorders>
              <w:top w:val="single" w:sz="4" w:space="0" w:color="auto"/>
              <w:left w:val="single" w:sz="4" w:space="0" w:color="auto"/>
              <w:bottom w:val="single" w:sz="4" w:space="0" w:color="auto"/>
              <w:right w:val="nil"/>
            </w:tcBorders>
            <w:vAlign w:val="center"/>
          </w:tcPr>
          <w:p w14:paraId="37259CDE" w14:textId="77777777" w:rsidR="00F731AC" w:rsidRPr="00097EC4" w:rsidRDefault="00F731AC" w:rsidP="00CC768C">
            <w:pPr>
              <w:spacing w:after="0" w:line="245" w:lineRule="auto"/>
              <w:jc w:val="right"/>
              <w:rPr>
                <w:color w:val="auto"/>
              </w:rPr>
            </w:pPr>
            <w:r w:rsidRPr="00097EC4">
              <w:rPr>
                <w:color w:val="auto"/>
              </w:rPr>
              <w:t>-.005</w:t>
            </w:r>
          </w:p>
        </w:tc>
        <w:tc>
          <w:tcPr>
            <w:tcW w:w="680" w:type="dxa"/>
            <w:tcBorders>
              <w:top w:val="single" w:sz="4" w:space="0" w:color="auto"/>
              <w:left w:val="nil"/>
              <w:bottom w:val="single" w:sz="4" w:space="0" w:color="auto"/>
              <w:right w:val="single" w:sz="4" w:space="0" w:color="auto"/>
            </w:tcBorders>
            <w:vAlign w:val="center"/>
          </w:tcPr>
          <w:p w14:paraId="38FFC445" w14:textId="77777777" w:rsidR="00F731AC" w:rsidRPr="00097EC4" w:rsidRDefault="00F731AC" w:rsidP="00CC768C">
            <w:pPr>
              <w:spacing w:after="0" w:line="245" w:lineRule="auto"/>
              <w:rPr>
                <w:color w:val="auto"/>
              </w:rPr>
            </w:pPr>
            <w:r w:rsidRPr="00097EC4">
              <w:rPr>
                <w:color w:val="auto"/>
              </w:rPr>
              <w:t>†††</w:t>
            </w:r>
          </w:p>
        </w:tc>
        <w:tc>
          <w:tcPr>
            <w:tcW w:w="735" w:type="dxa"/>
            <w:tcBorders>
              <w:top w:val="single" w:sz="4" w:space="0" w:color="auto"/>
              <w:left w:val="single" w:sz="4" w:space="0" w:color="auto"/>
              <w:bottom w:val="single" w:sz="4" w:space="0" w:color="auto"/>
              <w:right w:val="nil"/>
            </w:tcBorders>
            <w:shd w:val="clear" w:color="auto" w:fill="auto"/>
            <w:vAlign w:val="center"/>
          </w:tcPr>
          <w:p w14:paraId="471959D1" w14:textId="77777777" w:rsidR="00F731AC" w:rsidRPr="00097EC4" w:rsidRDefault="00F731AC" w:rsidP="00CC768C">
            <w:pPr>
              <w:spacing w:after="0" w:line="245" w:lineRule="auto"/>
              <w:jc w:val="right"/>
              <w:rPr>
                <w:color w:val="auto"/>
              </w:rPr>
            </w:pPr>
            <w:r w:rsidRPr="00097EC4">
              <w:rPr>
                <w:color w:val="auto"/>
              </w:rPr>
              <w:t>-.034</w:t>
            </w:r>
          </w:p>
        </w:tc>
        <w:tc>
          <w:tcPr>
            <w:tcW w:w="708" w:type="dxa"/>
            <w:tcBorders>
              <w:top w:val="single" w:sz="4" w:space="0" w:color="auto"/>
              <w:left w:val="nil"/>
              <w:bottom w:val="single" w:sz="4" w:space="0" w:color="auto"/>
              <w:right w:val="nil"/>
            </w:tcBorders>
            <w:shd w:val="clear" w:color="auto" w:fill="auto"/>
            <w:vAlign w:val="center"/>
          </w:tcPr>
          <w:p w14:paraId="32977D18" w14:textId="77777777" w:rsidR="00F731AC" w:rsidRPr="00097EC4" w:rsidRDefault="00F731AC" w:rsidP="00CC768C">
            <w:pPr>
              <w:spacing w:after="0" w:line="245" w:lineRule="auto"/>
              <w:rPr>
                <w:color w:val="auto"/>
              </w:rPr>
            </w:pPr>
            <w:r w:rsidRPr="00097EC4">
              <w:rPr>
                <w:color w:val="auto"/>
              </w:rPr>
              <w:t>†††</w:t>
            </w:r>
          </w:p>
        </w:tc>
      </w:tr>
      <w:tr w:rsidR="00F731AC" w:rsidRPr="00097EC4" w14:paraId="1BABC623" w14:textId="77777777" w:rsidTr="00CC768C">
        <w:trPr>
          <w:gridAfter w:val="1"/>
          <w:wAfter w:w="12" w:type="dxa"/>
          <w:trHeight w:val="227"/>
          <w:jc w:val="center"/>
        </w:trPr>
        <w:tc>
          <w:tcPr>
            <w:tcW w:w="3960" w:type="dxa"/>
            <w:tcBorders>
              <w:top w:val="single" w:sz="4" w:space="0" w:color="auto"/>
              <w:left w:val="nil"/>
              <w:right w:val="single" w:sz="4" w:space="0" w:color="auto"/>
            </w:tcBorders>
            <w:shd w:val="clear" w:color="000000" w:fill="FFFFFF"/>
            <w:tcMar>
              <w:top w:w="28" w:type="dxa"/>
              <w:bottom w:w="28" w:type="dxa"/>
            </w:tcMar>
            <w:vAlign w:val="center"/>
          </w:tcPr>
          <w:p w14:paraId="339B161F" w14:textId="77777777" w:rsidR="00F731AC" w:rsidRPr="00097EC4" w:rsidRDefault="00F731AC" w:rsidP="00CC768C">
            <w:pPr>
              <w:spacing w:after="0" w:line="245" w:lineRule="auto"/>
              <w:rPr>
                <w:rFonts w:eastAsia="Times New Roman"/>
                <w:b/>
                <w:color w:val="auto"/>
                <w:lang w:eastAsia="en-SG"/>
              </w:rPr>
            </w:pPr>
            <w:r w:rsidRPr="00097EC4">
              <w:rPr>
                <w:rFonts w:eastAsia="Times New Roman"/>
                <w:b/>
                <w:color w:val="auto"/>
                <w:lang w:eastAsia="en-SG"/>
              </w:rPr>
              <w:t>Alternative Model Specification</w:t>
            </w:r>
          </w:p>
        </w:tc>
        <w:tc>
          <w:tcPr>
            <w:tcW w:w="706" w:type="dxa"/>
            <w:tcBorders>
              <w:top w:val="single" w:sz="4" w:space="0" w:color="auto"/>
              <w:left w:val="single" w:sz="4" w:space="0" w:color="auto"/>
              <w:right w:val="nil"/>
            </w:tcBorders>
            <w:shd w:val="clear" w:color="000000" w:fill="FFFFFF"/>
            <w:vAlign w:val="center"/>
          </w:tcPr>
          <w:p w14:paraId="5FAC857E" w14:textId="77777777" w:rsidR="00F731AC" w:rsidRPr="00097EC4" w:rsidRDefault="00F731AC" w:rsidP="00CC768C">
            <w:pPr>
              <w:spacing w:after="0" w:line="245" w:lineRule="auto"/>
              <w:jc w:val="right"/>
              <w:rPr>
                <w:rFonts w:eastAsia="Times New Roman"/>
                <w:b/>
                <w:color w:val="auto"/>
                <w:lang w:eastAsia="en-SG"/>
              </w:rPr>
            </w:pPr>
          </w:p>
        </w:tc>
        <w:tc>
          <w:tcPr>
            <w:tcW w:w="644" w:type="dxa"/>
            <w:tcBorders>
              <w:top w:val="single" w:sz="4" w:space="0" w:color="auto"/>
              <w:left w:val="nil"/>
              <w:right w:val="single" w:sz="4" w:space="0" w:color="auto"/>
            </w:tcBorders>
            <w:shd w:val="clear" w:color="000000" w:fill="FFFFFF"/>
            <w:vAlign w:val="center"/>
          </w:tcPr>
          <w:p w14:paraId="788A11A1" w14:textId="77777777" w:rsidR="00F731AC" w:rsidRPr="00097EC4" w:rsidRDefault="00F731AC" w:rsidP="00CC768C">
            <w:pPr>
              <w:spacing w:after="0" w:line="245" w:lineRule="auto"/>
              <w:rPr>
                <w:rFonts w:eastAsia="Times New Roman"/>
                <w:b/>
                <w:color w:val="auto"/>
                <w:lang w:eastAsia="en-SG"/>
              </w:rPr>
            </w:pPr>
          </w:p>
        </w:tc>
        <w:tc>
          <w:tcPr>
            <w:tcW w:w="771" w:type="dxa"/>
            <w:tcBorders>
              <w:top w:val="single" w:sz="4" w:space="0" w:color="auto"/>
              <w:left w:val="single" w:sz="4" w:space="0" w:color="auto"/>
              <w:right w:val="nil"/>
            </w:tcBorders>
            <w:shd w:val="clear" w:color="000000" w:fill="FFFFFF"/>
            <w:vAlign w:val="center"/>
          </w:tcPr>
          <w:p w14:paraId="63D34C0A" w14:textId="77777777" w:rsidR="00F731AC" w:rsidRPr="00097EC4" w:rsidRDefault="00F731AC" w:rsidP="00CC768C">
            <w:pPr>
              <w:spacing w:after="0" w:line="245" w:lineRule="auto"/>
              <w:jc w:val="right"/>
              <w:rPr>
                <w:rFonts w:eastAsia="Times New Roman"/>
                <w:color w:val="auto"/>
                <w:lang w:eastAsia="en-SG"/>
              </w:rPr>
            </w:pPr>
          </w:p>
        </w:tc>
        <w:tc>
          <w:tcPr>
            <w:tcW w:w="669" w:type="dxa"/>
            <w:tcBorders>
              <w:top w:val="single" w:sz="4" w:space="0" w:color="auto"/>
              <w:left w:val="nil"/>
              <w:right w:val="single" w:sz="4" w:space="0" w:color="auto"/>
            </w:tcBorders>
            <w:shd w:val="clear" w:color="000000" w:fill="FFFFFF"/>
            <w:vAlign w:val="center"/>
          </w:tcPr>
          <w:p w14:paraId="3C1913E5" w14:textId="77777777" w:rsidR="00F731AC" w:rsidRPr="00097EC4" w:rsidRDefault="00F731AC" w:rsidP="00CC768C">
            <w:pPr>
              <w:spacing w:after="0" w:line="245" w:lineRule="auto"/>
              <w:rPr>
                <w:rFonts w:eastAsia="Times New Roman"/>
                <w:color w:val="auto"/>
                <w:lang w:eastAsia="en-SG"/>
              </w:rPr>
            </w:pPr>
          </w:p>
        </w:tc>
        <w:tc>
          <w:tcPr>
            <w:tcW w:w="745" w:type="dxa"/>
            <w:tcBorders>
              <w:top w:val="single" w:sz="4" w:space="0" w:color="auto"/>
              <w:left w:val="single" w:sz="4" w:space="0" w:color="auto"/>
              <w:right w:val="nil"/>
            </w:tcBorders>
            <w:shd w:val="clear" w:color="000000" w:fill="FFFFFF"/>
            <w:vAlign w:val="center"/>
          </w:tcPr>
          <w:p w14:paraId="291D0020" w14:textId="77777777" w:rsidR="00F731AC" w:rsidRPr="00097EC4" w:rsidRDefault="00F731AC" w:rsidP="00CC768C">
            <w:pPr>
              <w:spacing w:after="0" w:line="245" w:lineRule="auto"/>
              <w:jc w:val="right"/>
              <w:rPr>
                <w:rFonts w:eastAsia="Times New Roman"/>
                <w:color w:val="auto"/>
                <w:lang w:eastAsia="en-SG"/>
              </w:rPr>
            </w:pPr>
          </w:p>
        </w:tc>
        <w:tc>
          <w:tcPr>
            <w:tcW w:w="695" w:type="dxa"/>
            <w:tcBorders>
              <w:top w:val="single" w:sz="4" w:space="0" w:color="auto"/>
              <w:left w:val="nil"/>
              <w:right w:val="single" w:sz="4" w:space="0" w:color="auto"/>
            </w:tcBorders>
            <w:shd w:val="clear" w:color="000000" w:fill="FFFFFF"/>
            <w:vAlign w:val="center"/>
          </w:tcPr>
          <w:p w14:paraId="589A8D7C" w14:textId="77777777" w:rsidR="00F731AC" w:rsidRPr="00097EC4" w:rsidRDefault="00F731AC" w:rsidP="00CC768C">
            <w:pPr>
              <w:spacing w:after="0" w:line="245" w:lineRule="auto"/>
              <w:rPr>
                <w:rFonts w:eastAsia="Times New Roman"/>
                <w:color w:val="auto"/>
                <w:lang w:eastAsia="en-SG"/>
              </w:rPr>
            </w:pPr>
          </w:p>
        </w:tc>
        <w:tc>
          <w:tcPr>
            <w:tcW w:w="720" w:type="dxa"/>
            <w:tcBorders>
              <w:top w:val="single" w:sz="4" w:space="0" w:color="auto"/>
              <w:left w:val="single" w:sz="4" w:space="0" w:color="auto"/>
              <w:right w:val="nil"/>
            </w:tcBorders>
            <w:shd w:val="clear" w:color="000000" w:fill="FFFFFF"/>
            <w:vAlign w:val="center"/>
          </w:tcPr>
          <w:p w14:paraId="3C32C14A" w14:textId="77777777" w:rsidR="00F731AC" w:rsidRPr="00097EC4" w:rsidRDefault="00F731AC" w:rsidP="00CC768C">
            <w:pPr>
              <w:spacing w:after="0" w:line="245" w:lineRule="auto"/>
              <w:jc w:val="right"/>
              <w:rPr>
                <w:rFonts w:eastAsia="Times New Roman"/>
                <w:color w:val="auto"/>
                <w:lang w:eastAsia="en-SG"/>
              </w:rPr>
            </w:pPr>
          </w:p>
        </w:tc>
        <w:tc>
          <w:tcPr>
            <w:tcW w:w="720" w:type="dxa"/>
            <w:tcBorders>
              <w:top w:val="single" w:sz="4" w:space="0" w:color="auto"/>
              <w:left w:val="nil"/>
              <w:right w:val="single" w:sz="4" w:space="0" w:color="auto"/>
            </w:tcBorders>
            <w:shd w:val="clear" w:color="000000" w:fill="FFFFFF"/>
            <w:vAlign w:val="center"/>
          </w:tcPr>
          <w:p w14:paraId="022DF54D" w14:textId="77777777" w:rsidR="00F731AC" w:rsidRPr="00097EC4" w:rsidRDefault="00F731AC" w:rsidP="00CC768C">
            <w:pPr>
              <w:spacing w:after="0" w:line="245" w:lineRule="auto"/>
              <w:rPr>
                <w:rFonts w:eastAsia="Times New Roman"/>
                <w:color w:val="auto"/>
                <w:lang w:eastAsia="en-SG"/>
              </w:rPr>
            </w:pPr>
          </w:p>
        </w:tc>
        <w:tc>
          <w:tcPr>
            <w:tcW w:w="696" w:type="dxa"/>
            <w:tcBorders>
              <w:top w:val="single" w:sz="4" w:space="0" w:color="auto"/>
              <w:left w:val="single" w:sz="4" w:space="0" w:color="auto"/>
              <w:right w:val="nil"/>
            </w:tcBorders>
            <w:vAlign w:val="center"/>
          </w:tcPr>
          <w:p w14:paraId="38282E0A" w14:textId="77777777" w:rsidR="00F731AC" w:rsidRPr="00097EC4" w:rsidRDefault="00F731AC" w:rsidP="00CC768C">
            <w:pPr>
              <w:spacing w:after="0" w:line="245" w:lineRule="auto"/>
              <w:jc w:val="right"/>
              <w:rPr>
                <w:rFonts w:eastAsia="Times New Roman"/>
                <w:color w:val="auto"/>
                <w:lang w:eastAsia="en-SG"/>
              </w:rPr>
            </w:pPr>
          </w:p>
        </w:tc>
        <w:tc>
          <w:tcPr>
            <w:tcW w:w="654" w:type="dxa"/>
            <w:tcBorders>
              <w:top w:val="single" w:sz="4" w:space="0" w:color="auto"/>
              <w:left w:val="nil"/>
              <w:right w:val="single" w:sz="4" w:space="0" w:color="auto"/>
            </w:tcBorders>
            <w:vAlign w:val="center"/>
          </w:tcPr>
          <w:p w14:paraId="787B0FC5" w14:textId="77777777" w:rsidR="00F731AC" w:rsidRPr="00097EC4" w:rsidRDefault="00F731AC" w:rsidP="00CC768C">
            <w:pPr>
              <w:spacing w:after="0" w:line="245" w:lineRule="auto"/>
              <w:rPr>
                <w:rFonts w:eastAsia="Times New Roman"/>
                <w:color w:val="auto"/>
                <w:lang w:eastAsia="en-SG"/>
              </w:rPr>
            </w:pPr>
          </w:p>
        </w:tc>
        <w:tc>
          <w:tcPr>
            <w:tcW w:w="760" w:type="dxa"/>
            <w:tcBorders>
              <w:top w:val="single" w:sz="4" w:space="0" w:color="auto"/>
              <w:left w:val="single" w:sz="4" w:space="0" w:color="auto"/>
              <w:right w:val="nil"/>
            </w:tcBorders>
            <w:vAlign w:val="center"/>
          </w:tcPr>
          <w:p w14:paraId="2418FD1E" w14:textId="77777777" w:rsidR="00F731AC" w:rsidRPr="00097EC4" w:rsidRDefault="00F731AC" w:rsidP="00CC768C">
            <w:pPr>
              <w:spacing w:after="0" w:line="245" w:lineRule="auto"/>
              <w:jc w:val="right"/>
              <w:rPr>
                <w:rFonts w:eastAsia="Times New Roman"/>
                <w:color w:val="auto"/>
                <w:lang w:eastAsia="en-SG"/>
              </w:rPr>
            </w:pPr>
          </w:p>
        </w:tc>
        <w:tc>
          <w:tcPr>
            <w:tcW w:w="680" w:type="dxa"/>
            <w:tcBorders>
              <w:top w:val="single" w:sz="4" w:space="0" w:color="auto"/>
              <w:left w:val="nil"/>
              <w:right w:val="single" w:sz="4" w:space="0" w:color="auto"/>
            </w:tcBorders>
            <w:vAlign w:val="center"/>
          </w:tcPr>
          <w:p w14:paraId="6DB327CF" w14:textId="77777777" w:rsidR="00F731AC" w:rsidRPr="00097EC4" w:rsidRDefault="00F731AC" w:rsidP="00CC768C">
            <w:pPr>
              <w:spacing w:after="0" w:line="245" w:lineRule="auto"/>
              <w:rPr>
                <w:rFonts w:eastAsia="Times New Roman"/>
                <w:color w:val="auto"/>
                <w:lang w:eastAsia="en-SG"/>
              </w:rPr>
            </w:pPr>
          </w:p>
        </w:tc>
        <w:tc>
          <w:tcPr>
            <w:tcW w:w="735" w:type="dxa"/>
            <w:tcBorders>
              <w:top w:val="single" w:sz="4" w:space="0" w:color="auto"/>
              <w:left w:val="single" w:sz="4" w:space="0" w:color="auto"/>
              <w:right w:val="nil"/>
            </w:tcBorders>
            <w:shd w:val="clear" w:color="000000" w:fill="FFFFFF"/>
            <w:tcMar>
              <w:top w:w="28" w:type="dxa"/>
              <w:bottom w:w="28" w:type="dxa"/>
            </w:tcMar>
            <w:vAlign w:val="center"/>
          </w:tcPr>
          <w:p w14:paraId="0D0B2E15" w14:textId="77777777" w:rsidR="00F731AC" w:rsidRPr="00097EC4" w:rsidRDefault="00F731AC" w:rsidP="00CC768C">
            <w:pPr>
              <w:spacing w:after="0" w:line="245" w:lineRule="auto"/>
              <w:jc w:val="right"/>
              <w:rPr>
                <w:rFonts w:eastAsia="Times New Roman"/>
                <w:color w:val="auto"/>
                <w:lang w:eastAsia="en-SG"/>
              </w:rPr>
            </w:pPr>
          </w:p>
        </w:tc>
        <w:tc>
          <w:tcPr>
            <w:tcW w:w="708" w:type="dxa"/>
            <w:tcBorders>
              <w:top w:val="single" w:sz="4" w:space="0" w:color="auto"/>
              <w:left w:val="nil"/>
              <w:right w:val="nil"/>
            </w:tcBorders>
            <w:shd w:val="clear" w:color="000000" w:fill="FFFFFF"/>
            <w:vAlign w:val="center"/>
          </w:tcPr>
          <w:p w14:paraId="00F3951A" w14:textId="77777777" w:rsidR="00F731AC" w:rsidRPr="00097EC4" w:rsidRDefault="00F731AC" w:rsidP="00CC768C">
            <w:pPr>
              <w:spacing w:after="0" w:line="245" w:lineRule="auto"/>
              <w:rPr>
                <w:rFonts w:eastAsia="Times New Roman"/>
                <w:color w:val="auto"/>
                <w:lang w:eastAsia="en-SG"/>
              </w:rPr>
            </w:pPr>
          </w:p>
        </w:tc>
      </w:tr>
      <w:tr w:rsidR="00F731AC" w:rsidRPr="00097EC4" w14:paraId="1576C273" w14:textId="77777777" w:rsidTr="00CC768C">
        <w:trPr>
          <w:gridAfter w:val="1"/>
          <w:wAfter w:w="12" w:type="dxa"/>
          <w:trHeight w:val="227"/>
          <w:jc w:val="center"/>
        </w:trPr>
        <w:tc>
          <w:tcPr>
            <w:tcW w:w="3960" w:type="dxa"/>
            <w:tcBorders>
              <w:top w:val="nil"/>
              <w:left w:val="nil"/>
              <w:right w:val="single" w:sz="4" w:space="0" w:color="auto"/>
            </w:tcBorders>
            <w:shd w:val="clear" w:color="000000" w:fill="FFFFFF"/>
            <w:tcMar>
              <w:top w:w="28" w:type="dxa"/>
              <w:bottom w:w="28" w:type="dxa"/>
            </w:tcMar>
            <w:vAlign w:val="center"/>
          </w:tcPr>
          <w:p w14:paraId="27DCEF54" w14:textId="77777777" w:rsidR="00F731AC" w:rsidRPr="00097EC4" w:rsidRDefault="00F731AC" w:rsidP="00CC768C">
            <w:pPr>
              <w:spacing w:after="0" w:line="245" w:lineRule="auto"/>
              <w:rPr>
                <w:rFonts w:eastAsia="Times New Roman"/>
                <w:color w:val="auto"/>
                <w:lang w:eastAsia="en-SG"/>
              </w:rPr>
            </w:pPr>
            <w:r w:rsidRPr="00097EC4">
              <w:rPr>
                <w:rFonts w:eastAsia="Times New Roman"/>
                <w:color w:val="auto"/>
                <w:lang w:eastAsia="en-SG"/>
              </w:rPr>
              <w:t xml:space="preserve">   Random Effects with Year Dummies</w:t>
            </w:r>
          </w:p>
        </w:tc>
        <w:tc>
          <w:tcPr>
            <w:tcW w:w="706" w:type="dxa"/>
            <w:tcBorders>
              <w:top w:val="nil"/>
              <w:left w:val="single" w:sz="4" w:space="0" w:color="auto"/>
              <w:right w:val="nil"/>
            </w:tcBorders>
            <w:shd w:val="clear" w:color="auto" w:fill="auto"/>
            <w:tcMar>
              <w:top w:w="28" w:type="dxa"/>
              <w:bottom w:w="28" w:type="dxa"/>
            </w:tcMar>
            <w:vAlign w:val="center"/>
          </w:tcPr>
          <w:p w14:paraId="61D63AD9" w14:textId="77777777" w:rsidR="00F731AC" w:rsidRPr="00097EC4" w:rsidRDefault="00F731AC" w:rsidP="00CC768C">
            <w:pPr>
              <w:spacing w:after="0" w:line="245" w:lineRule="auto"/>
              <w:jc w:val="right"/>
              <w:rPr>
                <w:color w:val="auto"/>
              </w:rPr>
            </w:pPr>
            <w:r w:rsidRPr="00097EC4">
              <w:rPr>
                <w:color w:val="auto"/>
              </w:rPr>
              <w:t>-.002</w:t>
            </w:r>
          </w:p>
        </w:tc>
        <w:tc>
          <w:tcPr>
            <w:tcW w:w="644" w:type="dxa"/>
            <w:tcBorders>
              <w:top w:val="nil"/>
              <w:left w:val="nil"/>
              <w:right w:val="single" w:sz="4" w:space="0" w:color="auto"/>
            </w:tcBorders>
            <w:shd w:val="clear" w:color="auto" w:fill="auto"/>
            <w:vAlign w:val="center"/>
          </w:tcPr>
          <w:p w14:paraId="729C8A68" w14:textId="77777777" w:rsidR="00F731AC" w:rsidRPr="00097EC4" w:rsidRDefault="00F731AC" w:rsidP="00CC768C">
            <w:pPr>
              <w:spacing w:after="0" w:line="245" w:lineRule="auto"/>
              <w:rPr>
                <w:color w:val="auto"/>
              </w:rPr>
            </w:pPr>
            <w:r w:rsidRPr="00097EC4">
              <w:rPr>
                <w:color w:val="auto"/>
              </w:rPr>
              <w:t>††</w:t>
            </w:r>
          </w:p>
        </w:tc>
        <w:tc>
          <w:tcPr>
            <w:tcW w:w="771" w:type="dxa"/>
            <w:tcBorders>
              <w:top w:val="nil"/>
              <w:left w:val="single" w:sz="4" w:space="0" w:color="auto"/>
              <w:right w:val="nil"/>
            </w:tcBorders>
            <w:shd w:val="clear" w:color="auto" w:fill="auto"/>
            <w:vAlign w:val="center"/>
          </w:tcPr>
          <w:p w14:paraId="7A76ABC4" w14:textId="77777777" w:rsidR="00F731AC" w:rsidRPr="00097EC4" w:rsidRDefault="00F731AC" w:rsidP="00CC768C">
            <w:pPr>
              <w:spacing w:after="0" w:line="245" w:lineRule="auto"/>
              <w:jc w:val="right"/>
              <w:rPr>
                <w:color w:val="auto"/>
              </w:rPr>
            </w:pPr>
            <w:r w:rsidRPr="00097EC4">
              <w:rPr>
                <w:color w:val="auto"/>
              </w:rPr>
              <w:t>-.003</w:t>
            </w:r>
          </w:p>
        </w:tc>
        <w:tc>
          <w:tcPr>
            <w:tcW w:w="669" w:type="dxa"/>
            <w:tcBorders>
              <w:top w:val="nil"/>
              <w:left w:val="nil"/>
              <w:right w:val="single" w:sz="4" w:space="0" w:color="auto"/>
            </w:tcBorders>
            <w:shd w:val="clear" w:color="auto" w:fill="auto"/>
            <w:vAlign w:val="center"/>
          </w:tcPr>
          <w:p w14:paraId="35A8854D" w14:textId="77777777" w:rsidR="00F731AC" w:rsidRPr="00097EC4" w:rsidRDefault="00F731AC" w:rsidP="00CC768C">
            <w:pPr>
              <w:spacing w:after="0" w:line="245" w:lineRule="auto"/>
              <w:rPr>
                <w:color w:val="auto"/>
              </w:rPr>
            </w:pPr>
            <w:r w:rsidRPr="00097EC4">
              <w:rPr>
                <w:color w:val="auto"/>
              </w:rPr>
              <w:t>†††</w:t>
            </w:r>
          </w:p>
        </w:tc>
        <w:tc>
          <w:tcPr>
            <w:tcW w:w="745" w:type="dxa"/>
            <w:tcBorders>
              <w:top w:val="nil"/>
              <w:left w:val="single" w:sz="4" w:space="0" w:color="auto"/>
              <w:right w:val="nil"/>
            </w:tcBorders>
            <w:shd w:val="clear" w:color="auto" w:fill="auto"/>
            <w:vAlign w:val="center"/>
          </w:tcPr>
          <w:p w14:paraId="1D0EA1A2" w14:textId="77777777" w:rsidR="00F731AC" w:rsidRPr="00097EC4" w:rsidRDefault="00F731AC" w:rsidP="00CC768C">
            <w:pPr>
              <w:spacing w:after="0" w:line="245" w:lineRule="auto"/>
              <w:jc w:val="right"/>
              <w:rPr>
                <w:color w:val="auto"/>
              </w:rPr>
            </w:pPr>
            <w:r w:rsidRPr="00097EC4">
              <w:rPr>
                <w:color w:val="auto"/>
              </w:rPr>
              <w:t>.005</w:t>
            </w:r>
          </w:p>
        </w:tc>
        <w:tc>
          <w:tcPr>
            <w:tcW w:w="695" w:type="dxa"/>
            <w:tcBorders>
              <w:top w:val="nil"/>
              <w:left w:val="nil"/>
              <w:right w:val="single" w:sz="4" w:space="0" w:color="auto"/>
            </w:tcBorders>
            <w:shd w:val="clear" w:color="auto" w:fill="auto"/>
            <w:vAlign w:val="center"/>
          </w:tcPr>
          <w:p w14:paraId="555B8257" w14:textId="77777777" w:rsidR="00F731AC" w:rsidRPr="00097EC4" w:rsidRDefault="00F731AC" w:rsidP="00CC768C">
            <w:pPr>
              <w:spacing w:after="0" w:line="245" w:lineRule="auto"/>
              <w:rPr>
                <w:color w:val="auto"/>
              </w:rPr>
            </w:pPr>
            <w:r w:rsidRPr="00097EC4">
              <w:rPr>
                <w:color w:val="auto"/>
              </w:rPr>
              <w:t>†††</w:t>
            </w:r>
          </w:p>
        </w:tc>
        <w:tc>
          <w:tcPr>
            <w:tcW w:w="720" w:type="dxa"/>
            <w:tcBorders>
              <w:top w:val="nil"/>
              <w:left w:val="single" w:sz="4" w:space="0" w:color="auto"/>
              <w:right w:val="nil"/>
            </w:tcBorders>
            <w:shd w:val="clear" w:color="auto" w:fill="auto"/>
            <w:vAlign w:val="center"/>
          </w:tcPr>
          <w:p w14:paraId="32A4302D" w14:textId="77777777" w:rsidR="00F731AC" w:rsidRPr="00097EC4" w:rsidRDefault="00F731AC" w:rsidP="00CC768C">
            <w:pPr>
              <w:spacing w:after="0" w:line="245" w:lineRule="auto"/>
              <w:jc w:val="right"/>
              <w:rPr>
                <w:color w:val="auto"/>
              </w:rPr>
            </w:pPr>
            <w:r w:rsidRPr="00097EC4">
              <w:rPr>
                <w:color w:val="auto"/>
              </w:rPr>
              <w:t>.002</w:t>
            </w:r>
          </w:p>
        </w:tc>
        <w:tc>
          <w:tcPr>
            <w:tcW w:w="720" w:type="dxa"/>
            <w:tcBorders>
              <w:top w:val="nil"/>
              <w:left w:val="nil"/>
              <w:right w:val="single" w:sz="4" w:space="0" w:color="auto"/>
            </w:tcBorders>
            <w:shd w:val="clear" w:color="auto" w:fill="auto"/>
            <w:vAlign w:val="center"/>
          </w:tcPr>
          <w:p w14:paraId="5FD90FC1" w14:textId="77777777" w:rsidR="00F731AC" w:rsidRPr="00097EC4" w:rsidRDefault="00F731AC" w:rsidP="00CC768C">
            <w:pPr>
              <w:spacing w:after="0" w:line="245" w:lineRule="auto"/>
              <w:rPr>
                <w:color w:val="auto"/>
              </w:rPr>
            </w:pPr>
            <w:r w:rsidRPr="00097EC4">
              <w:rPr>
                <w:color w:val="auto"/>
              </w:rPr>
              <w:t>††</w:t>
            </w:r>
          </w:p>
        </w:tc>
        <w:tc>
          <w:tcPr>
            <w:tcW w:w="696" w:type="dxa"/>
            <w:tcBorders>
              <w:left w:val="single" w:sz="4" w:space="0" w:color="auto"/>
              <w:right w:val="nil"/>
            </w:tcBorders>
            <w:vAlign w:val="center"/>
          </w:tcPr>
          <w:p w14:paraId="253E3E0D" w14:textId="77777777" w:rsidR="00F731AC" w:rsidRPr="00097EC4" w:rsidRDefault="00F731AC" w:rsidP="00CC768C">
            <w:pPr>
              <w:spacing w:after="0" w:line="245" w:lineRule="auto"/>
              <w:jc w:val="right"/>
              <w:rPr>
                <w:color w:val="auto"/>
              </w:rPr>
            </w:pPr>
            <w:r w:rsidRPr="00097EC4">
              <w:rPr>
                <w:color w:val="auto"/>
              </w:rPr>
              <w:t>.002</w:t>
            </w:r>
          </w:p>
        </w:tc>
        <w:tc>
          <w:tcPr>
            <w:tcW w:w="654" w:type="dxa"/>
            <w:tcBorders>
              <w:left w:val="nil"/>
              <w:right w:val="single" w:sz="4" w:space="0" w:color="auto"/>
            </w:tcBorders>
            <w:vAlign w:val="center"/>
          </w:tcPr>
          <w:p w14:paraId="5FDF3184" w14:textId="77777777" w:rsidR="00F731AC" w:rsidRPr="00097EC4" w:rsidRDefault="00F731AC" w:rsidP="00CC768C">
            <w:pPr>
              <w:spacing w:after="0" w:line="245" w:lineRule="auto"/>
              <w:rPr>
                <w:color w:val="auto"/>
              </w:rPr>
            </w:pPr>
          </w:p>
        </w:tc>
        <w:tc>
          <w:tcPr>
            <w:tcW w:w="760" w:type="dxa"/>
            <w:tcBorders>
              <w:left w:val="single" w:sz="4" w:space="0" w:color="auto"/>
              <w:right w:val="nil"/>
            </w:tcBorders>
            <w:vAlign w:val="center"/>
          </w:tcPr>
          <w:p w14:paraId="107B8905" w14:textId="77777777" w:rsidR="00F731AC" w:rsidRPr="00097EC4" w:rsidRDefault="00F731AC" w:rsidP="00CC768C">
            <w:pPr>
              <w:spacing w:after="0" w:line="245" w:lineRule="auto"/>
              <w:jc w:val="right"/>
              <w:rPr>
                <w:color w:val="auto"/>
              </w:rPr>
            </w:pPr>
            <w:r w:rsidRPr="00097EC4">
              <w:rPr>
                <w:color w:val="auto"/>
              </w:rPr>
              <w:t>-.005</w:t>
            </w:r>
          </w:p>
        </w:tc>
        <w:tc>
          <w:tcPr>
            <w:tcW w:w="680" w:type="dxa"/>
            <w:tcBorders>
              <w:left w:val="nil"/>
              <w:right w:val="single" w:sz="4" w:space="0" w:color="auto"/>
            </w:tcBorders>
            <w:vAlign w:val="center"/>
          </w:tcPr>
          <w:p w14:paraId="6E444627" w14:textId="77777777" w:rsidR="00F731AC" w:rsidRPr="00097EC4" w:rsidRDefault="00F731AC" w:rsidP="00CC768C">
            <w:pPr>
              <w:spacing w:after="0" w:line="245" w:lineRule="auto"/>
              <w:rPr>
                <w:color w:val="auto"/>
              </w:rPr>
            </w:pPr>
            <w:r w:rsidRPr="00097EC4">
              <w:rPr>
                <w:color w:val="auto"/>
              </w:rPr>
              <w:t>†††</w:t>
            </w:r>
          </w:p>
        </w:tc>
        <w:tc>
          <w:tcPr>
            <w:tcW w:w="735" w:type="dxa"/>
            <w:tcBorders>
              <w:top w:val="nil"/>
              <w:left w:val="single" w:sz="4" w:space="0" w:color="auto"/>
              <w:right w:val="nil"/>
            </w:tcBorders>
            <w:shd w:val="clear" w:color="auto" w:fill="auto"/>
            <w:vAlign w:val="center"/>
          </w:tcPr>
          <w:p w14:paraId="4C442EFE" w14:textId="77777777" w:rsidR="00F731AC" w:rsidRPr="00097EC4" w:rsidRDefault="00F731AC" w:rsidP="00CC768C">
            <w:pPr>
              <w:spacing w:after="0" w:line="245" w:lineRule="auto"/>
              <w:jc w:val="right"/>
              <w:rPr>
                <w:color w:val="auto"/>
              </w:rPr>
            </w:pPr>
            <w:r w:rsidRPr="00097EC4">
              <w:rPr>
                <w:color w:val="auto"/>
              </w:rPr>
              <w:t>-.040</w:t>
            </w:r>
          </w:p>
        </w:tc>
        <w:tc>
          <w:tcPr>
            <w:tcW w:w="708" w:type="dxa"/>
            <w:tcBorders>
              <w:top w:val="nil"/>
              <w:left w:val="nil"/>
              <w:right w:val="nil"/>
            </w:tcBorders>
            <w:shd w:val="clear" w:color="auto" w:fill="auto"/>
            <w:vAlign w:val="center"/>
          </w:tcPr>
          <w:p w14:paraId="6ECBA49B" w14:textId="77777777" w:rsidR="00F731AC" w:rsidRPr="00097EC4" w:rsidRDefault="00F731AC" w:rsidP="00CC768C">
            <w:pPr>
              <w:spacing w:after="0" w:line="245" w:lineRule="auto"/>
              <w:rPr>
                <w:color w:val="auto"/>
              </w:rPr>
            </w:pPr>
            <w:r w:rsidRPr="00097EC4">
              <w:rPr>
                <w:color w:val="auto"/>
              </w:rPr>
              <w:t>†††</w:t>
            </w:r>
          </w:p>
        </w:tc>
      </w:tr>
      <w:tr w:rsidR="00F731AC" w:rsidRPr="00097EC4" w14:paraId="2F19ABBA" w14:textId="77777777" w:rsidTr="00CC768C">
        <w:trPr>
          <w:gridAfter w:val="1"/>
          <w:wAfter w:w="12" w:type="dxa"/>
          <w:trHeight w:val="227"/>
          <w:jc w:val="center"/>
        </w:trPr>
        <w:tc>
          <w:tcPr>
            <w:tcW w:w="3960" w:type="dxa"/>
            <w:tcBorders>
              <w:left w:val="nil"/>
              <w:right w:val="single" w:sz="4" w:space="0" w:color="auto"/>
            </w:tcBorders>
            <w:shd w:val="clear" w:color="000000" w:fill="FFFFFF"/>
            <w:tcMar>
              <w:top w:w="28" w:type="dxa"/>
              <w:bottom w:w="28" w:type="dxa"/>
            </w:tcMar>
            <w:vAlign w:val="center"/>
          </w:tcPr>
          <w:p w14:paraId="080E7E3D" w14:textId="77777777" w:rsidR="00F731AC" w:rsidRPr="00097EC4" w:rsidRDefault="00F731AC" w:rsidP="00CC768C">
            <w:pPr>
              <w:spacing w:after="0" w:line="245" w:lineRule="auto"/>
              <w:rPr>
                <w:rFonts w:eastAsia="Times New Roman"/>
                <w:color w:val="auto"/>
                <w:lang w:eastAsia="en-SG"/>
              </w:rPr>
            </w:pPr>
            <w:r w:rsidRPr="00097EC4">
              <w:rPr>
                <w:rFonts w:eastAsia="Times New Roman"/>
                <w:color w:val="auto"/>
                <w:lang w:eastAsia="en-SG"/>
              </w:rPr>
              <w:t xml:space="preserve">   Firm Fixed Effects with No Year Dummies</w:t>
            </w:r>
          </w:p>
        </w:tc>
        <w:tc>
          <w:tcPr>
            <w:tcW w:w="706" w:type="dxa"/>
            <w:tcBorders>
              <w:left w:val="single" w:sz="4" w:space="0" w:color="auto"/>
              <w:right w:val="nil"/>
            </w:tcBorders>
            <w:shd w:val="clear" w:color="auto" w:fill="auto"/>
            <w:tcMar>
              <w:top w:w="28" w:type="dxa"/>
              <w:bottom w:w="28" w:type="dxa"/>
            </w:tcMar>
            <w:vAlign w:val="center"/>
          </w:tcPr>
          <w:p w14:paraId="2F0D9013" w14:textId="77777777" w:rsidR="00F731AC" w:rsidRPr="00097EC4" w:rsidRDefault="00F731AC" w:rsidP="00CC768C">
            <w:pPr>
              <w:spacing w:after="0" w:line="245" w:lineRule="auto"/>
              <w:jc w:val="right"/>
              <w:rPr>
                <w:color w:val="auto"/>
              </w:rPr>
            </w:pPr>
            <w:r w:rsidRPr="00097EC4">
              <w:rPr>
                <w:color w:val="auto"/>
              </w:rPr>
              <w:t>-.003</w:t>
            </w:r>
          </w:p>
        </w:tc>
        <w:tc>
          <w:tcPr>
            <w:tcW w:w="644" w:type="dxa"/>
            <w:tcBorders>
              <w:left w:val="nil"/>
              <w:right w:val="single" w:sz="4" w:space="0" w:color="auto"/>
            </w:tcBorders>
            <w:shd w:val="clear" w:color="auto" w:fill="auto"/>
            <w:vAlign w:val="center"/>
          </w:tcPr>
          <w:p w14:paraId="365CFF4C" w14:textId="77777777" w:rsidR="00F731AC" w:rsidRPr="00097EC4" w:rsidRDefault="00F731AC" w:rsidP="00CC768C">
            <w:pPr>
              <w:spacing w:after="0" w:line="245" w:lineRule="auto"/>
              <w:rPr>
                <w:color w:val="auto"/>
              </w:rPr>
            </w:pPr>
            <w:r w:rsidRPr="00097EC4">
              <w:rPr>
                <w:color w:val="auto"/>
              </w:rPr>
              <w:t>†††</w:t>
            </w:r>
          </w:p>
        </w:tc>
        <w:tc>
          <w:tcPr>
            <w:tcW w:w="771" w:type="dxa"/>
            <w:tcBorders>
              <w:left w:val="single" w:sz="4" w:space="0" w:color="auto"/>
              <w:right w:val="nil"/>
            </w:tcBorders>
            <w:shd w:val="clear" w:color="auto" w:fill="auto"/>
            <w:vAlign w:val="center"/>
          </w:tcPr>
          <w:p w14:paraId="28BACAA5" w14:textId="77777777" w:rsidR="00F731AC" w:rsidRPr="00097EC4" w:rsidRDefault="00F731AC" w:rsidP="00CC768C">
            <w:pPr>
              <w:spacing w:after="0" w:line="245" w:lineRule="auto"/>
              <w:jc w:val="right"/>
              <w:rPr>
                <w:color w:val="auto"/>
              </w:rPr>
            </w:pPr>
            <w:r w:rsidRPr="00097EC4">
              <w:rPr>
                <w:color w:val="auto"/>
              </w:rPr>
              <w:t>-.003</w:t>
            </w:r>
          </w:p>
        </w:tc>
        <w:tc>
          <w:tcPr>
            <w:tcW w:w="669" w:type="dxa"/>
            <w:tcBorders>
              <w:left w:val="nil"/>
              <w:right w:val="single" w:sz="4" w:space="0" w:color="auto"/>
            </w:tcBorders>
            <w:shd w:val="clear" w:color="auto" w:fill="auto"/>
            <w:vAlign w:val="center"/>
          </w:tcPr>
          <w:p w14:paraId="20FCF316" w14:textId="77777777" w:rsidR="00F731AC" w:rsidRPr="00097EC4" w:rsidRDefault="00F731AC" w:rsidP="00CC768C">
            <w:pPr>
              <w:spacing w:after="0" w:line="245" w:lineRule="auto"/>
              <w:rPr>
                <w:color w:val="auto"/>
              </w:rPr>
            </w:pPr>
            <w:r w:rsidRPr="00097EC4">
              <w:rPr>
                <w:color w:val="auto"/>
              </w:rPr>
              <w:t>†††</w:t>
            </w:r>
          </w:p>
        </w:tc>
        <w:tc>
          <w:tcPr>
            <w:tcW w:w="745" w:type="dxa"/>
            <w:tcBorders>
              <w:left w:val="single" w:sz="4" w:space="0" w:color="auto"/>
              <w:right w:val="nil"/>
            </w:tcBorders>
            <w:shd w:val="clear" w:color="auto" w:fill="auto"/>
            <w:vAlign w:val="center"/>
          </w:tcPr>
          <w:p w14:paraId="23064FFC" w14:textId="77777777" w:rsidR="00F731AC" w:rsidRPr="00097EC4" w:rsidRDefault="00F731AC" w:rsidP="00CC768C">
            <w:pPr>
              <w:spacing w:after="0" w:line="245" w:lineRule="auto"/>
              <w:jc w:val="right"/>
              <w:rPr>
                <w:color w:val="auto"/>
              </w:rPr>
            </w:pPr>
            <w:r w:rsidRPr="00097EC4">
              <w:rPr>
                <w:color w:val="auto"/>
              </w:rPr>
              <w:t>.005</w:t>
            </w:r>
          </w:p>
        </w:tc>
        <w:tc>
          <w:tcPr>
            <w:tcW w:w="695" w:type="dxa"/>
            <w:tcBorders>
              <w:left w:val="nil"/>
              <w:right w:val="single" w:sz="4" w:space="0" w:color="auto"/>
            </w:tcBorders>
            <w:shd w:val="clear" w:color="auto" w:fill="auto"/>
            <w:vAlign w:val="center"/>
          </w:tcPr>
          <w:p w14:paraId="44374AD7" w14:textId="77777777" w:rsidR="00F731AC" w:rsidRPr="00097EC4" w:rsidRDefault="00F731AC" w:rsidP="00CC768C">
            <w:pPr>
              <w:spacing w:after="0" w:line="245" w:lineRule="auto"/>
              <w:rPr>
                <w:color w:val="auto"/>
              </w:rPr>
            </w:pPr>
            <w:r w:rsidRPr="00097EC4">
              <w:rPr>
                <w:color w:val="auto"/>
              </w:rPr>
              <w:t>†††</w:t>
            </w:r>
          </w:p>
        </w:tc>
        <w:tc>
          <w:tcPr>
            <w:tcW w:w="720" w:type="dxa"/>
            <w:tcBorders>
              <w:left w:val="single" w:sz="4" w:space="0" w:color="auto"/>
              <w:right w:val="nil"/>
            </w:tcBorders>
            <w:shd w:val="clear" w:color="auto" w:fill="auto"/>
            <w:vAlign w:val="center"/>
          </w:tcPr>
          <w:p w14:paraId="183F0136" w14:textId="77777777" w:rsidR="00F731AC" w:rsidRPr="00097EC4" w:rsidRDefault="00F731AC" w:rsidP="00CC768C">
            <w:pPr>
              <w:spacing w:after="0" w:line="245" w:lineRule="auto"/>
              <w:jc w:val="right"/>
              <w:rPr>
                <w:color w:val="auto"/>
              </w:rPr>
            </w:pPr>
            <w:r w:rsidRPr="00097EC4">
              <w:rPr>
                <w:color w:val="auto"/>
              </w:rPr>
              <w:t>.001</w:t>
            </w:r>
          </w:p>
        </w:tc>
        <w:tc>
          <w:tcPr>
            <w:tcW w:w="720" w:type="dxa"/>
            <w:tcBorders>
              <w:left w:val="nil"/>
              <w:right w:val="single" w:sz="4" w:space="0" w:color="auto"/>
            </w:tcBorders>
            <w:shd w:val="clear" w:color="auto" w:fill="auto"/>
            <w:vAlign w:val="center"/>
          </w:tcPr>
          <w:p w14:paraId="441E25B2" w14:textId="77777777" w:rsidR="00F731AC" w:rsidRPr="00097EC4" w:rsidRDefault="00F731AC" w:rsidP="00CC768C">
            <w:pPr>
              <w:spacing w:after="0" w:line="245" w:lineRule="auto"/>
              <w:rPr>
                <w:color w:val="auto"/>
              </w:rPr>
            </w:pPr>
            <w:r w:rsidRPr="00097EC4">
              <w:rPr>
                <w:color w:val="auto"/>
              </w:rPr>
              <w:t>†</w:t>
            </w:r>
          </w:p>
        </w:tc>
        <w:tc>
          <w:tcPr>
            <w:tcW w:w="696" w:type="dxa"/>
            <w:tcBorders>
              <w:left w:val="single" w:sz="4" w:space="0" w:color="auto"/>
              <w:right w:val="nil"/>
            </w:tcBorders>
            <w:vAlign w:val="center"/>
          </w:tcPr>
          <w:p w14:paraId="5398F687" w14:textId="77777777" w:rsidR="00F731AC" w:rsidRPr="00097EC4" w:rsidRDefault="00F731AC" w:rsidP="00CC768C">
            <w:pPr>
              <w:spacing w:after="0" w:line="245" w:lineRule="auto"/>
              <w:jc w:val="right"/>
              <w:rPr>
                <w:color w:val="auto"/>
              </w:rPr>
            </w:pPr>
            <w:r w:rsidRPr="00097EC4">
              <w:rPr>
                <w:color w:val="auto"/>
              </w:rPr>
              <w:t>.003</w:t>
            </w:r>
          </w:p>
        </w:tc>
        <w:tc>
          <w:tcPr>
            <w:tcW w:w="654" w:type="dxa"/>
            <w:tcBorders>
              <w:left w:val="nil"/>
              <w:right w:val="single" w:sz="4" w:space="0" w:color="auto"/>
            </w:tcBorders>
            <w:vAlign w:val="center"/>
          </w:tcPr>
          <w:p w14:paraId="2E368338" w14:textId="77777777" w:rsidR="00F731AC" w:rsidRPr="00097EC4" w:rsidRDefault="00F731AC" w:rsidP="00CC768C">
            <w:pPr>
              <w:spacing w:after="0" w:line="245" w:lineRule="auto"/>
              <w:rPr>
                <w:color w:val="auto"/>
              </w:rPr>
            </w:pPr>
          </w:p>
        </w:tc>
        <w:tc>
          <w:tcPr>
            <w:tcW w:w="760" w:type="dxa"/>
            <w:tcBorders>
              <w:left w:val="single" w:sz="4" w:space="0" w:color="auto"/>
              <w:right w:val="nil"/>
            </w:tcBorders>
            <w:vAlign w:val="center"/>
          </w:tcPr>
          <w:p w14:paraId="7C54BD94" w14:textId="77777777" w:rsidR="00F731AC" w:rsidRPr="00097EC4" w:rsidRDefault="00F731AC" w:rsidP="00CC768C">
            <w:pPr>
              <w:spacing w:after="0" w:line="245" w:lineRule="auto"/>
              <w:jc w:val="right"/>
              <w:rPr>
                <w:color w:val="auto"/>
              </w:rPr>
            </w:pPr>
            <w:r w:rsidRPr="00097EC4">
              <w:rPr>
                <w:color w:val="auto"/>
              </w:rPr>
              <w:t>-.005</w:t>
            </w:r>
          </w:p>
        </w:tc>
        <w:tc>
          <w:tcPr>
            <w:tcW w:w="680" w:type="dxa"/>
            <w:tcBorders>
              <w:left w:val="nil"/>
              <w:right w:val="single" w:sz="4" w:space="0" w:color="auto"/>
            </w:tcBorders>
            <w:vAlign w:val="center"/>
          </w:tcPr>
          <w:p w14:paraId="59F9C67C" w14:textId="77777777" w:rsidR="00F731AC" w:rsidRPr="00097EC4" w:rsidRDefault="00F731AC" w:rsidP="00CC768C">
            <w:pPr>
              <w:spacing w:after="0" w:line="245" w:lineRule="auto"/>
              <w:rPr>
                <w:color w:val="auto"/>
              </w:rPr>
            </w:pPr>
            <w:r w:rsidRPr="00097EC4">
              <w:rPr>
                <w:color w:val="auto"/>
              </w:rPr>
              <w:t>†††</w:t>
            </w:r>
          </w:p>
        </w:tc>
        <w:tc>
          <w:tcPr>
            <w:tcW w:w="735" w:type="dxa"/>
            <w:tcBorders>
              <w:left w:val="single" w:sz="4" w:space="0" w:color="auto"/>
              <w:right w:val="nil"/>
            </w:tcBorders>
            <w:shd w:val="clear" w:color="auto" w:fill="auto"/>
            <w:vAlign w:val="center"/>
          </w:tcPr>
          <w:p w14:paraId="5E40564A" w14:textId="77777777" w:rsidR="00F731AC" w:rsidRPr="00097EC4" w:rsidRDefault="00F731AC" w:rsidP="00CC768C">
            <w:pPr>
              <w:spacing w:after="0" w:line="245" w:lineRule="auto"/>
              <w:jc w:val="right"/>
              <w:rPr>
                <w:color w:val="auto"/>
              </w:rPr>
            </w:pPr>
            <w:r w:rsidRPr="00097EC4">
              <w:rPr>
                <w:color w:val="auto"/>
              </w:rPr>
              <w:t>-.034</w:t>
            </w:r>
          </w:p>
        </w:tc>
        <w:tc>
          <w:tcPr>
            <w:tcW w:w="708" w:type="dxa"/>
            <w:tcBorders>
              <w:left w:val="nil"/>
              <w:right w:val="nil"/>
            </w:tcBorders>
            <w:shd w:val="clear" w:color="auto" w:fill="auto"/>
            <w:vAlign w:val="center"/>
          </w:tcPr>
          <w:p w14:paraId="653B4D84" w14:textId="77777777" w:rsidR="00F731AC" w:rsidRPr="00097EC4" w:rsidRDefault="00F731AC" w:rsidP="00CC768C">
            <w:pPr>
              <w:spacing w:after="0" w:line="245" w:lineRule="auto"/>
              <w:rPr>
                <w:color w:val="auto"/>
              </w:rPr>
            </w:pPr>
            <w:r w:rsidRPr="00097EC4">
              <w:rPr>
                <w:color w:val="auto"/>
              </w:rPr>
              <w:t>††</w:t>
            </w:r>
          </w:p>
        </w:tc>
      </w:tr>
      <w:tr w:rsidR="00F731AC" w:rsidRPr="00097EC4" w14:paraId="5A28B567" w14:textId="77777777" w:rsidTr="00CC768C">
        <w:trPr>
          <w:gridAfter w:val="1"/>
          <w:wAfter w:w="12" w:type="dxa"/>
          <w:trHeight w:val="227"/>
          <w:jc w:val="center"/>
        </w:trPr>
        <w:tc>
          <w:tcPr>
            <w:tcW w:w="3960" w:type="dxa"/>
            <w:tcBorders>
              <w:left w:val="nil"/>
              <w:right w:val="single" w:sz="4" w:space="0" w:color="auto"/>
            </w:tcBorders>
            <w:shd w:val="clear" w:color="000000" w:fill="FFFFFF"/>
            <w:tcMar>
              <w:top w:w="28" w:type="dxa"/>
              <w:bottom w:w="28" w:type="dxa"/>
            </w:tcMar>
            <w:vAlign w:val="center"/>
          </w:tcPr>
          <w:p w14:paraId="06DDD232" w14:textId="77777777" w:rsidR="00F731AC" w:rsidRPr="00097EC4" w:rsidRDefault="00F731AC" w:rsidP="00CC768C">
            <w:pPr>
              <w:spacing w:after="0" w:line="245" w:lineRule="auto"/>
              <w:rPr>
                <w:rFonts w:eastAsia="Times New Roman"/>
                <w:color w:val="auto"/>
                <w:lang w:eastAsia="en-SG"/>
              </w:rPr>
            </w:pPr>
            <w:r w:rsidRPr="00097EC4">
              <w:rPr>
                <w:rFonts w:eastAsia="Times New Roman"/>
                <w:color w:val="auto"/>
                <w:lang w:eastAsia="en-SG"/>
              </w:rPr>
              <w:t xml:space="preserve">   Random Effects with No Year Dummies</w:t>
            </w:r>
          </w:p>
        </w:tc>
        <w:tc>
          <w:tcPr>
            <w:tcW w:w="706" w:type="dxa"/>
            <w:tcBorders>
              <w:left w:val="single" w:sz="4" w:space="0" w:color="auto"/>
              <w:right w:val="nil"/>
            </w:tcBorders>
            <w:shd w:val="clear" w:color="auto" w:fill="auto"/>
            <w:tcMar>
              <w:top w:w="28" w:type="dxa"/>
              <w:bottom w:w="28" w:type="dxa"/>
            </w:tcMar>
            <w:vAlign w:val="center"/>
          </w:tcPr>
          <w:p w14:paraId="06D5708E" w14:textId="77777777" w:rsidR="00F731AC" w:rsidRPr="00097EC4" w:rsidRDefault="00F731AC" w:rsidP="00CC768C">
            <w:pPr>
              <w:spacing w:after="0" w:line="245" w:lineRule="auto"/>
              <w:jc w:val="right"/>
              <w:rPr>
                <w:color w:val="auto"/>
              </w:rPr>
            </w:pPr>
            <w:r w:rsidRPr="00097EC4">
              <w:rPr>
                <w:color w:val="auto"/>
              </w:rPr>
              <w:t>-.002</w:t>
            </w:r>
          </w:p>
        </w:tc>
        <w:tc>
          <w:tcPr>
            <w:tcW w:w="644" w:type="dxa"/>
            <w:tcBorders>
              <w:left w:val="nil"/>
              <w:right w:val="single" w:sz="4" w:space="0" w:color="auto"/>
            </w:tcBorders>
            <w:shd w:val="clear" w:color="auto" w:fill="auto"/>
            <w:vAlign w:val="center"/>
          </w:tcPr>
          <w:p w14:paraId="454BA764" w14:textId="77777777" w:rsidR="00F731AC" w:rsidRPr="00097EC4" w:rsidRDefault="00F731AC" w:rsidP="00CC768C">
            <w:pPr>
              <w:spacing w:after="0" w:line="245" w:lineRule="auto"/>
              <w:rPr>
                <w:color w:val="auto"/>
              </w:rPr>
            </w:pPr>
            <w:r w:rsidRPr="00097EC4">
              <w:rPr>
                <w:color w:val="auto"/>
              </w:rPr>
              <w:t>†††</w:t>
            </w:r>
          </w:p>
        </w:tc>
        <w:tc>
          <w:tcPr>
            <w:tcW w:w="771" w:type="dxa"/>
            <w:tcBorders>
              <w:left w:val="single" w:sz="4" w:space="0" w:color="auto"/>
              <w:right w:val="nil"/>
            </w:tcBorders>
            <w:shd w:val="clear" w:color="auto" w:fill="auto"/>
            <w:vAlign w:val="center"/>
          </w:tcPr>
          <w:p w14:paraId="02617CD3" w14:textId="77777777" w:rsidR="00F731AC" w:rsidRPr="00097EC4" w:rsidRDefault="00F731AC" w:rsidP="00CC768C">
            <w:pPr>
              <w:spacing w:after="0" w:line="245" w:lineRule="auto"/>
              <w:jc w:val="right"/>
              <w:rPr>
                <w:color w:val="auto"/>
              </w:rPr>
            </w:pPr>
            <w:r w:rsidRPr="00097EC4">
              <w:rPr>
                <w:color w:val="auto"/>
              </w:rPr>
              <w:t>-.003</w:t>
            </w:r>
          </w:p>
        </w:tc>
        <w:tc>
          <w:tcPr>
            <w:tcW w:w="669" w:type="dxa"/>
            <w:tcBorders>
              <w:left w:val="nil"/>
              <w:right w:val="single" w:sz="4" w:space="0" w:color="auto"/>
            </w:tcBorders>
            <w:shd w:val="clear" w:color="auto" w:fill="auto"/>
            <w:vAlign w:val="center"/>
          </w:tcPr>
          <w:p w14:paraId="70FE67CB" w14:textId="77777777" w:rsidR="00F731AC" w:rsidRPr="00097EC4" w:rsidRDefault="00F731AC" w:rsidP="00CC768C">
            <w:pPr>
              <w:spacing w:after="0" w:line="245" w:lineRule="auto"/>
              <w:rPr>
                <w:color w:val="auto"/>
              </w:rPr>
            </w:pPr>
            <w:r w:rsidRPr="00097EC4">
              <w:rPr>
                <w:color w:val="auto"/>
              </w:rPr>
              <w:t>†††</w:t>
            </w:r>
          </w:p>
        </w:tc>
        <w:tc>
          <w:tcPr>
            <w:tcW w:w="745" w:type="dxa"/>
            <w:tcBorders>
              <w:left w:val="single" w:sz="4" w:space="0" w:color="auto"/>
              <w:right w:val="nil"/>
            </w:tcBorders>
            <w:shd w:val="clear" w:color="auto" w:fill="auto"/>
            <w:vAlign w:val="center"/>
          </w:tcPr>
          <w:p w14:paraId="6AE0B8FA" w14:textId="77777777" w:rsidR="00F731AC" w:rsidRPr="00097EC4" w:rsidRDefault="00F731AC" w:rsidP="00CC768C">
            <w:pPr>
              <w:spacing w:after="0" w:line="245" w:lineRule="auto"/>
              <w:jc w:val="right"/>
              <w:rPr>
                <w:color w:val="auto"/>
              </w:rPr>
            </w:pPr>
            <w:r w:rsidRPr="00097EC4">
              <w:rPr>
                <w:color w:val="auto"/>
              </w:rPr>
              <w:t>.005</w:t>
            </w:r>
          </w:p>
        </w:tc>
        <w:tc>
          <w:tcPr>
            <w:tcW w:w="695" w:type="dxa"/>
            <w:tcBorders>
              <w:left w:val="nil"/>
              <w:right w:val="single" w:sz="4" w:space="0" w:color="auto"/>
            </w:tcBorders>
            <w:shd w:val="clear" w:color="auto" w:fill="auto"/>
            <w:vAlign w:val="center"/>
          </w:tcPr>
          <w:p w14:paraId="4A2544AF" w14:textId="77777777" w:rsidR="00F731AC" w:rsidRPr="00097EC4" w:rsidRDefault="00F731AC" w:rsidP="00CC768C">
            <w:pPr>
              <w:spacing w:after="0" w:line="245" w:lineRule="auto"/>
              <w:rPr>
                <w:color w:val="auto"/>
              </w:rPr>
            </w:pPr>
            <w:r w:rsidRPr="00097EC4">
              <w:rPr>
                <w:color w:val="auto"/>
              </w:rPr>
              <w:t>†††</w:t>
            </w:r>
          </w:p>
        </w:tc>
        <w:tc>
          <w:tcPr>
            <w:tcW w:w="720" w:type="dxa"/>
            <w:tcBorders>
              <w:left w:val="single" w:sz="4" w:space="0" w:color="auto"/>
              <w:right w:val="nil"/>
            </w:tcBorders>
            <w:shd w:val="clear" w:color="auto" w:fill="auto"/>
            <w:vAlign w:val="center"/>
          </w:tcPr>
          <w:p w14:paraId="12C8BCC7" w14:textId="77777777" w:rsidR="00F731AC" w:rsidRPr="00097EC4" w:rsidRDefault="00F731AC" w:rsidP="00CC768C">
            <w:pPr>
              <w:spacing w:after="0" w:line="245" w:lineRule="auto"/>
              <w:jc w:val="right"/>
              <w:rPr>
                <w:color w:val="auto"/>
              </w:rPr>
            </w:pPr>
            <w:r w:rsidRPr="00097EC4">
              <w:rPr>
                <w:color w:val="auto"/>
              </w:rPr>
              <w:t>.001</w:t>
            </w:r>
          </w:p>
        </w:tc>
        <w:tc>
          <w:tcPr>
            <w:tcW w:w="720" w:type="dxa"/>
            <w:tcBorders>
              <w:left w:val="nil"/>
              <w:right w:val="single" w:sz="4" w:space="0" w:color="auto"/>
            </w:tcBorders>
            <w:shd w:val="clear" w:color="auto" w:fill="auto"/>
            <w:vAlign w:val="center"/>
          </w:tcPr>
          <w:p w14:paraId="39FED18B" w14:textId="77777777" w:rsidR="00F731AC" w:rsidRPr="00097EC4" w:rsidRDefault="00F731AC" w:rsidP="00CC768C">
            <w:pPr>
              <w:spacing w:after="0" w:line="245" w:lineRule="auto"/>
              <w:rPr>
                <w:color w:val="auto"/>
              </w:rPr>
            </w:pPr>
            <w:r w:rsidRPr="00097EC4">
              <w:rPr>
                <w:color w:val="auto"/>
              </w:rPr>
              <w:t>†</w:t>
            </w:r>
          </w:p>
        </w:tc>
        <w:tc>
          <w:tcPr>
            <w:tcW w:w="696" w:type="dxa"/>
            <w:tcBorders>
              <w:left w:val="single" w:sz="4" w:space="0" w:color="auto"/>
              <w:right w:val="nil"/>
            </w:tcBorders>
            <w:vAlign w:val="center"/>
          </w:tcPr>
          <w:p w14:paraId="7FB9A49F" w14:textId="77777777" w:rsidR="00F731AC" w:rsidRPr="00097EC4" w:rsidRDefault="00F731AC" w:rsidP="00CC768C">
            <w:pPr>
              <w:spacing w:after="0" w:line="245" w:lineRule="auto"/>
              <w:jc w:val="right"/>
              <w:rPr>
                <w:color w:val="auto"/>
              </w:rPr>
            </w:pPr>
            <w:r w:rsidRPr="00097EC4">
              <w:rPr>
                <w:color w:val="auto"/>
              </w:rPr>
              <w:t>.002</w:t>
            </w:r>
          </w:p>
        </w:tc>
        <w:tc>
          <w:tcPr>
            <w:tcW w:w="654" w:type="dxa"/>
            <w:tcBorders>
              <w:left w:val="nil"/>
              <w:right w:val="single" w:sz="4" w:space="0" w:color="auto"/>
            </w:tcBorders>
            <w:vAlign w:val="center"/>
          </w:tcPr>
          <w:p w14:paraId="0FED73E2" w14:textId="77777777" w:rsidR="00F731AC" w:rsidRPr="00097EC4" w:rsidRDefault="00F731AC" w:rsidP="00CC768C">
            <w:pPr>
              <w:spacing w:after="0" w:line="245" w:lineRule="auto"/>
              <w:rPr>
                <w:color w:val="auto"/>
              </w:rPr>
            </w:pPr>
          </w:p>
        </w:tc>
        <w:tc>
          <w:tcPr>
            <w:tcW w:w="760" w:type="dxa"/>
            <w:tcBorders>
              <w:left w:val="single" w:sz="4" w:space="0" w:color="auto"/>
              <w:right w:val="nil"/>
            </w:tcBorders>
            <w:vAlign w:val="center"/>
          </w:tcPr>
          <w:p w14:paraId="23834BFE" w14:textId="77777777" w:rsidR="00F731AC" w:rsidRPr="00097EC4" w:rsidRDefault="00F731AC" w:rsidP="00CC768C">
            <w:pPr>
              <w:spacing w:after="0" w:line="245" w:lineRule="auto"/>
              <w:jc w:val="right"/>
              <w:rPr>
                <w:color w:val="auto"/>
              </w:rPr>
            </w:pPr>
            <w:r w:rsidRPr="00097EC4">
              <w:rPr>
                <w:color w:val="auto"/>
              </w:rPr>
              <w:t>-.005</w:t>
            </w:r>
          </w:p>
        </w:tc>
        <w:tc>
          <w:tcPr>
            <w:tcW w:w="680" w:type="dxa"/>
            <w:tcBorders>
              <w:left w:val="nil"/>
              <w:right w:val="single" w:sz="4" w:space="0" w:color="auto"/>
            </w:tcBorders>
            <w:vAlign w:val="center"/>
          </w:tcPr>
          <w:p w14:paraId="7F070D29" w14:textId="77777777" w:rsidR="00F731AC" w:rsidRPr="00097EC4" w:rsidRDefault="00F731AC" w:rsidP="00CC768C">
            <w:pPr>
              <w:spacing w:after="0" w:line="245" w:lineRule="auto"/>
              <w:rPr>
                <w:color w:val="auto"/>
              </w:rPr>
            </w:pPr>
            <w:r w:rsidRPr="00097EC4">
              <w:rPr>
                <w:color w:val="auto"/>
              </w:rPr>
              <w:t>†††</w:t>
            </w:r>
          </w:p>
        </w:tc>
        <w:tc>
          <w:tcPr>
            <w:tcW w:w="735" w:type="dxa"/>
            <w:tcBorders>
              <w:left w:val="single" w:sz="4" w:space="0" w:color="auto"/>
              <w:right w:val="nil"/>
            </w:tcBorders>
            <w:shd w:val="clear" w:color="auto" w:fill="auto"/>
            <w:vAlign w:val="center"/>
          </w:tcPr>
          <w:p w14:paraId="4C90DF72" w14:textId="77777777" w:rsidR="00F731AC" w:rsidRPr="00097EC4" w:rsidRDefault="00F731AC" w:rsidP="00CC768C">
            <w:pPr>
              <w:spacing w:after="0" w:line="245" w:lineRule="auto"/>
              <w:jc w:val="right"/>
              <w:rPr>
                <w:color w:val="auto"/>
              </w:rPr>
            </w:pPr>
            <w:r w:rsidRPr="00097EC4">
              <w:rPr>
                <w:color w:val="auto"/>
              </w:rPr>
              <w:t>-.041</w:t>
            </w:r>
          </w:p>
        </w:tc>
        <w:tc>
          <w:tcPr>
            <w:tcW w:w="708" w:type="dxa"/>
            <w:tcBorders>
              <w:left w:val="nil"/>
              <w:right w:val="nil"/>
            </w:tcBorders>
            <w:shd w:val="clear" w:color="auto" w:fill="auto"/>
            <w:vAlign w:val="center"/>
          </w:tcPr>
          <w:p w14:paraId="6CD8F480" w14:textId="77777777" w:rsidR="00F731AC" w:rsidRPr="00097EC4" w:rsidRDefault="00F731AC" w:rsidP="00CC768C">
            <w:pPr>
              <w:spacing w:after="0" w:line="245" w:lineRule="auto"/>
              <w:rPr>
                <w:color w:val="auto"/>
              </w:rPr>
            </w:pPr>
            <w:r w:rsidRPr="00097EC4">
              <w:rPr>
                <w:color w:val="auto"/>
              </w:rPr>
              <w:t>†††</w:t>
            </w:r>
          </w:p>
        </w:tc>
      </w:tr>
      <w:tr w:rsidR="00F609B3" w:rsidRPr="00097EC4" w14:paraId="4861570F" w14:textId="77777777" w:rsidTr="00DC065A">
        <w:trPr>
          <w:gridAfter w:val="1"/>
          <w:wAfter w:w="12" w:type="dxa"/>
          <w:trHeight w:val="227"/>
          <w:jc w:val="center"/>
        </w:trPr>
        <w:tc>
          <w:tcPr>
            <w:tcW w:w="3960" w:type="dxa"/>
            <w:tcBorders>
              <w:top w:val="single" w:sz="4" w:space="0" w:color="auto"/>
              <w:left w:val="nil"/>
              <w:right w:val="single" w:sz="4" w:space="0" w:color="auto"/>
            </w:tcBorders>
            <w:shd w:val="clear" w:color="000000" w:fill="FFFFFF"/>
            <w:tcMar>
              <w:top w:w="28" w:type="dxa"/>
              <w:bottom w:w="28" w:type="dxa"/>
            </w:tcMar>
            <w:vAlign w:val="center"/>
          </w:tcPr>
          <w:p w14:paraId="66C427A0" w14:textId="77777777" w:rsidR="00F731AC" w:rsidRPr="00097EC4" w:rsidRDefault="00F731AC" w:rsidP="00CC768C">
            <w:pPr>
              <w:spacing w:after="0" w:line="245" w:lineRule="auto"/>
              <w:rPr>
                <w:rFonts w:eastAsia="Times New Roman"/>
                <w:b/>
                <w:color w:val="auto"/>
                <w:lang w:eastAsia="en-SG"/>
              </w:rPr>
            </w:pPr>
            <w:r w:rsidRPr="00097EC4">
              <w:rPr>
                <w:rFonts w:eastAsia="Times New Roman"/>
                <w:b/>
                <w:color w:val="auto"/>
                <w:lang w:eastAsia="en-SG"/>
              </w:rPr>
              <w:t>Alternative Industry Classification</w:t>
            </w:r>
          </w:p>
        </w:tc>
        <w:tc>
          <w:tcPr>
            <w:tcW w:w="706" w:type="dxa"/>
            <w:tcBorders>
              <w:top w:val="single" w:sz="4" w:space="0" w:color="auto"/>
              <w:left w:val="single" w:sz="4" w:space="0" w:color="auto"/>
              <w:right w:val="nil"/>
            </w:tcBorders>
            <w:shd w:val="clear" w:color="000000" w:fill="FFFFFF"/>
            <w:vAlign w:val="center"/>
          </w:tcPr>
          <w:p w14:paraId="0E3124F5" w14:textId="77777777" w:rsidR="00F731AC" w:rsidRPr="00097EC4" w:rsidRDefault="00F731AC" w:rsidP="00CC768C">
            <w:pPr>
              <w:spacing w:after="0" w:line="245" w:lineRule="auto"/>
              <w:jc w:val="right"/>
              <w:rPr>
                <w:rFonts w:eastAsia="Times New Roman"/>
                <w:b/>
                <w:color w:val="auto"/>
                <w:lang w:eastAsia="en-SG"/>
              </w:rPr>
            </w:pPr>
          </w:p>
        </w:tc>
        <w:tc>
          <w:tcPr>
            <w:tcW w:w="644" w:type="dxa"/>
            <w:tcBorders>
              <w:top w:val="single" w:sz="4" w:space="0" w:color="auto"/>
              <w:left w:val="nil"/>
              <w:right w:val="single" w:sz="4" w:space="0" w:color="auto"/>
            </w:tcBorders>
            <w:shd w:val="clear" w:color="000000" w:fill="FFFFFF"/>
            <w:vAlign w:val="center"/>
          </w:tcPr>
          <w:p w14:paraId="0E6379D6" w14:textId="77777777" w:rsidR="00F731AC" w:rsidRPr="00097EC4" w:rsidRDefault="00F731AC" w:rsidP="00CC768C">
            <w:pPr>
              <w:spacing w:after="0" w:line="245" w:lineRule="auto"/>
              <w:rPr>
                <w:rFonts w:eastAsia="Times New Roman"/>
                <w:b/>
                <w:color w:val="auto"/>
                <w:lang w:eastAsia="en-SG"/>
              </w:rPr>
            </w:pPr>
          </w:p>
        </w:tc>
        <w:tc>
          <w:tcPr>
            <w:tcW w:w="771" w:type="dxa"/>
            <w:tcBorders>
              <w:top w:val="single" w:sz="4" w:space="0" w:color="auto"/>
              <w:left w:val="single" w:sz="4" w:space="0" w:color="auto"/>
              <w:right w:val="nil"/>
            </w:tcBorders>
            <w:shd w:val="clear" w:color="000000" w:fill="FFFFFF"/>
            <w:vAlign w:val="center"/>
          </w:tcPr>
          <w:p w14:paraId="1945CE60" w14:textId="77777777" w:rsidR="00F731AC" w:rsidRPr="00097EC4" w:rsidRDefault="00F731AC" w:rsidP="00CC768C">
            <w:pPr>
              <w:spacing w:after="0" w:line="245" w:lineRule="auto"/>
              <w:jc w:val="right"/>
              <w:rPr>
                <w:rFonts w:eastAsia="Times New Roman"/>
                <w:color w:val="auto"/>
                <w:lang w:eastAsia="en-SG"/>
              </w:rPr>
            </w:pPr>
          </w:p>
        </w:tc>
        <w:tc>
          <w:tcPr>
            <w:tcW w:w="669" w:type="dxa"/>
            <w:tcBorders>
              <w:top w:val="single" w:sz="4" w:space="0" w:color="auto"/>
              <w:left w:val="nil"/>
              <w:right w:val="single" w:sz="4" w:space="0" w:color="auto"/>
            </w:tcBorders>
            <w:shd w:val="clear" w:color="000000" w:fill="FFFFFF"/>
            <w:vAlign w:val="center"/>
          </w:tcPr>
          <w:p w14:paraId="260B053B" w14:textId="77777777" w:rsidR="00F731AC" w:rsidRPr="00097EC4" w:rsidRDefault="00F731AC" w:rsidP="00CC768C">
            <w:pPr>
              <w:spacing w:after="0" w:line="245" w:lineRule="auto"/>
              <w:rPr>
                <w:rFonts w:eastAsia="Times New Roman"/>
                <w:color w:val="auto"/>
                <w:lang w:eastAsia="en-SG"/>
              </w:rPr>
            </w:pPr>
          </w:p>
        </w:tc>
        <w:tc>
          <w:tcPr>
            <w:tcW w:w="745" w:type="dxa"/>
            <w:tcBorders>
              <w:top w:val="single" w:sz="4" w:space="0" w:color="auto"/>
              <w:left w:val="single" w:sz="4" w:space="0" w:color="auto"/>
              <w:right w:val="nil"/>
            </w:tcBorders>
            <w:shd w:val="clear" w:color="000000" w:fill="FFFFFF"/>
            <w:vAlign w:val="center"/>
          </w:tcPr>
          <w:p w14:paraId="0FD45F6F" w14:textId="77777777" w:rsidR="00F731AC" w:rsidRPr="00097EC4" w:rsidRDefault="00F731AC" w:rsidP="00CC768C">
            <w:pPr>
              <w:spacing w:after="0" w:line="245" w:lineRule="auto"/>
              <w:jc w:val="right"/>
              <w:rPr>
                <w:rFonts w:eastAsia="Times New Roman"/>
                <w:color w:val="auto"/>
                <w:lang w:eastAsia="en-SG"/>
              </w:rPr>
            </w:pPr>
          </w:p>
        </w:tc>
        <w:tc>
          <w:tcPr>
            <w:tcW w:w="695" w:type="dxa"/>
            <w:tcBorders>
              <w:top w:val="single" w:sz="4" w:space="0" w:color="auto"/>
              <w:left w:val="nil"/>
              <w:right w:val="single" w:sz="4" w:space="0" w:color="auto"/>
            </w:tcBorders>
            <w:shd w:val="clear" w:color="000000" w:fill="FFFFFF"/>
            <w:vAlign w:val="center"/>
          </w:tcPr>
          <w:p w14:paraId="615DE53D" w14:textId="77777777" w:rsidR="00F731AC" w:rsidRPr="00097EC4" w:rsidRDefault="00F731AC" w:rsidP="00CC768C">
            <w:pPr>
              <w:spacing w:after="0" w:line="245" w:lineRule="auto"/>
              <w:rPr>
                <w:rFonts w:eastAsia="Times New Roman"/>
                <w:color w:val="auto"/>
                <w:lang w:eastAsia="en-SG"/>
              </w:rPr>
            </w:pPr>
          </w:p>
        </w:tc>
        <w:tc>
          <w:tcPr>
            <w:tcW w:w="720" w:type="dxa"/>
            <w:tcBorders>
              <w:top w:val="single" w:sz="4" w:space="0" w:color="auto"/>
              <w:left w:val="single" w:sz="4" w:space="0" w:color="auto"/>
              <w:right w:val="nil"/>
            </w:tcBorders>
            <w:shd w:val="clear" w:color="000000" w:fill="FFFFFF"/>
            <w:vAlign w:val="center"/>
          </w:tcPr>
          <w:p w14:paraId="6A302CAD" w14:textId="77777777" w:rsidR="00F731AC" w:rsidRPr="00097EC4" w:rsidRDefault="00F731AC" w:rsidP="00CC768C">
            <w:pPr>
              <w:spacing w:after="0" w:line="245" w:lineRule="auto"/>
              <w:jc w:val="right"/>
              <w:rPr>
                <w:rFonts w:eastAsia="Times New Roman"/>
                <w:color w:val="auto"/>
                <w:lang w:eastAsia="en-SG"/>
              </w:rPr>
            </w:pPr>
          </w:p>
        </w:tc>
        <w:tc>
          <w:tcPr>
            <w:tcW w:w="720" w:type="dxa"/>
            <w:tcBorders>
              <w:top w:val="single" w:sz="4" w:space="0" w:color="auto"/>
              <w:left w:val="nil"/>
              <w:right w:val="single" w:sz="4" w:space="0" w:color="auto"/>
            </w:tcBorders>
            <w:shd w:val="clear" w:color="000000" w:fill="FFFFFF"/>
            <w:vAlign w:val="center"/>
          </w:tcPr>
          <w:p w14:paraId="552EC8AE" w14:textId="77777777" w:rsidR="00F731AC" w:rsidRPr="00097EC4" w:rsidRDefault="00F731AC" w:rsidP="00CC768C">
            <w:pPr>
              <w:spacing w:after="0" w:line="245" w:lineRule="auto"/>
              <w:rPr>
                <w:rFonts w:eastAsia="Times New Roman"/>
                <w:color w:val="auto"/>
                <w:lang w:eastAsia="en-SG"/>
              </w:rPr>
            </w:pPr>
          </w:p>
        </w:tc>
        <w:tc>
          <w:tcPr>
            <w:tcW w:w="696" w:type="dxa"/>
            <w:tcBorders>
              <w:top w:val="single" w:sz="4" w:space="0" w:color="auto"/>
              <w:left w:val="single" w:sz="4" w:space="0" w:color="auto"/>
              <w:right w:val="nil"/>
            </w:tcBorders>
            <w:vAlign w:val="center"/>
          </w:tcPr>
          <w:p w14:paraId="7ED5A142" w14:textId="77777777" w:rsidR="00F731AC" w:rsidRPr="00097EC4" w:rsidRDefault="00F731AC" w:rsidP="00CC768C">
            <w:pPr>
              <w:spacing w:after="0" w:line="245" w:lineRule="auto"/>
              <w:jc w:val="right"/>
              <w:rPr>
                <w:rFonts w:eastAsia="Times New Roman"/>
                <w:color w:val="auto"/>
                <w:lang w:eastAsia="en-SG"/>
              </w:rPr>
            </w:pPr>
          </w:p>
        </w:tc>
        <w:tc>
          <w:tcPr>
            <w:tcW w:w="654" w:type="dxa"/>
            <w:tcBorders>
              <w:top w:val="single" w:sz="4" w:space="0" w:color="auto"/>
              <w:left w:val="nil"/>
              <w:right w:val="single" w:sz="4" w:space="0" w:color="auto"/>
            </w:tcBorders>
            <w:vAlign w:val="center"/>
          </w:tcPr>
          <w:p w14:paraId="64987050" w14:textId="77777777" w:rsidR="00F731AC" w:rsidRPr="00097EC4" w:rsidRDefault="00F731AC" w:rsidP="00CC768C">
            <w:pPr>
              <w:spacing w:after="0" w:line="245" w:lineRule="auto"/>
              <w:rPr>
                <w:rFonts w:eastAsia="Times New Roman"/>
                <w:color w:val="auto"/>
                <w:lang w:eastAsia="en-SG"/>
              </w:rPr>
            </w:pPr>
          </w:p>
        </w:tc>
        <w:tc>
          <w:tcPr>
            <w:tcW w:w="760" w:type="dxa"/>
            <w:tcBorders>
              <w:top w:val="single" w:sz="4" w:space="0" w:color="auto"/>
              <w:left w:val="single" w:sz="4" w:space="0" w:color="auto"/>
              <w:right w:val="nil"/>
            </w:tcBorders>
            <w:vAlign w:val="center"/>
          </w:tcPr>
          <w:p w14:paraId="47199955" w14:textId="77777777" w:rsidR="00F731AC" w:rsidRPr="00097EC4" w:rsidRDefault="00F731AC" w:rsidP="00CC768C">
            <w:pPr>
              <w:spacing w:after="0" w:line="245" w:lineRule="auto"/>
              <w:jc w:val="right"/>
              <w:rPr>
                <w:rFonts w:eastAsia="Times New Roman"/>
                <w:color w:val="auto"/>
                <w:lang w:eastAsia="en-SG"/>
              </w:rPr>
            </w:pPr>
          </w:p>
        </w:tc>
        <w:tc>
          <w:tcPr>
            <w:tcW w:w="680" w:type="dxa"/>
            <w:tcBorders>
              <w:top w:val="single" w:sz="4" w:space="0" w:color="auto"/>
              <w:left w:val="nil"/>
              <w:right w:val="single" w:sz="4" w:space="0" w:color="auto"/>
            </w:tcBorders>
            <w:vAlign w:val="center"/>
          </w:tcPr>
          <w:p w14:paraId="3C1C3DC7" w14:textId="77777777" w:rsidR="00F731AC" w:rsidRPr="00097EC4" w:rsidRDefault="00F731AC" w:rsidP="00CC768C">
            <w:pPr>
              <w:spacing w:after="0" w:line="245" w:lineRule="auto"/>
              <w:rPr>
                <w:rFonts w:eastAsia="Times New Roman"/>
                <w:color w:val="auto"/>
                <w:lang w:eastAsia="en-SG"/>
              </w:rPr>
            </w:pPr>
          </w:p>
        </w:tc>
        <w:tc>
          <w:tcPr>
            <w:tcW w:w="735" w:type="dxa"/>
            <w:tcBorders>
              <w:top w:val="single" w:sz="4" w:space="0" w:color="auto"/>
              <w:left w:val="single" w:sz="4" w:space="0" w:color="auto"/>
              <w:right w:val="nil"/>
            </w:tcBorders>
            <w:shd w:val="clear" w:color="000000" w:fill="FFFFFF"/>
            <w:vAlign w:val="center"/>
          </w:tcPr>
          <w:p w14:paraId="227AC45A" w14:textId="77777777" w:rsidR="00F731AC" w:rsidRPr="00097EC4" w:rsidRDefault="00F731AC" w:rsidP="00CC768C">
            <w:pPr>
              <w:spacing w:after="0" w:line="245" w:lineRule="auto"/>
              <w:jc w:val="right"/>
              <w:rPr>
                <w:rFonts w:eastAsia="Times New Roman"/>
                <w:color w:val="auto"/>
                <w:lang w:eastAsia="en-SG"/>
              </w:rPr>
            </w:pPr>
          </w:p>
        </w:tc>
        <w:tc>
          <w:tcPr>
            <w:tcW w:w="708" w:type="dxa"/>
            <w:tcBorders>
              <w:top w:val="single" w:sz="4" w:space="0" w:color="auto"/>
              <w:left w:val="nil"/>
              <w:right w:val="nil"/>
            </w:tcBorders>
            <w:shd w:val="clear" w:color="000000" w:fill="FFFFFF"/>
            <w:vAlign w:val="center"/>
          </w:tcPr>
          <w:p w14:paraId="5ACB67FE" w14:textId="77777777" w:rsidR="00F731AC" w:rsidRPr="00097EC4" w:rsidRDefault="00F731AC" w:rsidP="00CC768C">
            <w:pPr>
              <w:spacing w:after="0" w:line="245" w:lineRule="auto"/>
              <w:rPr>
                <w:rFonts w:eastAsia="Times New Roman"/>
                <w:color w:val="auto"/>
                <w:lang w:eastAsia="en-SG"/>
              </w:rPr>
            </w:pPr>
          </w:p>
        </w:tc>
      </w:tr>
      <w:tr w:rsidR="00F731AC" w:rsidRPr="00097EC4" w14:paraId="263FB763" w14:textId="77777777" w:rsidTr="00CC768C">
        <w:trPr>
          <w:gridAfter w:val="1"/>
          <w:wAfter w:w="12" w:type="dxa"/>
          <w:trHeight w:val="227"/>
          <w:jc w:val="center"/>
        </w:trPr>
        <w:tc>
          <w:tcPr>
            <w:tcW w:w="3960" w:type="dxa"/>
            <w:tcBorders>
              <w:top w:val="nil"/>
              <w:left w:val="nil"/>
              <w:right w:val="single" w:sz="4" w:space="0" w:color="auto"/>
            </w:tcBorders>
            <w:shd w:val="clear" w:color="000000" w:fill="FFFFFF"/>
            <w:tcMar>
              <w:top w:w="28" w:type="dxa"/>
              <w:bottom w:w="28" w:type="dxa"/>
            </w:tcMar>
            <w:vAlign w:val="center"/>
          </w:tcPr>
          <w:p w14:paraId="5955C7D8" w14:textId="77777777" w:rsidR="00F731AC" w:rsidRPr="00097EC4" w:rsidRDefault="00F731AC" w:rsidP="00CC768C">
            <w:pPr>
              <w:spacing w:after="0" w:line="245" w:lineRule="auto"/>
              <w:rPr>
                <w:rFonts w:eastAsia="Times New Roman"/>
                <w:color w:val="auto"/>
                <w:lang w:eastAsia="en-SG"/>
              </w:rPr>
            </w:pPr>
            <w:r w:rsidRPr="00097EC4">
              <w:rPr>
                <w:rFonts w:eastAsia="Times New Roman"/>
                <w:color w:val="auto"/>
                <w:lang w:eastAsia="en-SG"/>
              </w:rPr>
              <w:t xml:space="preserve">   Five-Digit NAICS</w:t>
            </w:r>
          </w:p>
        </w:tc>
        <w:tc>
          <w:tcPr>
            <w:tcW w:w="706" w:type="dxa"/>
            <w:tcBorders>
              <w:top w:val="nil"/>
              <w:left w:val="single" w:sz="4" w:space="0" w:color="auto"/>
              <w:right w:val="nil"/>
            </w:tcBorders>
            <w:shd w:val="clear" w:color="auto" w:fill="auto"/>
            <w:tcMar>
              <w:top w:w="28" w:type="dxa"/>
              <w:bottom w:w="28" w:type="dxa"/>
            </w:tcMar>
            <w:vAlign w:val="center"/>
          </w:tcPr>
          <w:p w14:paraId="4AE08ACD" w14:textId="77777777" w:rsidR="00F731AC" w:rsidRPr="00097EC4" w:rsidRDefault="00F731AC" w:rsidP="00CC768C">
            <w:pPr>
              <w:spacing w:after="0" w:line="245" w:lineRule="auto"/>
              <w:jc w:val="right"/>
              <w:rPr>
                <w:color w:val="auto"/>
              </w:rPr>
            </w:pPr>
            <w:r w:rsidRPr="00097EC4">
              <w:rPr>
                <w:color w:val="auto"/>
              </w:rPr>
              <w:t>-.005</w:t>
            </w:r>
          </w:p>
        </w:tc>
        <w:tc>
          <w:tcPr>
            <w:tcW w:w="644" w:type="dxa"/>
            <w:tcBorders>
              <w:top w:val="nil"/>
              <w:left w:val="nil"/>
              <w:right w:val="single" w:sz="4" w:space="0" w:color="auto"/>
            </w:tcBorders>
            <w:shd w:val="clear" w:color="auto" w:fill="auto"/>
            <w:vAlign w:val="center"/>
          </w:tcPr>
          <w:p w14:paraId="2339B271" w14:textId="77777777" w:rsidR="00F731AC" w:rsidRPr="00097EC4" w:rsidRDefault="00F731AC" w:rsidP="00CC768C">
            <w:pPr>
              <w:spacing w:after="0" w:line="245" w:lineRule="auto"/>
              <w:rPr>
                <w:color w:val="auto"/>
              </w:rPr>
            </w:pPr>
            <w:r w:rsidRPr="00097EC4">
              <w:rPr>
                <w:color w:val="auto"/>
              </w:rPr>
              <w:t>††</w:t>
            </w:r>
          </w:p>
        </w:tc>
        <w:tc>
          <w:tcPr>
            <w:tcW w:w="771" w:type="dxa"/>
            <w:tcBorders>
              <w:top w:val="nil"/>
              <w:left w:val="single" w:sz="4" w:space="0" w:color="auto"/>
              <w:right w:val="nil"/>
            </w:tcBorders>
            <w:shd w:val="clear" w:color="auto" w:fill="auto"/>
            <w:vAlign w:val="center"/>
          </w:tcPr>
          <w:p w14:paraId="777F55F7" w14:textId="77777777" w:rsidR="00F731AC" w:rsidRPr="00097EC4" w:rsidRDefault="00F731AC" w:rsidP="00CC768C">
            <w:pPr>
              <w:spacing w:after="0" w:line="245" w:lineRule="auto"/>
              <w:jc w:val="right"/>
              <w:rPr>
                <w:color w:val="auto"/>
              </w:rPr>
            </w:pPr>
            <w:r w:rsidRPr="00097EC4">
              <w:rPr>
                <w:color w:val="auto"/>
              </w:rPr>
              <w:t>-.003</w:t>
            </w:r>
          </w:p>
        </w:tc>
        <w:tc>
          <w:tcPr>
            <w:tcW w:w="669" w:type="dxa"/>
            <w:tcBorders>
              <w:top w:val="nil"/>
              <w:left w:val="nil"/>
              <w:right w:val="single" w:sz="4" w:space="0" w:color="auto"/>
            </w:tcBorders>
            <w:shd w:val="clear" w:color="auto" w:fill="auto"/>
            <w:vAlign w:val="center"/>
          </w:tcPr>
          <w:p w14:paraId="6B11D86B" w14:textId="77777777" w:rsidR="00F731AC" w:rsidRPr="00097EC4" w:rsidRDefault="00F731AC" w:rsidP="00CC768C">
            <w:pPr>
              <w:spacing w:after="0" w:line="245" w:lineRule="auto"/>
              <w:rPr>
                <w:color w:val="auto"/>
              </w:rPr>
            </w:pPr>
            <w:r w:rsidRPr="00097EC4">
              <w:rPr>
                <w:color w:val="auto"/>
              </w:rPr>
              <w:t>†††</w:t>
            </w:r>
          </w:p>
        </w:tc>
        <w:tc>
          <w:tcPr>
            <w:tcW w:w="745" w:type="dxa"/>
            <w:tcBorders>
              <w:top w:val="nil"/>
              <w:left w:val="single" w:sz="4" w:space="0" w:color="auto"/>
              <w:right w:val="nil"/>
            </w:tcBorders>
            <w:shd w:val="clear" w:color="auto" w:fill="auto"/>
            <w:vAlign w:val="center"/>
          </w:tcPr>
          <w:p w14:paraId="26A86C18" w14:textId="77777777" w:rsidR="00F731AC" w:rsidRPr="00097EC4" w:rsidRDefault="00F731AC" w:rsidP="00CC768C">
            <w:pPr>
              <w:spacing w:after="0" w:line="245" w:lineRule="auto"/>
              <w:jc w:val="right"/>
              <w:rPr>
                <w:color w:val="auto"/>
              </w:rPr>
            </w:pPr>
            <w:r w:rsidRPr="00097EC4">
              <w:rPr>
                <w:color w:val="auto"/>
              </w:rPr>
              <w:t>.006</w:t>
            </w:r>
          </w:p>
        </w:tc>
        <w:tc>
          <w:tcPr>
            <w:tcW w:w="695" w:type="dxa"/>
            <w:tcBorders>
              <w:top w:val="nil"/>
              <w:left w:val="nil"/>
              <w:right w:val="single" w:sz="4" w:space="0" w:color="auto"/>
            </w:tcBorders>
            <w:shd w:val="clear" w:color="auto" w:fill="auto"/>
            <w:vAlign w:val="center"/>
          </w:tcPr>
          <w:p w14:paraId="2647ABDD" w14:textId="77777777" w:rsidR="00F731AC" w:rsidRPr="00097EC4" w:rsidRDefault="00F731AC" w:rsidP="00CC768C">
            <w:pPr>
              <w:spacing w:after="0" w:line="245" w:lineRule="auto"/>
              <w:rPr>
                <w:color w:val="auto"/>
              </w:rPr>
            </w:pPr>
            <w:r w:rsidRPr="00097EC4">
              <w:rPr>
                <w:color w:val="auto"/>
              </w:rPr>
              <w:t>†††</w:t>
            </w:r>
          </w:p>
        </w:tc>
        <w:tc>
          <w:tcPr>
            <w:tcW w:w="720" w:type="dxa"/>
            <w:tcBorders>
              <w:top w:val="nil"/>
              <w:left w:val="single" w:sz="4" w:space="0" w:color="auto"/>
              <w:right w:val="nil"/>
            </w:tcBorders>
            <w:shd w:val="clear" w:color="auto" w:fill="auto"/>
            <w:vAlign w:val="center"/>
          </w:tcPr>
          <w:p w14:paraId="2698FA47" w14:textId="77777777" w:rsidR="00F731AC" w:rsidRPr="00097EC4" w:rsidRDefault="00F731AC" w:rsidP="00CC768C">
            <w:pPr>
              <w:spacing w:after="0" w:line="245" w:lineRule="auto"/>
              <w:jc w:val="right"/>
              <w:rPr>
                <w:color w:val="auto"/>
              </w:rPr>
            </w:pPr>
            <w:r w:rsidRPr="00097EC4">
              <w:rPr>
                <w:color w:val="auto"/>
              </w:rPr>
              <w:t>.002</w:t>
            </w:r>
          </w:p>
        </w:tc>
        <w:tc>
          <w:tcPr>
            <w:tcW w:w="720" w:type="dxa"/>
            <w:tcBorders>
              <w:top w:val="nil"/>
              <w:left w:val="nil"/>
              <w:right w:val="single" w:sz="4" w:space="0" w:color="auto"/>
            </w:tcBorders>
            <w:shd w:val="clear" w:color="auto" w:fill="auto"/>
            <w:vAlign w:val="center"/>
          </w:tcPr>
          <w:p w14:paraId="55C64A16" w14:textId="77777777" w:rsidR="00F731AC" w:rsidRPr="00097EC4" w:rsidRDefault="00F731AC" w:rsidP="00CC768C">
            <w:pPr>
              <w:spacing w:after="0" w:line="245" w:lineRule="auto"/>
              <w:rPr>
                <w:color w:val="auto"/>
              </w:rPr>
            </w:pPr>
            <w:r w:rsidRPr="00097EC4">
              <w:rPr>
                <w:color w:val="auto"/>
              </w:rPr>
              <w:t>††</w:t>
            </w:r>
          </w:p>
        </w:tc>
        <w:tc>
          <w:tcPr>
            <w:tcW w:w="696" w:type="dxa"/>
            <w:tcBorders>
              <w:left w:val="single" w:sz="4" w:space="0" w:color="auto"/>
              <w:right w:val="nil"/>
            </w:tcBorders>
            <w:vAlign w:val="center"/>
          </w:tcPr>
          <w:p w14:paraId="33151518" w14:textId="77777777" w:rsidR="00F731AC" w:rsidRPr="00097EC4" w:rsidRDefault="00F731AC" w:rsidP="00CC768C">
            <w:pPr>
              <w:spacing w:after="0" w:line="245" w:lineRule="auto"/>
              <w:jc w:val="right"/>
              <w:rPr>
                <w:color w:val="auto"/>
              </w:rPr>
            </w:pPr>
            <w:r w:rsidRPr="00097EC4">
              <w:rPr>
                <w:color w:val="auto"/>
              </w:rPr>
              <w:t>.001</w:t>
            </w:r>
          </w:p>
        </w:tc>
        <w:tc>
          <w:tcPr>
            <w:tcW w:w="654" w:type="dxa"/>
            <w:tcBorders>
              <w:left w:val="nil"/>
              <w:right w:val="single" w:sz="4" w:space="0" w:color="auto"/>
            </w:tcBorders>
            <w:vAlign w:val="center"/>
          </w:tcPr>
          <w:p w14:paraId="4AD71129" w14:textId="77777777" w:rsidR="00F731AC" w:rsidRPr="00097EC4" w:rsidRDefault="00F731AC" w:rsidP="00CC768C">
            <w:pPr>
              <w:spacing w:after="0" w:line="245" w:lineRule="auto"/>
              <w:rPr>
                <w:color w:val="auto"/>
              </w:rPr>
            </w:pPr>
          </w:p>
        </w:tc>
        <w:tc>
          <w:tcPr>
            <w:tcW w:w="760" w:type="dxa"/>
            <w:tcBorders>
              <w:left w:val="single" w:sz="4" w:space="0" w:color="auto"/>
              <w:right w:val="nil"/>
            </w:tcBorders>
            <w:vAlign w:val="center"/>
          </w:tcPr>
          <w:p w14:paraId="37BA2AC3" w14:textId="77777777" w:rsidR="00F731AC" w:rsidRPr="00097EC4" w:rsidRDefault="00F731AC" w:rsidP="00CC768C">
            <w:pPr>
              <w:spacing w:after="0" w:line="245" w:lineRule="auto"/>
              <w:jc w:val="right"/>
              <w:rPr>
                <w:color w:val="auto"/>
              </w:rPr>
            </w:pPr>
            <w:r w:rsidRPr="00097EC4">
              <w:rPr>
                <w:color w:val="auto"/>
              </w:rPr>
              <w:t>-.004</w:t>
            </w:r>
          </w:p>
        </w:tc>
        <w:tc>
          <w:tcPr>
            <w:tcW w:w="680" w:type="dxa"/>
            <w:tcBorders>
              <w:left w:val="nil"/>
              <w:right w:val="single" w:sz="4" w:space="0" w:color="auto"/>
            </w:tcBorders>
            <w:vAlign w:val="center"/>
          </w:tcPr>
          <w:p w14:paraId="7C073EA6" w14:textId="77777777" w:rsidR="00F731AC" w:rsidRPr="00097EC4" w:rsidRDefault="00F731AC" w:rsidP="00CC768C">
            <w:pPr>
              <w:spacing w:after="0" w:line="245" w:lineRule="auto"/>
              <w:rPr>
                <w:color w:val="auto"/>
              </w:rPr>
            </w:pPr>
            <w:r w:rsidRPr="00097EC4">
              <w:rPr>
                <w:color w:val="auto"/>
              </w:rPr>
              <w:t>†††</w:t>
            </w:r>
          </w:p>
        </w:tc>
        <w:tc>
          <w:tcPr>
            <w:tcW w:w="735" w:type="dxa"/>
            <w:tcBorders>
              <w:top w:val="nil"/>
              <w:left w:val="single" w:sz="4" w:space="0" w:color="auto"/>
              <w:right w:val="nil"/>
            </w:tcBorders>
            <w:shd w:val="clear" w:color="auto" w:fill="auto"/>
            <w:vAlign w:val="center"/>
          </w:tcPr>
          <w:p w14:paraId="3CFB4EE8" w14:textId="77777777" w:rsidR="00F731AC" w:rsidRPr="00097EC4" w:rsidRDefault="00F731AC" w:rsidP="00CC768C">
            <w:pPr>
              <w:spacing w:after="0" w:line="245" w:lineRule="auto"/>
              <w:jc w:val="right"/>
              <w:rPr>
                <w:color w:val="auto"/>
              </w:rPr>
            </w:pPr>
            <w:r w:rsidRPr="00097EC4">
              <w:rPr>
                <w:color w:val="auto"/>
              </w:rPr>
              <w:t>-.027</w:t>
            </w:r>
          </w:p>
        </w:tc>
        <w:tc>
          <w:tcPr>
            <w:tcW w:w="708" w:type="dxa"/>
            <w:tcBorders>
              <w:top w:val="nil"/>
              <w:left w:val="nil"/>
              <w:right w:val="nil"/>
            </w:tcBorders>
            <w:shd w:val="clear" w:color="auto" w:fill="auto"/>
            <w:vAlign w:val="center"/>
          </w:tcPr>
          <w:p w14:paraId="100EE3A4" w14:textId="77777777" w:rsidR="00F731AC" w:rsidRPr="00097EC4" w:rsidRDefault="00F731AC" w:rsidP="00CC768C">
            <w:pPr>
              <w:spacing w:after="0" w:line="245" w:lineRule="auto"/>
              <w:rPr>
                <w:color w:val="auto"/>
              </w:rPr>
            </w:pPr>
            <w:r w:rsidRPr="00097EC4">
              <w:rPr>
                <w:color w:val="auto"/>
              </w:rPr>
              <w:t>††</w:t>
            </w:r>
          </w:p>
        </w:tc>
      </w:tr>
      <w:tr w:rsidR="00F731AC" w:rsidRPr="00097EC4" w14:paraId="0D250A5B" w14:textId="77777777" w:rsidTr="00CC768C">
        <w:trPr>
          <w:gridAfter w:val="1"/>
          <w:wAfter w:w="12" w:type="dxa"/>
          <w:trHeight w:val="227"/>
          <w:jc w:val="center"/>
        </w:trPr>
        <w:tc>
          <w:tcPr>
            <w:tcW w:w="3960" w:type="dxa"/>
            <w:tcBorders>
              <w:top w:val="nil"/>
              <w:left w:val="nil"/>
              <w:right w:val="single" w:sz="4" w:space="0" w:color="auto"/>
            </w:tcBorders>
            <w:shd w:val="clear" w:color="000000" w:fill="FFFFFF"/>
            <w:tcMar>
              <w:top w:w="28" w:type="dxa"/>
              <w:bottom w:w="28" w:type="dxa"/>
            </w:tcMar>
            <w:vAlign w:val="center"/>
          </w:tcPr>
          <w:p w14:paraId="756B1C44" w14:textId="77777777" w:rsidR="00F731AC" w:rsidRPr="00097EC4" w:rsidRDefault="00F731AC" w:rsidP="00CC768C">
            <w:pPr>
              <w:spacing w:after="0" w:line="245" w:lineRule="auto"/>
              <w:rPr>
                <w:rFonts w:eastAsia="Times New Roman"/>
                <w:color w:val="auto"/>
                <w:lang w:eastAsia="en-SG"/>
              </w:rPr>
            </w:pPr>
            <w:r w:rsidRPr="00097EC4">
              <w:rPr>
                <w:rFonts w:eastAsia="Times New Roman"/>
                <w:color w:val="auto"/>
                <w:lang w:eastAsia="en-SG"/>
              </w:rPr>
              <w:t xml:space="preserve">   Six-Digit NAICS</w:t>
            </w:r>
          </w:p>
        </w:tc>
        <w:tc>
          <w:tcPr>
            <w:tcW w:w="706" w:type="dxa"/>
            <w:tcBorders>
              <w:top w:val="nil"/>
              <w:left w:val="single" w:sz="4" w:space="0" w:color="auto"/>
              <w:right w:val="nil"/>
            </w:tcBorders>
            <w:shd w:val="clear" w:color="auto" w:fill="auto"/>
            <w:tcMar>
              <w:top w:w="28" w:type="dxa"/>
              <w:bottom w:w="28" w:type="dxa"/>
            </w:tcMar>
            <w:vAlign w:val="center"/>
          </w:tcPr>
          <w:p w14:paraId="29284B99" w14:textId="77777777" w:rsidR="00F731AC" w:rsidRPr="00097EC4" w:rsidRDefault="00F731AC" w:rsidP="00CC768C">
            <w:pPr>
              <w:spacing w:after="0" w:line="245" w:lineRule="auto"/>
              <w:jc w:val="right"/>
              <w:rPr>
                <w:color w:val="auto"/>
              </w:rPr>
            </w:pPr>
            <w:r w:rsidRPr="00097EC4">
              <w:rPr>
                <w:color w:val="auto"/>
              </w:rPr>
              <w:t>-.004</w:t>
            </w:r>
          </w:p>
        </w:tc>
        <w:tc>
          <w:tcPr>
            <w:tcW w:w="644" w:type="dxa"/>
            <w:tcBorders>
              <w:top w:val="nil"/>
              <w:left w:val="nil"/>
              <w:right w:val="single" w:sz="4" w:space="0" w:color="auto"/>
            </w:tcBorders>
            <w:shd w:val="clear" w:color="auto" w:fill="auto"/>
            <w:vAlign w:val="center"/>
          </w:tcPr>
          <w:p w14:paraId="09E8FFD5" w14:textId="77777777" w:rsidR="00F731AC" w:rsidRPr="00097EC4" w:rsidRDefault="00F731AC" w:rsidP="00CC768C">
            <w:pPr>
              <w:spacing w:after="0" w:line="245" w:lineRule="auto"/>
              <w:rPr>
                <w:color w:val="auto"/>
              </w:rPr>
            </w:pPr>
            <w:r w:rsidRPr="00097EC4">
              <w:rPr>
                <w:color w:val="auto"/>
              </w:rPr>
              <w:t>††</w:t>
            </w:r>
          </w:p>
        </w:tc>
        <w:tc>
          <w:tcPr>
            <w:tcW w:w="771" w:type="dxa"/>
            <w:tcBorders>
              <w:top w:val="nil"/>
              <w:left w:val="single" w:sz="4" w:space="0" w:color="auto"/>
              <w:right w:val="nil"/>
            </w:tcBorders>
            <w:shd w:val="clear" w:color="auto" w:fill="auto"/>
            <w:vAlign w:val="center"/>
          </w:tcPr>
          <w:p w14:paraId="4AAB3A49" w14:textId="77777777" w:rsidR="00F731AC" w:rsidRPr="00097EC4" w:rsidRDefault="00F731AC" w:rsidP="00CC768C">
            <w:pPr>
              <w:spacing w:after="0" w:line="245" w:lineRule="auto"/>
              <w:jc w:val="right"/>
              <w:rPr>
                <w:color w:val="auto"/>
              </w:rPr>
            </w:pPr>
            <w:r w:rsidRPr="00097EC4">
              <w:rPr>
                <w:color w:val="auto"/>
              </w:rPr>
              <w:t>-.003</w:t>
            </w:r>
          </w:p>
        </w:tc>
        <w:tc>
          <w:tcPr>
            <w:tcW w:w="669" w:type="dxa"/>
            <w:tcBorders>
              <w:top w:val="nil"/>
              <w:left w:val="nil"/>
              <w:right w:val="single" w:sz="4" w:space="0" w:color="auto"/>
            </w:tcBorders>
            <w:shd w:val="clear" w:color="auto" w:fill="auto"/>
            <w:vAlign w:val="center"/>
          </w:tcPr>
          <w:p w14:paraId="25E7ED4B" w14:textId="77777777" w:rsidR="00F731AC" w:rsidRPr="00097EC4" w:rsidRDefault="00F731AC" w:rsidP="00CC768C">
            <w:pPr>
              <w:spacing w:after="0" w:line="245" w:lineRule="auto"/>
              <w:rPr>
                <w:color w:val="auto"/>
              </w:rPr>
            </w:pPr>
            <w:r w:rsidRPr="00097EC4">
              <w:rPr>
                <w:color w:val="auto"/>
              </w:rPr>
              <w:t>†††</w:t>
            </w:r>
          </w:p>
        </w:tc>
        <w:tc>
          <w:tcPr>
            <w:tcW w:w="745" w:type="dxa"/>
            <w:tcBorders>
              <w:top w:val="nil"/>
              <w:left w:val="single" w:sz="4" w:space="0" w:color="auto"/>
              <w:right w:val="nil"/>
            </w:tcBorders>
            <w:shd w:val="clear" w:color="auto" w:fill="auto"/>
            <w:vAlign w:val="center"/>
          </w:tcPr>
          <w:p w14:paraId="4D8729DE" w14:textId="77777777" w:rsidR="00F731AC" w:rsidRPr="00097EC4" w:rsidRDefault="00F731AC" w:rsidP="00CC768C">
            <w:pPr>
              <w:spacing w:after="0" w:line="245" w:lineRule="auto"/>
              <w:jc w:val="right"/>
              <w:rPr>
                <w:color w:val="auto"/>
              </w:rPr>
            </w:pPr>
            <w:r w:rsidRPr="00097EC4">
              <w:rPr>
                <w:color w:val="auto"/>
              </w:rPr>
              <w:t>.005</w:t>
            </w:r>
          </w:p>
        </w:tc>
        <w:tc>
          <w:tcPr>
            <w:tcW w:w="695" w:type="dxa"/>
            <w:tcBorders>
              <w:top w:val="nil"/>
              <w:left w:val="nil"/>
              <w:right w:val="single" w:sz="4" w:space="0" w:color="auto"/>
            </w:tcBorders>
            <w:shd w:val="clear" w:color="auto" w:fill="auto"/>
            <w:vAlign w:val="center"/>
          </w:tcPr>
          <w:p w14:paraId="555DF866" w14:textId="77777777" w:rsidR="00F731AC" w:rsidRPr="00097EC4" w:rsidRDefault="00F731AC" w:rsidP="00CC768C">
            <w:pPr>
              <w:spacing w:after="0" w:line="245" w:lineRule="auto"/>
              <w:rPr>
                <w:color w:val="auto"/>
              </w:rPr>
            </w:pPr>
            <w:r w:rsidRPr="00097EC4">
              <w:rPr>
                <w:color w:val="auto"/>
              </w:rPr>
              <w:t>†††</w:t>
            </w:r>
          </w:p>
        </w:tc>
        <w:tc>
          <w:tcPr>
            <w:tcW w:w="720" w:type="dxa"/>
            <w:tcBorders>
              <w:top w:val="nil"/>
              <w:left w:val="single" w:sz="4" w:space="0" w:color="auto"/>
              <w:right w:val="nil"/>
            </w:tcBorders>
            <w:shd w:val="clear" w:color="auto" w:fill="auto"/>
            <w:vAlign w:val="center"/>
          </w:tcPr>
          <w:p w14:paraId="110F373A" w14:textId="77777777" w:rsidR="00F731AC" w:rsidRPr="00097EC4" w:rsidRDefault="00F731AC" w:rsidP="00CC768C">
            <w:pPr>
              <w:spacing w:after="0" w:line="245" w:lineRule="auto"/>
              <w:jc w:val="right"/>
              <w:rPr>
                <w:color w:val="auto"/>
              </w:rPr>
            </w:pPr>
            <w:r w:rsidRPr="00097EC4">
              <w:rPr>
                <w:color w:val="auto"/>
              </w:rPr>
              <w:t>.002</w:t>
            </w:r>
          </w:p>
        </w:tc>
        <w:tc>
          <w:tcPr>
            <w:tcW w:w="720" w:type="dxa"/>
            <w:tcBorders>
              <w:top w:val="nil"/>
              <w:left w:val="nil"/>
              <w:right w:val="single" w:sz="4" w:space="0" w:color="auto"/>
            </w:tcBorders>
            <w:shd w:val="clear" w:color="auto" w:fill="auto"/>
            <w:vAlign w:val="center"/>
          </w:tcPr>
          <w:p w14:paraId="0FC65B34" w14:textId="77777777" w:rsidR="00F731AC" w:rsidRPr="00097EC4" w:rsidRDefault="00F731AC" w:rsidP="00CC768C">
            <w:pPr>
              <w:spacing w:after="0" w:line="245" w:lineRule="auto"/>
              <w:rPr>
                <w:color w:val="auto"/>
              </w:rPr>
            </w:pPr>
            <w:r w:rsidRPr="00097EC4">
              <w:rPr>
                <w:color w:val="auto"/>
              </w:rPr>
              <w:t>††</w:t>
            </w:r>
          </w:p>
        </w:tc>
        <w:tc>
          <w:tcPr>
            <w:tcW w:w="696" w:type="dxa"/>
            <w:tcBorders>
              <w:left w:val="single" w:sz="4" w:space="0" w:color="auto"/>
              <w:right w:val="nil"/>
            </w:tcBorders>
            <w:vAlign w:val="center"/>
          </w:tcPr>
          <w:p w14:paraId="47A59708" w14:textId="77777777" w:rsidR="00F731AC" w:rsidRPr="00097EC4" w:rsidRDefault="00F731AC" w:rsidP="00CC768C">
            <w:pPr>
              <w:spacing w:after="0" w:line="245" w:lineRule="auto"/>
              <w:jc w:val="right"/>
              <w:rPr>
                <w:color w:val="auto"/>
              </w:rPr>
            </w:pPr>
            <w:r w:rsidRPr="00097EC4">
              <w:rPr>
                <w:color w:val="auto"/>
              </w:rPr>
              <w:t>.000</w:t>
            </w:r>
          </w:p>
        </w:tc>
        <w:tc>
          <w:tcPr>
            <w:tcW w:w="654" w:type="dxa"/>
            <w:tcBorders>
              <w:left w:val="nil"/>
              <w:right w:val="single" w:sz="4" w:space="0" w:color="auto"/>
            </w:tcBorders>
            <w:vAlign w:val="center"/>
          </w:tcPr>
          <w:p w14:paraId="369FF023" w14:textId="77777777" w:rsidR="00F731AC" w:rsidRPr="00097EC4" w:rsidRDefault="00F731AC" w:rsidP="00CC768C">
            <w:pPr>
              <w:spacing w:after="0" w:line="245" w:lineRule="auto"/>
              <w:rPr>
                <w:color w:val="auto"/>
              </w:rPr>
            </w:pPr>
          </w:p>
        </w:tc>
        <w:tc>
          <w:tcPr>
            <w:tcW w:w="760" w:type="dxa"/>
            <w:tcBorders>
              <w:left w:val="single" w:sz="4" w:space="0" w:color="auto"/>
              <w:right w:val="nil"/>
            </w:tcBorders>
            <w:vAlign w:val="center"/>
          </w:tcPr>
          <w:p w14:paraId="30CC4D93" w14:textId="77777777" w:rsidR="00F731AC" w:rsidRPr="00097EC4" w:rsidRDefault="00F731AC" w:rsidP="00CC768C">
            <w:pPr>
              <w:spacing w:after="0" w:line="245" w:lineRule="auto"/>
              <w:jc w:val="right"/>
              <w:rPr>
                <w:color w:val="auto"/>
              </w:rPr>
            </w:pPr>
            <w:r w:rsidRPr="00097EC4">
              <w:rPr>
                <w:color w:val="auto"/>
              </w:rPr>
              <w:t>-.003</w:t>
            </w:r>
          </w:p>
        </w:tc>
        <w:tc>
          <w:tcPr>
            <w:tcW w:w="680" w:type="dxa"/>
            <w:tcBorders>
              <w:left w:val="nil"/>
              <w:right w:val="single" w:sz="4" w:space="0" w:color="auto"/>
            </w:tcBorders>
            <w:vAlign w:val="center"/>
          </w:tcPr>
          <w:p w14:paraId="28C8D898" w14:textId="77777777" w:rsidR="00F731AC" w:rsidRPr="00097EC4" w:rsidRDefault="00F731AC" w:rsidP="00CC768C">
            <w:pPr>
              <w:spacing w:after="0" w:line="245" w:lineRule="auto"/>
              <w:rPr>
                <w:color w:val="auto"/>
              </w:rPr>
            </w:pPr>
            <w:r w:rsidRPr="00097EC4">
              <w:rPr>
                <w:color w:val="auto"/>
              </w:rPr>
              <w:t>††</w:t>
            </w:r>
          </w:p>
        </w:tc>
        <w:tc>
          <w:tcPr>
            <w:tcW w:w="735" w:type="dxa"/>
            <w:tcBorders>
              <w:top w:val="nil"/>
              <w:left w:val="single" w:sz="4" w:space="0" w:color="auto"/>
              <w:right w:val="nil"/>
            </w:tcBorders>
            <w:shd w:val="clear" w:color="auto" w:fill="auto"/>
            <w:vAlign w:val="center"/>
          </w:tcPr>
          <w:p w14:paraId="3C2A110A" w14:textId="77777777" w:rsidR="00F731AC" w:rsidRPr="00097EC4" w:rsidRDefault="00F731AC" w:rsidP="00CC768C">
            <w:pPr>
              <w:spacing w:after="0" w:line="245" w:lineRule="auto"/>
              <w:jc w:val="right"/>
              <w:rPr>
                <w:color w:val="auto"/>
              </w:rPr>
            </w:pPr>
            <w:r w:rsidRPr="00097EC4">
              <w:rPr>
                <w:color w:val="auto"/>
              </w:rPr>
              <w:t>-.006</w:t>
            </w:r>
          </w:p>
        </w:tc>
        <w:tc>
          <w:tcPr>
            <w:tcW w:w="708" w:type="dxa"/>
            <w:tcBorders>
              <w:top w:val="nil"/>
              <w:left w:val="nil"/>
              <w:right w:val="nil"/>
            </w:tcBorders>
            <w:shd w:val="clear" w:color="auto" w:fill="auto"/>
            <w:vAlign w:val="center"/>
          </w:tcPr>
          <w:p w14:paraId="34DC93F6" w14:textId="77777777" w:rsidR="00F731AC" w:rsidRPr="00097EC4" w:rsidRDefault="00F731AC" w:rsidP="00CC768C">
            <w:pPr>
              <w:spacing w:after="0" w:line="245" w:lineRule="auto"/>
              <w:rPr>
                <w:color w:val="auto"/>
              </w:rPr>
            </w:pPr>
          </w:p>
        </w:tc>
      </w:tr>
      <w:tr w:rsidR="00F731AC" w:rsidRPr="00097EC4" w14:paraId="5E95479F" w14:textId="77777777" w:rsidTr="00CC768C">
        <w:trPr>
          <w:gridAfter w:val="1"/>
          <w:wAfter w:w="12" w:type="dxa"/>
          <w:trHeight w:val="227"/>
          <w:jc w:val="center"/>
        </w:trPr>
        <w:tc>
          <w:tcPr>
            <w:tcW w:w="3960" w:type="dxa"/>
            <w:tcBorders>
              <w:left w:val="nil"/>
              <w:bottom w:val="single" w:sz="4" w:space="0" w:color="auto"/>
              <w:right w:val="single" w:sz="4" w:space="0" w:color="auto"/>
            </w:tcBorders>
            <w:shd w:val="clear" w:color="000000" w:fill="FFFFFF"/>
            <w:tcMar>
              <w:top w:w="28" w:type="dxa"/>
              <w:bottom w:w="28" w:type="dxa"/>
            </w:tcMar>
            <w:vAlign w:val="center"/>
          </w:tcPr>
          <w:p w14:paraId="610AEB32" w14:textId="77777777" w:rsidR="00F731AC" w:rsidRPr="00097EC4" w:rsidRDefault="00F731AC" w:rsidP="00CC768C">
            <w:pPr>
              <w:spacing w:after="0" w:line="245" w:lineRule="auto"/>
              <w:rPr>
                <w:rFonts w:eastAsia="Times New Roman"/>
                <w:color w:val="auto"/>
                <w:lang w:eastAsia="en-SG"/>
              </w:rPr>
            </w:pPr>
            <w:r w:rsidRPr="00097EC4">
              <w:rPr>
                <w:rFonts w:eastAsia="Times New Roman"/>
                <w:color w:val="auto"/>
                <w:lang w:eastAsia="en-SG"/>
              </w:rPr>
              <w:t xml:space="preserve">   Four-Digit SIC</w:t>
            </w:r>
          </w:p>
        </w:tc>
        <w:tc>
          <w:tcPr>
            <w:tcW w:w="706" w:type="dxa"/>
            <w:tcBorders>
              <w:top w:val="nil"/>
              <w:left w:val="single" w:sz="4" w:space="0" w:color="auto"/>
              <w:bottom w:val="single" w:sz="4" w:space="0" w:color="auto"/>
              <w:right w:val="nil"/>
            </w:tcBorders>
            <w:shd w:val="clear" w:color="auto" w:fill="auto"/>
            <w:tcMar>
              <w:top w:w="28" w:type="dxa"/>
              <w:bottom w:w="28" w:type="dxa"/>
            </w:tcMar>
            <w:vAlign w:val="center"/>
          </w:tcPr>
          <w:p w14:paraId="7AEDC875" w14:textId="77777777" w:rsidR="00F731AC" w:rsidRPr="00097EC4" w:rsidRDefault="00F731AC" w:rsidP="00CC768C">
            <w:pPr>
              <w:spacing w:after="0" w:line="245" w:lineRule="auto"/>
              <w:jc w:val="right"/>
              <w:rPr>
                <w:color w:val="auto"/>
              </w:rPr>
            </w:pPr>
            <w:r w:rsidRPr="00097EC4">
              <w:rPr>
                <w:color w:val="auto"/>
              </w:rPr>
              <w:t>-.005</w:t>
            </w:r>
          </w:p>
        </w:tc>
        <w:tc>
          <w:tcPr>
            <w:tcW w:w="644" w:type="dxa"/>
            <w:tcBorders>
              <w:top w:val="nil"/>
              <w:left w:val="nil"/>
              <w:bottom w:val="single" w:sz="4" w:space="0" w:color="auto"/>
              <w:right w:val="single" w:sz="4" w:space="0" w:color="auto"/>
            </w:tcBorders>
            <w:shd w:val="clear" w:color="auto" w:fill="auto"/>
            <w:vAlign w:val="center"/>
          </w:tcPr>
          <w:p w14:paraId="0F3034E8" w14:textId="77777777" w:rsidR="00F731AC" w:rsidRPr="00097EC4" w:rsidRDefault="00F731AC" w:rsidP="00CC768C">
            <w:pPr>
              <w:spacing w:after="0" w:line="245" w:lineRule="auto"/>
              <w:rPr>
                <w:color w:val="auto"/>
              </w:rPr>
            </w:pPr>
            <w:r w:rsidRPr="00097EC4">
              <w:rPr>
                <w:color w:val="auto"/>
              </w:rPr>
              <w:t>†††</w:t>
            </w:r>
          </w:p>
        </w:tc>
        <w:tc>
          <w:tcPr>
            <w:tcW w:w="771" w:type="dxa"/>
            <w:tcBorders>
              <w:top w:val="nil"/>
              <w:left w:val="single" w:sz="4" w:space="0" w:color="auto"/>
              <w:bottom w:val="single" w:sz="4" w:space="0" w:color="auto"/>
              <w:right w:val="nil"/>
            </w:tcBorders>
            <w:shd w:val="clear" w:color="auto" w:fill="auto"/>
            <w:vAlign w:val="center"/>
          </w:tcPr>
          <w:p w14:paraId="476A5A42" w14:textId="77777777" w:rsidR="00F731AC" w:rsidRPr="00097EC4" w:rsidRDefault="00F731AC" w:rsidP="00CC768C">
            <w:pPr>
              <w:spacing w:after="0" w:line="245" w:lineRule="auto"/>
              <w:jc w:val="right"/>
              <w:rPr>
                <w:color w:val="auto"/>
              </w:rPr>
            </w:pPr>
            <w:r w:rsidRPr="00097EC4">
              <w:rPr>
                <w:color w:val="auto"/>
              </w:rPr>
              <w:t>-.003</w:t>
            </w:r>
          </w:p>
        </w:tc>
        <w:tc>
          <w:tcPr>
            <w:tcW w:w="669" w:type="dxa"/>
            <w:tcBorders>
              <w:top w:val="nil"/>
              <w:left w:val="nil"/>
              <w:bottom w:val="single" w:sz="4" w:space="0" w:color="auto"/>
              <w:right w:val="single" w:sz="4" w:space="0" w:color="auto"/>
            </w:tcBorders>
            <w:shd w:val="clear" w:color="auto" w:fill="auto"/>
            <w:vAlign w:val="center"/>
          </w:tcPr>
          <w:p w14:paraId="561575BC" w14:textId="77777777" w:rsidR="00F731AC" w:rsidRPr="00097EC4" w:rsidRDefault="00F731AC" w:rsidP="00CC768C">
            <w:pPr>
              <w:spacing w:after="0" w:line="245" w:lineRule="auto"/>
              <w:rPr>
                <w:color w:val="auto"/>
              </w:rPr>
            </w:pPr>
            <w:r w:rsidRPr="00097EC4">
              <w:rPr>
                <w:color w:val="auto"/>
              </w:rPr>
              <w:t>†††</w:t>
            </w:r>
          </w:p>
        </w:tc>
        <w:tc>
          <w:tcPr>
            <w:tcW w:w="745" w:type="dxa"/>
            <w:tcBorders>
              <w:top w:val="nil"/>
              <w:left w:val="single" w:sz="4" w:space="0" w:color="auto"/>
              <w:bottom w:val="single" w:sz="4" w:space="0" w:color="auto"/>
              <w:right w:val="nil"/>
            </w:tcBorders>
            <w:shd w:val="clear" w:color="auto" w:fill="auto"/>
            <w:vAlign w:val="center"/>
          </w:tcPr>
          <w:p w14:paraId="10528C62" w14:textId="77777777" w:rsidR="00F731AC" w:rsidRPr="00097EC4" w:rsidRDefault="00F731AC" w:rsidP="00CC768C">
            <w:pPr>
              <w:spacing w:after="0" w:line="245" w:lineRule="auto"/>
              <w:jc w:val="right"/>
              <w:rPr>
                <w:color w:val="auto"/>
              </w:rPr>
            </w:pPr>
            <w:r w:rsidRPr="00097EC4">
              <w:rPr>
                <w:color w:val="auto"/>
              </w:rPr>
              <w:t>.005</w:t>
            </w:r>
          </w:p>
        </w:tc>
        <w:tc>
          <w:tcPr>
            <w:tcW w:w="695" w:type="dxa"/>
            <w:tcBorders>
              <w:top w:val="nil"/>
              <w:left w:val="nil"/>
              <w:bottom w:val="single" w:sz="4" w:space="0" w:color="auto"/>
              <w:right w:val="single" w:sz="4" w:space="0" w:color="auto"/>
            </w:tcBorders>
            <w:shd w:val="clear" w:color="auto" w:fill="auto"/>
            <w:vAlign w:val="center"/>
          </w:tcPr>
          <w:p w14:paraId="49E05255" w14:textId="77777777" w:rsidR="00F731AC" w:rsidRPr="00097EC4" w:rsidRDefault="00F731AC" w:rsidP="00CC768C">
            <w:pPr>
              <w:spacing w:after="0" w:line="245" w:lineRule="auto"/>
              <w:rPr>
                <w:color w:val="auto"/>
              </w:rPr>
            </w:pPr>
            <w:r w:rsidRPr="00097EC4">
              <w:rPr>
                <w:color w:val="auto"/>
              </w:rPr>
              <w:t>†††</w:t>
            </w:r>
          </w:p>
        </w:tc>
        <w:tc>
          <w:tcPr>
            <w:tcW w:w="720" w:type="dxa"/>
            <w:tcBorders>
              <w:top w:val="nil"/>
              <w:left w:val="single" w:sz="4" w:space="0" w:color="auto"/>
              <w:bottom w:val="single" w:sz="4" w:space="0" w:color="auto"/>
              <w:right w:val="nil"/>
            </w:tcBorders>
            <w:shd w:val="clear" w:color="auto" w:fill="auto"/>
            <w:vAlign w:val="center"/>
          </w:tcPr>
          <w:p w14:paraId="3DC372B4" w14:textId="77777777" w:rsidR="00F731AC" w:rsidRPr="00097EC4" w:rsidRDefault="00F731AC" w:rsidP="00CC768C">
            <w:pPr>
              <w:spacing w:after="0" w:line="245" w:lineRule="auto"/>
              <w:jc w:val="right"/>
              <w:rPr>
                <w:color w:val="auto"/>
              </w:rPr>
            </w:pPr>
            <w:r w:rsidRPr="00097EC4">
              <w:rPr>
                <w:color w:val="auto"/>
              </w:rPr>
              <w:t>.002</w:t>
            </w:r>
          </w:p>
        </w:tc>
        <w:tc>
          <w:tcPr>
            <w:tcW w:w="720" w:type="dxa"/>
            <w:tcBorders>
              <w:top w:val="nil"/>
              <w:left w:val="nil"/>
              <w:bottom w:val="single" w:sz="4" w:space="0" w:color="auto"/>
              <w:right w:val="single" w:sz="4" w:space="0" w:color="auto"/>
            </w:tcBorders>
            <w:shd w:val="clear" w:color="auto" w:fill="auto"/>
            <w:vAlign w:val="center"/>
          </w:tcPr>
          <w:p w14:paraId="0E14257B" w14:textId="77777777" w:rsidR="00F731AC" w:rsidRPr="00097EC4" w:rsidRDefault="00F731AC" w:rsidP="00CC768C">
            <w:pPr>
              <w:spacing w:after="0" w:line="245" w:lineRule="auto"/>
              <w:rPr>
                <w:color w:val="auto"/>
              </w:rPr>
            </w:pPr>
            <w:r w:rsidRPr="00097EC4">
              <w:rPr>
                <w:color w:val="auto"/>
              </w:rPr>
              <w:t>†</w:t>
            </w:r>
          </w:p>
        </w:tc>
        <w:tc>
          <w:tcPr>
            <w:tcW w:w="696" w:type="dxa"/>
            <w:tcBorders>
              <w:left w:val="single" w:sz="4" w:space="0" w:color="auto"/>
              <w:bottom w:val="single" w:sz="4" w:space="0" w:color="auto"/>
              <w:right w:val="nil"/>
            </w:tcBorders>
            <w:vAlign w:val="center"/>
          </w:tcPr>
          <w:p w14:paraId="35EE9B1A" w14:textId="77777777" w:rsidR="00F731AC" w:rsidRPr="00097EC4" w:rsidRDefault="00F731AC" w:rsidP="00CC768C">
            <w:pPr>
              <w:spacing w:after="0" w:line="245" w:lineRule="auto"/>
              <w:jc w:val="right"/>
              <w:rPr>
                <w:color w:val="auto"/>
              </w:rPr>
            </w:pPr>
            <w:r w:rsidRPr="00097EC4">
              <w:rPr>
                <w:color w:val="auto"/>
              </w:rPr>
              <w:t>-.002</w:t>
            </w:r>
          </w:p>
        </w:tc>
        <w:tc>
          <w:tcPr>
            <w:tcW w:w="654" w:type="dxa"/>
            <w:tcBorders>
              <w:left w:val="nil"/>
              <w:bottom w:val="single" w:sz="4" w:space="0" w:color="auto"/>
              <w:right w:val="single" w:sz="4" w:space="0" w:color="auto"/>
            </w:tcBorders>
            <w:vAlign w:val="center"/>
          </w:tcPr>
          <w:p w14:paraId="1DC10FDC" w14:textId="77777777" w:rsidR="00F731AC" w:rsidRPr="00097EC4" w:rsidRDefault="00F731AC" w:rsidP="00CC768C">
            <w:pPr>
              <w:spacing w:after="0" w:line="245" w:lineRule="auto"/>
              <w:rPr>
                <w:color w:val="auto"/>
              </w:rPr>
            </w:pPr>
          </w:p>
        </w:tc>
        <w:tc>
          <w:tcPr>
            <w:tcW w:w="760" w:type="dxa"/>
            <w:tcBorders>
              <w:left w:val="single" w:sz="4" w:space="0" w:color="auto"/>
              <w:bottom w:val="single" w:sz="4" w:space="0" w:color="auto"/>
              <w:right w:val="nil"/>
            </w:tcBorders>
            <w:vAlign w:val="center"/>
          </w:tcPr>
          <w:p w14:paraId="128A357B" w14:textId="77777777" w:rsidR="00F731AC" w:rsidRPr="00097EC4" w:rsidRDefault="00F731AC" w:rsidP="00CC768C">
            <w:pPr>
              <w:spacing w:after="0" w:line="245" w:lineRule="auto"/>
              <w:jc w:val="right"/>
              <w:rPr>
                <w:color w:val="auto"/>
              </w:rPr>
            </w:pPr>
            <w:r w:rsidRPr="00097EC4">
              <w:rPr>
                <w:color w:val="auto"/>
              </w:rPr>
              <w:t>-.004</w:t>
            </w:r>
          </w:p>
        </w:tc>
        <w:tc>
          <w:tcPr>
            <w:tcW w:w="680" w:type="dxa"/>
            <w:tcBorders>
              <w:left w:val="nil"/>
              <w:bottom w:val="single" w:sz="4" w:space="0" w:color="auto"/>
              <w:right w:val="single" w:sz="4" w:space="0" w:color="auto"/>
            </w:tcBorders>
            <w:vAlign w:val="center"/>
          </w:tcPr>
          <w:p w14:paraId="5B3258E5" w14:textId="77777777" w:rsidR="00F731AC" w:rsidRPr="00097EC4" w:rsidRDefault="00F731AC" w:rsidP="00CC768C">
            <w:pPr>
              <w:spacing w:after="0" w:line="245" w:lineRule="auto"/>
              <w:rPr>
                <w:color w:val="auto"/>
              </w:rPr>
            </w:pPr>
            <w:r w:rsidRPr="00097EC4">
              <w:rPr>
                <w:color w:val="auto"/>
              </w:rPr>
              <w:t>†††</w:t>
            </w:r>
          </w:p>
        </w:tc>
        <w:tc>
          <w:tcPr>
            <w:tcW w:w="735" w:type="dxa"/>
            <w:tcBorders>
              <w:top w:val="nil"/>
              <w:left w:val="single" w:sz="4" w:space="0" w:color="auto"/>
              <w:bottom w:val="single" w:sz="4" w:space="0" w:color="auto"/>
              <w:right w:val="nil"/>
            </w:tcBorders>
            <w:shd w:val="clear" w:color="auto" w:fill="auto"/>
            <w:vAlign w:val="center"/>
          </w:tcPr>
          <w:p w14:paraId="35891F49" w14:textId="77777777" w:rsidR="00F731AC" w:rsidRPr="00097EC4" w:rsidRDefault="00F731AC" w:rsidP="00CC768C">
            <w:pPr>
              <w:spacing w:after="0" w:line="245" w:lineRule="auto"/>
              <w:jc w:val="right"/>
              <w:rPr>
                <w:color w:val="auto"/>
              </w:rPr>
            </w:pPr>
            <w:r w:rsidRPr="00097EC4">
              <w:rPr>
                <w:color w:val="auto"/>
              </w:rPr>
              <w:t>-.002</w:t>
            </w:r>
          </w:p>
        </w:tc>
        <w:tc>
          <w:tcPr>
            <w:tcW w:w="708" w:type="dxa"/>
            <w:tcBorders>
              <w:top w:val="nil"/>
              <w:left w:val="nil"/>
              <w:bottom w:val="single" w:sz="4" w:space="0" w:color="auto"/>
              <w:right w:val="nil"/>
            </w:tcBorders>
            <w:shd w:val="clear" w:color="auto" w:fill="auto"/>
            <w:vAlign w:val="center"/>
          </w:tcPr>
          <w:p w14:paraId="6882020B" w14:textId="77777777" w:rsidR="00F731AC" w:rsidRPr="00097EC4" w:rsidRDefault="00F731AC" w:rsidP="00CC768C">
            <w:pPr>
              <w:spacing w:after="0" w:line="245" w:lineRule="auto"/>
              <w:rPr>
                <w:color w:val="auto"/>
              </w:rPr>
            </w:pPr>
          </w:p>
        </w:tc>
      </w:tr>
      <w:tr w:rsidR="00F609B3" w:rsidRPr="00097EC4" w14:paraId="34CAEF15" w14:textId="77777777" w:rsidTr="00DC065A">
        <w:trPr>
          <w:gridAfter w:val="1"/>
          <w:wAfter w:w="12" w:type="dxa"/>
          <w:trHeight w:val="227"/>
          <w:jc w:val="center"/>
        </w:trPr>
        <w:tc>
          <w:tcPr>
            <w:tcW w:w="3960" w:type="dxa"/>
            <w:tcBorders>
              <w:top w:val="single" w:sz="4" w:space="0" w:color="auto"/>
              <w:left w:val="nil"/>
              <w:bottom w:val="single" w:sz="4" w:space="0" w:color="auto"/>
              <w:right w:val="single" w:sz="4" w:space="0" w:color="auto"/>
            </w:tcBorders>
            <w:shd w:val="clear" w:color="000000" w:fill="FFFFFF"/>
            <w:tcMar>
              <w:top w:w="28" w:type="dxa"/>
              <w:bottom w:w="28" w:type="dxa"/>
            </w:tcMar>
            <w:vAlign w:val="center"/>
          </w:tcPr>
          <w:p w14:paraId="1FE9809F" w14:textId="77777777" w:rsidR="00F731AC" w:rsidRPr="00097EC4" w:rsidRDefault="00F731AC" w:rsidP="00CC768C">
            <w:pPr>
              <w:spacing w:after="0" w:line="245" w:lineRule="auto"/>
              <w:rPr>
                <w:rFonts w:eastAsia="Times New Roman"/>
                <w:b/>
                <w:color w:val="auto"/>
                <w:lang w:eastAsia="en-SG"/>
              </w:rPr>
            </w:pPr>
            <w:r w:rsidRPr="00097EC4">
              <w:rPr>
                <w:rFonts w:eastAsia="Times New Roman"/>
                <w:b/>
                <w:color w:val="auto"/>
                <w:lang w:eastAsia="en-SG"/>
              </w:rPr>
              <w:t>Alternative Dataset</w:t>
            </w:r>
          </w:p>
        </w:tc>
        <w:tc>
          <w:tcPr>
            <w:tcW w:w="706" w:type="dxa"/>
            <w:tcBorders>
              <w:top w:val="single" w:sz="4" w:space="0" w:color="auto"/>
              <w:left w:val="single" w:sz="4" w:space="0" w:color="auto"/>
              <w:bottom w:val="single" w:sz="4" w:space="0" w:color="auto"/>
              <w:right w:val="nil"/>
            </w:tcBorders>
            <w:shd w:val="clear" w:color="000000" w:fill="FFFFFF"/>
            <w:vAlign w:val="center"/>
          </w:tcPr>
          <w:p w14:paraId="5BF80FC7" w14:textId="77777777" w:rsidR="00F731AC" w:rsidRPr="00097EC4" w:rsidRDefault="00F731AC" w:rsidP="00CC768C">
            <w:pPr>
              <w:spacing w:after="0" w:line="245" w:lineRule="auto"/>
              <w:jc w:val="right"/>
              <w:rPr>
                <w:rFonts w:eastAsia="Times New Roman"/>
                <w:b/>
                <w:color w:val="auto"/>
                <w:lang w:eastAsia="en-SG"/>
              </w:rPr>
            </w:pPr>
            <w:r w:rsidRPr="00097EC4">
              <w:rPr>
                <w:color w:val="auto"/>
              </w:rPr>
              <w:t>-.006</w:t>
            </w:r>
          </w:p>
        </w:tc>
        <w:tc>
          <w:tcPr>
            <w:tcW w:w="644" w:type="dxa"/>
            <w:tcBorders>
              <w:top w:val="single" w:sz="4" w:space="0" w:color="auto"/>
              <w:left w:val="nil"/>
              <w:bottom w:val="single" w:sz="4" w:space="0" w:color="auto"/>
              <w:right w:val="single" w:sz="4" w:space="0" w:color="auto"/>
            </w:tcBorders>
            <w:shd w:val="clear" w:color="000000" w:fill="FFFFFF"/>
            <w:vAlign w:val="center"/>
          </w:tcPr>
          <w:p w14:paraId="56823216" w14:textId="77777777" w:rsidR="00F731AC" w:rsidRPr="00097EC4" w:rsidRDefault="00F731AC" w:rsidP="00CC768C">
            <w:pPr>
              <w:spacing w:after="0" w:line="245" w:lineRule="auto"/>
              <w:rPr>
                <w:rFonts w:eastAsia="Times New Roman"/>
                <w:b/>
                <w:color w:val="auto"/>
                <w:lang w:eastAsia="en-SG"/>
              </w:rPr>
            </w:pPr>
            <w:r w:rsidRPr="00097EC4">
              <w:rPr>
                <w:color w:val="auto"/>
              </w:rPr>
              <w:t>††</w:t>
            </w:r>
          </w:p>
        </w:tc>
        <w:tc>
          <w:tcPr>
            <w:tcW w:w="771" w:type="dxa"/>
            <w:tcBorders>
              <w:top w:val="single" w:sz="4" w:space="0" w:color="auto"/>
              <w:left w:val="single" w:sz="4" w:space="0" w:color="auto"/>
              <w:bottom w:val="single" w:sz="4" w:space="0" w:color="auto"/>
              <w:right w:val="nil"/>
            </w:tcBorders>
            <w:shd w:val="clear" w:color="000000" w:fill="FFFFFF"/>
            <w:vAlign w:val="center"/>
          </w:tcPr>
          <w:p w14:paraId="5BC86C4D" w14:textId="77777777" w:rsidR="00F731AC" w:rsidRPr="00097EC4" w:rsidRDefault="00F731AC" w:rsidP="00CC768C">
            <w:pPr>
              <w:spacing w:after="0" w:line="245" w:lineRule="auto"/>
              <w:jc w:val="right"/>
              <w:rPr>
                <w:rFonts w:eastAsia="Times New Roman"/>
                <w:color w:val="auto"/>
                <w:lang w:eastAsia="en-SG"/>
              </w:rPr>
            </w:pPr>
            <w:r w:rsidRPr="00097EC4">
              <w:rPr>
                <w:color w:val="auto"/>
              </w:rPr>
              <w:t>-.003</w:t>
            </w:r>
          </w:p>
        </w:tc>
        <w:tc>
          <w:tcPr>
            <w:tcW w:w="669" w:type="dxa"/>
            <w:tcBorders>
              <w:top w:val="single" w:sz="4" w:space="0" w:color="auto"/>
              <w:left w:val="nil"/>
              <w:bottom w:val="single" w:sz="4" w:space="0" w:color="auto"/>
              <w:right w:val="single" w:sz="4" w:space="0" w:color="auto"/>
            </w:tcBorders>
            <w:shd w:val="clear" w:color="000000" w:fill="FFFFFF"/>
            <w:vAlign w:val="center"/>
          </w:tcPr>
          <w:p w14:paraId="32EFBEE8" w14:textId="77777777" w:rsidR="00F731AC" w:rsidRPr="00097EC4" w:rsidRDefault="00F731AC" w:rsidP="00CC768C">
            <w:pPr>
              <w:spacing w:after="0" w:line="245" w:lineRule="auto"/>
              <w:rPr>
                <w:rFonts w:eastAsia="Times New Roman"/>
                <w:color w:val="auto"/>
                <w:lang w:eastAsia="en-SG"/>
              </w:rPr>
            </w:pPr>
            <w:r w:rsidRPr="00097EC4">
              <w:rPr>
                <w:color w:val="auto"/>
              </w:rPr>
              <w:t>†††</w:t>
            </w:r>
          </w:p>
        </w:tc>
        <w:tc>
          <w:tcPr>
            <w:tcW w:w="745" w:type="dxa"/>
            <w:tcBorders>
              <w:top w:val="single" w:sz="4" w:space="0" w:color="auto"/>
              <w:left w:val="single" w:sz="4" w:space="0" w:color="auto"/>
              <w:bottom w:val="single" w:sz="4" w:space="0" w:color="auto"/>
              <w:right w:val="nil"/>
            </w:tcBorders>
            <w:shd w:val="clear" w:color="000000" w:fill="FFFFFF"/>
            <w:vAlign w:val="center"/>
          </w:tcPr>
          <w:p w14:paraId="327BAA91" w14:textId="77777777" w:rsidR="00F731AC" w:rsidRPr="00097EC4" w:rsidRDefault="00F731AC" w:rsidP="00CC768C">
            <w:pPr>
              <w:spacing w:after="0" w:line="245" w:lineRule="auto"/>
              <w:jc w:val="right"/>
              <w:rPr>
                <w:rFonts w:eastAsia="Times New Roman"/>
                <w:color w:val="auto"/>
                <w:lang w:eastAsia="en-SG"/>
              </w:rPr>
            </w:pPr>
            <w:r w:rsidRPr="00097EC4">
              <w:rPr>
                <w:color w:val="auto"/>
              </w:rPr>
              <w:t>.005</w:t>
            </w:r>
          </w:p>
        </w:tc>
        <w:tc>
          <w:tcPr>
            <w:tcW w:w="695" w:type="dxa"/>
            <w:tcBorders>
              <w:top w:val="single" w:sz="4" w:space="0" w:color="auto"/>
              <w:left w:val="nil"/>
              <w:bottom w:val="single" w:sz="4" w:space="0" w:color="auto"/>
              <w:right w:val="single" w:sz="4" w:space="0" w:color="auto"/>
            </w:tcBorders>
            <w:shd w:val="clear" w:color="000000" w:fill="FFFFFF"/>
            <w:vAlign w:val="center"/>
          </w:tcPr>
          <w:p w14:paraId="4D4B3FD0" w14:textId="77777777" w:rsidR="00F731AC" w:rsidRPr="00097EC4" w:rsidRDefault="00F731AC" w:rsidP="00CC768C">
            <w:pPr>
              <w:spacing w:after="0" w:line="245" w:lineRule="auto"/>
              <w:rPr>
                <w:rFonts w:eastAsia="Times New Roman"/>
                <w:color w:val="auto"/>
                <w:lang w:eastAsia="en-SG"/>
              </w:rPr>
            </w:pPr>
            <w:r w:rsidRPr="00097EC4">
              <w:rPr>
                <w:color w:val="auto"/>
              </w:rPr>
              <w:t>††</w:t>
            </w:r>
          </w:p>
        </w:tc>
        <w:tc>
          <w:tcPr>
            <w:tcW w:w="720" w:type="dxa"/>
            <w:tcBorders>
              <w:top w:val="single" w:sz="4" w:space="0" w:color="auto"/>
              <w:left w:val="single" w:sz="4" w:space="0" w:color="auto"/>
              <w:bottom w:val="single" w:sz="4" w:space="0" w:color="auto"/>
              <w:right w:val="nil"/>
            </w:tcBorders>
            <w:shd w:val="clear" w:color="000000" w:fill="FFFFFF"/>
            <w:vAlign w:val="center"/>
          </w:tcPr>
          <w:p w14:paraId="5ADBDECF" w14:textId="77777777" w:rsidR="00F731AC" w:rsidRPr="00097EC4" w:rsidRDefault="00F731AC" w:rsidP="00CC768C">
            <w:pPr>
              <w:spacing w:after="0" w:line="245" w:lineRule="auto"/>
              <w:jc w:val="right"/>
              <w:rPr>
                <w:rFonts w:eastAsia="Times New Roman"/>
                <w:color w:val="auto"/>
                <w:lang w:eastAsia="en-SG"/>
              </w:rPr>
            </w:pPr>
            <w:r w:rsidRPr="00097EC4">
              <w:rPr>
                <w:color w:val="auto"/>
              </w:rPr>
              <w:t>.002</w:t>
            </w:r>
          </w:p>
        </w:tc>
        <w:tc>
          <w:tcPr>
            <w:tcW w:w="720" w:type="dxa"/>
            <w:tcBorders>
              <w:top w:val="single" w:sz="4" w:space="0" w:color="auto"/>
              <w:left w:val="nil"/>
              <w:bottom w:val="single" w:sz="4" w:space="0" w:color="auto"/>
              <w:right w:val="single" w:sz="4" w:space="0" w:color="auto"/>
            </w:tcBorders>
            <w:shd w:val="clear" w:color="000000" w:fill="FFFFFF"/>
            <w:vAlign w:val="center"/>
          </w:tcPr>
          <w:p w14:paraId="3FFF99A5" w14:textId="77777777" w:rsidR="00F731AC" w:rsidRPr="00097EC4" w:rsidRDefault="00F731AC" w:rsidP="00CC768C">
            <w:pPr>
              <w:spacing w:after="0" w:line="245" w:lineRule="auto"/>
              <w:rPr>
                <w:rFonts w:eastAsia="Times New Roman"/>
                <w:color w:val="auto"/>
                <w:lang w:eastAsia="en-SG"/>
              </w:rPr>
            </w:pPr>
            <w:r w:rsidRPr="00097EC4">
              <w:rPr>
                <w:color w:val="auto"/>
              </w:rPr>
              <w:t>†</w:t>
            </w:r>
          </w:p>
        </w:tc>
        <w:tc>
          <w:tcPr>
            <w:tcW w:w="696" w:type="dxa"/>
            <w:tcBorders>
              <w:top w:val="single" w:sz="4" w:space="0" w:color="auto"/>
              <w:left w:val="single" w:sz="4" w:space="0" w:color="auto"/>
              <w:bottom w:val="single" w:sz="4" w:space="0" w:color="auto"/>
              <w:right w:val="nil"/>
            </w:tcBorders>
            <w:vAlign w:val="center"/>
          </w:tcPr>
          <w:p w14:paraId="4BB61EBD" w14:textId="77777777" w:rsidR="00F731AC" w:rsidRPr="00097EC4" w:rsidRDefault="00F731AC" w:rsidP="00CC768C">
            <w:pPr>
              <w:spacing w:after="0" w:line="245" w:lineRule="auto"/>
              <w:jc w:val="right"/>
              <w:rPr>
                <w:rFonts w:eastAsia="Times New Roman"/>
                <w:color w:val="auto"/>
                <w:lang w:eastAsia="en-SG"/>
              </w:rPr>
            </w:pPr>
            <w:r w:rsidRPr="00097EC4">
              <w:rPr>
                <w:color w:val="auto"/>
              </w:rPr>
              <w:t>.002</w:t>
            </w:r>
          </w:p>
        </w:tc>
        <w:tc>
          <w:tcPr>
            <w:tcW w:w="654" w:type="dxa"/>
            <w:tcBorders>
              <w:top w:val="single" w:sz="4" w:space="0" w:color="auto"/>
              <w:left w:val="nil"/>
              <w:bottom w:val="single" w:sz="4" w:space="0" w:color="auto"/>
              <w:right w:val="single" w:sz="4" w:space="0" w:color="auto"/>
            </w:tcBorders>
            <w:vAlign w:val="center"/>
          </w:tcPr>
          <w:p w14:paraId="24C623A9" w14:textId="77777777" w:rsidR="00F731AC" w:rsidRPr="00097EC4" w:rsidRDefault="00F731AC" w:rsidP="00CC768C">
            <w:pPr>
              <w:spacing w:after="0" w:line="245" w:lineRule="auto"/>
              <w:rPr>
                <w:rFonts w:eastAsia="Times New Roman"/>
                <w:color w:val="auto"/>
                <w:lang w:eastAsia="en-SG"/>
              </w:rPr>
            </w:pPr>
          </w:p>
        </w:tc>
        <w:tc>
          <w:tcPr>
            <w:tcW w:w="760" w:type="dxa"/>
            <w:tcBorders>
              <w:top w:val="single" w:sz="4" w:space="0" w:color="auto"/>
              <w:left w:val="single" w:sz="4" w:space="0" w:color="auto"/>
              <w:bottom w:val="single" w:sz="4" w:space="0" w:color="auto"/>
              <w:right w:val="nil"/>
            </w:tcBorders>
            <w:vAlign w:val="center"/>
          </w:tcPr>
          <w:p w14:paraId="6052CC8E" w14:textId="77777777" w:rsidR="00F731AC" w:rsidRPr="00097EC4" w:rsidRDefault="00F731AC" w:rsidP="00CC768C">
            <w:pPr>
              <w:spacing w:after="0" w:line="245" w:lineRule="auto"/>
              <w:jc w:val="right"/>
              <w:rPr>
                <w:rFonts w:eastAsia="Times New Roman"/>
                <w:color w:val="auto"/>
                <w:lang w:eastAsia="en-SG"/>
              </w:rPr>
            </w:pPr>
            <w:r w:rsidRPr="00097EC4">
              <w:rPr>
                <w:color w:val="auto"/>
              </w:rPr>
              <w:t>-.004</w:t>
            </w:r>
          </w:p>
        </w:tc>
        <w:tc>
          <w:tcPr>
            <w:tcW w:w="680" w:type="dxa"/>
            <w:tcBorders>
              <w:top w:val="single" w:sz="4" w:space="0" w:color="auto"/>
              <w:left w:val="nil"/>
              <w:bottom w:val="single" w:sz="4" w:space="0" w:color="auto"/>
              <w:right w:val="single" w:sz="4" w:space="0" w:color="auto"/>
            </w:tcBorders>
            <w:vAlign w:val="center"/>
          </w:tcPr>
          <w:p w14:paraId="637E4C55" w14:textId="77777777" w:rsidR="00F731AC" w:rsidRPr="00097EC4" w:rsidRDefault="00F731AC" w:rsidP="00CC768C">
            <w:pPr>
              <w:spacing w:after="0" w:line="245" w:lineRule="auto"/>
              <w:rPr>
                <w:rFonts w:eastAsia="Times New Roman"/>
                <w:color w:val="auto"/>
                <w:lang w:eastAsia="en-SG"/>
              </w:rPr>
            </w:pPr>
            <w:r w:rsidRPr="00097EC4">
              <w:rPr>
                <w:color w:val="auto"/>
              </w:rPr>
              <w:t>††</w:t>
            </w:r>
          </w:p>
        </w:tc>
        <w:tc>
          <w:tcPr>
            <w:tcW w:w="735" w:type="dxa"/>
            <w:tcBorders>
              <w:top w:val="single" w:sz="4" w:space="0" w:color="auto"/>
              <w:left w:val="single" w:sz="4" w:space="0" w:color="auto"/>
              <w:bottom w:val="single" w:sz="4" w:space="0" w:color="auto"/>
              <w:right w:val="nil"/>
            </w:tcBorders>
            <w:shd w:val="clear" w:color="000000" w:fill="FFFFFF"/>
            <w:vAlign w:val="center"/>
          </w:tcPr>
          <w:p w14:paraId="7F435688" w14:textId="77777777" w:rsidR="00F731AC" w:rsidRPr="00097EC4" w:rsidRDefault="00F731AC" w:rsidP="00CC768C">
            <w:pPr>
              <w:spacing w:after="0" w:line="245" w:lineRule="auto"/>
              <w:jc w:val="right"/>
              <w:rPr>
                <w:rFonts w:eastAsia="Times New Roman"/>
                <w:color w:val="auto"/>
                <w:lang w:eastAsia="en-SG"/>
              </w:rPr>
            </w:pPr>
            <w:r w:rsidRPr="00097EC4">
              <w:rPr>
                <w:color w:val="auto"/>
              </w:rPr>
              <w:t>-.026</w:t>
            </w:r>
          </w:p>
        </w:tc>
        <w:tc>
          <w:tcPr>
            <w:tcW w:w="708" w:type="dxa"/>
            <w:tcBorders>
              <w:top w:val="single" w:sz="4" w:space="0" w:color="auto"/>
              <w:left w:val="nil"/>
              <w:bottom w:val="single" w:sz="4" w:space="0" w:color="auto"/>
              <w:right w:val="nil"/>
            </w:tcBorders>
            <w:shd w:val="clear" w:color="000000" w:fill="FFFFFF"/>
            <w:vAlign w:val="center"/>
          </w:tcPr>
          <w:p w14:paraId="555B90B2" w14:textId="77777777" w:rsidR="00F731AC" w:rsidRPr="00097EC4" w:rsidRDefault="00F731AC" w:rsidP="00CC768C">
            <w:pPr>
              <w:spacing w:after="0" w:line="245" w:lineRule="auto"/>
              <w:rPr>
                <w:rFonts w:eastAsia="Times New Roman"/>
                <w:color w:val="auto"/>
                <w:lang w:eastAsia="en-SG"/>
              </w:rPr>
            </w:pPr>
            <w:r w:rsidRPr="00097EC4">
              <w:rPr>
                <w:color w:val="auto"/>
              </w:rPr>
              <w:t>†</w:t>
            </w:r>
          </w:p>
        </w:tc>
      </w:tr>
      <w:tr w:rsidR="00F731AC" w:rsidRPr="00097EC4" w14:paraId="4F71A60D" w14:textId="77777777" w:rsidTr="00CC768C">
        <w:trPr>
          <w:gridAfter w:val="1"/>
          <w:wAfter w:w="12" w:type="dxa"/>
          <w:trHeight w:val="227"/>
          <w:jc w:val="center"/>
        </w:trPr>
        <w:tc>
          <w:tcPr>
            <w:tcW w:w="3960" w:type="dxa"/>
            <w:tcBorders>
              <w:top w:val="single" w:sz="4" w:space="0" w:color="auto"/>
              <w:left w:val="nil"/>
              <w:right w:val="single" w:sz="4" w:space="0" w:color="auto"/>
            </w:tcBorders>
            <w:shd w:val="clear" w:color="000000" w:fill="FFFFFF"/>
            <w:tcMar>
              <w:top w:w="28" w:type="dxa"/>
              <w:bottom w:w="28" w:type="dxa"/>
            </w:tcMar>
            <w:vAlign w:val="center"/>
          </w:tcPr>
          <w:p w14:paraId="6842BA1D" w14:textId="77777777" w:rsidR="00F731AC" w:rsidRPr="00097EC4" w:rsidRDefault="00F731AC" w:rsidP="00CC768C">
            <w:pPr>
              <w:spacing w:after="0" w:line="245" w:lineRule="auto"/>
              <w:rPr>
                <w:rFonts w:eastAsia="Times New Roman"/>
                <w:b/>
                <w:color w:val="auto"/>
                <w:lang w:eastAsia="en-SG"/>
              </w:rPr>
            </w:pPr>
            <w:r w:rsidRPr="00097EC4">
              <w:rPr>
                <w:rFonts w:eastAsia="Times New Roman"/>
                <w:b/>
                <w:color w:val="auto"/>
                <w:lang w:eastAsia="en-SG"/>
              </w:rPr>
              <w:t>Alternative Dependent Variable</w:t>
            </w:r>
          </w:p>
        </w:tc>
        <w:tc>
          <w:tcPr>
            <w:tcW w:w="706" w:type="dxa"/>
            <w:tcBorders>
              <w:top w:val="single" w:sz="4" w:space="0" w:color="auto"/>
              <w:left w:val="single" w:sz="4" w:space="0" w:color="auto"/>
              <w:right w:val="nil"/>
            </w:tcBorders>
            <w:shd w:val="clear" w:color="auto" w:fill="auto"/>
            <w:tcMar>
              <w:top w:w="28" w:type="dxa"/>
              <w:bottom w:w="28" w:type="dxa"/>
            </w:tcMar>
            <w:vAlign w:val="center"/>
          </w:tcPr>
          <w:p w14:paraId="62EAE14B" w14:textId="77777777" w:rsidR="00F731AC" w:rsidRPr="00097EC4" w:rsidRDefault="00F731AC" w:rsidP="00CC768C">
            <w:pPr>
              <w:spacing w:after="0" w:line="245" w:lineRule="auto"/>
              <w:jc w:val="right"/>
              <w:rPr>
                <w:color w:val="auto"/>
              </w:rPr>
            </w:pPr>
          </w:p>
        </w:tc>
        <w:tc>
          <w:tcPr>
            <w:tcW w:w="644" w:type="dxa"/>
            <w:tcBorders>
              <w:top w:val="single" w:sz="4" w:space="0" w:color="auto"/>
              <w:left w:val="nil"/>
              <w:right w:val="single" w:sz="4" w:space="0" w:color="auto"/>
            </w:tcBorders>
            <w:shd w:val="clear" w:color="auto" w:fill="auto"/>
            <w:vAlign w:val="center"/>
          </w:tcPr>
          <w:p w14:paraId="67D1F6A0" w14:textId="77777777" w:rsidR="00F731AC" w:rsidRPr="00097EC4" w:rsidRDefault="00F731AC" w:rsidP="00CC768C">
            <w:pPr>
              <w:spacing w:after="0" w:line="245" w:lineRule="auto"/>
              <w:rPr>
                <w:color w:val="auto"/>
              </w:rPr>
            </w:pPr>
          </w:p>
        </w:tc>
        <w:tc>
          <w:tcPr>
            <w:tcW w:w="771" w:type="dxa"/>
            <w:tcBorders>
              <w:top w:val="single" w:sz="4" w:space="0" w:color="auto"/>
              <w:left w:val="single" w:sz="4" w:space="0" w:color="auto"/>
              <w:right w:val="nil"/>
            </w:tcBorders>
            <w:shd w:val="clear" w:color="auto" w:fill="auto"/>
            <w:vAlign w:val="center"/>
          </w:tcPr>
          <w:p w14:paraId="7CEF460B" w14:textId="77777777" w:rsidR="00F731AC" w:rsidRPr="00097EC4" w:rsidRDefault="00F731AC" w:rsidP="00CC768C">
            <w:pPr>
              <w:spacing w:after="0" w:line="245" w:lineRule="auto"/>
              <w:jc w:val="right"/>
              <w:rPr>
                <w:color w:val="auto"/>
              </w:rPr>
            </w:pPr>
          </w:p>
        </w:tc>
        <w:tc>
          <w:tcPr>
            <w:tcW w:w="669" w:type="dxa"/>
            <w:tcBorders>
              <w:top w:val="single" w:sz="4" w:space="0" w:color="auto"/>
              <w:left w:val="nil"/>
              <w:right w:val="single" w:sz="4" w:space="0" w:color="auto"/>
            </w:tcBorders>
            <w:shd w:val="clear" w:color="auto" w:fill="auto"/>
            <w:vAlign w:val="center"/>
          </w:tcPr>
          <w:p w14:paraId="025EFFBF" w14:textId="77777777" w:rsidR="00F731AC" w:rsidRPr="00097EC4" w:rsidRDefault="00F731AC" w:rsidP="00CC768C">
            <w:pPr>
              <w:spacing w:after="0" w:line="245" w:lineRule="auto"/>
              <w:rPr>
                <w:color w:val="auto"/>
              </w:rPr>
            </w:pPr>
          </w:p>
        </w:tc>
        <w:tc>
          <w:tcPr>
            <w:tcW w:w="745" w:type="dxa"/>
            <w:tcBorders>
              <w:top w:val="single" w:sz="4" w:space="0" w:color="auto"/>
              <w:left w:val="single" w:sz="4" w:space="0" w:color="auto"/>
              <w:right w:val="nil"/>
            </w:tcBorders>
            <w:shd w:val="clear" w:color="auto" w:fill="auto"/>
            <w:vAlign w:val="center"/>
          </w:tcPr>
          <w:p w14:paraId="1185FDA8" w14:textId="77777777" w:rsidR="00F731AC" w:rsidRPr="00097EC4" w:rsidRDefault="00F731AC" w:rsidP="00CC768C">
            <w:pPr>
              <w:spacing w:after="0" w:line="245" w:lineRule="auto"/>
              <w:jc w:val="right"/>
              <w:rPr>
                <w:color w:val="auto"/>
              </w:rPr>
            </w:pPr>
          </w:p>
        </w:tc>
        <w:tc>
          <w:tcPr>
            <w:tcW w:w="695" w:type="dxa"/>
            <w:tcBorders>
              <w:top w:val="single" w:sz="4" w:space="0" w:color="auto"/>
              <w:left w:val="nil"/>
              <w:right w:val="single" w:sz="4" w:space="0" w:color="auto"/>
            </w:tcBorders>
            <w:shd w:val="clear" w:color="auto" w:fill="auto"/>
            <w:vAlign w:val="center"/>
          </w:tcPr>
          <w:p w14:paraId="5C60E382" w14:textId="77777777" w:rsidR="00F731AC" w:rsidRPr="00097EC4" w:rsidRDefault="00F731AC" w:rsidP="00CC768C">
            <w:pPr>
              <w:spacing w:after="0" w:line="245" w:lineRule="auto"/>
              <w:rPr>
                <w:color w:val="auto"/>
              </w:rPr>
            </w:pPr>
          </w:p>
        </w:tc>
        <w:tc>
          <w:tcPr>
            <w:tcW w:w="720" w:type="dxa"/>
            <w:tcBorders>
              <w:top w:val="single" w:sz="4" w:space="0" w:color="auto"/>
              <w:left w:val="single" w:sz="4" w:space="0" w:color="auto"/>
              <w:right w:val="nil"/>
            </w:tcBorders>
            <w:shd w:val="clear" w:color="auto" w:fill="auto"/>
            <w:vAlign w:val="center"/>
          </w:tcPr>
          <w:p w14:paraId="0C04DC07" w14:textId="77777777" w:rsidR="00F731AC" w:rsidRPr="00097EC4" w:rsidRDefault="00F731AC" w:rsidP="00CC768C">
            <w:pPr>
              <w:spacing w:after="0" w:line="245" w:lineRule="auto"/>
              <w:jc w:val="right"/>
              <w:rPr>
                <w:color w:val="auto"/>
              </w:rPr>
            </w:pPr>
          </w:p>
        </w:tc>
        <w:tc>
          <w:tcPr>
            <w:tcW w:w="720" w:type="dxa"/>
            <w:tcBorders>
              <w:top w:val="single" w:sz="4" w:space="0" w:color="auto"/>
              <w:left w:val="nil"/>
              <w:right w:val="single" w:sz="4" w:space="0" w:color="auto"/>
            </w:tcBorders>
            <w:shd w:val="clear" w:color="auto" w:fill="auto"/>
            <w:vAlign w:val="center"/>
          </w:tcPr>
          <w:p w14:paraId="3179BE4D" w14:textId="77777777" w:rsidR="00F731AC" w:rsidRPr="00097EC4" w:rsidRDefault="00F731AC" w:rsidP="00CC768C">
            <w:pPr>
              <w:spacing w:after="0" w:line="245" w:lineRule="auto"/>
              <w:rPr>
                <w:color w:val="auto"/>
              </w:rPr>
            </w:pPr>
          </w:p>
        </w:tc>
        <w:tc>
          <w:tcPr>
            <w:tcW w:w="696" w:type="dxa"/>
            <w:tcBorders>
              <w:top w:val="single" w:sz="4" w:space="0" w:color="auto"/>
              <w:left w:val="single" w:sz="4" w:space="0" w:color="auto"/>
              <w:right w:val="nil"/>
            </w:tcBorders>
            <w:vAlign w:val="center"/>
          </w:tcPr>
          <w:p w14:paraId="26866DEF" w14:textId="77777777" w:rsidR="00F731AC" w:rsidRPr="00097EC4" w:rsidRDefault="00F731AC" w:rsidP="00CC768C">
            <w:pPr>
              <w:spacing w:after="0" w:line="245" w:lineRule="auto"/>
              <w:jc w:val="right"/>
              <w:rPr>
                <w:color w:val="auto"/>
              </w:rPr>
            </w:pPr>
          </w:p>
        </w:tc>
        <w:tc>
          <w:tcPr>
            <w:tcW w:w="654" w:type="dxa"/>
            <w:tcBorders>
              <w:top w:val="single" w:sz="4" w:space="0" w:color="auto"/>
              <w:left w:val="nil"/>
              <w:right w:val="single" w:sz="4" w:space="0" w:color="auto"/>
            </w:tcBorders>
            <w:vAlign w:val="center"/>
          </w:tcPr>
          <w:p w14:paraId="0E343B20" w14:textId="77777777" w:rsidR="00F731AC" w:rsidRPr="00097EC4" w:rsidRDefault="00F731AC" w:rsidP="00CC768C">
            <w:pPr>
              <w:spacing w:after="0" w:line="245" w:lineRule="auto"/>
              <w:rPr>
                <w:color w:val="auto"/>
              </w:rPr>
            </w:pPr>
          </w:p>
        </w:tc>
        <w:tc>
          <w:tcPr>
            <w:tcW w:w="760" w:type="dxa"/>
            <w:tcBorders>
              <w:top w:val="single" w:sz="4" w:space="0" w:color="auto"/>
              <w:left w:val="single" w:sz="4" w:space="0" w:color="auto"/>
              <w:right w:val="nil"/>
            </w:tcBorders>
            <w:vAlign w:val="center"/>
          </w:tcPr>
          <w:p w14:paraId="04CCF12D" w14:textId="77777777" w:rsidR="00F731AC" w:rsidRPr="00097EC4" w:rsidRDefault="00F731AC" w:rsidP="00CC768C">
            <w:pPr>
              <w:spacing w:after="0" w:line="245" w:lineRule="auto"/>
              <w:jc w:val="right"/>
              <w:rPr>
                <w:color w:val="auto"/>
              </w:rPr>
            </w:pPr>
          </w:p>
        </w:tc>
        <w:tc>
          <w:tcPr>
            <w:tcW w:w="680" w:type="dxa"/>
            <w:tcBorders>
              <w:top w:val="single" w:sz="4" w:space="0" w:color="auto"/>
              <w:left w:val="nil"/>
              <w:right w:val="single" w:sz="4" w:space="0" w:color="auto"/>
            </w:tcBorders>
            <w:vAlign w:val="center"/>
          </w:tcPr>
          <w:p w14:paraId="454D07D1" w14:textId="77777777" w:rsidR="00F731AC" w:rsidRPr="00097EC4" w:rsidRDefault="00F731AC" w:rsidP="00CC768C">
            <w:pPr>
              <w:spacing w:after="0" w:line="245" w:lineRule="auto"/>
              <w:rPr>
                <w:color w:val="auto"/>
              </w:rPr>
            </w:pPr>
          </w:p>
        </w:tc>
        <w:tc>
          <w:tcPr>
            <w:tcW w:w="735" w:type="dxa"/>
            <w:tcBorders>
              <w:top w:val="single" w:sz="4" w:space="0" w:color="auto"/>
              <w:left w:val="single" w:sz="4" w:space="0" w:color="auto"/>
              <w:right w:val="nil"/>
            </w:tcBorders>
            <w:shd w:val="clear" w:color="auto" w:fill="auto"/>
            <w:vAlign w:val="center"/>
          </w:tcPr>
          <w:p w14:paraId="3731A6CE" w14:textId="77777777" w:rsidR="00F731AC" w:rsidRPr="00097EC4" w:rsidRDefault="00F731AC" w:rsidP="00CC768C">
            <w:pPr>
              <w:spacing w:after="0" w:line="245" w:lineRule="auto"/>
              <w:jc w:val="right"/>
              <w:rPr>
                <w:color w:val="auto"/>
              </w:rPr>
            </w:pPr>
          </w:p>
        </w:tc>
        <w:tc>
          <w:tcPr>
            <w:tcW w:w="708" w:type="dxa"/>
            <w:tcBorders>
              <w:top w:val="single" w:sz="4" w:space="0" w:color="auto"/>
              <w:left w:val="nil"/>
              <w:right w:val="nil"/>
            </w:tcBorders>
            <w:shd w:val="clear" w:color="auto" w:fill="auto"/>
            <w:vAlign w:val="center"/>
          </w:tcPr>
          <w:p w14:paraId="06D90A6D" w14:textId="77777777" w:rsidR="00F731AC" w:rsidRPr="00097EC4" w:rsidRDefault="00F731AC" w:rsidP="00CC768C">
            <w:pPr>
              <w:spacing w:after="0" w:line="245" w:lineRule="auto"/>
              <w:rPr>
                <w:color w:val="auto"/>
              </w:rPr>
            </w:pPr>
          </w:p>
        </w:tc>
      </w:tr>
      <w:tr w:rsidR="00F731AC" w:rsidRPr="00097EC4" w14:paraId="4FF3EE7F" w14:textId="77777777" w:rsidTr="00CC768C">
        <w:trPr>
          <w:gridAfter w:val="1"/>
          <w:wAfter w:w="12" w:type="dxa"/>
          <w:trHeight w:val="227"/>
          <w:jc w:val="center"/>
        </w:trPr>
        <w:tc>
          <w:tcPr>
            <w:tcW w:w="3960" w:type="dxa"/>
            <w:tcBorders>
              <w:left w:val="nil"/>
              <w:right w:val="single" w:sz="4" w:space="0" w:color="auto"/>
            </w:tcBorders>
            <w:shd w:val="clear" w:color="000000" w:fill="FFFFFF"/>
            <w:tcMar>
              <w:top w:w="28" w:type="dxa"/>
              <w:bottom w:w="28" w:type="dxa"/>
            </w:tcMar>
            <w:vAlign w:val="center"/>
          </w:tcPr>
          <w:p w14:paraId="55FC323D" w14:textId="77777777" w:rsidR="00F731AC" w:rsidRPr="00097EC4" w:rsidRDefault="00F731AC" w:rsidP="00CC768C">
            <w:pPr>
              <w:spacing w:after="0" w:line="245" w:lineRule="auto"/>
              <w:rPr>
                <w:rFonts w:eastAsia="Times New Roman"/>
                <w:color w:val="auto"/>
                <w:lang w:eastAsia="en-SG"/>
              </w:rPr>
            </w:pPr>
            <w:r w:rsidRPr="00097EC4">
              <w:rPr>
                <w:rFonts w:eastAsia="Times New Roman"/>
                <w:color w:val="auto"/>
                <w:lang w:eastAsia="en-SG"/>
              </w:rPr>
              <w:t xml:space="preserve">   </w:t>
            </w:r>
            <w:r>
              <w:rPr>
                <w:rFonts w:eastAsia="Times New Roman"/>
                <w:color w:val="auto"/>
                <w:lang w:eastAsia="en-SG"/>
              </w:rPr>
              <w:t>Excluding Freight-out Expenses</w:t>
            </w:r>
          </w:p>
        </w:tc>
        <w:tc>
          <w:tcPr>
            <w:tcW w:w="706" w:type="dxa"/>
            <w:tcBorders>
              <w:left w:val="single" w:sz="4" w:space="0" w:color="auto"/>
              <w:bottom w:val="nil"/>
              <w:right w:val="nil"/>
            </w:tcBorders>
            <w:shd w:val="clear" w:color="auto" w:fill="auto"/>
            <w:tcMar>
              <w:top w:w="28" w:type="dxa"/>
              <w:bottom w:w="28" w:type="dxa"/>
            </w:tcMar>
            <w:vAlign w:val="center"/>
          </w:tcPr>
          <w:p w14:paraId="47202F1E" w14:textId="77777777" w:rsidR="00F731AC" w:rsidRPr="00097EC4" w:rsidRDefault="00F731AC" w:rsidP="00CC768C">
            <w:pPr>
              <w:spacing w:after="0" w:line="245" w:lineRule="auto"/>
              <w:jc w:val="right"/>
              <w:rPr>
                <w:color w:val="auto"/>
              </w:rPr>
            </w:pPr>
            <w:r w:rsidRPr="00097EC4">
              <w:rPr>
                <w:color w:val="auto"/>
              </w:rPr>
              <w:t>-.005</w:t>
            </w:r>
          </w:p>
        </w:tc>
        <w:tc>
          <w:tcPr>
            <w:tcW w:w="644" w:type="dxa"/>
            <w:tcBorders>
              <w:left w:val="nil"/>
              <w:bottom w:val="nil"/>
              <w:right w:val="single" w:sz="4" w:space="0" w:color="auto"/>
            </w:tcBorders>
            <w:shd w:val="clear" w:color="auto" w:fill="auto"/>
            <w:vAlign w:val="center"/>
          </w:tcPr>
          <w:p w14:paraId="38BC6D63" w14:textId="77777777" w:rsidR="00F731AC" w:rsidRPr="00097EC4" w:rsidRDefault="00F731AC" w:rsidP="00CC768C">
            <w:pPr>
              <w:spacing w:after="0" w:line="245" w:lineRule="auto"/>
              <w:rPr>
                <w:color w:val="auto"/>
              </w:rPr>
            </w:pPr>
            <w:r w:rsidRPr="00097EC4">
              <w:rPr>
                <w:color w:val="auto"/>
              </w:rPr>
              <w:t>††</w:t>
            </w:r>
          </w:p>
        </w:tc>
        <w:tc>
          <w:tcPr>
            <w:tcW w:w="771" w:type="dxa"/>
            <w:tcBorders>
              <w:left w:val="single" w:sz="4" w:space="0" w:color="auto"/>
              <w:bottom w:val="nil"/>
              <w:right w:val="nil"/>
            </w:tcBorders>
            <w:shd w:val="clear" w:color="auto" w:fill="auto"/>
            <w:vAlign w:val="center"/>
          </w:tcPr>
          <w:p w14:paraId="2FBD407D" w14:textId="77777777" w:rsidR="00F731AC" w:rsidRPr="00097EC4" w:rsidRDefault="00F731AC" w:rsidP="00CC768C">
            <w:pPr>
              <w:spacing w:after="0" w:line="245" w:lineRule="auto"/>
              <w:jc w:val="right"/>
              <w:rPr>
                <w:color w:val="auto"/>
              </w:rPr>
            </w:pPr>
            <w:r w:rsidRPr="00097EC4">
              <w:rPr>
                <w:color w:val="auto"/>
              </w:rPr>
              <w:t>-.004</w:t>
            </w:r>
          </w:p>
        </w:tc>
        <w:tc>
          <w:tcPr>
            <w:tcW w:w="669" w:type="dxa"/>
            <w:tcBorders>
              <w:left w:val="nil"/>
              <w:bottom w:val="nil"/>
              <w:right w:val="single" w:sz="4" w:space="0" w:color="auto"/>
            </w:tcBorders>
            <w:shd w:val="clear" w:color="auto" w:fill="auto"/>
            <w:vAlign w:val="center"/>
          </w:tcPr>
          <w:p w14:paraId="0A5FC6DE" w14:textId="77777777" w:rsidR="00F731AC" w:rsidRPr="00097EC4" w:rsidRDefault="00F731AC" w:rsidP="00CC768C">
            <w:pPr>
              <w:spacing w:after="0" w:line="245" w:lineRule="auto"/>
              <w:rPr>
                <w:color w:val="auto"/>
              </w:rPr>
            </w:pPr>
            <w:r w:rsidRPr="00097EC4">
              <w:rPr>
                <w:color w:val="auto"/>
              </w:rPr>
              <w:t>†††</w:t>
            </w:r>
          </w:p>
        </w:tc>
        <w:tc>
          <w:tcPr>
            <w:tcW w:w="745" w:type="dxa"/>
            <w:tcBorders>
              <w:left w:val="single" w:sz="4" w:space="0" w:color="auto"/>
              <w:bottom w:val="nil"/>
              <w:right w:val="nil"/>
            </w:tcBorders>
            <w:shd w:val="clear" w:color="auto" w:fill="auto"/>
            <w:vAlign w:val="center"/>
          </w:tcPr>
          <w:p w14:paraId="175CE2C1" w14:textId="77777777" w:rsidR="00F731AC" w:rsidRPr="00097EC4" w:rsidRDefault="00F731AC" w:rsidP="00CC768C">
            <w:pPr>
              <w:spacing w:after="0" w:line="245" w:lineRule="auto"/>
              <w:jc w:val="right"/>
              <w:rPr>
                <w:color w:val="auto"/>
              </w:rPr>
            </w:pPr>
            <w:r w:rsidRPr="00097EC4">
              <w:rPr>
                <w:color w:val="auto"/>
              </w:rPr>
              <w:t>.006</w:t>
            </w:r>
          </w:p>
        </w:tc>
        <w:tc>
          <w:tcPr>
            <w:tcW w:w="695" w:type="dxa"/>
            <w:tcBorders>
              <w:left w:val="nil"/>
              <w:bottom w:val="nil"/>
              <w:right w:val="single" w:sz="4" w:space="0" w:color="auto"/>
            </w:tcBorders>
            <w:shd w:val="clear" w:color="auto" w:fill="auto"/>
            <w:vAlign w:val="center"/>
          </w:tcPr>
          <w:p w14:paraId="6173D11D" w14:textId="77777777" w:rsidR="00F731AC" w:rsidRPr="00097EC4" w:rsidRDefault="00F731AC" w:rsidP="00CC768C">
            <w:pPr>
              <w:spacing w:after="0" w:line="245" w:lineRule="auto"/>
              <w:rPr>
                <w:color w:val="auto"/>
              </w:rPr>
            </w:pPr>
            <w:r w:rsidRPr="00097EC4">
              <w:rPr>
                <w:color w:val="auto"/>
              </w:rPr>
              <w:t>†††</w:t>
            </w:r>
          </w:p>
        </w:tc>
        <w:tc>
          <w:tcPr>
            <w:tcW w:w="720" w:type="dxa"/>
            <w:tcBorders>
              <w:left w:val="single" w:sz="4" w:space="0" w:color="auto"/>
              <w:bottom w:val="nil"/>
              <w:right w:val="nil"/>
            </w:tcBorders>
            <w:shd w:val="clear" w:color="auto" w:fill="auto"/>
            <w:vAlign w:val="center"/>
          </w:tcPr>
          <w:p w14:paraId="332A3EEC" w14:textId="77777777" w:rsidR="00F731AC" w:rsidRPr="00097EC4" w:rsidRDefault="00F731AC" w:rsidP="00CC768C">
            <w:pPr>
              <w:spacing w:after="0" w:line="245" w:lineRule="auto"/>
              <w:jc w:val="right"/>
              <w:rPr>
                <w:color w:val="auto"/>
              </w:rPr>
            </w:pPr>
            <w:r w:rsidRPr="00097EC4">
              <w:rPr>
                <w:color w:val="auto"/>
              </w:rPr>
              <w:t>.002</w:t>
            </w:r>
          </w:p>
        </w:tc>
        <w:tc>
          <w:tcPr>
            <w:tcW w:w="720" w:type="dxa"/>
            <w:tcBorders>
              <w:left w:val="nil"/>
              <w:bottom w:val="nil"/>
              <w:right w:val="single" w:sz="4" w:space="0" w:color="auto"/>
            </w:tcBorders>
            <w:shd w:val="clear" w:color="auto" w:fill="auto"/>
            <w:vAlign w:val="center"/>
          </w:tcPr>
          <w:p w14:paraId="76BCA119" w14:textId="77777777" w:rsidR="00F731AC" w:rsidRPr="00097EC4" w:rsidRDefault="00F731AC" w:rsidP="00CC768C">
            <w:pPr>
              <w:spacing w:after="0" w:line="245" w:lineRule="auto"/>
              <w:rPr>
                <w:color w:val="auto"/>
              </w:rPr>
            </w:pPr>
            <w:r w:rsidRPr="00097EC4">
              <w:rPr>
                <w:color w:val="auto"/>
              </w:rPr>
              <w:t>††</w:t>
            </w:r>
          </w:p>
        </w:tc>
        <w:tc>
          <w:tcPr>
            <w:tcW w:w="696" w:type="dxa"/>
            <w:tcBorders>
              <w:left w:val="single" w:sz="4" w:space="0" w:color="auto"/>
              <w:bottom w:val="nil"/>
              <w:right w:val="nil"/>
            </w:tcBorders>
            <w:vAlign w:val="center"/>
          </w:tcPr>
          <w:p w14:paraId="3D7D3338" w14:textId="77777777" w:rsidR="00F731AC" w:rsidRPr="00097EC4" w:rsidRDefault="00F731AC" w:rsidP="00CC768C">
            <w:pPr>
              <w:spacing w:after="0" w:line="245" w:lineRule="auto"/>
              <w:jc w:val="right"/>
              <w:rPr>
                <w:color w:val="auto"/>
              </w:rPr>
            </w:pPr>
            <w:r w:rsidRPr="00097EC4">
              <w:rPr>
                <w:color w:val="auto"/>
              </w:rPr>
              <w:t>.007</w:t>
            </w:r>
          </w:p>
        </w:tc>
        <w:tc>
          <w:tcPr>
            <w:tcW w:w="654" w:type="dxa"/>
            <w:tcBorders>
              <w:left w:val="nil"/>
              <w:bottom w:val="nil"/>
              <w:right w:val="single" w:sz="4" w:space="0" w:color="auto"/>
            </w:tcBorders>
            <w:vAlign w:val="center"/>
          </w:tcPr>
          <w:p w14:paraId="0722BDFE" w14:textId="77777777" w:rsidR="00F731AC" w:rsidRPr="00097EC4" w:rsidRDefault="00F731AC" w:rsidP="00CC768C">
            <w:pPr>
              <w:spacing w:after="0" w:line="245" w:lineRule="auto"/>
              <w:rPr>
                <w:color w:val="auto"/>
              </w:rPr>
            </w:pPr>
            <w:r w:rsidRPr="00097EC4">
              <w:rPr>
                <w:color w:val="auto"/>
              </w:rPr>
              <w:t>††</w:t>
            </w:r>
          </w:p>
        </w:tc>
        <w:tc>
          <w:tcPr>
            <w:tcW w:w="760" w:type="dxa"/>
            <w:tcBorders>
              <w:left w:val="single" w:sz="4" w:space="0" w:color="auto"/>
              <w:bottom w:val="nil"/>
              <w:right w:val="nil"/>
            </w:tcBorders>
            <w:vAlign w:val="center"/>
          </w:tcPr>
          <w:p w14:paraId="5ADF7A29" w14:textId="77777777" w:rsidR="00F731AC" w:rsidRPr="00097EC4" w:rsidRDefault="00F731AC" w:rsidP="00CC768C">
            <w:pPr>
              <w:spacing w:after="0" w:line="245" w:lineRule="auto"/>
              <w:jc w:val="right"/>
              <w:rPr>
                <w:color w:val="auto"/>
              </w:rPr>
            </w:pPr>
            <w:r w:rsidRPr="00097EC4">
              <w:rPr>
                <w:color w:val="auto"/>
              </w:rPr>
              <w:t>-.004</w:t>
            </w:r>
          </w:p>
        </w:tc>
        <w:tc>
          <w:tcPr>
            <w:tcW w:w="680" w:type="dxa"/>
            <w:tcBorders>
              <w:left w:val="nil"/>
              <w:bottom w:val="nil"/>
              <w:right w:val="single" w:sz="4" w:space="0" w:color="auto"/>
            </w:tcBorders>
            <w:vAlign w:val="center"/>
          </w:tcPr>
          <w:p w14:paraId="4A5E5C46" w14:textId="77777777" w:rsidR="00F731AC" w:rsidRPr="00097EC4" w:rsidRDefault="00F731AC" w:rsidP="00CC768C">
            <w:pPr>
              <w:spacing w:after="0" w:line="245" w:lineRule="auto"/>
              <w:rPr>
                <w:color w:val="auto"/>
              </w:rPr>
            </w:pPr>
            <w:r w:rsidRPr="00097EC4">
              <w:rPr>
                <w:color w:val="auto"/>
              </w:rPr>
              <w:t>††</w:t>
            </w:r>
          </w:p>
        </w:tc>
        <w:tc>
          <w:tcPr>
            <w:tcW w:w="735" w:type="dxa"/>
            <w:tcBorders>
              <w:left w:val="single" w:sz="4" w:space="0" w:color="auto"/>
              <w:bottom w:val="nil"/>
              <w:right w:val="nil"/>
            </w:tcBorders>
            <w:shd w:val="clear" w:color="auto" w:fill="auto"/>
            <w:vAlign w:val="center"/>
          </w:tcPr>
          <w:p w14:paraId="2106BA0E" w14:textId="77777777" w:rsidR="00F731AC" w:rsidRPr="00097EC4" w:rsidRDefault="00F731AC" w:rsidP="00CC768C">
            <w:pPr>
              <w:spacing w:after="0" w:line="245" w:lineRule="auto"/>
              <w:jc w:val="right"/>
              <w:rPr>
                <w:color w:val="auto"/>
              </w:rPr>
            </w:pPr>
            <w:r w:rsidRPr="00097EC4">
              <w:rPr>
                <w:color w:val="auto"/>
              </w:rPr>
              <w:t>-.038</w:t>
            </w:r>
          </w:p>
        </w:tc>
        <w:tc>
          <w:tcPr>
            <w:tcW w:w="708" w:type="dxa"/>
            <w:tcBorders>
              <w:left w:val="nil"/>
              <w:bottom w:val="nil"/>
              <w:right w:val="nil"/>
            </w:tcBorders>
            <w:shd w:val="clear" w:color="auto" w:fill="auto"/>
            <w:vAlign w:val="center"/>
          </w:tcPr>
          <w:p w14:paraId="1A1C6FA6" w14:textId="77777777" w:rsidR="00F731AC" w:rsidRPr="00097EC4" w:rsidRDefault="00F731AC" w:rsidP="00CC768C">
            <w:pPr>
              <w:spacing w:after="0" w:line="245" w:lineRule="auto"/>
              <w:rPr>
                <w:color w:val="auto"/>
              </w:rPr>
            </w:pPr>
            <w:r w:rsidRPr="00097EC4">
              <w:rPr>
                <w:color w:val="auto"/>
              </w:rPr>
              <w:t>††</w:t>
            </w:r>
          </w:p>
        </w:tc>
      </w:tr>
      <w:tr w:rsidR="00F609B3" w:rsidRPr="00097EC4" w14:paraId="2747B9A7" w14:textId="77777777" w:rsidTr="00DC065A">
        <w:trPr>
          <w:gridAfter w:val="1"/>
          <w:wAfter w:w="12" w:type="dxa"/>
          <w:trHeight w:val="227"/>
          <w:jc w:val="center"/>
        </w:trPr>
        <w:tc>
          <w:tcPr>
            <w:tcW w:w="3960" w:type="dxa"/>
            <w:tcBorders>
              <w:left w:val="nil"/>
              <w:right w:val="single" w:sz="4" w:space="0" w:color="auto"/>
            </w:tcBorders>
            <w:shd w:val="clear" w:color="000000" w:fill="FFFFFF"/>
            <w:tcMar>
              <w:top w:w="28" w:type="dxa"/>
              <w:bottom w:w="28" w:type="dxa"/>
            </w:tcMar>
            <w:vAlign w:val="center"/>
          </w:tcPr>
          <w:p w14:paraId="5C116B02" w14:textId="77777777" w:rsidR="00F731AC" w:rsidRPr="00097EC4" w:rsidRDefault="00F731AC" w:rsidP="00CC768C">
            <w:pPr>
              <w:spacing w:after="0" w:line="245" w:lineRule="auto"/>
              <w:rPr>
                <w:rFonts w:eastAsia="Times New Roman"/>
                <w:color w:val="auto"/>
                <w:lang w:eastAsia="en-SG"/>
              </w:rPr>
            </w:pPr>
            <w:r w:rsidRPr="00097EC4">
              <w:rPr>
                <w:rFonts w:eastAsia="Times New Roman"/>
                <w:color w:val="auto"/>
                <w:lang w:eastAsia="en-SG"/>
              </w:rPr>
              <w:t xml:space="preserve">   </w:t>
            </w:r>
            <w:r>
              <w:rPr>
                <w:rFonts w:eastAsia="Times New Roman"/>
                <w:color w:val="auto"/>
                <w:lang w:eastAsia="en-SG"/>
              </w:rPr>
              <w:t>Excluding Bad Debt Expenses</w:t>
            </w:r>
          </w:p>
        </w:tc>
        <w:tc>
          <w:tcPr>
            <w:tcW w:w="706" w:type="dxa"/>
            <w:tcBorders>
              <w:top w:val="nil"/>
              <w:left w:val="nil"/>
              <w:bottom w:val="nil"/>
              <w:right w:val="nil"/>
            </w:tcBorders>
            <w:shd w:val="clear" w:color="auto" w:fill="auto"/>
            <w:tcMar>
              <w:top w:w="28" w:type="dxa"/>
              <w:bottom w:w="28" w:type="dxa"/>
            </w:tcMar>
            <w:vAlign w:val="center"/>
          </w:tcPr>
          <w:p w14:paraId="234302A5" w14:textId="77777777" w:rsidR="00F731AC" w:rsidRPr="00097EC4" w:rsidRDefault="00F731AC" w:rsidP="00CC768C">
            <w:pPr>
              <w:spacing w:after="0" w:line="245" w:lineRule="auto"/>
              <w:jc w:val="right"/>
              <w:rPr>
                <w:color w:val="auto"/>
              </w:rPr>
            </w:pPr>
            <w:r>
              <w:t>-.005</w:t>
            </w:r>
          </w:p>
        </w:tc>
        <w:tc>
          <w:tcPr>
            <w:tcW w:w="644" w:type="dxa"/>
            <w:tcBorders>
              <w:top w:val="nil"/>
              <w:left w:val="nil"/>
              <w:bottom w:val="nil"/>
              <w:right w:val="single" w:sz="4" w:space="0" w:color="auto"/>
            </w:tcBorders>
            <w:shd w:val="clear" w:color="auto" w:fill="auto"/>
            <w:vAlign w:val="center"/>
          </w:tcPr>
          <w:p w14:paraId="5CC94264" w14:textId="77777777" w:rsidR="00F731AC" w:rsidRPr="00097EC4" w:rsidRDefault="00F731AC" w:rsidP="00CC768C">
            <w:pPr>
              <w:spacing w:after="0" w:line="245" w:lineRule="auto"/>
              <w:rPr>
                <w:color w:val="auto"/>
              </w:rPr>
            </w:pPr>
            <w:r>
              <w:t>††</w:t>
            </w:r>
          </w:p>
        </w:tc>
        <w:tc>
          <w:tcPr>
            <w:tcW w:w="771" w:type="dxa"/>
            <w:tcBorders>
              <w:top w:val="nil"/>
              <w:left w:val="single" w:sz="4" w:space="0" w:color="auto"/>
              <w:bottom w:val="nil"/>
              <w:right w:val="nil"/>
            </w:tcBorders>
            <w:shd w:val="clear" w:color="auto" w:fill="auto"/>
            <w:vAlign w:val="center"/>
          </w:tcPr>
          <w:p w14:paraId="3004D6FD" w14:textId="77777777" w:rsidR="00F731AC" w:rsidRPr="00097EC4" w:rsidRDefault="00F731AC" w:rsidP="00CC768C">
            <w:pPr>
              <w:spacing w:after="0" w:line="245" w:lineRule="auto"/>
              <w:jc w:val="right"/>
              <w:rPr>
                <w:color w:val="auto"/>
              </w:rPr>
            </w:pPr>
            <w:r>
              <w:t>-.003</w:t>
            </w:r>
          </w:p>
        </w:tc>
        <w:tc>
          <w:tcPr>
            <w:tcW w:w="669" w:type="dxa"/>
            <w:tcBorders>
              <w:top w:val="nil"/>
              <w:left w:val="nil"/>
              <w:bottom w:val="nil"/>
              <w:right w:val="single" w:sz="4" w:space="0" w:color="auto"/>
            </w:tcBorders>
            <w:shd w:val="clear" w:color="auto" w:fill="auto"/>
            <w:vAlign w:val="center"/>
          </w:tcPr>
          <w:p w14:paraId="44B86786" w14:textId="77777777" w:rsidR="00F731AC" w:rsidRPr="00097EC4" w:rsidRDefault="00F731AC" w:rsidP="00CC768C">
            <w:pPr>
              <w:spacing w:after="0" w:line="245" w:lineRule="auto"/>
              <w:rPr>
                <w:color w:val="auto"/>
              </w:rPr>
            </w:pPr>
            <w:r>
              <w:t>†††</w:t>
            </w:r>
          </w:p>
        </w:tc>
        <w:tc>
          <w:tcPr>
            <w:tcW w:w="745" w:type="dxa"/>
            <w:tcBorders>
              <w:top w:val="nil"/>
              <w:left w:val="single" w:sz="4" w:space="0" w:color="auto"/>
              <w:bottom w:val="nil"/>
              <w:right w:val="nil"/>
            </w:tcBorders>
            <w:shd w:val="clear" w:color="auto" w:fill="auto"/>
            <w:vAlign w:val="center"/>
          </w:tcPr>
          <w:p w14:paraId="716861AF" w14:textId="77777777" w:rsidR="00F731AC" w:rsidRPr="00097EC4" w:rsidRDefault="00F731AC" w:rsidP="00CC768C">
            <w:pPr>
              <w:spacing w:after="0" w:line="245" w:lineRule="auto"/>
              <w:jc w:val="right"/>
              <w:rPr>
                <w:color w:val="auto"/>
              </w:rPr>
            </w:pPr>
            <w:r>
              <w:t>.005</w:t>
            </w:r>
          </w:p>
        </w:tc>
        <w:tc>
          <w:tcPr>
            <w:tcW w:w="695" w:type="dxa"/>
            <w:tcBorders>
              <w:top w:val="nil"/>
              <w:left w:val="nil"/>
              <w:bottom w:val="nil"/>
              <w:right w:val="single" w:sz="4" w:space="0" w:color="auto"/>
            </w:tcBorders>
            <w:shd w:val="clear" w:color="auto" w:fill="auto"/>
            <w:vAlign w:val="center"/>
          </w:tcPr>
          <w:p w14:paraId="4C7866E4" w14:textId="77777777" w:rsidR="00F731AC" w:rsidRPr="00097EC4" w:rsidRDefault="00F731AC" w:rsidP="00CC768C">
            <w:pPr>
              <w:spacing w:after="0" w:line="245" w:lineRule="auto"/>
              <w:rPr>
                <w:color w:val="auto"/>
              </w:rPr>
            </w:pPr>
            <w:r>
              <w:t>†††</w:t>
            </w:r>
          </w:p>
        </w:tc>
        <w:tc>
          <w:tcPr>
            <w:tcW w:w="720" w:type="dxa"/>
            <w:tcBorders>
              <w:top w:val="nil"/>
              <w:left w:val="single" w:sz="4" w:space="0" w:color="auto"/>
              <w:bottom w:val="nil"/>
              <w:right w:val="nil"/>
            </w:tcBorders>
            <w:shd w:val="clear" w:color="auto" w:fill="auto"/>
            <w:vAlign w:val="center"/>
          </w:tcPr>
          <w:p w14:paraId="42101D75" w14:textId="77777777" w:rsidR="00F731AC" w:rsidRPr="00097EC4" w:rsidRDefault="00F731AC" w:rsidP="00CC768C">
            <w:pPr>
              <w:spacing w:after="0" w:line="245" w:lineRule="auto"/>
              <w:jc w:val="right"/>
              <w:rPr>
                <w:color w:val="auto"/>
              </w:rPr>
            </w:pPr>
            <w:r>
              <w:t>.002</w:t>
            </w:r>
          </w:p>
        </w:tc>
        <w:tc>
          <w:tcPr>
            <w:tcW w:w="720" w:type="dxa"/>
            <w:tcBorders>
              <w:top w:val="nil"/>
              <w:left w:val="nil"/>
              <w:bottom w:val="nil"/>
              <w:right w:val="single" w:sz="4" w:space="0" w:color="auto"/>
            </w:tcBorders>
            <w:shd w:val="clear" w:color="auto" w:fill="auto"/>
            <w:vAlign w:val="center"/>
          </w:tcPr>
          <w:p w14:paraId="7F46E92B" w14:textId="77777777" w:rsidR="00F731AC" w:rsidRPr="00097EC4" w:rsidRDefault="00F731AC" w:rsidP="00CC768C">
            <w:pPr>
              <w:spacing w:after="0" w:line="245" w:lineRule="auto"/>
              <w:rPr>
                <w:color w:val="auto"/>
              </w:rPr>
            </w:pPr>
            <w:r>
              <w:t>†</w:t>
            </w:r>
          </w:p>
        </w:tc>
        <w:tc>
          <w:tcPr>
            <w:tcW w:w="696" w:type="dxa"/>
            <w:tcBorders>
              <w:top w:val="nil"/>
              <w:left w:val="single" w:sz="4" w:space="0" w:color="auto"/>
              <w:bottom w:val="nil"/>
              <w:right w:val="nil"/>
            </w:tcBorders>
            <w:shd w:val="clear" w:color="auto" w:fill="auto"/>
            <w:vAlign w:val="center"/>
          </w:tcPr>
          <w:p w14:paraId="5E6C0464" w14:textId="77777777" w:rsidR="00F731AC" w:rsidRPr="00097EC4" w:rsidRDefault="00F731AC" w:rsidP="00CC768C">
            <w:pPr>
              <w:spacing w:after="0" w:line="245" w:lineRule="auto"/>
              <w:jc w:val="right"/>
              <w:rPr>
                <w:color w:val="auto"/>
              </w:rPr>
            </w:pPr>
            <w:r>
              <w:t>.003</w:t>
            </w:r>
          </w:p>
        </w:tc>
        <w:tc>
          <w:tcPr>
            <w:tcW w:w="654" w:type="dxa"/>
            <w:tcBorders>
              <w:top w:val="nil"/>
              <w:left w:val="nil"/>
              <w:bottom w:val="nil"/>
              <w:right w:val="single" w:sz="4" w:space="0" w:color="auto"/>
            </w:tcBorders>
            <w:shd w:val="clear" w:color="auto" w:fill="auto"/>
            <w:vAlign w:val="center"/>
          </w:tcPr>
          <w:p w14:paraId="70F14E36" w14:textId="77777777" w:rsidR="00F731AC" w:rsidRPr="00097EC4" w:rsidRDefault="00F731AC" w:rsidP="00CC768C">
            <w:pPr>
              <w:spacing w:after="0" w:line="245" w:lineRule="auto"/>
              <w:rPr>
                <w:color w:val="auto"/>
              </w:rPr>
            </w:pPr>
          </w:p>
        </w:tc>
        <w:tc>
          <w:tcPr>
            <w:tcW w:w="760" w:type="dxa"/>
            <w:tcBorders>
              <w:top w:val="nil"/>
              <w:left w:val="single" w:sz="4" w:space="0" w:color="auto"/>
              <w:bottom w:val="nil"/>
              <w:right w:val="nil"/>
            </w:tcBorders>
            <w:shd w:val="clear" w:color="auto" w:fill="auto"/>
            <w:vAlign w:val="center"/>
          </w:tcPr>
          <w:p w14:paraId="74525E4E" w14:textId="77777777" w:rsidR="00F731AC" w:rsidRPr="00097EC4" w:rsidRDefault="00F731AC" w:rsidP="00CC768C">
            <w:pPr>
              <w:spacing w:after="0" w:line="245" w:lineRule="auto"/>
              <w:jc w:val="right"/>
              <w:rPr>
                <w:color w:val="auto"/>
              </w:rPr>
            </w:pPr>
            <w:r>
              <w:t>-.004</w:t>
            </w:r>
          </w:p>
        </w:tc>
        <w:tc>
          <w:tcPr>
            <w:tcW w:w="680" w:type="dxa"/>
            <w:tcBorders>
              <w:top w:val="nil"/>
              <w:left w:val="nil"/>
              <w:bottom w:val="nil"/>
              <w:right w:val="single" w:sz="4" w:space="0" w:color="auto"/>
            </w:tcBorders>
            <w:shd w:val="clear" w:color="auto" w:fill="auto"/>
            <w:vAlign w:val="center"/>
          </w:tcPr>
          <w:p w14:paraId="16F8DDBC" w14:textId="77777777" w:rsidR="00F731AC" w:rsidRPr="00097EC4" w:rsidRDefault="00F731AC" w:rsidP="00CC768C">
            <w:pPr>
              <w:spacing w:after="0" w:line="245" w:lineRule="auto"/>
              <w:rPr>
                <w:color w:val="auto"/>
              </w:rPr>
            </w:pPr>
            <w:r>
              <w:t>†††</w:t>
            </w:r>
          </w:p>
        </w:tc>
        <w:tc>
          <w:tcPr>
            <w:tcW w:w="735" w:type="dxa"/>
            <w:tcBorders>
              <w:top w:val="nil"/>
              <w:left w:val="single" w:sz="4" w:space="0" w:color="auto"/>
              <w:bottom w:val="nil"/>
              <w:right w:val="nil"/>
            </w:tcBorders>
            <w:shd w:val="clear" w:color="auto" w:fill="auto"/>
            <w:vAlign w:val="bottom"/>
          </w:tcPr>
          <w:p w14:paraId="645F3176" w14:textId="77777777" w:rsidR="00F731AC" w:rsidRPr="00097EC4" w:rsidRDefault="00F731AC" w:rsidP="00CC768C">
            <w:pPr>
              <w:spacing w:after="0" w:line="245" w:lineRule="auto"/>
              <w:jc w:val="right"/>
              <w:rPr>
                <w:color w:val="auto"/>
              </w:rPr>
            </w:pPr>
            <w:r>
              <w:t>-.034</w:t>
            </w:r>
          </w:p>
        </w:tc>
        <w:tc>
          <w:tcPr>
            <w:tcW w:w="708" w:type="dxa"/>
            <w:tcBorders>
              <w:top w:val="nil"/>
              <w:left w:val="nil"/>
              <w:bottom w:val="nil"/>
              <w:right w:val="nil"/>
            </w:tcBorders>
            <w:shd w:val="clear" w:color="auto" w:fill="auto"/>
            <w:vAlign w:val="bottom"/>
          </w:tcPr>
          <w:p w14:paraId="32F9769A" w14:textId="77777777" w:rsidR="00F731AC" w:rsidRPr="00097EC4" w:rsidRDefault="00F731AC" w:rsidP="00CC768C">
            <w:pPr>
              <w:spacing w:after="0" w:line="245" w:lineRule="auto"/>
              <w:rPr>
                <w:color w:val="auto"/>
              </w:rPr>
            </w:pPr>
            <w:r>
              <w:t>††</w:t>
            </w:r>
          </w:p>
        </w:tc>
      </w:tr>
      <w:tr w:rsidR="00F731AC" w:rsidRPr="00097EC4" w14:paraId="53ACB2C8" w14:textId="77777777" w:rsidTr="00D53F8A">
        <w:trPr>
          <w:gridAfter w:val="1"/>
          <w:wAfter w:w="12" w:type="dxa"/>
          <w:trHeight w:val="359"/>
          <w:jc w:val="center"/>
        </w:trPr>
        <w:tc>
          <w:tcPr>
            <w:tcW w:w="3960" w:type="dxa"/>
            <w:tcBorders>
              <w:left w:val="nil"/>
              <w:right w:val="single" w:sz="4" w:space="0" w:color="auto"/>
            </w:tcBorders>
            <w:shd w:val="clear" w:color="000000" w:fill="FFFFFF"/>
            <w:tcMar>
              <w:top w:w="28" w:type="dxa"/>
              <w:bottom w:w="28" w:type="dxa"/>
            </w:tcMar>
            <w:vAlign w:val="center"/>
          </w:tcPr>
          <w:p w14:paraId="05AA0EFE" w14:textId="53691501" w:rsidR="00F731AC" w:rsidRPr="00097EC4" w:rsidDel="00F100C9" w:rsidRDefault="00F731AC" w:rsidP="00CC768C">
            <w:pPr>
              <w:spacing w:after="0" w:line="245" w:lineRule="auto"/>
              <w:rPr>
                <w:rFonts w:eastAsia="Times New Roman"/>
                <w:b/>
                <w:color w:val="auto"/>
                <w:lang w:eastAsia="en-SG"/>
              </w:rPr>
            </w:pPr>
            <w:r w:rsidRPr="00097EC4">
              <w:rPr>
                <w:rFonts w:eastAsia="Times New Roman"/>
                <w:color w:val="auto"/>
                <w:lang w:eastAsia="en-SG"/>
              </w:rPr>
              <w:t xml:space="preserve">   </w:t>
            </w:r>
            <w:r>
              <w:rPr>
                <w:rFonts w:eastAsia="Times New Roman"/>
                <w:color w:val="auto"/>
                <w:lang w:eastAsia="en-SG"/>
              </w:rPr>
              <w:t xml:space="preserve">Using  </w:t>
            </w:r>
            <m:oMath>
              <m:f>
                <m:fPr>
                  <m:ctrlPr>
                    <w:rPr>
                      <w:rFonts w:ascii="Cambria Math" w:eastAsia="Times New Roman" w:hAnsi="Cambria Math"/>
                      <w:iCs/>
                      <w:color w:val="auto"/>
                      <w:lang w:eastAsia="en-SG"/>
                    </w:rPr>
                  </m:ctrlPr>
                </m:fPr>
                <m:num>
                  <m:r>
                    <m:rPr>
                      <m:sty m:val="p"/>
                    </m:rPr>
                    <w:rPr>
                      <w:rFonts w:ascii="Cambria Math" w:eastAsia="Times New Roman" w:hAnsi="Cambria Math"/>
                      <w:color w:val="auto"/>
                      <w:lang w:eastAsia="en-SG"/>
                    </w:rPr>
                    <m:t>SG&amp;A</m:t>
                  </m:r>
                </m:num>
                <m:den>
                  <m:r>
                    <m:rPr>
                      <m:sty m:val="p"/>
                    </m:rPr>
                    <w:rPr>
                      <w:rFonts w:ascii="Cambria Math" w:eastAsia="Times New Roman" w:hAnsi="Cambria Math"/>
                      <w:color w:val="auto"/>
                      <w:lang w:eastAsia="en-SG"/>
                    </w:rPr>
                    <m:t>TS</m:t>
                  </m:r>
                </m:den>
              </m:f>
            </m:oMath>
          </w:p>
        </w:tc>
        <w:tc>
          <w:tcPr>
            <w:tcW w:w="706" w:type="dxa"/>
            <w:tcBorders>
              <w:top w:val="nil"/>
              <w:left w:val="nil"/>
              <w:bottom w:val="nil"/>
              <w:right w:val="nil"/>
            </w:tcBorders>
            <w:shd w:val="clear" w:color="auto" w:fill="auto"/>
            <w:tcMar>
              <w:top w:w="28" w:type="dxa"/>
              <w:bottom w:w="28" w:type="dxa"/>
            </w:tcMar>
            <w:vAlign w:val="center"/>
          </w:tcPr>
          <w:p w14:paraId="680DD926" w14:textId="77777777" w:rsidR="00F731AC" w:rsidRPr="00097EC4" w:rsidRDefault="00F731AC" w:rsidP="00CC768C">
            <w:pPr>
              <w:spacing w:after="0" w:line="245" w:lineRule="auto"/>
              <w:jc w:val="right"/>
              <w:rPr>
                <w:color w:val="auto"/>
              </w:rPr>
            </w:pPr>
            <w:r>
              <w:t>-.005</w:t>
            </w:r>
          </w:p>
        </w:tc>
        <w:tc>
          <w:tcPr>
            <w:tcW w:w="644" w:type="dxa"/>
            <w:tcBorders>
              <w:top w:val="nil"/>
              <w:left w:val="nil"/>
              <w:bottom w:val="nil"/>
              <w:right w:val="single" w:sz="4" w:space="0" w:color="auto"/>
            </w:tcBorders>
            <w:shd w:val="clear" w:color="auto" w:fill="auto"/>
            <w:vAlign w:val="center"/>
          </w:tcPr>
          <w:p w14:paraId="76506D74" w14:textId="77777777" w:rsidR="00F731AC" w:rsidRPr="00097EC4" w:rsidRDefault="00F731AC" w:rsidP="00CC768C">
            <w:pPr>
              <w:spacing w:after="0" w:line="245" w:lineRule="auto"/>
              <w:rPr>
                <w:color w:val="auto"/>
              </w:rPr>
            </w:pPr>
            <w:r>
              <w:t>††</w:t>
            </w:r>
          </w:p>
        </w:tc>
        <w:tc>
          <w:tcPr>
            <w:tcW w:w="771" w:type="dxa"/>
            <w:tcBorders>
              <w:top w:val="nil"/>
              <w:left w:val="single" w:sz="4" w:space="0" w:color="auto"/>
              <w:bottom w:val="nil"/>
              <w:right w:val="nil"/>
            </w:tcBorders>
            <w:shd w:val="clear" w:color="auto" w:fill="auto"/>
            <w:vAlign w:val="center"/>
          </w:tcPr>
          <w:p w14:paraId="0683F581" w14:textId="77777777" w:rsidR="00F731AC" w:rsidRPr="00097EC4" w:rsidRDefault="00F731AC" w:rsidP="00CC768C">
            <w:pPr>
              <w:spacing w:after="0" w:line="245" w:lineRule="auto"/>
              <w:jc w:val="right"/>
              <w:rPr>
                <w:color w:val="auto"/>
              </w:rPr>
            </w:pPr>
            <w:r>
              <w:t>-.003</w:t>
            </w:r>
          </w:p>
        </w:tc>
        <w:tc>
          <w:tcPr>
            <w:tcW w:w="669" w:type="dxa"/>
            <w:tcBorders>
              <w:top w:val="nil"/>
              <w:left w:val="nil"/>
              <w:bottom w:val="nil"/>
              <w:right w:val="single" w:sz="4" w:space="0" w:color="auto"/>
            </w:tcBorders>
            <w:shd w:val="clear" w:color="auto" w:fill="auto"/>
            <w:vAlign w:val="center"/>
          </w:tcPr>
          <w:p w14:paraId="0F6DFACE" w14:textId="77777777" w:rsidR="00F731AC" w:rsidRPr="00097EC4" w:rsidRDefault="00F731AC" w:rsidP="00CC768C">
            <w:pPr>
              <w:spacing w:after="0" w:line="245" w:lineRule="auto"/>
              <w:rPr>
                <w:color w:val="auto"/>
              </w:rPr>
            </w:pPr>
            <w:r>
              <w:t>†††</w:t>
            </w:r>
          </w:p>
        </w:tc>
        <w:tc>
          <w:tcPr>
            <w:tcW w:w="745" w:type="dxa"/>
            <w:tcBorders>
              <w:top w:val="nil"/>
              <w:left w:val="single" w:sz="4" w:space="0" w:color="auto"/>
              <w:bottom w:val="nil"/>
              <w:right w:val="nil"/>
            </w:tcBorders>
            <w:shd w:val="clear" w:color="auto" w:fill="auto"/>
            <w:vAlign w:val="center"/>
          </w:tcPr>
          <w:p w14:paraId="093B795F" w14:textId="77777777" w:rsidR="00F731AC" w:rsidRPr="00097EC4" w:rsidRDefault="00F731AC" w:rsidP="00CC768C">
            <w:pPr>
              <w:spacing w:after="0" w:line="245" w:lineRule="auto"/>
              <w:jc w:val="right"/>
              <w:rPr>
                <w:color w:val="auto"/>
              </w:rPr>
            </w:pPr>
            <w:r>
              <w:t>.006</w:t>
            </w:r>
          </w:p>
        </w:tc>
        <w:tc>
          <w:tcPr>
            <w:tcW w:w="695" w:type="dxa"/>
            <w:tcBorders>
              <w:top w:val="nil"/>
              <w:left w:val="nil"/>
              <w:bottom w:val="nil"/>
              <w:right w:val="single" w:sz="4" w:space="0" w:color="auto"/>
            </w:tcBorders>
            <w:shd w:val="clear" w:color="auto" w:fill="auto"/>
            <w:vAlign w:val="center"/>
          </w:tcPr>
          <w:p w14:paraId="49ABDE65" w14:textId="77777777" w:rsidR="00F731AC" w:rsidRPr="00097EC4" w:rsidRDefault="00F731AC" w:rsidP="00CC768C">
            <w:pPr>
              <w:spacing w:after="0" w:line="245" w:lineRule="auto"/>
              <w:rPr>
                <w:color w:val="auto"/>
              </w:rPr>
            </w:pPr>
            <w:r>
              <w:t>†††</w:t>
            </w:r>
          </w:p>
        </w:tc>
        <w:tc>
          <w:tcPr>
            <w:tcW w:w="720" w:type="dxa"/>
            <w:tcBorders>
              <w:top w:val="nil"/>
              <w:left w:val="single" w:sz="4" w:space="0" w:color="auto"/>
              <w:bottom w:val="nil"/>
              <w:right w:val="nil"/>
            </w:tcBorders>
            <w:shd w:val="clear" w:color="auto" w:fill="auto"/>
            <w:vAlign w:val="center"/>
          </w:tcPr>
          <w:p w14:paraId="617F9AF6" w14:textId="77777777" w:rsidR="00F731AC" w:rsidRPr="00097EC4" w:rsidRDefault="00F731AC" w:rsidP="00CC768C">
            <w:pPr>
              <w:spacing w:after="0" w:line="245" w:lineRule="auto"/>
              <w:jc w:val="right"/>
              <w:rPr>
                <w:color w:val="auto"/>
              </w:rPr>
            </w:pPr>
            <w:r>
              <w:t>.002</w:t>
            </w:r>
          </w:p>
        </w:tc>
        <w:tc>
          <w:tcPr>
            <w:tcW w:w="720" w:type="dxa"/>
            <w:tcBorders>
              <w:top w:val="nil"/>
              <w:left w:val="nil"/>
              <w:bottom w:val="nil"/>
              <w:right w:val="single" w:sz="4" w:space="0" w:color="auto"/>
            </w:tcBorders>
            <w:shd w:val="clear" w:color="auto" w:fill="auto"/>
            <w:vAlign w:val="center"/>
          </w:tcPr>
          <w:p w14:paraId="7768BA23" w14:textId="77777777" w:rsidR="00F731AC" w:rsidRPr="00097EC4" w:rsidRDefault="00F731AC" w:rsidP="00CC768C">
            <w:pPr>
              <w:spacing w:after="0" w:line="245" w:lineRule="auto"/>
              <w:rPr>
                <w:color w:val="auto"/>
              </w:rPr>
            </w:pPr>
            <w:r>
              <w:t>††</w:t>
            </w:r>
          </w:p>
        </w:tc>
        <w:tc>
          <w:tcPr>
            <w:tcW w:w="696" w:type="dxa"/>
            <w:tcBorders>
              <w:top w:val="nil"/>
              <w:left w:val="single" w:sz="4" w:space="0" w:color="auto"/>
              <w:bottom w:val="nil"/>
              <w:right w:val="nil"/>
            </w:tcBorders>
            <w:shd w:val="clear" w:color="auto" w:fill="auto"/>
            <w:vAlign w:val="center"/>
          </w:tcPr>
          <w:p w14:paraId="07B9CAB4" w14:textId="77777777" w:rsidR="00F731AC" w:rsidRPr="00097EC4" w:rsidRDefault="00F731AC" w:rsidP="00CC768C">
            <w:pPr>
              <w:spacing w:after="0" w:line="245" w:lineRule="auto"/>
              <w:jc w:val="right"/>
              <w:rPr>
                <w:color w:val="auto"/>
              </w:rPr>
            </w:pPr>
            <w:r>
              <w:t>.002</w:t>
            </w:r>
          </w:p>
        </w:tc>
        <w:tc>
          <w:tcPr>
            <w:tcW w:w="654" w:type="dxa"/>
            <w:tcBorders>
              <w:top w:val="nil"/>
              <w:left w:val="nil"/>
              <w:bottom w:val="nil"/>
              <w:right w:val="single" w:sz="4" w:space="0" w:color="auto"/>
            </w:tcBorders>
            <w:shd w:val="clear" w:color="auto" w:fill="auto"/>
            <w:vAlign w:val="center"/>
          </w:tcPr>
          <w:p w14:paraId="7DA203C6" w14:textId="77777777" w:rsidR="00F731AC" w:rsidRPr="00097EC4" w:rsidRDefault="00F731AC" w:rsidP="00CC768C">
            <w:pPr>
              <w:spacing w:after="0" w:line="245" w:lineRule="auto"/>
              <w:rPr>
                <w:color w:val="auto"/>
              </w:rPr>
            </w:pPr>
          </w:p>
        </w:tc>
        <w:tc>
          <w:tcPr>
            <w:tcW w:w="760" w:type="dxa"/>
            <w:tcBorders>
              <w:top w:val="nil"/>
              <w:left w:val="single" w:sz="4" w:space="0" w:color="auto"/>
              <w:bottom w:val="nil"/>
              <w:right w:val="nil"/>
            </w:tcBorders>
            <w:shd w:val="clear" w:color="auto" w:fill="auto"/>
            <w:vAlign w:val="center"/>
          </w:tcPr>
          <w:p w14:paraId="4B77BF76" w14:textId="77777777" w:rsidR="00F731AC" w:rsidRPr="00097EC4" w:rsidRDefault="00F731AC" w:rsidP="00CC768C">
            <w:pPr>
              <w:spacing w:after="0" w:line="245" w:lineRule="auto"/>
              <w:jc w:val="right"/>
              <w:rPr>
                <w:color w:val="auto"/>
              </w:rPr>
            </w:pPr>
            <w:r>
              <w:t>-.004</w:t>
            </w:r>
          </w:p>
        </w:tc>
        <w:tc>
          <w:tcPr>
            <w:tcW w:w="680" w:type="dxa"/>
            <w:tcBorders>
              <w:top w:val="nil"/>
              <w:left w:val="nil"/>
              <w:bottom w:val="nil"/>
              <w:right w:val="single" w:sz="4" w:space="0" w:color="auto"/>
            </w:tcBorders>
            <w:shd w:val="clear" w:color="auto" w:fill="auto"/>
            <w:vAlign w:val="center"/>
          </w:tcPr>
          <w:p w14:paraId="4BF8E783" w14:textId="77777777" w:rsidR="00F731AC" w:rsidRPr="00097EC4" w:rsidRDefault="00F731AC" w:rsidP="00CC768C">
            <w:pPr>
              <w:spacing w:after="0" w:line="245" w:lineRule="auto"/>
              <w:rPr>
                <w:color w:val="auto"/>
              </w:rPr>
            </w:pPr>
            <w:r>
              <w:t>†††</w:t>
            </w:r>
          </w:p>
        </w:tc>
        <w:tc>
          <w:tcPr>
            <w:tcW w:w="735" w:type="dxa"/>
            <w:tcBorders>
              <w:top w:val="nil"/>
              <w:left w:val="single" w:sz="4" w:space="0" w:color="auto"/>
              <w:bottom w:val="nil"/>
              <w:right w:val="nil"/>
            </w:tcBorders>
            <w:shd w:val="clear" w:color="auto" w:fill="auto"/>
            <w:vAlign w:val="center"/>
          </w:tcPr>
          <w:p w14:paraId="26D657AB" w14:textId="77777777" w:rsidR="00F731AC" w:rsidRPr="00097EC4" w:rsidRDefault="00F731AC" w:rsidP="00CC768C">
            <w:pPr>
              <w:spacing w:after="0" w:line="245" w:lineRule="auto"/>
              <w:jc w:val="right"/>
              <w:rPr>
                <w:color w:val="auto"/>
              </w:rPr>
            </w:pPr>
            <w:r>
              <w:t>-.042</w:t>
            </w:r>
          </w:p>
        </w:tc>
        <w:tc>
          <w:tcPr>
            <w:tcW w:w="708" w:type="dxa"/>
            <w:tcBorders>
              <w:top w:val="nil"/>
              <w:left w:val="nil"/>
              <w:bottom w:val="nil"/>
              <w:right w:val="nil"/>
            </w:tcBorders>
            <w:shd w:val="clear" w:color="auto" w:fill="auto"/>
            <w:vAlign w:val="center"/>
          </w:tcPr>
          <w:p w14:paraId="07EE151D" w14:textId="77777777" w:rsidR="00F731AC" w:rsidRPr="00097EC4" w:rsidRDefault="00F731AC" w:rsidP="00CC768C">
            <w:pPr>
              <w:spacing w:after="0" w:line="245" w:lineRule="auto"/>
              <w:rPr>
                <w:color w:val="auto"/>
              </w:rPr>
            </w:pPr>
            <w:r>
              <w:t>†††</w:t>
            </w:r>
          </w:p>
        </w:tc>
      </w:tr>
      <w:tr w:rsidR="00F731AC" w:rsidRPr="00097EC4" w14:paraId="538E74CF" w14:textId="77777777" w:rsidTr="00CC768C">
        <w:trPr>
          <w:trHeight w:val="1034"/>
          <w:jc w:val="center"/>
        </w:trPr>
        <w:tc>
          <w:tcPr>
            <w:tcW w:w="13875" w:type="dxa"/>
            <w:gridSpan w:val="16"/>
            <w:tcBorders>
              <w:top w:val="single" w:sz="4" w:space="0" w:color="auto"/>
              <w:left w:val="nil"/>
              <w:bottom w:val="nil"/>
              <w:right w:val="nil"/>
            </w:tcBorders>
            <w:shd w:val="clear" w:color="000000" w:fill="FFFFFF"/>
            <w:vAlign w:val="bottom"/>
          </w:tcPr>
          <w:p w14:paraId="235373CE" w14:textId="6C458EA0" w:rsidR="00F731AC" w:rsidRPr="00097EC4" w:rsidRDefault="00F731AC" w:rsidP="00CC768C">
            <w:pPr>
              <w:spacing w:after="0" w:line="240" w:lineRule="auto"/>
              <w:rPr>
                <w:rFonts w:eastAsia="Times New Roman"/>
                <w:color w:val="auto"/>
                <w:lang w:eastAsia="en-SG"/>
              </w:rPr>
            </w:pPr>
            <w:r w:rsidRPr="00097EC4">
              <w:rPr>
                <w:rFonts w:eastAsia="Times New Roman"/>
                <w:i/>
                <w:iCs/>
                <w:color w:val="auto"/>
                <w:lang w:eastAsia="en-SG"/>
              </w:rPr>
              <w:t>Notes</w:t>
            </w:r>
            <w:r w:rsidRPr="00097EC4">
              <w:rPr>
                <w:rFonts w:eastAsia="Times New Roman"/>
                <w:color w:val="auto"/>
                <w:lang w:eastAsia="en-SG"/>
              </w:rPr>
              <w:t xml:space="preserve">. * </w:t>
            </w:r>
            <w:r w:rsidRPr="00097EC4">
              <w:rPr>
                <w:rFonts w:eastAsia="Times New Roman"/>
                <w:i/>
                <w:iCs/>
                <w:color w:val="auto"/>
                <w:lang w:eastAsia="en-SG"/>
              </w:rPr>
              <w:t>p</w:t>
            </w:r>
            <w:r w:rsidRPr="00097EC4">
              <w:rPr>
                <w:rFonts w:eastAsia="Times New Roman"/>
                <w:color w:val="auto"/>
                <w:lang w:eastAsia="en-SG"/>
              </w:rPr>
              <w:t xml:space="preserve"> &lt; .10; **</w:t>
            </w:r>
            <w:r w:rsidRPr="00097EC4">
              <w:rPr>
                <w:rFonts w:eastAsia="Times New Roman"/>
                <w:i/>
                <w:iCs/>
                <w:color w:val="auto"/>
                <w:lang w:eastAsia="en-SG"/>
              </w:rPr>
              <w:t xml:space="preserve"> p</w:t>
            </w:r>
            <w:r w:rsidRPr="00097EC4">
              <w:rPr>
                <w:rFonts w:eastAsia="Times New Roman"/>
                <w:color w:val="auto"/>
                <w:lang w:eastAsia="en-SG"/>
              </w:rPr>
              <w:t xml:space="preserve"> &lt; .05; *** </w:t>
            </w:r>
            <w:r w:rsidRPr="00097EC4">
              <w:rPr>
                <w:rFonts w:eastAsia="Times New Roman"/>
                <w:i/>
                <w:iCs/>
                <w:color w:val="auto"/>
                <w:lang w:eastAsia="en-SG"/>
              </w:rPr>
              <w:t>p</w:t>
            </w:r>
            <w:r w:rsidRPr="00097EC4">
              <w:rPr>
                <w:rFonts w:eastAsia="Times New Roman"/>
                <w:color w:val="auto"/>
                <w:lang w:eastAsia="en-SG"/>
              </w:rPr>
              <w:t xml:space="preserve"> &lt; .01 (two-sided); † </w:t>
            </w:r>
            <w:r w:rsidRPr="00097EC4">
              <w:rPr>
                <w:rFonts w:eastAsia="Times New Roman"/>
                <w:i/>
                <w:color w:val="auto"/>
                <w:lang w:eastAsia="en-SG"/>
              </w:rPr>
              <w:t>p</w:t>
            </w:r>
            <w:r w:rsidRPr="00097EC4">
              <w:rPr>
                <w:rFonts w:eastAsia="Times New Roman"/>
                <w:color w:val="auto"/>
                <w:lang w:eastAsia="en-SG"/>
              </w:rPr>
              <w:t xml:space="preserve"> &lt; .10; †† </w:t>
            </w:r>
            <w:r w:rsidRPr="00097EC4">
              <w:rPr>
                <w:rFonts w:eastAsia="Times New Roman"/>
                <w:i/>
                <w:color w:val="auto"/>
                <w:lang w:eastAsia="en-SG"/>
              </w:rPr>
              <w:t>p</w:t>
            </w:r>
            <w:r w:rsidRPr="00097EC4">
              <w:rPr>
                <w:rFonts w:eastAsia="Times New Roman"/>
                <w:color w:val="auto"/>
                <w:lang w:eastAsia="en-SG"/>
              </w:rPr>
              <w:t xml:space="preserve"> &lt; .05; ††† </w:t>
            </w:r>
            <w:r w:rsidRPr="00097EC4">
              <w:rPr>
                <w:rFonts w:eastAsia="Times New Roman"/>
                <w:i/>
                <w:color w:val="auto"/>
                <w:lang w:eastAsia="en-SG"/>
              </w:rPr>
              <w:t>p</w:t>
            </w:r>
            <w:r w:rsidRPr="00097EC4">
              <w:rPr>
                <w:rFonts w:eastAsia="Times New Roman"/>
                <w:color w:val="auto"/>
                <w:lang w:eastAsia="en-SG"/>
              </w:rPr>
              <w:t xml:space="preserve"> &lt; .01 (one-sided); NAICS = </w:t>
            </w:r>
            <w:r w:rsidRPr="00097EC4">
              <w:rPr>
                <w:rFonts w:eastAsia="Times New Roman"/>
                <w:color w:val="auto"/>
                <w:sz w:val="16"/>
                <w:szCs w:val="16"/>
                <w:lang w:eastAsia="en-SG"/>
              </w:rPr>
              <w:t>North American Industry Classification System; SIC = Standard Industry Classification;</w:t>
            </w:r>
            <w:r>
              <w:rPr>
                <w:rFonts w:eastAsia="Times New Roman"/>
                <w:color w:val="auto"/>
                <w:sz w:val="16"/>
                <w:szCs w:val="16"/>
                <w:lang w:eastAsia="en-SG"/>
              </w:rPr>
              <w:t xml:space="preserve"> </w:t>
            </w:r>
            <w:r>
              <w:rPr>
                <w:rFonts w:eastAsia="Times New Roman"/>
                <w:color w:val="auto"/>
                <w:lang w:eastAsia="en-SG"/>
              </w:rPr>
              <w:t>SG&amp;A</w:t>
            </w:r>
            <w:r w:rsidRPr="002D1654">
              <w:rPr>
                <w:rFonts w:eastAsia="Times New Roman"/>
                <w:color w:val="auto"/>
                <w:lang w:eastAsia="en-SG"/>
              </w:rPr>
              <w:t xml:space="preserve"> = Selling, General and Administrative</w:t>
            </w:r>
            <w:r>
              <w:rPr>
                <w:rFonts w:eastAsia="Times New Roman"/>
                <w:color w:val="auto"/>
                <w:lang w:eastAsia="en-SG"/>
              </w:rPr>
              <w:t xml:space="preserve"> </w:t>
            </w:r>
            <w:r w:rsidRPr="002D1654">
              <w:rPr>
                <w:rFonts w:eastAsia="Times New Roman"/>
                <w:color w:val="auto"/>
                <w:lang w:eastAsia="en-SG"/>
              </w:rPr>
              <w:t>Expenses;</w:t>
            </w:r>
            <w:r>
              <w:rPr>
                <w:rFonts w:eastAsia="Times New Roman"/>
                <w:color w:val="auto"/>
                <w:lang w:eastAsia="en-SG"/>
              </w:rPr>
              <w:t xml:space="preserve"> TS = Total Sales;</w:t>
            </w:r>
            <w:r w:rsidRPr="00097EC4">
              <w:rPr>
                <w:rFonts w:eastAsia="Times New Roman"/>
                <w:color w:val="auto"/>
                <w:sz w:val="16"/>
                <w:szCs w:val="16"/>
                <w:lang w:eastAsia="en-SG"/>
              </w:rPr>
              <w:t xml:space="preserve"> </w:t>
            </w:r>
            <m:oMath>
              <m:f>
                <m:fPr>
                  <m:ctrlPr>
                    <w:rPr>
                      <w:rFonts w:ascii="Cambria Math" w:eastAsia="DengXian" w:hAnsi="Cambria Math"/>
                      <w:iCs/>
                      <w:color w:val="auto"/>
                      <w:sz w:val="20"/>
                      <w:szCs w:val="20"/>
                    </w:rPr>
                  </m:ctrlPr>
                </m:fPr>
                <m:num>
                  <m:r>
                    <m:rPr>
                      <m:sty m:val="p"/>
                    </m:rPr>
                    <w:rPr>
                      <w:rFonts w:ascii="Cambria Math" w:eastAsia="DengXian" w:hAnsi="Cambria Math"/>
                      <w:color w:val="auto"/>
                      <w:sz w:val="20"/>
                      <w:szCs w:val="20"/>
                    </w:rPr>
                    <m:t>SG&amp;A</m:t>
                  </m:r>
                </m:num>
                <m:den>
                  <m:r>
                    <m:rPr>
                      <m:sty m:val="p"/>
                    </m:rPr>
                    <w:rPr>
                      <w:rFonts w:ascii="Cambria Math" w:eastAsia="DengXian" w:hAnsi="Cambria Math"/>
                      <w:color w:val="auto"/>
                      <w:sz w:val="20"/>
                      <w:szCs w:val="20"/>
                    </w:rPr>
                    <m:t>TS</m:t>
                  </m:r>
                </m:den>
              </m:f>
            </m:oMath>
            <w:r>
              <w:rPr>
                <w:rFonts w:eastAsia="Times New Roman"/>
                <w:color w:val="auto"/>
              </w:rPr>
              <w:t xml:space="preserve"> </w:t>
            </w:r>
            <w:r w:rsidRPr="002D1654">
              <w:rPr>
                <w:rFonts w:eastAsia="Times New Roman"/>
                <w:color w:val="auto"/>
                <w:lang w:eastAsia="en-SG"/>
              </w:rPr>
              <w:t xml:space="preserve"> refers to the ratio of a firm’s </w:t>
            </w:r>
            <w:r>
              <w:rPr>
                <w:rFonts w:eastAsia="Times New Roman"/>
                <w:color w:val="auto"/>
                <w:lang w:eastAsia="en-SG"/>
              </w:rPr>
              <w:t>SG&amp;A</w:t>
            </w:r>
            <w:r w:rsidRPr="002D1654">
              <w:rPr>
                <w:rFonts w:eastAsia="Times New Roman"/>
                <w:color w:val="auto"/>
                <w:lang w:eastAsia="en-SG"/>
              </w:rPr>
              <w:t xml:space="preserve"> to its total sales</w:t>
            </w:r>
            <w:r>
              <w:rPr>
                <w:rFonts w:eastAsia="Times New Roman"/>
                <w:color w:val="auto"/>
                <w:lang w:eastAsia="en-SG"/>
              </w:rPr>
              <w:t>.</w:t>
            </w:r>
            <w:r w:rsidRPr="00097EC4">
              <w:rPr>
                <w:rFonts w:eastAsia="Times New Roman"/>
                <w:color w:val="auto"/>
                <w:lang w:eastAsia="en-SG"/>
              </w:rPr>
              <w:t xml:space="preserve"> In conducting the sensitivity analyses, we apply the same variable transformations, include the same set of control variables and instruments</w:t>
            </w:r>
            <w:r>
              <w:rPr>
                <w:rFonts w:eastAsia="Times New Roman"/>
                <w:color w:val="auto"/>
                <w:lang w:eastAsia="en-SG"/>
              </w:rPr>
              <w:t>,</w:t>
            </w:r>
            <w:r w:rsidRPr="00097EC4">
              <w:rPr>
                <w:rFonts w:eastAsia="Times New Roman"/>
                <w:color w:val="auto"/>
                <w:lang w:eastAsia="en-SG"/>
              </w:rPr>
              <w:t xml:space="preserve"> and perform the same bootstrap replications as in our focal analysis unless otherwise mentioned</w:t>
            </w:r>
            <w:r w:rsidRPr="00097EC4">
              <w:rPr>
                <w:rFonts w:eastAsia="Times New Roman"/>
                <w:iCs/>
                <w:color w:val="auto"/>
                <w:lang w:eastAsia="en-SG"/>
              </w:rPr>
              <w:t xml:space="preserve">. </w:t>
            </w:r>
          </w:p>
        </w:tc>
      </w:tr>
    </w:tbl>
    <w:p w14:paraId="6AF7E699" w14:textId="77777777" w:rsidR="00F731AC" w:rsidRDefault="00A678A3" w:rsidP="007C4BDF">
      <w:pPr>
        <w:spacing w:after="0" w:line="480" w:lineRule="auto"/>
        <w:rPr>
          <w:rFonts w:eastAsia="DengXian"/>
          <w:color w:val="auto"/>
          <w:sz w:val="28"/>
          <w:szCs w:val="24"/>
        </w:rPr>
        <w:sectPr w:rsidR="00F731AC" w:rsidSect="000B3126">
          <w:headerReference w:type="default" r:id="rId15"/>
          <w:footerReference w:type="default" r:id="rId16"/>
          <w:pgSz w:w="16838" w:h="11906" w:orient="landscape" w:code="9"/>
          <w:pgMar w:top="1440" w:right="1440" w:bottom="1440" w:left="1440" w:header="706" w:footer="706" w:gutter="0"/>
          <w:cols w:space="708"/>
          <w:noEndnote/>
          <w:docGrid w:linePitch="360"/>
        </w:sectPr>
      </w:pPr>
      <w:r w:rsidRPr="009164D5">
        <w:rPr>
          <w:rFonts w:eastAsia="DengXian"/>
          <w:color w:val="auto"/>
          <w:sz w:val="28"/>
          <w:szCs w:val="24"/>
        </w:rPr>
        <w:br w:type="page"/>
      </w:r>
    </w:p>
    <w:p w14:paraId="288239E6" w14:textId="4F10716B" w:rsidR="005322EC" w:rsidRPr="00C17118" w:rsidRDefault="005322EC" w:rsidP="00C17118">
      <w:pPr>
        <w:rPr>
          <w:bCs/>
          <w:color w:val="auto"/>
          <w:sz w:val="24"/>
          <w:szCs w:val="24"/>
        </w:rPr>
      </w:pPr>
      <w:r w:rsidRPr="00C17118">
        <w:rPr>
          <w:b/>
          <w:color w:val="auto"/>
          <w:sz w:val="24"/>
          <w:szCs w:val="24"/>
          <w:u w:val="single"/>
        </w:rPr>
        <w:lastRenderedPageBreak/>
        <w:t>References</w:t>
      </w:r>
      <w:r w:rsidR="00C17118">
        <w:rPr>
          <w:b/>
          <w:color w:val="auto"/>
          <w:sz w:val="24"/>
          <w:szCs w:val="24"/>
          <w:u w:val="single"/>
        </w:rPr>
        <w:t xml:space="preserve"> in Web Appendix</w:t>
      </w:r>
    </w:p>
    <w:p w14:paraId="7B46A22C" w14:textId="7CD7365E" w:rsidR="00855209" w:rsidRPr="00855209" w:rsidRDefault="005322EC" w:rsidP="00855209">
      <w:pPr>
        <w:pStyle w:val="EndNoteBibliography"/>
        <w:spacing w:after="240"/>
      </w:pPr>
      <w:r w:rsidRPr="002D1654">
        <w:rPr>
          <w:color w:val="auto"/>
          <w:szCs w:val="24"/>
        </w:rPr>
        <w:fldChar w:fldCharType="begin"/>
      </w:r>
      <w:r w:rsidRPr="002D1654">
        <w:rPr>
          <w:color w:val="auto"/>
          <w:szCs w:val="24"/>
        </w:rPr>
        <w:instrText xml:space="preserve"> ADDIN EN.REFLIST </w:instrText>
      </w:r>
      <w:r w:rsidRPr="002D1654">
        <w:rPr>
          <w:color w:val="auto"/>
          <w:szCs w:val="24"/>
        </w:rPr>
        <w:fldChar w:fldCharType="separate"/>
      </w:r>
      <w:r w:rsidR="00855209" w:rsidRPr="00855209">
        <w:t xml:space="preserve">ACSI (2016), "History of the American Customer Satisfaction Index," </w:t>
      </w:r>
      <w:r w:rsidR="00855209" w:rsidRPr="00855209">
        <w:rPr>
          <w:i/>
        </w:rPr>
        <w:t>American Customer Satisfaction Index</w:t>
      </w:r>
      <w:r w:rsidR="00855209" w:rsidRPr="00855209">
        <w:t xml:space="preserve">, (accessed 8 June 2016), [available at </w:t>
      </w:r>
      <w:hyperlink r:id="rId17" w:history="1">
        <w:r w:rsidR="00855209" w:rsidRPr="00855209">
          <w:rPr>
            <w:rStyle w:val="Hyperlink"/>
          </w:rPr>
          <w:t>http://www.theacsi.org/about-acsi/history</w:t>
        </w:r>
      </w:hyperlink>
      <w:r w:rsidR="00855209" w:rsidRPr="00855209">
        <w:t>].</w:t>
      </w:r>
    </w:p>
    <w:p w14:paraId="75AC37B3" w14:textId="77777777" w:rsidR="00855209" w:rsidRPr="00855209" w:rsidRDefault="00855209" w:rsidP="00855209">
      <w:pPr>
        <w:pStyle w:val="EndNoteBibliography"/>
        <w:spacing w:after="240"/>
      </w:pPr>
      <w:r w:rsidRPr="00855209">
        <w:t xml:space="preserve">Anderson, Eugene W., Claes Fornell, and Sanal K. Mazvancheryl (2004), "Customer Satisfaction and Shareholder Value," </w:t>
      </w:r>
      <w:r w:rsidRPr="00855209">
        <w:rPr>
          <w:i/>
        </w:rPr>
        <w:t>Journal of Marketing</w:t>
      </w:r>
      <w:r w:rsidRPr="00855209">
        <w:t>, 68 (4), 172-85.</w:t>
      </w:r>
    </w:p>
    <w:p w14:paraId="2ECDE384" w14:textId="77777777" w:rsidR="00855209" w:rsidRPr="00855209" w:rsidRDefault="00855209" w:rsidP="00855209">
      <w:pPr>
        <w:pStyle w:val="EndNoteBibliography"/>
        <w:spacing w:after="240"/>
      </w:pPr>
      <w:r w:rsidRPr="00855209">
        <w:t xml:space="preserve">Bendig, David, Daniel Willmann, Steffen Strese, and Malte Brettel (2018), "Share Repurchases and Myopia: Implications on the Stock and Consumer Markets," </w:t>
      </w:r>
      <w:r w:rsidRPr="00855209">
        <w:rPr>
          <w:i/>
        </w:rPr>
        <w:t>Journal of Marketing</w:t>
      </w:r>
      <w:r w:rsidRPr="00855209">
        <w:t>, 82 (2), 19-41.</w:t>
      </w:r>
    </w:p>
    <w:p w14:paraId="69C58574" w14:textId="77777777" w:rsidR="00855209" w:rsidRPr="00855209" w:rsidRDefault="00855209" w:rsidP="00855209">
      <w:pPr>
        <w:pStyle w:val="EndNoteBibliography"/>
        <w:spacing w:after="240"/>
      </w:pPr>
      <w:r w:rsidRPr="00855209">
        <w:t xml:space="preserve">Borg, Ingwer and Patrick Groenen (2003), "Modern Multidimensional Scaling: Theory and Applications," </w:t>
      </w:r>
      <w:r w:rsidRPr="00855209">
        <w:rPr>
          <w:i/>
        </w:rPr>
        <w:t>Journal of Educational Measurement</w:t>
      </w:r>
      <w:r w:rsidRPr="00855209">
        <w:t>, 40 (3), 277-80.</w:t>
      </w:r>
    </w:p>
    <w:p w14:paraId="2957E7AD" w14:textId="77777777" w:rsidR="00855209" w:rsidRPr="00855209" w:rsidRDefault="00855209" w:rsidP="00855209">
      <w:pPr>
        <w:pStyle w:val="EndNoteBibliography"/>
        <w:spacing w:after="240"/>
      </w:pPr>
      <w:r w:rsidRPr="00855209">
        <w:t xml:space="preserve">Chen, Hong, Murray Z. Frank, and Owen Q. Wu (2005), "What Actually Happened to the Inventories of American Companies between 1981 and 2000?," </w:t>
      </w:r>
      <w:r w:rsidRPr="00855209">
        <w:rPr>
          <w:i/>
        </w:rPr>
        <w:t>Management Science</w:t>
      </w:r>
      <w:r w:rsidRPr="00855209">
        <w:t>, 51 (7), 1015-31.</w:t>
      </w:r>
    </w:p>
    <w:p w14:paraId="44771898" w14:textId="0C9049FD" w:rsidR="00855209" w:rsidRPr="00855209" w:rsidRDefault="00855209" w:rsidP="00855209">
      <w:pPr>
        <w:pStyle w:val="EndNoteBibliography"/>
        <w:spacing w:after="240"/>
      </w:pPr>
      <w:r w:rsidRPr="00855209">
        <w:t xml:space="preserve">COMPUSTAT Online Help Manual COGS (2019), "Cost of Goods Sold," </w:t>
      </w:r>
      <w:r w:rsidRPr="00855209">
        <w:rPr>
          <w:i/>
        </w:rPr>
        <w:t>Standard &amp; Poor's Xpressfeed</w:t>
      </w:r>
      <w:r w:rsidRPr="00855209">
        <w:t xml:space="preserve">, (accessed August 22, 2019), [available at </w:t>
      </w:r>
      <w:hyperlink r:id="rId18" w:history="1">
        <w:r w:rsidRPr="00855209">
          <w:rPr>
            <w:rStyle w:val="Hyperlink"/>
          </w:rPr>
          <w:t>https://wrds-web.wharton.upenn.edu/wrds/support/Data/_001Manuals%20and%20Overviews/_001Compustat/_001North%20America%20-%20Global%20-%20Bank/_000dataguide/cogs.cfm</w:t>
        </w:r>
      </w:hyperlink>
      <w:r w:rsidRPr="00855209">
        <w:t>].</w:t>
      </w:r>
    </w:p>
    <w:p w14:paraId="2AAD0A57" w14:textId="75A0C53C" w:rsidR="00855209" w:rsidRPr="00855209" w:rsidRDefault="00855209" w:rsidP="00855209">
      <w:pPr>
        <w:pStyle w:val="EndNoteBibliography"/>
        <w:spacing w:after="240"/>
      </w:pPr>
      <w:r w:rsidRPr="00855209">
        <w:t xml:space="preserve">COMPUSTAT Online Help Manual OPEX (2018), "Operating Expense - Total," </w:t>
      </w:r>
      <w:r w:rsidRPr="00855209">
        <w:rPr>
          <w:i/>
        </w:rPr>
        <w:t>Standard &amp; Poor's Xpressfeed</w:t>
      </w:r>
      <w:r w:rsidRPr="00855209">
        <w:t xml:space="preserve">, (accessed October 25, 2018), [available at </w:t>
      </w:r>
      <w:hyperlink r:id="rId19" w:history="1">
        <w:r w:rsidRPr="00855209">
          <w:rPr>
            <w:rStyle w:val="Hyperlink"/>
          </w:rPr>
          <w:t>https://wrds-web.wharton.upenn.edu/wrds/support/Data/_001Manuals%20and%20Overviews/_001Compustat/_001North%20America%20-%20Global%20-%20Bank/_000dataguide/xopr.cfm</w:t>
        </w:r>
      </w:hyperlink>
      <w:r w:rsidRPr="00855209">
        <w:t>].</w:t>
      </w:r>
    </w:p>
    <w:p w14:paraId="43EAE2D4" w14:textId="78F0D0D9" w:rsidR="00855209" w:rsidRPr="00855209" w:rsidRDefault="00855209" w:rsidP="00855209">
      <w:pPr>
        <w:pStyle w:val="EndNoteBibliography"/>
        <w:spacing w:after="240"/>
      </w:pPr>
      <w:r w:rsidRPr="00855209">
        <w:t xml:space="preserve">COMPUSTAT Online Help Manual SG&amp;A (2017), "Selling, General and Administrative Expense," </w:t>
      </w:r>
      <w:r w:rsidRPr="00855209">
        <w:rPr>
          <w:i/>
        </w:rPr>
        <w:t>Standard &amp; Poor's Xpressfeed</w:t>
      </w:r>
      <w:r w:rsidRPr="00855209">
        <w:t xml:space="preserve">, (accessed June 13, 2017), [available at </w:t>
      </w:r>
      <w:hyperlink r:id="rId20" w:history="1">
        <w:r w:rsidRPr="00855209">
          <w:rPr>
            <w:rStyle w:val="Hyperlink"/>
          </w:rPr>
          <w:t>https://wrds-web.wharton.upenn.edu/wrds/support/Data/_001Manuals%20and%20Overviews/_001Compustat/_001North%20America%20-%20Global%20-%20Bank/_000dataguide/xsga.cfm</w:t>
        </w:r>
      </w:hyperlink>
      <w:r w:rsidRPr="00855209">
        <w:t>].</w:t>
      </w:r>
    </w:p>
    <w:p w14:paraId="74A39526" w14:textId="77777777" w:rsidR="00855209" w:rsidRPr="00855209" w:rsidRDefault="00855209" w:rsidP="00855209">
      <w:pPr>
        <w:pStyle w:val="EndNoteBibliography"/>
        <w:spacing w:after="240"/>
      </w:pPr>
      <w:r w:rsidRPr="00855209">
        <w:t xml:space="preserve">Etzion, Dror and Fabrizio Ferraro (2010), "The Role of Analogy in the Institutionalization of Sustainability Reporting," </w:t>
      </w:r>
      <w:r w:rsidRPr="00855209">
        <w:rPr>
          <w:i/>
        </w:rPr>
        <w:t>Organization Science</w:t>
      </w:r>
      <w:r w:rsidRPr="00855209">
        <w:t>, 21 (5), 1092-107.</w:t>
      </w:r>
    </w:p>
    <w:p w14:paraId="467EE0D5" w14:textId="77777777" w:rsidR="00855209" w:rsidRPr="00855209" w:rsidRDefault="00855209" w:rsidP="00855209">
      <w:pPr>
        <w:pStyle w:val="EndNoteBibliography"/>
        <w:spacing w:after="240"/>
      </w:pPr>
      <w:r w:rsidRPr="00855209">
        <w:t xml:space="preserve">Fang, Eric, Robert W. Palmatier, and Jan-Benedict E.M. Steenkamp (2008), "Effect of Service Transition Strategies on Firm Value," </w:t>
      </w:r>
      <w:r w:rsidRPr="00855209">
        <w:rPr>
          <w:i/>
        </w:rPr>
        <w:t>Journal of Marketing</w:t>
      </w:r>
      <w:r w:rsidRPr="00855209">
        <w:t>, 72 (5), 1-14.</w:t>
      </w:r>
    </w:p>
    <w:p w14:paraId="1967ABC2" w14:textId="77777777" w:rsidR="00855209" w:rsidRPr="00855209" w:rsidRDefault="00855209" w:rsidP="00855209">
      <w:pPr>
        <w:pStyle w:val="EndNoteBibliography"/>
        <w:spacing w:after="240"/>
      </w:pPr>
      <w:r w:rsidRPr="00855209">
        <w:t xml:space="preserve">Fornell, Claes, Roland T. Rust, and Marnik G. Dekimpe (2010), "The Effect of Customer Satisfaction on Consumer Spending Growth," </w:t>
      </w:r>
      <w:r w:rsidRPr="00855209">
        <w:rPr>
          <w:i/>
        </w:rPr>
        <w:t>Journal of Marketing Research</w:t>
      </w:r>
      <w:r w:rsidRPr="00855209">
        <w:t>, 47 (1), 28-35.</w:t>
      </w:r>
    </w:p>
    <w:p w14:paraId="411A29F4" w14:textId="77777777" w:rsidR="00855209" w:rsidRPr="00855209" w:rsidRDefault="00855209" w:rsidP="00855209">
      <w:pPr>
        <w:pStyle w:val="EndNoteBibliography"/>
        <w:spacing w:after="240"/>
      </w:pPr>
      <w:r w:rsidRPr="00855209">
        <w:t xml:space="preserve">Gruca, Thomas S. and Lopo L. Rego (2005), "Customer Satisfaction, Cash Flow, and Shareholder Value," </w:t>
      </w:r>
      <w:r w:rsidRPr="00855209">
        <w:rPr>
          <w:i/>
        </w:rPr>
        <w:t>Journal of Marketing</w:t>
      </w:r>
      <w:r w:rsidRPr="00855209">
        <w:t>, 69 (3), 1-130.</w:t>
      </w:r>
    </w:p>
    <w:p w14:paraId="76A1F577" w14:textId="77777777" w:rsidR="00855209" w:rsidRPr="00855209" w:rsidRDefault="00855209" w:rsidP="00855209">
      <w:pPr>
        <w:pStyle w:val="EndNoteBibliography"/>
        <w:spacing w:after="240"/>
      </w:pPr>
      <w:r w:rsidRPr="00855209">
        <w:t xml:space="preserve">Kovach, Jeremy J., Manpreet Hora, Andrew Manikas, and Pankaj C. Patel (2015), "Firm Performance in Dynamic Environments: The Role of Operational Slack and Operational Scope," </w:t>
      </w:r>
      <w:r w:rsidRPr="00855209">
        <w:rPr>
          <w:i/>
        </w:rPr>
        <w:t>Journal of Operations Management</w:t>
      </w:r>
      <w:r w:rsidRPr="00855209">
        <w:t>, 37, 1-12.</w:t>
      </w:r>
    </w:p>
    <w:p w14:paraId="07951922" w14:textId="77777777" w:rsidR="00855209" w:rsidRPr="00855209" w:rsidRDefault="00855209" w:rsidP="00855209">
      <w:pPr>
        <w:pStyle w:val="EndNoteBibliography"/>
        <w:spacing w:after="240"/>
      </w:pPr>
      <w:r w:rsidRPr="00855209">
        <w:lastRenderedPageBreak/>
        <w:t>Kruskal, Joseph B. and Myron Wish (1978), "Multidimensional Scaling." Thousand Oaks, California.</w:t>
      </w:r>
    </w:p>
    <w:p w14:paraId="752A4728" w14:textId="77777777" w:rsidR="00855209" w:rsidRPr="00855209" w:rsidRDefault="00855209" w:rsidP="00855209">
      <w:pPr>
        <w:pStyle w:val="EndNoteBibliography"/>
        <w:spacing w:after="240"/>
      </w:pPr>
      <w:r w:rsidRPr="00855209">
        <w:t xml:space="preserve">Lee, Ruby P. and Rajdeep Grewal (2004), "Strategic Responses to New Technologies and Their Impact on Firm Performance," </w:t>
      </w:r>
      <w:r w:rsidRPr="00855209">
        <w:rPr>
          <w:i/>
        </w:rPr>
        <w:t>Journal of Marketing</w:t>
      </w:r>
      <w:r w:rsidRPr="00855209">
        <w:t>, 68 (4), 157-71.</w:t>
      </w:r>
    </w:p>
    <w:p w14:paraId="7750D6E8" w14:textId="77777777" w:rsidR="00855209" w:rsidRPr="00855209" w:rsidRDefault="00855209" w:rsidP="00855209">
      <w:pPr>
        <w:pStyle w:val="EndNoteBibliography"/>
        <w:spacing w:after="240"/>
      </w:pPr>
      <w:r w:rsidRPr="00855209">
        <w:t xml:space="preserve">Liu, Yan, Venkatesh Shankar, and Wonjoo Yun (2017), "Crisis Management Strategies and the Long-Term Effects of Product Recalls on Firm Value," </w:t>
      </w:r>
      <w:r w:rsidRPr="00855209">
        <w:rPr>
          <w:i/>
        </w:rPr>
        <w:t>Journal of Marketing</w:t>
      </w:r>
      <w:r w:rsidRPr="00855209">
        <w:t>, 81 (5), 30-48.</w:t>
      </w:r>
    </w:p>
    <w:p w14:paraId="1541CC40" w14:textId="77777777" w:rsidR="00855209" w:rsidRPr="00855209" w:rsidRDefault="00855209" w:rsidP="00855209">
      <w:pPr>
        <w:pStyle w:val="EndNoteBibliography"/>
        <w:spacing w:after="240"/>
      </w:pPr>
      <w:r w:rsidRPr="00855209">
        <w:t xml:space="preserve">Luo, Xueming and C.B. Bhattacharya (2009), "The Debate over Doing Good: Corporate Social Performance, Strategic Marketing Levers, and Firm-Idiosyncratic Risk," </w:t>
      </w:r>
      <w:r w:rsidRPr="00855209">
        <w:rPr>
          <w:i/>
        </w:rPr>
        <w:t>Journal of Marketing</w:t>
      </w:r>
      <w:r w:rsidRPr="00855209">
        <w:t>, 73 (6), 198-213.</w:t>
      </w:r>
    </w:p>
    <w:p w14:paraId="7D57C80A" w14:textId="77777777" w:rsidR="00855209" w:rsidRPr="00855209" w:rsidRDefault="00855209" w:rsidP="00855209">
      <w:pPr>
        <w:pStyle w:val="EndNoteBibliography"/>
        <w:spacing w:after="240"/>
      </w:pPr>
      <w:r w:rsidRPr="00855209">
        <w:t xml:space="preserve">McAlister, Leigh, Raji Srinivasan, Niket Jindal, and Albert A. Cannella (2016), "Advertising Effectiveness: The Moderating Effect of Firm Strategy," </w:t>
      </w:r>
      <w:r w:rsidRPr="00855209">
        <w:rPr>
          <w:i/>
        </w:rPr>
        <w:t>Journal of Marketing Research</w:t>
      </w:r>
      <w:r w:rsidRPr="00855209">
        <w:t>, 53 (2), 207-24.</w:t>
      </w:r>
    </w:p>
    <w:p w14:paraId="4FCC327A" w14:textId="38E49C5B" w:rsidR="00855209" w:rsidRPr="00855209" w:rsidRDefault="00855209" w:rsidP="00855209">
      <w:pPr>
        <w:pStyle w:val="EndNoteBibliography"/>
        <w:spacing w:after="240"/>
      </w:pPr>
      <w:r w:rsidRPr="00855209">
        <w:t xml:space="preserve">Moussawi, Rabih (2011), "Overview of Datasets and Parsing Concepts," </w:t>
      </w:r>
      <w:r w:rsidRPr="00855209">
        <w:rPr>
          <w:i/>
        </w:rPr>
        <w:t>WRDS SEC Platform</w:t>
      </w:r>
      <w:r w:rsidRPr="00855209">
        <w:t xml:space="preserve">, (January), (accessed July 19, 2018), [available at </w:t>
      </w:r>
      <w:hyperlink r:id="rId21" w:history="1">
        <w:r w:rsidRPr="00855209">
          <w:rPr>
            <w:rStyle w:val="Hyperlink"/>
          </w:rPr>
          <w:t>https://wrds-www.wharton.upenn.edu/documents/746/WRDS_SEC_Analytics_Suite_Manual_Jan_2011.pdf</w:t>
        </w:r>
      </w:hyperlink>
      <w:r w:rsidRPr="00855209">
        <w:t>].</w:t>
      </w:r>
    </w:p>
    <w:p w14:paraId="6E6163E7" w14:textId="0B34636C" w:rsidR="00855209" w:rsidRPr="00855209" w:rsidRDefault="00855209" w:rsidP="00855209">
      <w:pPr>
        <w:pStyle w:val="EndNoteBibliography"/>
        <w:spacing w:after="240"/>
      </w:pPr>
      <w:r w:rsidRPr="00855209">
        <w:t xml:space="preserve">Shi, Huanhuan, Rajdeep Grewal, and Shrihari Sridhar (2020), "Organizational Herding in Advertising Spending Disclosures: Evidence and Mechanisms," </w:t>
      </w:r>
      <w:r w:rsidRPr="00855209">
        <w:rPr>
          <w:i/>
        </w:rPr>
        <w:t>Mays Business School Research Paper No. 3071616; Kenan Institute of Private Enterprise Research Paper Forthcoming</w:t>
      </w:r>
      <w:r w:rsidRPr="00855209">
        <w:t xml:space="preserve">, (January 20), [available at </w:t>
      </w:r>
      <w:hyperlink r:id="rId22" w:history="1">
        <w:r w:rsidRPr="00855209">
          <w:rPr>
            <w:rStyle w:val="Hyperlink"/>
          </w:rPr>
          <w:t>https://ssrn.com/abstract=3071616</w:t>
        </w:r>
      </w:hyperlink>
      <w:r w:rsidRPr="00855209">
        <w:t>].</w:t>
      </w:r>
    </w:p>
    <w:p w14:paraId="30C5CD20" w14:textId="60501D17" w:rsidR="00855209" w:rsidRPr="00855209" w:rsidRDefault="00855209" w:rsidP="00855209">
      <w:pPr>
        <w:pStyle w:val="EndNoteBibliography"/>
        <w:spacing w:after="240"/>
      </w:pPr>
      <w:r w:rsidRPr="00855209">
        <w:t xml:space="preserve">Wharton Research Data Services (2015), "Data Overview and Usage Manual," </w:t>
      </w:r>
      <w:r w:rsidRPr="00855209">
        <w:rPr>
          <w:i/>
        </w:rPr>
        <w:t>WRDS SEC Analytics Suite</w:t>
      </w:r>
      <w:r w:rsidRPr="00855209">
        <w:t xml:space="preserve">, (December), (accessed July 19, 2018), [available at </w:t>
      </w:r>
      <w:hyperlink r:id="rId23" w:history="1">
        <w:r w:rsidRPr="00855209">
          <w:rPr>
            <w:rStyle w:val="Hyperlink"/>
          </w:rPr>
          <w:t>https://wrds-www.wharton.upenn.edu/documents/745/_001WRDS_SEC_Analytics_Suite_Manual_Dec_2015.pdf</w:t>
        </w:r>
      </w:hyperlink>
      <w:r w:rsidRPr="00855209">
        <w:t>].</w:t>
      </w:r>
    </w:p>
    <w:p w14:paraId="4C3CFAEC" w14:textId="77777777" w:rsidR="00855209" w:rsidRPr="00855209" w:rsidRDefault="00855209" w:rsidP="00855209">
      <w:pPr>
        <w:pStyle w:val="EndNoteBibliography"/>
        <w:spacing w:after="240"/>
      </w:pPr>
      <w:r w:rsidRPr="00855209">
        <w:t xml:space="preserve">Whitler, Kimberly A., Ryan Krause, and Donald R. Lehmann (2018), "When and How Board Members with Marketing Experience Facilitate Firm Growth," </w:t>
      </w:r>
      <w:r w:rsidRPr="00855209">
        <w:rPr>
          <w:i/>
        </w:rPr>
        <w:t>Journal of Marketing</w:t>
      </w:r>
      <w:r w:rsidRPr="00855209">
        <w:t>, 82 (5), 86-105.</w:t>
      </w:r>
    </w:p>
    <w:p w14:paraId="74B01961" w14:textId="77777777" w:rsidR="00855209" w:rsidRPr="00855209" w:rsidRDefault="00855209" w:rsidP="00855209">
      <w:pPr>
        <w:pStyle w:val="EndNoteBibliography"/>
        <w:spacing w:after="240"/>
      </w:pPr>
      <w:r w:rsidRPr="00855209">
        <w:t xml:space="preserve">Wies, Simone, Arvid Oskar Ivar Hoffmann, Jaakko Aspara, and Joost M.E. Pennings (2019), "Can Advertising Investments Counter the Negative Impact of Shareholder Complaints on Firm Value?," </w:t>
      </w:r>
      <w:r w:rsidRPr="00855209">
        <w:rPr>
          <w:i/>
        </w:rPr>
        <w:t>Journal of Marketing</w:t>
      </w:r>
      <w:r w:rsidRPr="00855209">
        <w:t>, 83 (4), 58-80.</w:t>
      </w:r>
    </w:p>
    <w:p w14:paraId="0A0D50CF" w14:textId="6378FB64" w:rsidR="00855209" w:rsidRPr="00855209" w:rsidRDefault="00855209" w:rsidP="00855209">
      <w:pPr>
        <w:pStyle w:val="EndNoteBibliography"/>
      </w:pPr>
      <w:r w:rsidRPr="00855209">
        <w:t xml:space="preserve">WRDS SEC Analytics Suite "Wrds Sec Analytics Suite," (accessed 13 June, 2017), [available at </w:t>
      </w:r>
      <w:hyperlink r:id="rId24" w:history="1">
        <w:r w:rsidRPr="00855209">
          <w:rPr>
            <w:rStyle w:val="Hyperlink"/>
          </w:rPr>
          <w:t>http://www.whartonwrds.com/our-datasets/wrds-sec-analytics-suite/</w:t>
        </w:r>
      </w:hyperlink>
      <w:r w:rsidRPr="00855209">
        <w:t>].</w:t>
      </w:r>
    </w:p>
    <w:p w14:paraId="3FAC9DD3" w14:textId="50167EDA" w:rsidR="00B56C40" w:rsidRPr="002D1654" w:rsidRDefault="005322EC" w:rsidP="003161BC">
      <w:pPr>
        <w:rPr>
          <w:color w:val="auto"/>
          <w:sz w:val="24"/>
          <w:szCs w:val="24"/>
        </w:rPr>
      </w:pPr>
      <w:r w:rsidRPr="002D1654">
        <w:rPr>
          <w:color w:val="auto"/>
          <w:sz w:val="24"/>
          <w:szCs w:val="24"/>
        </w:rPr>
        <w:fldChar w:fldCharType="end"/>
      </w:r>
      <w:bookmarkEnd w:id="0"/>
      <w:bookmarkEnd w:id="1"/>
      <w:bookmarkEnd w:id="2"/>
    </w:p>
    <w:sectPr w:rsidR="00B56C40" w:rsidRPr="002D1654" w:rsidSect="00581021">
      <w:headerReference w:type="default" r:id="rId25"/>
      <w:footerReference w:type="default" r:id="rId26"/>
      <w:pgSz w:w="11906" w:h="16838" w:code="9"/>
      <w:pgMar w:top="1440" w:right="1440" w:bottom="1440" w:left="1440" w:header="706" w:footer="70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8553F" w14:textId="77777777" w:rsidR="00AC172D" w:rsidRDefault="00AC172D" w:rsidP="00996969">
      <w:pPr>
        <w:spacing w:after="0" w:line="240" w:lineRule="auto"/>
      </w:pPr>
      <w:r>
        <w:separator/>
      </w:r>
    </w:p>
  </w:endnote>
  <w:endnote w:type="continuationSeparator" w:id="0">
    <w:p w14:paraId="2BC897CD" w14:textId="77777777" w:rsidR="00AC172D" w:rsidRDefault="00AC172D" w:rsidP="00996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31161" w14:textId="77777777" w:rsidR="002C0FC3" w:rsidRDefault="002C0FC3">
    <w:pPr>
      <w:pStyle w:val="Footer"/>
      <w:jc w:val="right"/>
    </w:pPr>
  </w:p>
  <w:p w14:paraId="70CE9219" w14:textId="77777777" w:rsidR="002C0FC3" w:rsidRDefault="002C0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7559C" w14:textId="77777777" w:rsidR="002C0FC3" w:rsidRDefault="002C0FC3">
    <w:pPr>
      <w:pStyle w:val="Footer"/>
      <w:jc w:val="right"/>
    </w:pPr>
  </w:p>
  <w:p w14:paraId="38AC14C5" w14:textId="77777777" w:rsidR="002C0FC3" w:rsidRDefault="002C0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2A7DC" w14:textId="643ECC0F" w:rsidR="002C0FC3" w:rsidRDefault="002C0FC3">
    <w:pPr>
      <w:pStyle w:val="Footer"/>
      <w:jc w:val="right"/>
    </w:pPr>
  </w:p>
  <w:p w14:paraId="022E9A36" w14:textId="77777777" w:rsidR="002C0FC3" w:rsidRDefault="002C0F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0799" w14:textId="77777777" w:rsidR="002C0FC3" w:rsidRDefault="002C0FC3">
    <w:pPr>
      <w:pStyle w:val="Footer"/>
      <w:jc w:val="right"/>
    </w:pPr>
  </w:p>
  <w:p w14:paraId="33D12DB5" w14:textId="77777777" w:rsidR="002C0FC3" w:rsidRDefault="002C0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AD838" w14:textId="77777777" w:rsidR="00AC172D" w:rsidRDefault="00AC172D" w:rsidP="00996969">
      <w:pPr>
        <w:spacing w:after="0" w:line="240" w:lineRule="auto"/>
      </w:pPr>
      <w:r>
        <w:separator/>
      </w:r>
    </w:p>
  </w:footnote>
  <w:footnote w:type="continuationSeparator" w:id="0">
    <w:p w14:paraId="7A936ED8" w14:textId="77777777" w:rsidR="00AC172D" w:rsidRDefault="00AC172D" w:rsidP="00996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901794"/>
      <w:docPartObj>
        <w:docPartGallery w:val="Page Numbers (Top of Page)"/>
        <w:docPartUnique/>
      </w:docPartObj>
    </w:sdtPr>
    <w:sdtEndPr>
      <w:rPr>
        <w:noProof/>
        <w:sz w:val="24"/>
      </w:rPr>
    </w:sdtEndPr>
    <w:sdtContent>
      <w:p w14:paraId="397D2A7F" w14:textId="40E41D74" w:rsidR="002C0FC3" w:rsidRPr="00026299" w:rsidRDefault="002C0FC3">
        <w:pPr>
          <w:pStyle w:val="Header"/>
          <w:jc w:val="right"/>
          <w:rPr>
            <w:sz w:val="24"/>
          </w:rPr>
        </w:pPr>
        <w:r w:rsidRPr="00026299">
          <w:rPr>
            <w:sz w:val="24"/>
          </w:rPr>
          <w:fldChar w:fldCharType="begin"/>
        </w:r>
        <w:r w:rsidRPr="00026299">
          <w:rPr>
            <w:sz w:val="24"/>
          </w:rPr>
          <w:instrText xml:space="preserve"> PAGE   \* MERGEFORMAT </w:instrText>
        </w:r>
        <w:r w:rsidRPr="00026299">
          <w:rPr>
            <w:sz w:val="24"/>
          </w:rPr>
          <w:fldChar w:fldCharType="separate"/>
        </w:r>
        <w:r w:rsidR="00137712">
          <w:rPr>
            <w:noProof/>
            <w:sz w:val="24"/>
          </w:rPr>
          <w:t>7</w:t>
        </w:r>
        <w:r w:rsidRPr="00026299">
          <w:rPr>
            <w:noProof/>
            <w:sz w:val="24"/>
          </w:rPr>
          <w:fldChar w:fldCharType="end"/>
        </w:r>
      </w:p>
    </w:sdtContent>
  </w:sdt>
  <w:p w14:paraId="11D41F09" w14:textId="77777777" w:rsidR="002C0FC3" w:rsidRDefault="002C0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B9BB3" w14:textId="77777777" w:rsidR="002C0FC3" w:rsidRDefault="002C0FC3">
    <w:pPr>
      <w:pStyle w:val="Header"/>
      <w:jc w:val="right"/>
    </w:pPr>
  </w:p>
  <w:sdt>
    <w:sdtPr>
      <w:id w:val="-1124232365"/>
      <w:docPartObj>
        <w:docPartGallery w:val="Page Numbers (Top of Page)"/>
        <w:docPartUnique/>
      </w:docPartObj>
    </w:sdtPr>
    <w:sdtEndPr>
      <w:rPr>
        <w:noProof/>
        <w:sz w:val="24"/>
      </w:rPr>
    </w:sdtEndPr>
    <w:sdtContent>
      <w:p w14:paraId="74510155" w14:textId="5B0424ED" w:rsidR="002C0FC3" w:rsidRPr="00026299" w:rsidRDefault="002C0FC3">
        <w:pPr>
          <w:pStyle w:val="Header"/>
          <w:jc w:val="right"/>
          <w:rPr>
            <w:sz w:val="24"/>
          </w:rPr>
        </w:pPr>
        <w:r w:rsidRPr="00026299">
          <w:rPr>
            <w:sz w:val="24"/>
          </w:rPr>
          <w:fldChar w:fldCharType="begin"/>
        </w:r>
        <w:r w:rsidRPr="00026299">
          <w:rPr>
            <w:sz w:val="24"/>
          </w:rPr>
          <w:instrText xml:space="preserve"> PAGE   \* MERGEFORMAT </w:instrText>
        </w:r>
        <w:r w:rsidRPr="00026299">
          <w:rPr>
            <w:sz w:val="24"/>
          </w:rPr>
          <w:fldChar w:fldCharType="separate"/>
        </w:r>
        <w:r w:rsidR="00137712">
          <w:rPr>
            <w:noProof/>
            <w:sz w:val="24"/>
          </w:rPr>
          <w:t>10</w:t>
        </w:r>
        <w:r w:rsidRPr="00026299">
          <w:rPr>
            <w:noProof/>
            <w:sz w:val="24"/>
          </w:rPr>
          <w:fldChar w:fldCharType="end"/>
        </w:r>
      </w:p>
    </w:sdtContent>
  </w:sdt>
  <w:p w14:paraId="62AD1BE1" w14:textId="77777777" w:rsidR="002C0FC3" w:rsidRDefault="002C0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063565"/>
      <w:docPartObj>
        <w:docPartGallery w:val="Page Numbers (Top of Page)"/>
        <w:docPartUnique/>
      </w:docPartObj>
    </w:sdtPr>
    <w:sdtEndPr>
      <w:rPr>
        <w:noProof/>
        <w:sz w:val="24"/>
        <w:szCs w:val="24"/>
      </w:rPr>
    </w:sdtEndPr>
    <w:sdtContent>
      <w:p w14:paraId="0FA77A30" w14:textId="3C089F5C" w:rsidR="002C0FC3" w:rsidRPr="005322EC" w:rsidRDefault="002C0FC3">
        <w:pPr>
          <w:pStyle w:val="Header"/>
          <w:jc w:val="right"/>
          <w:rPr>
            <w:sz w:val="24"/>
            <w:szCs w:val="24"/>
          </w:rPr>
        </w:pPr>
        <w:r w:rsidRPr="005322EC">
          <w:rPr>
            <w:sz w:val="24"/>
            <w:szCs w:val="24"/>
          </w:rPr>
          <w:fldChar w:fldCharType="begin"/>
        </w:r>
        <w:r w:rsidRPr="005322EC">
          <w:rPr>
            <w:sz w:val="24"/>
            <w:szCs w:val="24"/>
          </w:rPr>
          <w:instrText xml:space="preserve"> PAGE   \* MERGEFORMAT </w:instrText>
        </w:r>
        <w:r w:rsidRPr="005322EC">
          <w:rPr>
            <w:sz w:val="24"/>
            <w:szCs w:val="24"/>
          </w:rPr>
          <w:fldChar w:fldCharType="separate"/>
        </w:r>
        <w:r w:rsidR="00137712">
          <w:rPr>
            <w:noProof/>
            <w:sz w:val="24"/>
            <w:szCs w:val="24"/>
          </w:rPr>
          <w:t>11</w:t>
        </w:r>
        <w:r w:rsidRPr="005322EC">
          <w:rPr>
            <w:noProof/>
            <w:sz w:val="24"/>
            <w:szCs w:val="24"/>
          </w:rPr>
          <w:fldChar w:fldCharType="end"/>
        </w:r>
      </w:p>
    </w:sdtContent>
  </w:sdt>
  <w:p w14:paraId="3907EEC7" w14:textId="77777777" w:rsidR="002C0FC3" w:rsidRDefault="002C0F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351261"/>
      <w:docPartObj>
        <w:docPartGallery w:val="Page Numbers (Top of Page)"/>
        <w:docPartUnique/>
      </w:docPartObj>
    </w:sdtPr>
    <w:sdtEndPr>
      <w:rPr>
        <w:noProof/>
        <w:sz w:val="24"/>
      </w:rPr>
    </w:sdtEndPr>
    <w:sdtContent>
      <w:p w14:paraId="39A1CC1E" w14:textId="044A9F81" w:rsidR="002C0FC3" w:rsidRPr="00026299" w:rsidRDefault="002C0FC3">
        <w:pPr>
          <w:pStyle w:val="Header"/>
          <w:jc w:val="right"/>
          <w:rPr>
            <w:sz w:val="24"/>
          </w:rPr>
        </w:pPr>
        <w:r w:rsidRPr="00026299">
          <w:rPr>
            <w:sz w:val="24"/>
          </w:rPr>
          <w:fldChar w:fldCharType="begin"/>
        </w:r>
        <w:r w:rsidRPr="00026299">
          <w:rPr>
            <w:sz w:val="24"/>
          </w:rPr>
          <w:instrText xml:space="preserve"> PAGE   \* MERGEFORMAT </w:instrText>
        </w:r>
        <w:r w:rsidRPr="00026299">
          <w:rPr>
            <w:sz w:val="24"/>
          </w:rPr>
          <w:fldChar w:fldCharType="separate"/>
        </w:r>
        <w:r w:rsidR="00137712">
          <w:rPr>
            <w:noProof/>
            <w:sz w:val="24"/>
          </w:rPr>
          <w:t>13</w:t>
        </w:r>
        <w:r w:rsidRPr="00026299">
          <w:rPr>
            <w:noProof/>
            <w:sz w:val="24"/>
          </w:rPr>
          <w:fldChar w:fldCharType="end"/>
        </w:r>
      </w:p>
    </w:sdtContent>
  </w:sdt>
  <w:p w14:paraId="0F206FB8" w14:textId="77777777" w:rsidR="002C0FC3" w:rsidRDefault="002C0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B71"/>
    <w:multiLevelType w:val="hybridMultilevel"/>
    <w:tmpl w:val="256E5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9D1B67"/>
    <w:multiLevelType w:val="hybridMultilevel"/>
    <w:tmpl w:val="671E897E"/>
    <w:lvl w:ilvl="0" w:tplc="AF82B8C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6812AC"/>
    <w:multiLevelType w:val="hybridMultilevel"/>
    <w:tmpl w:val="1E340574"/>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 w15:restartNumberingAfterBreak="0">
    <w:nsid w:val="30F144CE"/>
    <w:multiLevelType w:val="hybridMultilevel"/>
    <w:tmpl w:val="4ECAE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E70819"/>
    <w:multiLevelType w:val="hybridMultilevel"/>
    <w:tmpl w:val="C75C8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CB6EED"/>
    <w:multiLevelType w:val="hybridMultilevel"/>
    <w:tmpl w:val="8FD453B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4D2B1FDA"/>
    <w:multiLevelType w:val="hybridMultilevel"/>
    <w:tmpl w:val="5DD04B1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7CA46191"/>
    <w:multiLevelType w:val="hybridMultilevel"/>
    <w:tmpl w:val="A1363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E213C2"/>
    <w:multiLevelType w:val="hybridMultilevel"/>
    <w:tmpl w:val="7E16AABA"/>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num w:numId="1">
    <w:abstractNumId w:val="1"/>
  </w:num>
  <w:num w:numId="2">
    <w:abstractNumId w:val="8"/>
  </w:num>
  <w:num w:numId="3">
    <w:abstractNumId w:val="6"/>
  </w:num>
  <w:num w:numId="4">
    <w:abstractNumId w:val="3"/>
  </w:num>
  <w:num w:numId="5">
    <w:abstractNumId w:val="4"/>
  </w:num>
  <w:num w:numId="6">
    <w:abstractNumId w:val="0"/>
  </w:num>
  <w:num w:numId="7">
    <w:abstractNumId w:val="7"/>
  </w:num>
  <w:num w:numId="8">
    <w:abstractNumId w:val="5"/>
  </w:num>
  <w:num w:numId="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CxMDUysrQ0NDQwMDZR0lEKTi0uzszPAykwrQUA29bHICwAAAA="/>
    <w:docVar w:name="EN.InstantFormat" w:val="&lt;ENInstantFormat&gt;&lt;Enabled&gt;1&lt;/Enabled&gt;&lt;ScanUnformatted&gt;1&lt;/ScanUnformatted&gt;&lt;ScanChanges&gt;1&lt;/ScanChanges&gt;&lt;Suspended&gt;0&lt;/Suspended&gt;&lt;/ENInstantFormat&gt;"/>
    <w:docVar w:name="EN.Layout" w:val="&lt;ENLayout&gt;&lt;Style&gt;J Marketing Copy&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d05sxppah09pwxe9fpbva0972x9paswspf90&quot;&gt;LG&amp;apos;s EndNote Library&lt;record-ids&gt;&lt;item&gt;227&lt;/item&gt;&lt;item&gt;228&lt;/item&gt;&lt;item&gt;232&lt;/item&gt;&lt;item&gt;391&lt;/item&gt;&lt;item&gt;516&lt;/item&gt;&lt;item&gt;1544&lt;/item&gt;&lt;item&gt;1948&lt;/item&gt;&lt;item&gt;2160&lt;/item&gt;&lt;item&gt;2200&lt;/item&gt;&lt;item&gt;2222&lt;/item&gt;&lt;item&gt;2336&lt;/item&gt;&lt;item&gt;2337&lt;/item&gt;&lt;item&gt;2475&lt;/item&gt;&lt;item&gt;2504&lt;/item&gt;&lt;item&gt;2532&lt;/item&gt;&lt;item&gt;2538&lt;/item&gt;&lt;item&gt;2560&lt;/item&gt;&lt;item&gt;2634&lt;/item&gt;&lt;item&gt;2654&lt;/item&gt;&lt;item&gt;2656&lt;/item&gt;&lt;item&gt;2657&lt;/item&gt;&lt;item&gt;2658&lt;/item&gt;&lt;item&gt;2848&lt;/item&gt;&lt;item&gt;2849&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2125D4"/>
    <w:rsid w:val="0000004A"/>
    <w:rsid w:val="00000A61"/>
    <w:rsid w:val="00000B8B"/>
    <w:rsid w:val="00001168"/>
    <w:rsid w:val="000011F8"/>
    <w:rsid w:val="0000133B"/>
    <w:rsid w:val="00002B8C"/>
    <w:rsid w:val="00002BFC"/>
    <w:rsid w:val="00002D38"/>
    <w:rsid w:val="000035C4"/>
    <w:rsid w:val="000037C6"/>
    <w:rsid w:val="00003C75"/>
    <w:rsid w:val="00003EFB"/>
    <w:rsid w:val="00004127"/>
    <w:rsid w:val="00004A26"/>
    <w:rsid w:val="00005190"/>
    <w:rsid w:val="000052AC"/>
    <w:rsid w:val="00005950"/>
    <w:rsid w:val="00006B5A"/>
    <w:rsid w:val="00007B8D"/>
    <w:rsid w:val="0001020F"/>
    <w:rsid w:val="00010B20"/>
    <w:rsid w:val="00010CAE"/>
    <w:rsid w:val="00010CD9"/>
    <w:rsid w:val="00011253"/>
    <w:rsid w:val="0001187D"/>
    <w:rsid w:val="000124C7"/>
    <w:rsid w:val="00012EA3"/>
    <w:rsid w:val="00013B2B"/>
    <w:rsid w:val="00013DEE"/>
    <w:rsid w:val="00014066"/>
    <w:rsid w:val="0001421B"/>
    <w:rsid w:val="00014B79"/>
    <w:rsid w:val="00015625"/>
    <w:rsid w:val="00016625"/>
    <w:rsid w:val="00017458"/>
    <w:rsid w:val="00017553"/>
    <w:rsid w:val="000175C3"/>
    <w:rsid w:val="0001764B"/>
    <w:rsid w:val="00017AA0"/>
    <w:rsid w:val="0002008E"/>
    <w:rsid w:val="00020699"/>
    <w:rsid w:val="00020D14"/>
    <w:rsid w:val="00020EF0"/>
    <w:rsid w:val="0002181B"/>
    <w:rsid w:val="00022380"/>
    <w:rsid w:val="00022953"/>
    <w:rsid w:val="00023100"/>
    <w:rsid w:val="0002337B"/>
    <w:rsid w:val="00023B89"/>
    <w:rsid w:val="0002411C"/>
    <w:rsid w:val="000243F1"/>
    <w:rsid w:val="00024B18"/>
    <w:rsid w:val="00024B98"/>
    <w:rsid w:val="00024ED4"/>
    <w:rsid w:val="00025CC1"/>
    <w:rsid w:val="00025CC3"/>
    <w:rsid w:val="000266AB"/>
    <w:rsid w:val="00026759"/>
    <w:rsid w:val="00026B25"/>
    <w:rsid w:val="00027CD7"/>
    <w:rsid w:val="00030D21"/>
    <w:rsid w:val="00031570"/>
    <w:rsid w:val="00031762"/>
    <w:rsid w:val="00033B55"/>
    <w:rsid w:val="0003400D"/>
    <w:rsid w:val="00034791"/>
    <w:rsid w:val="00034797"/>
    <w:rsid w:val="000349D5"/>
    <w:rsid w:val="00035209"/>
    <w:rsid w:val="0003520C"/>
    <w:rsid w:val="00035544"/>
    <w:rsid w:val="00035EAB"/>
    <w:rsid w:val="00036A9D"/>
    <w:rsid w:val="00036BBF"/>
    <w:rsid w:val="000377D6"/>
    <w:rsid w:val="00040543"/>
    <w:rsid w:val="00040F19"/>
    <w:rsid w:val="000412C1"/>
    <w:rsid w:val="00041B0F"/>
    <w:rsid w:val="00041CBC"/>
    <w:rsid w:val="0004215D"/>
    <w:rsid w:val="000422B2"/>
    <w:rsid w:val="00042794"/>
    <w:rsid w:val="00042E5F"/>
    <w:rsid w:val="00043D53"/>
    <w:rsid w:val="0004445C"/>
    <w:rsid w:val="00044632"/>
    <w:rsid w:val="000446BF"/>
    <w:rsid w:val="00044AD1"/>
    <w:rsid w:val="00044D32"/>
    <w:rsid w:val="000455DC"/>
    <w:rsid w:val="0004594F"/>
    <w:rsid w:val="00045DD4"/>
    <w:rsid w:val="00046083"/>
    <w:rsid w:val="00046479"/>
    <w:rsid w:val="0004649D"/>
    <w:rsid w:val="00046A9F"/>
    <w:rsid w:val="00046F3D"/>
    <w:rsid w:val="000477D0"/>
    <w:rsid w:val="0004792F"/>
    <w:rsid w:val="00047A18"/>
    <w:rsid w:val="00047D32"/>
    <w:rsid w:val="00047E7A"/>
    <w:rsid w:val="00047F89"/>
    <w:rsid w:val="00050306"/>
    <w:rsid w:val="00050D70"/>
    <w:rsid w:val="000514F0"/>
    <w:rsid w:val="00051663"/>
    <w:rsid w:val="000516AD"/>
    <w:rsid w:val="000516E5"/>
    <w:rsid w:val="00051B81"/>
    <w:rsid w:val="00051D3E"/>
    <w:rsid w:val="00052580"/>
    <w:rsid w:val="00052C7D"/>
    <w:rsid w:val="0005318C"/>
    <w:rsid w:val="0005337B"/>
    <w:rsid w:val="00053522"/>
    <w:rsid w:val="00053895"/>
    <w:rsid w:val="00053B5C"/>
    <w:rsid w:val="000545AE"/>
    <w:rsid w:val="00055752"/>
    <w:rsid w:val="00056895"/>
    <w:rsid w:val="000572D9"/>
    <w:rsid w:val="000574E8"/>
    <w:rsid w:val="00057508"/>
    <w:rsid w:val="00057926"/>
    <w:rsid w:val="00060298"/>
    <w:rsid w:val="00060D9E"/>
    <w:rsid w:val="000610DB"/>
    <w:rsid w:val="0006173A"/>
    <w:rsid w:val="00062345"/>
    <w:rsid w:val="0006255F"/>
    <w:rsid w:val="000631F4"/>
    <w:rsid w:val="00064260"/>
    <w:rsid w:val="000648D3"/>
    <w:rsid w:val="000648EA"/>
    <w:rsid w:val="00064E1B"/>
    <w:rsid w:val="00065095"/>
    <w:rsid w:val="0006515D"/>
    <w:rsid w:val="00065BB6"/>
    <w:rsid w:val="0006611F"/>
    <w:rsid w:val="0006633F"/>
    <w:rsid w:val="00066BE0"/>
    <w:rsid w:val="00066BE3"/>
    <w:rsid w:val="000672CF"/>
    <w:rsid w:val="000676EB"/>
    <w:rsid w:val="00067E8D"/>
    <w:rsid w:val="0007053D"/>
    <w:rsid w:val="00070572"/>
    <w:rsid w:val="00070E79"/>
    <w:rsid w:val="00071BA0"/>
    <w:rsid w:val="00071E86"/>
    <w:rsid w:val="00072017"/>
    <w:rsid w:val="00072244"/>
    <w:rsid w:val="00072C9E"/>
    <w:rsid w:val="0007302F"/>
    <w:rsid w:val="00073094"/>
    <w:rsid w:val="000733BE"/>
    <w:rsid w:val="00073407"/>
    <w:rsid w:val="0007371A"/>
    <w:rsid w:val="00074037"/>
    <w:rsid w:val="00074466"/>
    <w:rsid w:val="00074744"/>
    <w:rsid w:val="00074A54"/>
    <w:rsid w:val="00074B2E"/>
    <w:rsid w:val="00075B1C"/>
    <w:rsid w:val="000760E1"/>
    <w:rsid w:val="0007616D"/>
    <w:rsid w:val="00076293"/>
    <w:rsid w:val="00077485"/>
    <w:rsid w:val="000775EC"/>
    <w:rsid w:val="00077717"/>
    <w:rsid w:val="00077888"/>
    <w:rsid w:val="000779C9"/>
    <w:rsid w:val="00077B8B"/>
    <w:rsid w:val="0008042C"/>
    <w:rsid w:val="00080AAC"/>
    <w:rsid w:val="00080EB9"/>
    <w:rsid w:val="0008116D"/>
    <w:rsid w:val="00081206"/>
    <w:rsid w:val="00081A02"/>
    <w:rsid w:val="00081B46"/>
    <w:rsid w:val="00081BB8"/>
    <w:rsid w:val="00082A23"/>
    <w:rsid w:val="0008310A"/>
    <w:rsid w:val="0008327E"/>
    <w:rsid w:val="00083397"/>
    <w:rsid w:val="0008385E"/>
    <w:rsid w:val="00083FBD"/>
    <w:rsid w:val="00085348"/>
    <w:rsid w:val="000856DF"/>
    <w:rsid w:val="0008578D"/>
    <w:rsid w:val="00085E2C"/>
    <w:rsid w:val="000864C1"/>
    <w:rsid w:val="00086C43"/>
    <w:rsid w:val="000871B3"/>
    <w:rsid w:val="000873B2"/>
    <w:rsid w:val="00087661"/>
    <w:rsid w:val="000876E9"/>
    <w:rsid w:val="00087D52"/>
    <w:rsid w:val="00087FD9"/>
    <w:rsid w:val="0009016F"/>
    <w:rsid w:val="000901DA"/>
    <w:rsid w:val="0009023A"/>
    <w:rsid w:val="0009074C"/>
    <w:rsid w:val="0009171B"/>
    <w:rsid w:val="0009178D"/>
    <w:rsid w:val="00091A3D"/>
    <w:rsid w:val="00091B3B"/>
    <w:rsid w:val="00092103"/>
    <w:rsid w:val="000921F2"/>
    <w:rsid w:val="00092391"/>
    <w:rsid w:val="000938A9"/>
    <w:rsid w:val="00093962"/>
    <w:rsid w:val="00093E3D"/>
    <w:rsid w:val="000944AA"/>
    <w:rsid w:val="00094AD6"/>
    <w:rsid w:val="00095043"/>
    <w:rsid w:val="00095559"/>
    <w:rsid w:val="000960CA"/>
    <w:rsid w:val="000965D2"/>
    <w:rsid w:val="00096E7A"/>
    <w:rsid w:val="00097090"/>
    <w:rsid w:val="00097201"/>
    <w:rsid w:val="000973EB"/>
    <w:rsid w:val="000975E7"/>
    <w:rsid w:val="00097D62"/>
    <w:rsid w:val="000A05D1"/>
    <w:rsid w:val="000A0D96"/>
    <w:rsid w:val="000A1717"/>
    <w:rsid w:val="000A1E4E"/>
    <w:rsid w:val="000A2446"/>
    <w:rsid w:val="000A24D0"/>
    <w:rsid w:val="000A28B7"/>
    <w:rsid w:val="000A2936"/>
    <w:rsid w:val="000A3024"/>
    <w:rsid w:val="000A3229"/>
    <w:rsid w:val="000A36BC"/>
    <w:rsid w:val="000A378C"/>
    <w:rsid w:val="000A4608"/>
    <w:rsid w:val="000A49CF"/>
    <w:rsid w:val="000A549D"/>
    <w:rsid w:val="000A5755"/>
    <w:rsid w:val="000A63B5"/>
    <w:rsid w:val="000A6A15"/>
    <w:rsid w:val="000A6F4F"/>
    <w:rsid w:val="000A722F"/>
    <w:rsid w:val="000A74D4"/>
    <w:rsid w:val="000A7A4B"/>
    <w:rsid w:val="000B1004"/>
    <w:rsid w:val="000B1116"/>
    <w:rsid w:val="000B1FDC"/>
    <w:rsid w:val="000B2243"/>
    <w:rsid w:val="000B2993"/>
    <w:rsid w:val="000B2B8D"/>
    <w:rsid w:val="000B2C0A"/>
    <w:rsid w:val="000B2F2C"/>
    <w:rsid w:val="000B3126"/>
    <w:rsid w:val="000B4095"/>
    <w:rsid w:val="000B4294"/>
    <w:rsid w:val="000B44AC"/>
    <w:rsid w:val="000B48FB"/>
    <w:rsid w:val="000B4921"/>
    <w:rsid w:val="000B4D60"/>
    <w:rsid w:val="000B4E58"/>
    <w:rsid w:val="000B58C2"/>
    <w:rsid w:val="000B5AAA"/>
    <w:rsid w:val="000B5CBB"/>
    <w:rsid w:val="000B6383"/>
    <w:rsid w:val="000B686B"/>
    <w:rsid w:val="000B6FD0"/>
    <w:rsid w:val="000B7200"/>
    <w:rsid w:val="000B7362"/>
    <w:rsid w:val="000B75E6"/>
    <w:rsid w:val="000B7C1F"/>
    <w:rsid w:val="000B7C3B"/>
    <w:rsid w:val="000B7D7C"/>
    <w:rsid w:val="000C003F"/>
    <w:rsid w:val="000C192A"/>
    <w:rsid w:val="000C1956"/>
    <w:rsid w:val="000C1DC8"/>
    <w:rsid w:val="000C2481"/>
    <w:rsid w:val="000C2671"/>
    <w:rsid w:val="000C291D"/>
    <w:rsid w:val="000C2A69"/>
    <w:rsid w:val="000C2D2F"/>
    <w:rsid w:val="000C36AF"/>
    <w:rsid w:val="000C36C4"/>
    <w:rsid w:val="000C39F7"/>
    <w:rsid w:val="000C4304"/>
    <w:rsid w:val="000C5640"/>
    <w:rsid w:val="000C617C"/>
    <w:rsid w:val="000C6293"/>
    <w:rsid w:val="000C6356"/>
    <w:rsid w:val="000C6B78"/>
    <w:rsid w:val="000C73E7"/>
    <w:rsid w:val="000C7812"/>
    <w:rsid w:val="000C7C33"/>
    <w:rsid w:val="000C7E33"/>
    <w:rsid w:val="000C7F10"/>
    <w:rsid w:val="000D0019"/>
    <w:rsid w:val="000D092E"/>
    <w:rsid w:val="000D16A6"/>
    <w:rsid w:val="000D1AE1"/>
    <w:rsid w:val="000D2023"/>
    <w:rsid w:val="000D2182"/>
    <w:rsid w:val="000D2274"/>
    <w:rsid w:val="000D27B5"/>
    <w:rsid w:val="000D2CD6"/>
    <w:rsid w:val="000D2E58"/>
    <w:rsid w:val="000D2E63"/>
    <w:rsid w:val="000D30E6"/>
    <w:rsid w:val="000D34BE"/>
    <w:rsid w:val="000D3920"/>
    <w:rsid w:val="000D4561"/>
    <w:rsid w:val="000D4B33"/>
    <w:rsid w:val="000D51B6"/>
    <w:rsid w:val="000D5314"/>
    <w:rsid w:val="000D538A"/>
    <w:rsid w:val="000D567C"/>
    <w:rsid w:val="000D571E"/>
    <w:rsid w:val="000D573C"/>
    <w:rsid w:val="000D576C"/>
    <w:rsid w:val="000D58E0"/>
    <w:rsid w:val="000D5E2D"/>
    <w:rsid w:val="000D6326"/>
    <w:rsid w:val="000D6CDE"/>
    <w:rsid w:val="000D7001"/>
    <w:rsid w:val="000D72A9"/>
    <w:rsid w:val="000D73D0"/>
    <w:rsid w:val="000D74C1"/>
    <w:rsid w:val="000D7520"/>
    <w:rsid w:val="000D76A7"/>
    <w:rsid w:val="000D7C2D"/>
    <w:rsid w:val="000E007F"/>
    <w:rsid w:val="000E04C5"/>
    <w:rsid w:val="000E07B6"/>
    <w:rsid w:val="000E0B2C"/>
    <w:rsid w:val="000E0B8E"/>
    <w:rsid w:val="000E0F19"/>
    <w:rsid w:val="000E1BF1"/>
    <w:rsid w:val="000E1CB6"/>
    <w:rsid w:val="000E219E"/>
    <w:rsid w:val="000E2759"/>
    <w:rsid w:val="000E27A1"/>
    <w:rsid w:val="000E3580"/>
    <w:rsid w:val="000E3CDF"/>
    <w:rsid w:val="000E444D"/>
    <w:rsid w:val="000E485B"/>
    <w:rsid w:val="000E4F72"/>
    <w:rsid w:val="000E56E3"/>
    <w:rsid w:val="000E5C6D"/>
    <w:rsid w:val="000E60EE"/>
    <w:rsid w:val="000E6343"/>
    <w:rsid w:val="000E6596"/>
    <w:rsid w:val="000E673B"/>
    <w:rsid w:val="000E6873"/>
    <w:rsid w:val="000E704C"/>
    <w:rsid w:val="000E7103"/>
    <w:rsid w:val="000E746C"/>
    <w:rsid w:val="000E7EFD"/>
    <w:rsid w:val="000F0431"/>
    <w:rsid w:val="000F0544"/>
    <w:rsid w:val="000F07AE"/>
    <w:rsid w:val="000F08D8"/>
    <w:rsid w:val="000F13FF"/>
    <w:rsid w:val="000F1FBD"/>
    <w:rsid w:val="000F201C"/>
    <w:rsid w:val="000F20D9"/>
    <w:rsid w:val="000F344E"/>
    <w:rsid w:val="000F3D74"/>
    <w:rsid w:val="000F4949"/>
    <w:rsid w:val="000F4B4C"/>
    <w:rsid w:val="000F5536"/>
    <w:rsid w:val="000F5930"/>
    <w:rsid w:val="000F7BDF"/>
    <w:rsid w:val="0010032D"/>
    <w:rsid w:val="0010224B"/>
    <w:rsid w:val="00102BD7"/>
    <w:rsid w:val="00102C32"/>
    <w:rsid w:val="00103421"/>
    <w:rsid w:val="0010356E"/>
    <w:rsid w:val="00103AF0"/>
    <w:rsid w:val="00103BCF"/>
    <w:rsid w:val="00104702"/>
    <w:rsid w:val="00104DC4"/>
    <w:rsid w:val="00105C02"/>
    <w:rsid w:val="00105DFF"/>
    <w:rsid w:val="00106232"/>
    <w:rsid w:val="0010657D"/>
    <w:rsid w:val="001067FF"/>
    <w:rsid w:val="001068E7"/>
    <w:rsid w:val="001068FF"/>
    <w:rsid w:val="001075F5"/>
    <w:rsid w:val="00107656"/>
    <w:rsid w:val="001079F8"/>
    <w:rsid w:val="00107A5D"/>
    <w:rsid w:val="00107F62"/>
    <w:rsid w:val="001103DB"/>
    <w:rsid w:val="001105C9"/>
    <w:rsid w:val="001112F6"/>
    <w:rsid w:val="00111C95"/>
    <w:rsid w:val="00112C0F"/>
    <w:rsid w:val="00112E73"/>
    <w:rsid w:val="00112F47"/>
    <w:rsid w:val="00113D12"/>
    <w:rsid w:val="00114452"/>
    <w:rsid w:val="00115301"/>
    <w:rsid w:val="00116879"/>
    <w:rsid w:val="00116B99"/>
    <w:rsid w:val="00116F84"/>
    <w:rsid w:val="0011707F"/>
    <w:rsid w:val="001170A8"/>
    <w:rsid w:val="00117B56"/>
    <w:rsid w:val="00117B71"/>
    <w:rsid w:val="00117F6A"/>
    <w:rsid w:val="001200C4"/>
    <w:rsid w:val="00120692"/>
    <w:rsid w:val="001208F0"/>
    <w:rsid w:val="00120EC6"/>
    <w:rsid w:val="0012174C"/>
    <w:rsid w:val="00121BAC"/>
    <w:rsid w:val="00122745"/>
    <w:rsid w:val="00122CB8"/>
    <w:rsid w:val="00122DED"/>
    <w:rsid w:val="00122DF6"/>
    <w:rsid w:val="00122F33"/>
    <w:rsid w:val="00122F59"/>
    <w:rsid w:val="001234E9"/>
    <w:rsid w:val="00123E15"/>
    <w:rsid w:val="00124540"/>
    <w:rsid w:val="00124CDF"/>
    <w:rsid w:val="00124FCA"/>
    <w:rsid w:val="001257D2"/>
    <w:rsid w:val="001260F3"/>
    <w:rsid w:val="00126D72"/>
    <w:rsid w:val="0012717D"/>
    <w:rsid w:val="001272AD"/>
    <w:rsid w:val="00127377"/>
    <w:rsid w:val="001275CD"/>
    <w:rsid w:val="00127C5C"/>
    <w:rsid w:val="0013015F"/>
    <w:rsid w:val="0013020D"/>
    <w:rsid w:val="0013058D"/>
    <w:rsid w:val="00130649"/>
    <w:rsid w:val="00130920"/>
    <w:rsid w:val="001311DC"/>
    <w:rsid w:val="001315F3"/>
    <w:rsid w:val="001317D3"/>
    <w:rsid w:val="001319C5"/>
    <w:rsid w:val="00131B6F"/>
    <w:rsid w:val="00132193"/>
    <w:rsid w:val="00132395"/>
    <w:rsid w:val="001332D7"/>
    <w:rsid w:val="00133648"/>
    <w:rsid w:val="00133746"/>
    <w:rsid w:val="001338D0"/>
    <w:rsid w:val="00134157"/>
    <w:rsid w:val="00134BC3"/>
    <w:rsid w:val="0013500C"/>
    <w:rsid w:val="001353D1"/>
    <w:rsid w:val="00135542"/>
    <w:rsid w:val="00135573"/>
    <w:rsid w:val="00135A39"/>
    <w:rsid w:val="0013607D"/>
    <w:rsid w:val="00136DA3"/>
    <w:rsid w:val="00136FF1"/>
    <w:rsid w:val="001376E3"/>
    <w:rsid w:val="00137712"/>
    <w:rsid w:val="00140137"/>
    <w:rsid w:val="00140638"/>
    <w:rsid w:val="001407D4"/>
    <w:rsid w:val="00140A51"/>
    <w:rsid w:val="0014109C"/>
    <w:rsid w:val="00141723"/>
    <w:rsid w:val="001418B9"/>
    <w:rsid w:val="00141B45"/>
    <w:rsid w:val="00142152"/>
    <w:rsid w:val="001425E7"/>
    <w:rsid w:val="00142605"/>
    <w:rsid w:val="00142907"/>
    <w:rsid w:val="00143402"/>
    <w:rsid w:val="001439B5"/>
    <w:rsid w:val="00143B5E"/>
    <w:rsid w:val="001445B7"/>
    <w:rsid w:val="00145577"/>
    <w:rsid w:val="00145AFA"/>
    <w:rsid w:val="00146585"/>
    <w:rsid w:val="00146B25"/>
    <w:rsid w:val="00146BD3"/>
    <w:rsid w:val="00146C61"/>
    <w:rsid w:val="00147455"/>
    <w:rsid w:val="00147611"/>
    <w:rsid w:val="00147B03"/>
    <w:rsid w:val="00147EE3"/>
    <w:rsid w:val="0015007F"/>
    <w:rsid w:val="001501A5"/>
    <w:rsid w:val="00150506"/>
    <w:rsid w:val="001505FB"/>
    <w:rsid w:val="0015079C"/>
    <w:rsid w:val="001508FE"/>
    <w:rsid w:val="0015094F"/>
    <w:rsid w:val="00150B35"/>
    <w:rsid w:val="00150E65"/>
    <w:rsid w:val="0015154F"/>
    <w:rsid w:val="00151708"/>
    <w:rsid w:val="00151C62"/>
    <w:rsid w:val="00151D48"/>
    <w:rsid w:val="00151FD3"/>
    <w:rsid w:val="0015278E"/>
    <w:rsid w:val="00152D32"/>
    <w:rsid w:val="00152F6C"/>
    <w:rsid w:val="00153A40"/>
    <w:rsid w:val="00153E2A"/>
    <w:rsid w:val="0015409F"/>
    <w:rsid w:val="001540C7"/>
    <w:rsid w:val="00154AA8"/>
    <w:rsid w:val="00154D34"/>
    <w:rsid w:val="00154E17"/>
    <w:rsid w:val="00155362"/>
    <w:rsid w:val="00155938"/>
    <w:rsid w:val="00155A63"/>
    <w:rsid w:val="00156360"/>
    <w:rsid w:val="00156FD0"/>
    <w:rsid w:val="00160394"/>
    <w:rsid w:val="0016075F"/>
    <w:rsid w:val="00160A7C"/>
    <w:rsid w:val="00160AE0"/>
    <w:rsid w:val="00160F0F"/>
    <w:rsid w:val="00161A75"/>
    <w:rsid w:val="00162209"/>
    <w:rsid w:val="00162355"/>
    <w:rsid w:val="00162428"/>
    <w:rsid w:val="001625FB"/>
    <w:rsid w:val="001628C2"/>
    <w:rsid w:val="00162921"/>
    <w:rsid w:val="00162E18"/>
    <w:rsid w:val="001639AF"/>
    <w:rsid w:val="0016416F"/>
    <w:rsid w:val="00164404"/>
    <w:rsid w:val="00165CC4"/>
    <w:rsid w:val="0016615E"/>
    <w:rsid w:val="00166523"/>
    <w:rsid w:val="001665D7"/>
    <w:rsid w:val="00166D9B"/>
    <w:rsid w:val="00166EBF"/>
    <w:rsid w:val="001672BA"/>
    <w:rsid w:val="00167585"/>
    <w:rsid w:val="001679A0"/>
    <w:rsid w:val="00167C03"/>
    <w:rsid w:val="00167D8A"/>
    <w:rsid w:val="00170261"/>
    <w:rsid w:val="0017084A"/>
    <w:rsid w:val="00170D03"/>
    <w:rsid w:val="00170D17"/>
    <w:rsid w:val="00171211"/>
    <w:rsid w:val="001714C3"/>
    <w:rsid w:val="001716DF"/>
    <w:rsid w:val="00171DC9"/>
    <w:rsid w:val="0017209F"/>
    <w:rsid w:val="00172589"/>
    <w:rsid w:val="001730DA"/>
    <w:rsid w:val="001731AB"/>
    <w:rsid w:val="00173B15"/>
    <w:rsid w:val="0017485C"/>
    <w:rsid w:val="001755B3"/>
    <w:rsid w:val="00175B86"/>
    <w:rsid w:val="001762A8"/>
    <w:rsid w:val="00176798"/>
    <w:rsid w:val="00176895"/>
    <w:rsid w:val="00177071"/>
    <w:rsid w:val="00177454"/>
    <w:rsid w:val="00177548"/>
    <w:rsid w:val="0017785C"/>
    <w:rsid w:val="0018043C"/>
    <w:rsid w:val="00180AC9"/>
    <w:rsid w:val="00181AE3"/>
    <w:rsid w:val="00182AA2"/>
    <w:rsid w:val="00182BDC"/>
    <w:rsid w:val="00183902"/>
    <w:rsid w:val="001848C9"/>
    <w:rsid w:val="00184D1D"/>
    <w:rsid w:val="00185459"/>
    <w:rsid w:val="00186091"/>
    <w:rsid w:val="00186539"/>
    <w:rsid w:val="0018671E"/>
    <w:rsid w:val="00186F8D"/>
    <w:rsid w:val="001875FC"/>
    <w:rsid w:val="00190003"/>
    <w:rsid w:val="00190459"/>
    <w:rsid w:val="00190539"/>
    <w:rsid w:val="00190E5F"/>
    <w:rsid w:val="00190E8C"/>
    <w:rsid w:val="0019166C"/>
    <w:rsid w:val="00191F3B"/>
    <w:rsid w:val="001930AC"/>
    <w:rsid w:val="00193780"/>
    <w:rsid w:val="00193A7A"/>
    <w:rsid w:val="00193EA6"/>
    <w:rsid w:val="00193F10"/>
    <w:rsid w:val="00195131"/>
    <w:rsid w:val="001951A9"/>
    <w:rsid w:val="00195250"/>
    <w:rsid w:val="001954C6"/>
    <w:rsid w:val="0019587F"/>
    <w:rsid w:val="00196969"/>
    <w:rsid w:val="00197499"/>
    <w:rsid w:val="001976CD"/>
    <w:rsid w:val="00197A41"/>
    <w:rsid w:val="00197F56"/>
    <w:rsid w:val="001A01F1"/>
    <w:rsid w:val="001A0357"/>
    <w:rsid w:val="001A03AD"/>
    <w:rsid w:val="001A0901"/>
    <w:rsid w:val="001A1370"/>
    <w:rsid w:val="001A18B3"/>
    <w:rsid w:val="001A190C"/>
    <w:rsid w:val="001A2AD5"/>
    <w:rsid w:val="001A2E7A"/>
    <w:rsid w:val="001A325E"/>
    <w:rsid w:val="001A3CF1"/>
    <w:rsid w:val="001A4101"/>
    <w:rsid w:val="001A521F"/>
    <w:rsid w:val="001A5223"/>
    <w:rsid w:val="001A5C00"/>
    <w:rsid w:val="001A6031"/>
    <w:rsid w:val="001A6BB5"/>
    <w:rsid w:val="001A6E53"/>
    <w:rsid w:val="001A6F50"/>
    <w:rsid w:val="001A76B4"/>
    <w:rsid w:val="001A79D1"/>
    <w:rsid w:val="001A7AC1"/>
    <w:rsid w:val="001B0081"/>
    <w:rsid w:val="001B00D0"/>
    <w:rsid w:val="001B01CA"/>
    <w:rsid w:val="001B0288"/>
    <w:rsid w:val="001B04DE"/>
    <w:rsid w:val="001B05D5"/>
    <w:rsid w:val="001B0623"/>
    <w:rsid w:val="001B0900"/>
    <w:rsid w:val="001B0F11"/>
    <w:rsid w:val="001B1058"/>
    <w:rsid w:val="001B1F33"/>
    <w:rsid w:val="001B20F8"/>
    <w:rsid w:val="001B358B"/>
    <w:rsid w:val="001B35DF"/>
    <w:rsid w:val="001B3A0C"/>
    <w:rsid w:val="001B3AE7"/>
    <w:rsid w:val="001B4519"/>
    <w:rsid w:val="001B4966"/>
    <w:rsid w:val="001B4B96"/>
    <w:rsid w:val="001B4D5E"/>
    <w:rsid w:val="001B4F32"/>
    <w:rsid w:val="001B5182"/>
    <w:rsid w:val="001B52FB"/>
    <w:rsid w:val="001B53BD"/>
    <w:rsid w:val="001B5CFF"/>
    <w:rsid w:val="001B640E"/>
    <w:rsid w:val="001B7532"/>
    <w:rsid w:val="001B7721"/>
    <w:rsid w:val="001B78C8"/>
    <w:rsid w:val="001B7C38"/>
    <w:rsid w:val="001C00D5"/>
    <w:rsid w:val="001C0AE2"/>
    <w:rsid w:val="001C0C1E"/>
    <w:rsid w:val="001C0FAC"/>
    <w:rsid w:val="001C129E"/>
    <w:rsid w:val="001C22F2"/>
    <w:rsid w:val="001C24E9"/>
    <w:rsid w:val="001C279A"/>
    <w:rsid w:val="001C2A1A"/>
    <w:rsid w:val="001C3045"/>
    <w:rsid w:val="001C3145"/>
    <w:rsid w:val="001C31F0"/>
    <w:rsid w:val="001C3343"/>
    <w:rsid w:val="001C386C"/>
    <w:rsid w:val="001C3AAA"/>
    <w:rsid w:val="001C3B78"/>
    <w:rsid w:val="001C566F"/>
    <w:rsid w:val="001C574D"/>
    <w:rsid w:val="001C5AD1"/>
    <w:rsid w:val="001C5B79"/>
    <w:rsid w:val="001C5FF9"/>
    <w:rsid w:val="001C67AF"/>
    <w:rsid w:val="001C6E50"/>
    <w:rsid w:val="001C6E59"/>
    <w:rsid w:val="001C74F1"/>
    <w:rsid w:val="001C7509"/>
    <w:rsid w:val="001C7785"/>
    <w:rsid w:val="001C7F56"/>
    <w:rsid w:val="001D04D5"/>
    <w:rsid w:val="001D06D8"/>
    <w:rsid w:val="001D081B"/>
    <w:rsid w:val="001D08E7"/>
    <w:rsid w:val="001D0A63"/>
    <w:rsid w:val="001D1CDC"/>
    <w:rsid w:val="001D21CE"/>
    <w:rsid w:val="001D2210"/>
    <w:rsid w:val="001D228B"/>
    <w:rsid w:val="001D280E"/>
    <w:rsid w:val="001D2F75"/>
    <w:rsid w:val="001D3022"/>
    <w:rsid w:val="001D3092"/>
    <w:rsid w:val="001D3322"/>
    <w:rsid w:val="001D33E4"/>
    <w:rsid w:val="001D3412"/>
    <w:rsid w:val="001D3966"/>
    <w:rsid w:val="001D457C"/>
    <w:rsid w:val="001D489E"/>
    <w:rsid w:val="001D5A65"/>
    <w:rsid w:val="001D5FC5"/>
    <w:rsid w:val="001D6058"/>
    <w:rsid w:val="001D61C3"/>
    <w:rsid w:val="001D63FB"/>
    <w:rsid w:val="001D65B4"/>
    <w:rsid w:val="001D6AEB"/>
    <w:rsid w:val="001D6C5F"/>
    <w:rsid w:val="001D6D23"/>
    <w:rsid w:val="001D6EBD"/>
    <w:rsid w:val="001D727B"/>
    <w:rsid w:val="001D7B26"/>
    <w:rsid w:val="001E03F0"/>
    <w:rsid w:val="001E07F4"/>
    <w:rsid w:val="001E13F8"/>
    <w:rsid w:val="001E18EA"/>
    <w:rsid w:val="001E2258"/>
    <w:rsid w:val="001E295F"/>
    <w:rsid w:val="001E2B52"/>
    <w:rsid w:val="001E2D7F"/>
    <w:rsid w:val="001E475C"/>
    <w:rsid w:val="001E4A5C"/>
    <w:rsid w:val="001E5F1D"/>
    <w:rsid w:val="001E647F"/>
    <w:rsid w:val="001E6557"/>
    <w:rsid w:val="001E6756"/>
    <w:rsid w:val="001E72E0"/>
    <w:rsid w:val="001E7355"/>
    <w:rsid w:val="001E7C7E"/>
    <w:rsid w:val="001F002D"/>
    <w:rsid w:val="001F19A7"/>
    <w:rsid w:val="001F1CC8"/>
    <w:rsid w:val="001F21B0"/>
    <w:rsid w:val="001F2537"/>
    <w:rsid w:val="001F2A7A"/>
    <w:rsid w:val="001F3BF9"/>
    <w:rsid w:val="001F41FE"/>
    <w:rsid w:val="001F425E"/>
    <w:rsid w:val="001F440A"/>
    <w:rsid w:val="001F4AE6"/>
    <w:rsid w:val="001F5AB4"/>
    <w:rsid w:val="001F5BF7"/>
    <w:rsid w:val="001F6E8E"/>
    <w:rsid w:val="001F6FC2"/>
    <w:rsid w:val="001F6FE0"/>
    <w:rsid w:val="001F74EB"/>
    <w:rsid w:val="0020006B"/>
    <w:rsid w:val="00200758"/>
    <w:rsid w:val="00200D7A"/>
    <w:rsid w:val="00201170"/>
    <w:rsid w:val="002019AF"/>
    <w:rsid w:val="00201F09"/>
    <w:rsid w:val="0020282D"/>
    <w:rsid w:val="00203412"/>
    <w:rsid w:val="002036C1"/>
    <w:rsid w:val="0020372B"/>
    <w:rsid w:val="002039ED"/>
    <w:rsid w:val="00203D99"/>
    <w:rsid w:val="002040C2"/>
    <w:rsid w:val="002043EE"/>
    <w:rsid w:val="00204D6F"/>
    <w:rsid w:val="00205206"/>
    <w:rsid w:val="00205274"/>
    <w:rsid w:val="00205420"/>
    <w:rsid w:val="0020568C"/>
    <w:rsid w:val="00205864"/>
    <w:rsid w:val="00205882"/>
    <w:rsid w:val="00205D5E"/>
    <w:rsid w:val="00206131"/>
    <w:rsid w:val="0020616D"/>
    <w:rsid w:val="0020720D"/>
    <w:rsid w:val="002076E0"/>
    <w:rsid w:val="00207F56"/>
    <w:rsid w:val="00210C89"/>
    <w:rsid w:val="002125CC"/>
    <w:rsid w:val="002125D4"/>
    <w:rsid w:val="00212648"/>
    <w:rsid w:val="00212991"/>
    <w:rsid w:val="002132B5"/>
    <w:rsid w:val="00213345"/>
    <w:rsid w:val="00213614"/>
    <w:rsid w:val="002136F5"/>
    <w:rsid w:val="00213770"/>
    <w:rsid w:val="0021481E"/>
    <w:rsid w:val="0021487E"/>
    <w:rsid w:val="00214FBE"/>
    <w:rsid w:val="00215107"/>
    <w:rsid w:val="00215291"/>
    <w:rsid w:val="0021563F"/>
    <w:rsid w:val="00215941"/>
    <w:rsid w:val="00216520"/>
    <w:rsid w:val="00216BE8"/>
    <w:rsid w:val="00216E90"/>
    <w:rsid w:val="0021729B"/>
    <w:rsid w:val="00217A4B"/>
    <w:rsid w:val="00217DED"/>
    <w:rsid w:val="00217EB1"/>
    <w:rsid w:val="002202E9"/>
    <w:rsid w:val="002207CC"/>
    <w:rsid w:val="00220AFF"/>
    <w:rsid w:val="00220E84"/>
    <w:rsid w:val="00221021"/>
    <w:rsid w:val="00221A81"/>
    <w:rsid w:val="00221C91"/>
    <w:rsid w:val="00223812"/>
    <w:rsid w:val="00224390"/>
    <w:rsid w:val="0022460C"/>
    <w:rsid w:val="00224D2C"/>
    <w:rsid w:val="00225716"/>
    <w:rsid w:val="002257C0"/>
    <w:rsid w:val="002259F3"/>
    <w:rsid w:val="00225AB1"/>
    <w:rsid w:val="002263B1"/>
    <w:rsid w:val="002264FC"/>
    <w:rsid w:val="00226688"/>
    <w:rsid w:val="002266DF"/>
    <w:rsid w:val="002268B1"/>
    <w:rsid w:val="00226C17"/>
    <w:rsid w:val="00226C61"/>
    <w:rsid w:val="00227148"/>
    <w:rsid w:val="00227A36"/>
    <w:rsid w:val="0023058B"/>
    <w:rsid w:val="002306B8"/>
    <w:rsid w:val="002307DB"/>
    <w:rsid w:val="0023121B"/>
    <w:rsid w:val="0023128B"/>
    <w:rsid w:val="0023199E"/>
    <w:rsid w:val="00231E28"/>
    <w:rsid w:val="00231ED0"/>
    <w:rsid w:val="0023202B"/>
    <w:rsid w:val="002321D4"/>
    <w:rsid w:val="0023238E"/>
    <w:rsid w:val="00233119"/>
    <w:rsid w:val="00233778"/>
    <w:rsid w:val="0023397C"/>
    <w:rsid w:val="00234420"/>
    <w:rsid w:val="00234792"/>
    <w:rsid w:val="0023504B"/>
    <w:rsid w:val="002354BF"/>
    <w:rsid w:val="00235ECD"/>
    <w:rsid w:val="002363B5"/>
    <w:rsid w:val="002369B6"/>
    <w:rsid w:val="0023711A"/>
    <w:rsid w:val="002377CA"/>
    <w:rsid w:val="00237838"/>
    <w:rsid w:val="002379D1"/>
    <w:rsid w:val="00240209"/>
    <w:rsid w:val="00240615"/>
    <w:rsid w:val="00241196"/>
    <w:rsid w:val="00241836"/>
    <w:rsid w:val="002418F6"/>
    <w:rsid w:val="00241ABF"/>
    <w:rsid w:val="00241C13"/>
    <w:rsid w:val="00242227"/>
    <w:rsid w:val="002425C9"/>
    <w:rsid w:val="002430C5"/>
    <w:rsid w:val="002438B6"/>
    <w:rsid w:val="002445B5"/>
    <w:rsid w:val="0024515A"/>
    <w:rsid w:val="002457B8"/>
    <w:rsid w:val="0024605E"/>
    <w:rsid w:val="002463E3"/>
    <w:rsid w:val="00246782"/>
    <w:rsid w:val="00246786"/>
    <w:rsid w:val="00246AF2"/>
    <w:rsid w:val="00246C8D"/>
    <w:rsid w:val="002471F5"/>
    <w:rsid w:val="00247641"/>
    <w:rsid w:val="00247A73"/>
    <w:rsid w:val="00247CCD"/>
    <w:rsid w:val="00247D0B"/>
    <w:rsid w:val="002508F3"/>
    <w:rsid w:val="00250E07"/>
    <w:rsid w:val="00250E28"/>
    <w:rsid w:val="002513DA"/>
    <w:rsid w:val="00252008"/>
    <w:rsid w:val="00253284"/>
    <w:rsid w:val="002537E7"/>
    <w:rsid w:val="00253A63"/>
    <w:rsid w:val="00253DD3"/>
    <w:rsid w:val="00253EE7"/>
    <w:rsid w:val="0025429D"/>
    <w:rsid w:val="002542B2"/>
    <w:rsid w:val="0025471E"/>
    <w:rsid w:val="00254BA5"/>
    <w:rsid w:val="00254EC5"/>
    <w:rsid w:val="00255457"/>
    <w:rsid w:val="0025566F"/>
    <w:rsid w:val="00255BA2"/>
    <w:rsid w:val="00255E16"/>
    <w:rsid w:val="002561F7"/>
    <w:rsid w:val="00256783"/>
    <w:rsid w:val="0025690E"/>
    <w:rsid w:val="00256934"/>
    <w:rsid w:val="002569BB"/>
    <w:rsid w:val="002569DE"/>
    <w:rsid w:val="00256C4B"/>
    <w:rsid w:val="00257239"/>
    <w:rsid w:val="002578A9"/>
    <w:rsid w:val="00260954"/>
    <w:rsid w:val="002609AD"/>
    <w:rsid w:val="00260E46"/>
    <w:rsid w:val="00260F06"/>
    <w:rsid w:val="00260F8F"/>
    <w:rsid w:val="002613B3"/>
    <w:rsid w:val="00261718"/>
    <w:rsid w:val="00261994"/>
    <w:rsid w:val="00261A6D"/>
    <w:rsid w:val="0026256C"/>
    <w:rsid w:val="002629BB"/>
    <w:rsid w:val="00262BB9"/>
    <w:rsid w:val="00262C3D"/>
    <w:rsid w:val="00263847"/>
    <w:rsid w:val="00263860"/>
    <w:rsid w:val="00263AFD"/>
    <w:rsid w:val="0026430B"/>
    <w:rsid w:val="0026436D"/>
    <w:rsid w:val="0026437C"/>
    <w:rsid w:val="00264A21"/>
    <w:rsid w:val="00264FEB"/>
    <w:rsid w:val="002651CF"/>
    <w:rsid w:val="00265494"/>
    <w:rsid w:val="00265719"/>
    <w:rsid w:val="00265DC0"/>
    <w:rsid w:val="00266629"/>
    <w:rsid w:val="002666FA"/>
    <w:rsid w:val="00266E61"/>
    <w:rsid w:val="00267185"/>
    <w:rsid w:val="00267B7D"/>
    <w:rsid w:val="00267C9A"/>
    <w:rsid w:val="00267D23"/>
    <w:rsid w:val="00267D96"/>
    <w:rsid w:val="00270196"/>
    <w:rsid w:val="002713E3"/>
    <w:rsid w:val="002714F9"/>
    <w:rsid w:val="00271966"/>
    <w:rsid w:val="002723D1"/>
    <w:rsid w:val="0027264D"/>
    <w:rsid w:val="00272A43"/>
    <w:rsid w:val="002730DA"/>
    <w:rsid w:val="002734A8"/>
    <w:rsid w:val="0027358A"/>
    <w:rsid w:val="00273D90"/>
    <w:rsid w:val="00273EEC"/>
    <w:rsid w:val="00273F27"/>
    <w:rsid w:val="00274074"/>
    <w:rsid w:val="002743A6"/>
    <w:rsid w:val="00274B38"/>
    <w:rsid w:val="00274B90"/>
    <w:rsid w:val="002751DC"/>
    <w:rsid w:val="0027536B"/>
    <w:rsid w:val="00275931"/>
    <w:rsid w:val="00276216"/>
    <w:rsid w:val="00276452"/>
    <w:rsid w:val="00276EB9"/>
    <w:rsid w:val="002770BB"/>
    <w:rsid w:val="002777B3"/>
    <w:rsid w:val="00277862"/>
    <w:rsid w:val="00277DBB"/>
    <w:rsid w:val="002804A4"/>
    <w:rsid w:val="002809FD"/>
    <w:rsid w:val="00280B49"/>
    <w:rsid w:val="0028197C"/>
    <w:rsid w:val="002819FA"/>
    <w:rsid w:val="00281B7E"/>
    <w:rsid w:val="0028227D"/>
    <w:rsid w:val="002822AB"/>
    <w:rsid w:val="00282934"/>
    <w:rsid w:val="00282D81"/>
    <w:rsid w:val="00282F72"/>
    <w:rsid w:val="00283420"/>
    <w:rsid w:val="00283685"/>
    <w:rsid w:val="00283FB9"/>
    <w:rsid w:val="002843E9"/>
    <w:rsid w:val="00284429"/>
    <w:rsid w:val="002848AB"/>
    <w:rsid w:val="002867A2"/>
    <w:rsid w:val="00286970"/>
    <w:rsid w:val="002873C5"/>
    <w:rsid w:val="0029005D"/>
    <w:rsid w:val="0029018A"/>
    <w:rsid w:val="00290E1C"/>
    <w:rsid w:val="00290F55"/>
    <w:rsid w:val="0029100F"/>
    <w:rsid w:val="002922CD"/>
    <w:rsid w:val="00292620"/>
    <w:rsid w:val="00292B30"/>
    <w:rsid w:val="00293B40"/>
    <w:rsid w:val="002943F0"/>
    <w:rsid w:val="00294F9C"/>
    <w:rsid w:val="00295117"/>
    <w:rsid w:val="002959D5"/>
    <w:rsid w:val="00296083"/>
    <w:rsid w:val="00296109"/>
    <w:rsid w:val="002962BD"/>
    <w:rsid w:val="00296367"/>
    <w:rsid w:val="00296E92"/>
    <w:rsid w:val="00297130"/>
    <w:rsid w:val="00297761"/>
    <w:rsid w:val="00297854"/>
    <w:rsid w:val="0029789D"/>
    <w:rsid w:val="00297E3A"/>
    <w:rsid w:val="002A0474"/>
    <w:rsid w:val="002A0681"/>
    <w:rsid w:val="002A1D58"/>
    <w:rsid w:val="002A1F36"/>
    <w:rsid w:val="002A272A"/>
    <w:rsid w:val="002A2914"/>
    <w:rsid w:val="002A29CB"/>
    <w:rsid w:val="002A2A62"/>
    <w:rsid w:val="002A2B8F"/>
    <w:rsid w:val="002A2DA5"/>
    <w:rsid w:val="002A2E2A"/>
    <w:rsid w:val="002A3A12"/>
    <w:rsid w:val="002A3A9F"/>
    <w:rsid w:val="002A3B11"/>
    <w:rsid w:val="002A3C74"/>
    <w:rsid w:val="002A450B"/>
    <w:rsid w:val="002A57E2"/>
    <w:rsid w:val="002A61A2"/>
    <w:rsid w:val="002A62CF"/>
    <w:rsid w:val="002A62E8"/>
    <w:rsid w:val="002A6D5F"/>
    <w:rsid w:val="002A7298"/>
    <w:rsid w:val="002A73DF"/>
    <w:rsid w:val="002A7D80"/>
    <w:rsid w:val="002A7E4E"/>
    <w:rsid w:val="002B032A"/>
    <w:rsid w:val="002B036A"/>
    <w:rsid w:val="002B0414"/>
    <w:rsid w:val="002B0546"/>
    <w:rsid w:val="002B0636"/>
    <w:rsid w:val="002B087B"/>
    <w:rsid w:val="002B2345"/>
    <w:rsid w:val="002B2B1B"/>
    <w:rsid w:val="002B2BF8"/>
    <w:rsid w:val="002B2CD5"/>
    <w:rsid w:val="002B2E89"/>
    <w:rsid w:val="002B3399"/>
    <w:rsid w:val="002B3CAB"/>
    <w:rsid w:val="002B4CBD"/>
    <w:rsid w:val="002B50A4"/>
    <w:rsid w:val="002B56B1"/>
    <w:rsid w:val="002B5C94"/>
    <w:rsid w:val="002B6ACA"/>
    <w:rsid w:val="002B6B34"/>
    <w:rsid w:val="002B6BCD"/>
    <w:rsid w:val="002B6D21"/>
    <w:rsid w:val="002B6E96"/>
    <w:rsid w:val="002B70FD"/>
    <w:rsid w:val="002B73FE"/>
    <w:rsid w:val="002B7B46"/>
    <w:rsid w:val="002B7F8B"/>
    <w:rsid w:val="002C00AB"/>
    <w:rsid w:val="002C02FF"/>
    <w:rsid w:val="002C042A"/>
    <w:rsid w:val="002C0C60"/>
    <w:rsid w:val="002C0FC3"/>
    <w:rsid w:val="002C1059"/>
    <w:rsid w:val="002C13F7"/>
    <w:rsid w:val="002C1531"/>
    <w:rsid w:val="002C1863"/>
    <w:rsid w:val="002C1AE2"/>
    <w:rsid w:val="002C287D"/>
    <w:rsid w:val="002C29CA"/>
    <w:rsid w:val="002C31CC"/>
    <w:rsid w:val="002C3D81"/>
    <w:rsid w:val="002C413D"/>
    <w:rsid w:val="002C4E54"/>
    <w:rsid w:val="002C5847"/>
    <w:rsid w:val="002C6158"/>
    <w:rsid w:val="002C61DF"/>
    <w:rsid w:val="002C632A"/>
    <w:rsid w:val="002C664D"/>
    <w:rsid w:val="002C6C14"/>
    <w:rsid w:val="002C6F1D"/>
    <w:rsid w:val="002C72F2"/>
    <w:rsid w:val="002C795C"/>
    <w:rsid w:val="002C7E02"/>
    <w:rsid w:val="002D09D6"/>
    <w:rsid w:val="002D0C47"/>
    <w:rsid w:val="002D1654"/>
    <w:rsid w:val="002D1B17"/>
    <w:rsid w:val="002D1DD1"/>
    <w:rsid w:val="002D1E7E"/>
    <w:rsid w:val="002D1F03"/>
    <w:rsid w:val="002D225F"/>
    <w:rsid w:val="002D237E"/>
    <w:rsid w:val="002D23E0"/>
    <w:rsid w:val="002D26E3"/>
    <w:rsid w:val="002D2CA7"/>
    <w:rsid w:val="002D2EDA"/>
    <w:rsid w:val="002D2F4B"/>
    <w:rsid w:val="002D3588"/>
    <w:rsid w:val="002D36B3"/>
    <w:rsid w:val="002D3AB9"/>
    <w:rsid w:val="002D505A"/>
    <w:rsid w:val="002D50D5"/>
    <w:rsid w:val="002D54C7"/>
    <w:rsid w:val="002D6739"/>
    <w:rsid w:val="002D6861"/>
    <w:rsid w:val="002D69BD"/>
    <w:rsid w:val="002D6AD8"/>
    <w:rsid w:val="002D6BCE"/>
    <w:rsid w:val="002D6FEE"/>
    <w:rsid w:val="002D71AB"/>
    <w:rsid w:val="002D7719"/>
    <w:rsid w:val="002D7793"/>
    <w:rsid w:val="002D79F8"/>
    <w:rsid w:val="002E02C5"/>
    <w:rsid w:val="002E0D2E"/>
    <w:rsid w:val="002E158C"/>
    <w:rsid w:val="002E15A6"/>
    <w:rsid w:val="002E1621"/>
    <w:rsid w:val="002E1C7D"/>
    <w:rsid w:val="002E2627"/>
    <w:rsid w:val="002E286B"/>
    <w:rsid w:val="002E2AFF"/>
    <w:rsid w:val="002E2D6C"/>
    <w:rsid w:val="002E3015"/>
    <w:rsid w:val="002E320A"/>
    <w:rsid w:val="002E3780"/>
    <w:rsid w:val="002E3A28"/>
    <w:rsid w:val="002E3B33"/>
    <w:rsid w:val="002E4D87"/>
    <w:rsid w:val="002E569E"/>
    <w:rsid w:val="002E58DE"/>
    <w:rsid w:val="002E5BEC"/>
    <w:rsid w:val="002E6AC8"/>
    <w:rsid w:val="002E750F"/>
    <w:rsid w:val="002E78EA"/>
    <w:rsid w:val="002F01FA"/>
    <w:rsid w:val="002F066A"/>
    <w:rsid w:val="002F1820"/>
    <w:rsid w:val="002F197F"/>
    <w:rsid w:val="002F2298"/>
    <w:rsid w:val="002F263F"/>
    <w:rsid w:val="002F3215"/>
    <w:rsid w:val="002F3FD9"/>
    <w:rsid w:val="002F43E9"/>
    <w:rsid w:val="002F4AA1"/>
    <w:rsid w:val="002F5123"/>
    <w:rsid w:val="002F5C1D"/>
    <w:rsid w:val="002F61DB"/>
    <w:rsid w:val="002F621F"/>
    <w:rsid w:val="002F6C67"/>
    <w:rsid w:val="002F7218"/>
    <w:rsid w:val="002F7A72"/>
    <w:rsid w:val="002F7A8B"/>
    <w:rsid w:val="002F7F73"/>
    <w:rsid w:val="0030055D"/>
    <w:rsid w:val="00300744"/>
    <w:rsid w:val="00300880"/>
    <w:rsid w:val="00300A74"/>
    <w:rsid w:val="00300C50"/>
    <w:rsid w:val="00300D77"/>
    <w:rsid w:val="00300F92"/>
    <w:rsid w:val="0030156F"/>
    <w:rsid w:val="003018C4"/>
    <w:rsid w:val="003019D4"/>
    <w:rsid w:val="00301B26"/>
    <w:rsid w:val="003021DD"/>
    <w:rsid w:val="003024C4"/>
    <w:rsid w:val="003025E7"/>
    <w:rsid w:val="00302747"/>
    <w:rsid w:val="003027B8"/>
    <w:rsid w:val="00302AD3"/>
    <w:rsid w:val="00303DBF"/>
    <w:rsid w:val="003053B3"/>
    <w:rsid w:val="003053E9"/>
    <w:rsid w:val="00305640"/>
    <w:rsid w:val="00305E94"/>
    <w:rsid w:val="00305FE4"/>
    <w:rsid w:val="003063C0"/>
    <w:rsid w:val="003075C9"/>
    <w:rsid w:val="00307A78"/>
    <w:rsid w:val="0031029D"/>
    <w:rsid w:val="003103DB"/>
    <w:rsid w:val="003116E8"/>
    <w:rsid w:val="0031198B"/>
    <w:rsid w:val="00312471"/>
    <w:rsid w:val="0031312C"/>
    <w:rsid w:val="00313417"/>
    <w:rsid w:val="00313890"/>
    <w:rsid w:val="00313892"/>
    <w:rsid w:val="00314126"/>
    <w:rsid w:val="0031485E"/>
    <w:rsid w:val="00314C4A"/>
    <w:rsid w:val="00314CBB"/>
    <w:rsid w:val="00314E5C"/>
    <w:rsid w:val="0031517F"/>
    <w:rsid w:val="003153F3"/>
    <w:rsid w:val="00315BF7"/>
    <w:rsid w:val="00315F5C"/>
    <w:rsid w:val="003161BC"/>
    <w:rsid w:val="00316905"/>
    <w:rsid w:val="00317152"/>
    <w:rsid w:val="003177B9"/>
    <w:rsid w:val="00317922"/>
    <w:rsid w:val="00317C26"/>
    <w:rsid w:val="003202E9"/>
    <w:rsid w:val="0032030B"/>
    <w:rsid w:val="0032099C"/>
    <w:rsid w:val="00321598"/>
    <w:rsid w:val="003216D0"/>
    <w:rsid w:val="003217A4"/>
    <w:rsid w:val="00321DCF"/>
    <w:rsid w:val="003228B0"/>
    <w:rsid w:val="00322DF6"/>
    <w:rsid w:val="00322E33"/>
    <w:rsid w:val="0032358F"/>
    <w:rsid w:val="0032360D"/>
    <w:rsid w:val="003236DE"/>
    <w:rsid w:val="003239A6"/>
    <w:rsid w:val="003239AF"/>
    <w:rsid w:val="00323A61"/>
    <w:rsid w:val="0032424F"/>
    <w:rsid w:val="0032433B"/>
    <w:rsid w:val="00324460"/>
    <w:rsid w:val="003244C9"/>
    <w:rsid w:val="00324826"/>
    <w:rsid w:val="00324F18"/>
    <w:rsid w:val="00325244"/>
    <w:rsid w:val="003253D8"/>
    <w:rsid w:val="003256C6"/>
    <w:rsid w:val="00325737"/>
    <w:rsid w:val="003259FE"/>
    <w:rsid w:val="00325BA4"/>
    <w:rsid w:val="003261F3"/>
    <w:rsid w:val="00326E52"/>
    <w:rsid w:val="00327020"/>
    <w:rsid w:val="003277C2"/>
    <w:rsid w:val="00327998"/>
    <w:rsid w:val="00327D3E"/>
    <w:rsid w:val="00327E0E"/>
    <w:rsid w:val="00330393"/>
    <w:rsid w:val="003303E8"/>
    <w:rsid w:val="0033113A"/>
    <w:rsid w:val="00331391"/>
    <w:rsid w:val="00332298"/>
    <w:rsid w:val="0033292A"/>
    <w:rsid w:val="00332985"/>
    <w:rsid w:val="003330FF"/>
    <w:rsid w:val="0033315D"/>
    <w:rsid w:val="00333A5B"/>
    <w:rsid w:val="00335253"/>
    <w:rsid w:val="003364F1"/>
    <w:rsid w:val="003365E9"/>
    <w:rsid w:val="0033663D"/>
    <w:rsid w:val="00336AD2"/>
    <w:rsid w:val="00336D40"/>
    <w:rsid w:val="00340125"/>
    <w:rsid w:val="00340264"/>
    <w:rsid w:val="00340802"/>
    <w:rsid w:val="00340A2E"/>
    <w:rsid w:val="00340C13"/>
    <w:rsid w:val="00341F75"/>
    <w:rsid w:val="00342786"/>
    <w:rsid w:val="00343060"/>
    <w:rsid w:val="00343278"/>
    <w:rsid w:val="00343472"/>
    <w:rsid w:val="00343D7B"/>
    <w:rsid w:val="00343F25"/>
    <w:rsid w:val="00343F50"/>
    <w:rsid w:val="00344896"/>
    <w:rsid w:val="00344BFE"/>
    <w:rsid w:val="00344C4A"/>
    <w:rsid w:val="00345957"/>
    <w:rsid w:val="00346094"/>
    <w:rsid w:val="00346177"/>
    <w:rsid w:val="0034624E"/>
    <w:rsid w:val="003469EF"/>
    <w:rsid w:val="00346BB5"/>
    <w:rsid w:val="00346D3F"/>
    <w:rsid w:val="00346D82"/>
    <w:rsid w:val="00346E50"/>
    <w:rsid w:val="00347EE1"/>
    <w:rsid w:val="00350122"/>
    <w:rsid w:val="003502F2"/>
    <w:rsid w:val="00350BD1"/>
    <w:rsid w:val="00350DBD"/>
    <w:rsid w:val="003514EE"/>
    <w:rsid w:val="003518F1"/>
    <w:rsid w:val="00351ACC"/>
    <w:rsid w:val="00352026"/>
    <w:rsid w:val="0035215D"/>
    <w:rsid w:val="00352485"/>
    <w:rsid w:val="00352776"/>
    <w:rsid w:val="00352AAC"/>
    <w:rsid w:val="00352BA4"/>
    <w:rsid w:val="00352DA0"/>
    <w:rsid w:val="00353237"/>
    <w:rsid w:val="00353550"/>
    <w:rsid w:val="00353917"/>
    <w:rsid w:val="00353CA7"/>
    <w:rsid w:val="003549C3"/>
    <w:rsid w:val="003551A0"/>
    <w:rsid w:val="00355736"/>
    <w:rsid w:val="00355814"/>
    <w:rsid w:val="00355FEF"/>
    <w:rsid w:val="00356019"/>
    <w:rsid w:val="0035622C"/>
    <w:rsid w:val="00356552"/>
    <w:rsid w:val="003567FD"/>
    <w:rsid w:val="00356DFE"/>
    <w:rsid w:val="00357182"/>
    <w:rsid w:val="00357DD3"/>
    <w:rsid w:val="003610E7"/>
    <w:rsid w:val="00362582"/>
    <w:rsid w:val="0036269E"/>
    <w:rsid w:val="00362B77"/>
    <w:rsid w:val="0036361D"/>
    <w:rsid w:val="003637C9"/>
    <w:rsid w:val="00363CE2"/>
    <w:rsid w:val="00365304"/>
    <w:rsid w:val="00365E6D"/>
    <w:rsid w:val="00365E9B"/>
    <w:rsid w:val="00365F2F"/>
    <w:rsid w:val="0036672B"/>
    <w:rsid w:val="00367276"/>
    <w:rsid w:val="003673B9"/>
    <w:rsid w:val="00367B31"/>
    <w:rsid w:val="00367C9F"/>
    <w:rsid w:val="003704D3"/>
    <w:rsid w:val="003709F8"/>
    <w:rsid w:val="00370CDF"/>
    <w:rsid w:val="00371620"/>
    <w:rsid w:val="00371BBC"/>
    <w:rsid w:val="00371D88"/>
    <w:rsid w:val="00372129"/>
    <w:rsid w:val="0037243C"/>
    <w:rsid w:val="00373685"/>
    <w:rsid w:val="0037382B"/>
    <w:rsid w:val="00374886"/>
    <w:rsid w:val="00374AE6"/>
    <w:rsid w:val="00374D03"/>
    <w:rsid w:val="00374E6A"/>
    <w:rsid w:val="00375109"/>
    <w:rsid w:val="0037556A"/>
    <w:rsid w:val="00375B1C"/>
    <w:rsid w:val="00376374"/>
    <w:rsid w:val="003769C0"/>
    <w:rsid w:val="00376A65"/>
    <w:rsid w:val="00376ADD"/>
    <w:rsid w:val="00376EE8"/>
    <w:rsid w:val="00377214"/>
    <w:rsid w:val="0037735A"/>
    <w:rsid w:val="003777B7"/>
    <w:rsid w:val="00377B85"/>
    <w:rsid w:val="00377DCB"/>
    <w:rsid w:val="00380617"/>
    <w:rsid w:val="00380ED9"/>
    <w:rsid w:val="0038113A"/>
    <w:rsid w:val="00381DAB"/>
    <w:rsid w:val="00382439"/>
    <w:rsid w:val="003824C2"/>
    <w:rsid w:val="00382B6D"/>
    <w:rsid w:val="0038314B"/>
    <w:rsid w:val="0038330C"/>
    <w:rsid w:val="00383C2C"/>
    <w:rsid w:val="00383EB9"/>
    <w:rsid w:val="00384149"/>
    <w:rsid w:val="003841BA"/>
    <w:rsid w:val="0038452F"/>
    <w:rsid w:val="0038467B"/>
    <w:rsid w:val="00384D18"/>
    <w:rsid w:val="00385264"/>
    <w:rsid w:val="003855CD"/>
    <w:rsid w:val="00385A04"/>
    <w:rsid w:val="00385CE1"/>
    <w:rsid w:val="00386013"/>
    <w:rsid w:val="003864C6"/>
    <w:rsid w:val="00386816"/>
    <w:rsid w:val="00387D98"/>
    <w:rsid w:val="00387E25"/>
    <w:rsid w:val="00390151"/>
    <w:rsid w:val="00390ADD"/>
    <w:rsid w:val="00391032"/>
    <w:rsid w:val="00391841"/>
    <w:rsid w:val="00391BA1"/>
    <w:rsid w:val="00391FF3"/>
    <w:rsid w:val="0039227B"/>
    <w:rsid w:val="003925A8"/>
    <w:rsid w:val="003928FC"/>
    <w:rsid w:val="00392B2B"/>
    <w:rsid w:val="00392C96"/>
    <w:rsid w:val="00392CB3"/>
    <w:rsid w:val="003934EA"/>
    <w:rsid w:val="00393A28"/>
    <w:rsid w:val="00393AC5"/>
    <w:rsid w:val="00393F94"/>
    <w:rsid w:val="003942BE"/>
    <w:rsid w:val="003943EE"/>
    <w:rsid w:val="00394485"/>
    <w:rsid w:val="00394CEB"/>
    <w:rsid w:val="0039526E"/>
    <w:rsid w:val="00395629"/>
    <w:rsid w:val="003956D3"/>
    <w:rsid w:val="00395BC7"/>
    <w:rsid w:val="00395D24"/>
    <w:rsid w:val="00395DBD"/>
    <w:rsid w:val="003965E2"/>
    <w:rsid w:val="00396809"/>
    <w:rsid w:val="00396DE1"/>
    <w:rsid w:val="00396EED"/>
    <w:rsid w:val="00397316"/>
    <w:rsid w:val="0039750D"/>
    <w:rsid w:val="00397710"/>
    <w:rsid w:val="003A00FA"/>
    <w:rsid w:val="003A027F"/>
    <w:rsid w:val="003A0581"/>
    <w:rsid w:val="003A0954"/>
    <w:rsid w:val="003A159E"/>
    <w:rsid w:val="003A2DA1"/>
    <w:rsid w:val="003A2DB8"/>
    <w:rsid w:val="003A3E91"/>
    <w:rsid w:val="003A3EF9"/>
    <w:rsid w:val="003A405E"/>
    <w:rsid w:val="003A4DBC"/>
    <w:rsid w:val="003A5C19"/>
    <w:rsid w:val="003A5D78"/>
    <w:rsid w:val="003A5E16"/>
    <w:rsid w:val="003A61E9"/>
    <w:rsid w:val="003A6430"/>
    <w:rsid w:val="003A694E"/>
    <w:rsid w:val="003A6E54"/>
    <w:rsid w:val="003A6F44"/>
    <w:rsid w:val="003A7350"/>
    <w:rsid w:val="003A79B9"/>
    <w:rsid w:val="003A7CAA"/>
    <w:rsid w:val="003B033D"/>
    <w:rsid w:val="003B0C3B"/>
    <w:rsid w:val="003B1F8B"/>
    <w:rsid w:val="003B24D2"/>
    <w:rsid w:val="003B24F4"/>
    <w:rsid w:val="003B255B"/>
    <w:rsid w:val="003B2EF3"/>
    <w:rsid w:val="003B3071"/>
    <w:rsid w:val="003B3124"/>
    <w:rsid w:val="003B3A94"/>
    <w:rsid w:val="003B43B0"/>
    <w:rsid w:val="003B467A"/>
    <w:rsid w:val="003B4B7F"/>
    <w:rsid w:val="003B4CFF"/>
    <w:rsid w:val="003B4E2B"/>
    <w:rsid w:val="003B50CD"/>
    <w:rsid w:val="003B5BAC"/>
    <w:rsid w:val="003B6243"/>
    <w:rsid w:val="003B6CC6"/>
    <w:rsid w:val="003B6FB0"/>
    <w:rsid w:val="003B747F"/>
    <w:rsid w:val="003C01AB"/>
    <w:rsid w:val="003C06C5"/>
    <w:rsid w:val="003C08D2"/>
    <w:rsid w:val="003C099B"/>
    <w:rsid w:val="003C09A0"/>
    <w:rsid w:val="003C1495"/>
    <w:rsid w:val="003C14E1"/>
    <w:rsid w:val="003C16B4"/>
    <w:rsid w:val="003C2888"/>
    <w:rsid w:val="003C2E77"/>
    <w:rsid w:val="003C34E7"/>
    <w:rsid w:val="003C36CA"/>
    <w:rsid w:val="003C4EAE"/>
    <w:rsid w:val="003C5176"/>
    <w:rsid w:val="003C5255"/>
    <w:rsid w:val="003C543A"/>
    <w:rsid w:val="003C563F"/>
    <w:rsid w:val="003C5773"/>
    <w:rsid w:val="003C5CED"/>
    <w:rsid w:val="003C658F"/>
    <w:rsid w:val="003C66F6"/>
    <w:rsid w:val="003D0410"/>
    <w:rsid w:val="003D0881"/>
    <w:rsid w:val="003D09E0"/>
    <w:rsid w:val="003D0AF6"/>
    <w:rsid w:val="003D22AF"/>
    <w:rsid w:val="003D2BC3"/>
    <w:rsid w:val="003D33F4"/>
    <w:rsid w:val="003D3B55"/>
    <w:rsid w:val="003D4423"/>
    <w:rsid w:val="003D4565"/>
    <w:rsid w:val="003D463C"/>
    <w:rsid w:val="003D4A07"/>
    <w:rsid w:val="003D4BAB"/>
    <w:rsid w:val="003D5B1B"/>
    <w:rsid w:val="003D5C4F"/>
    <w:rsid w:val="003D64AD"/>
    <w:rsid w:val="003D6FC4"/>
    <w:rsid w:val="003D72AD"/>
    <w:rsid w:val="003E015E"/>
    <w:rsid w:val="003E01AD"/>
    <w:rsid w:val="003E0468"/>
    <w:rsid w:val="003E158B"/>
    <w:rsid w:val="003E1761"/>
    <w:rsid w:val="003E1F50"/>
    <w:rsid w:val="003E20FC"/>
    <w:rsid w:val="003E25E9"/>
    <w:rsid w:val="003E2B4C"/>
    <w:rsid w:val="003E30BC"/>
    <w:rsid w:val="003E39C2"/>
    <w:rsid w:val="003E3EC1"/>
    <w:rsid w:val="003E49A7"/>
    <w:rsid w:val="003E49E9"/>
    <w:rsid w:val="003E4A7C"/>
    <w:rsid w:val="003E50B2"/>
    <w:rsid w:val="003E5484"/>
    <w:rsid w:val="003E55D9"/>
    <w:rsid w:val="003E5C90"/>
    <w:rsid w:val="003E66CA"/>
    <w:rsid w:val="003E79CE"/>
    <w:rsid w:val="003E7C28"/>
    <w:rsid w:val="003F0EB5"/>
    <w:rsid w:val="003F1491"/>
    <w:rsid w:val="003F1756"/>
    <w:rsid w:val="003F1F1E"/>
    <w:rsid w:val="003F2EE9"/>
    <w:rsid w:val="003F3229"/>
    <w:rsid w:val="003F32D9"/>
    <w:rsid w:val="003F3852"/>
    <w:rsid w:val="003F3BBA"/>
    <w:rsid w:val="003F4820"/>
    <w:rsid w:val="003F4BEE"/>
    <w:rsid w:val="003F5394"/>
    <w:rsid w:val="003F565B"/>
    <w:rsid w:val="003F5AD4"/>
    <w:rsid w:val="003F5D98"/>
    <w:rsid w:val="003F5F82"/>
    <w:rsid w:val="003F6260"/>
    <w:rsid w:val="003F6302"/>
    <w:rsid w:val="003F6781"/>
    <w:rsid w:val="003F68C4"/>
    <w:rsid w:val="003F6F8A"/>
    <w:rsid w:val="003F710A"/>
    <w:rsid w:val="003F7570"/>
    <w:rsid w:val="003F77D9"/>
    <w:rsid w:val="003F7893"/>
    <w:rsid w:val="003F7A53"/>
    <w:rsid w:val="00400867"/>
    <w:rsid w:val="00400952"/>
    <w:rsid w:val="004009FE"/>
    <w:rsid w:val="00400F7F"/>
    <w:rsid w:val="00401023"/>
    <w:rsid w:val="00402265"/>
    <w:rsid w:val="004026C4"/>
    <w:rsid w:val="00402B70"/>
    <w:rsid w:val="00403365"/>
    <w:rsid w:val="00403D2F"/>
    <w:rsid w:val="00403D57"/>
    <w:rsid w:val="004043EC"/>
    <w:rsid w:val="004049CF"/>
    <w:rsid w:val="00404AAE"/>
    <w:rsid w:val="00405309"/>
    <w:rsid w:val="00405326"/>
    <w:rsid w:val="0040589F"/>
    <w:rsid w:val="004064C3"/>
    <w:rsid w:val="00406A50"/>
    <w:rsid w:val="00406D14"/>
    <w:rsid w:val="00407005"/>
    <w:rsid w:val="00407A61"/>
    <w:rsid w:val="00407AF4"/>
    <w:rsid w:val="00407D19"/>
    <w:rsid w:val="00407EDF"/>
    <w:rsid w:val="004108D6"/>
    <w:rsid w:val="004114A0"/>
    <w:rsid w:val="00411804"/>
    <w:rsid w:val="00411D8B"/>
    <w:rsid w:val="00411ECE"/>
    <w:rsid w:val="00412A96"/>
    <w:rsid w:val="00413753"/>
    <w:rsid w:val="00413855"/>
    <w:rsid w:val="00413E47"/>
    <w:rsid w:val="00414A3A"/>
    <w:rsid w:val="00414C65"/>
    <w:rsid w:val="00414EDC"/>
    <w:rsid w:val="004151DB"/>
    <w:rsid w:val="00415ECB"/>
    <w:rsid w:val="0041662D"/>
    <w:rsid w:val="00416B8D"/>
    <w:rsid w:val="004179E1"/>
    <w:rsid w:val="00417A60"/>
    <w:rsid w:val="00417D4B"/>
    <w:rsid w:val="0042017D"/>
    <w:rsid w:val="0042067A"/>
    <w:rsid w:val="00420DEA"/>
    <w:rsid w:val="00421452"/>
    <w:rsid w:val="004219A0"/>
    <w:rsid w:val="00421AFD"/>
    <w:rsid w:val="00422068"/>
    <w:rsid w:val="00423342"/>
    <w:rsid w:val="00423561"/>
    <w:rsid w:val="004236D5"/>
    <w:rsid w:val="004236E3"/>
    <w:rsid w:val="00424A00"/>
    <w:rsid w:val="00424AC6"/>
    <w:rsid w:val="004253B5"/>
    <w:rsid w:val="0042549D"/>
    <w:rsid w:val="00425A63"/>
    <w:rsid w:val="0042600D"/>
    <w:rsid w:val="00426017"/>
    <w:rsid w:val="004266DD"/>
    <w:rsid w:val="004266F9"/>
    <w:rsid w:val="00426AA6"/>
    <w:rsid w:val="0042719C"/>
    <w:rsid w:val="00427466"/>
    <w:rsid w:val="0042746A"/>
    <w:rsid w:val="00427BB9"/>
    <w:rsid w:val="00430545"/>
    <w:rsid w:val="00430566"/>
    <w:rsid w:val="00430DAD"/>
    <w:rsid w:val="004315E7"/>
    <w:rsid w:val="00431993"/>
    <w:rsid w:val="00431B1B"/>
    <w:rsid w:val="00431BC6"/>
    <w:rsid w:val="004327A6"/>
    <w:rsid w:val="00432D17"/>
    <w:rsid w:val="004334A1"/>
    <w:rsid w:val="004336E2"/>
    <w:rsid w:val="00433DFF"/>
    <w:rsid w:val="00433E10"/>
    <w:rsid w:val="004340D8"/>
    <w:rsid w:val="004341E0"/>
    <w:rsid w:val="00434A21"/>
    <w:rsid w:val="00435594"/>
    <w:rsid w:val="0043654E"/>
    <w:rsid w:val="004368D8"/>
    <w:rsid w:val="004373BB"/>
    <w:rsid w:val="00437427"/>
    <w:rsid w:val="00437B80"/>
    <w:rsid w:val="00437C74"/>
    <w:rsid w:val="0044071E"/>
    <w:rsid w:val="00441166"/>
    <w:rsid w:val="0044177E"/>
    <w:rsid w:val="004420AC"/>
    <w:rsid w:val="00442DAE"/>
    <w:rsid w:val="00443046"/>
    <w:rsid w:val="00443091"/>
    <w:rsid w:val="00443616"/>
    <w:rsid w:val="00444302"/>
    <w:rsid w:val="00444D67"/>
    <w:rsid w:val="00444EE0"/>
    <w:rsid w:val="00445209"/>
    <w:rsid w:val="0044531C"/>
    <w:rsid w:val="00445E6A"/>
    <w:rsid w:val="0044611B"/>
    <w:rsid w:val="0044622A"/>
    <w:rsid w:val="0044692A"/>
    <w:rsid w:val="00446B6A"/>
    <w:rsid w:val="00447020"/>
    <w:rsid w:val="004473C2"/>
    <w:rsid w:val="00447AC2"/>
    <w:rsid w:val="004502A6"/>
    <w:rsid w:val="004504BF"/>
    <w:rsid w:val="0045053B"/>
    <w:rsid w:val="004506C2"/>
    <w:rsid w:val="0045073D"/>
    <w:rsid w:val="004511CE"/>
    <w:rsid w:val="00451667"/>
    <w:rsid w:val="00453AA6"/>
    <w:rsid w:val="00453FA2"/>
    <w:rsid w:val="00455294"/>
    <w:rsid w:val="00455889"/>
    <w:rsid w:val="00455D6D"/>
    <w:rsid w:val="0045601E"/>
    <w:rsid w:val="004567C3"/>
    <w:rsid w:val="00456803"/>
    <w:rsid w:val="004569AB"/>
    <w:rsid w:val="00457B91"/>
    <w:rsid w:val="00457EC3"/>
    <w:rsid w:val="0046073E"/>
    <w:rsid w:val="00460BC5"/>
    <w:rsid w:val="00461293"/>
    <w:rsid w:val="00461FD6"/>
    <w:rsid w:val="00462EAA"/>
    <w:rsid w:val="00463307"/>
    <w:rsid w:val="0046374C"/>
    <w:rsid w:val="004637A5"/>
    <w:rsid w:val="00463E1D"/>
    <w:rsid w:val="00463F4D"/>
    <w:rsid w:val="00464076"/>
    <w:rsid w:val="00464EBE"/>
    <w:rsid w:val="00465169"/>
    <w:rsid w:val="00465775"/>
    <w:rsid w:val="004668EF"/>
    <w:rsid w:val="00466B28"/>
    <w:rsid w:val="00466BBF"/>
    <w:rsid w:val="00466D40"/>
    <w:rsid w:val="0046743A"/>
    <w:rsid w:val="0046767D"/>
    <w:rsid w:val="00467A46"/>
    <w:rsid w:val="00467CCB"/>
    <w:rsid w:val="004701EF"/>
    <w:rsid w:val="00470480"/>
    <w:rsid w:val="004704C0"/>
    <w:rsid w:val="00471971"/>
    <w:rsid w:val="004719E0"/>
    <w:rsid w:val="00472951"/>
    <w:rsid w:val="00472DD9"/>
    <w:rsid w:val="0047360D"/>
    <w:rsid w:val="0047373D"/>
    <w:rsid w:val="00473BC5"/>
    <w:rsid w:val="00474856"/>
    <w:rsid w:val="00475E4C"/>
    <w:rsid w:val="004763E7"/>
    <w:rsid w:val="00476BC4"/>
    <w:rsid w:val="00476C0F"/>
    <w:rsid w:val="00476ED3"/>
    <w:rsid w:val="004774BD"/>
    <w:rsid w:val="00480610"/>
    <w:rsid w:val="00480790"/>
    <w:rsid w:val="004817B4"/>
    <w:rsid w:val="00481851"/>
    <w:rsid w:val="0048223C"/>
    <w:rsid w:val="0048252D"/>
    <w:rsid w:val="00482B46"/>
    <w:rsid w:val="00482F57"/>
    <w:rsid w:val="0048347E"/>
    <w:rsid w:val="00483765"/>
    <w:rsid w:val="004845CE"/>
    <w:rsid w:val="00485075"/>
    <w:rsid w:val="004851F3"/>
    <w:rsid w:val="004859BD"/>
    <w:rsid w:val="00485AB4"/>
    <w:rsid w:val="00485B8E"/>
    <w:rsid w:val="0048627F"/>
    <w:rsid w:val="00486855"/>
    <w:rsid w:val="00486D54"/>
    <w:rsid w:val="00486DE7"/>
    <w:rsid w:val="00486EB0"/>
    <w:rsid w:val="004871CA"/>
    <w:rsid w:val="004879A6"/>
    <w:rsid w:val="00487B7E"/>
    <w:rsid w:val="00487C67"/>
    <w:rsid w:val="00487E34"/>
    <w:rsid w:val="00487FFA"/>
    <w:rsid w:val="00490018"/>
    <w:rsid w:val="00490231"/>
    <w:rsid w:val="004902D1"/>
    <w:rsid w:val="00490732"/>
    <w:rsid w:val="004921B5"/>
    <w:rsid w:val="0049239D"/>
    <w:rsid w:val="004923E5"/>
    <w:rsid w:val="00492AFF"/>
    <w:rsid w:val="00492FE5"/>
    <w:rsid w:val="004936EF"/>
    <w:rsid w:val="00493BB2"/>
    <w:rsid w:val="004941B7"/>
    <w:rsid w:val="004951DE"/>
    <w:rsid w:val="0049532A"/>
    <w:rsid w:val="0049554E"/>
    <w:rsid w:val="00495AB9"/>
    <w:rsid w:val="00495CCA"/>
    <w:rsid w:val="00495D6D"/>
    <w:rsid w:val="00496713"/>
    <w:rsid w:val="004971E2"/>
    <w:rsid w:val="00497391"/>
    <w:rsid w:val="004973C2"/>
    <w:rsid w:val="00497429"/>
    <w:rsid w:val="004975BE"/>
    <w:rsid w:val="004978CB"/>
    <w:rsid w:val="00497CEA"/>
    <w:rsid w:val="004A0003"/>
    <w:rsid w:val="004A018C"/>
    <w:rsid w:val="004A01CA"/>
    <w:rsid w:val="004A0977"/>
    <w:rsid w:val="004A13C6"/>
    <w:rsid w:val="004A145C"/>
    <w:rsid w:val="004A1506"/>
    <w:rsid w:val="004A1609"/>
    <w:rsid w:val="004A1D4B"/>
    <w:rsid w:val="004A1FED"/>
    <w:rsid w:val="004A21DF"/>
    <w:rsid w:val="004A2430"/>
    <w:rsid w:val="004A2C16"/>
    <w:rsid w:val="004A2DD2"/>
    <w:rsid w:val="004A2FDB"/>
    <w:rsid w:val="004A350D"/>
    <w:rsid w:val="004A3ACD"/>
    <w:rsid w:val="004A4744"/>
    <w:rsid w:val="004A4874"/>
    <w:rsid w:val="004A4DFD"/>
    <w:rsid w:val="004A4EE0"/>
    <w:rsid w:val="004A50D6"/>
    <w:rsid w:val="004A6166"/>
    <w:rsid w:val="004A6455"/>
    <w:rsid w:val="004A6F91"/>
    <w:rsid w:val="004A6F99"/>
    <w:rsid w:val="004A6FF9"/>
    <w:rsid w:val="004A700A"/>
    <w:rsid w:val="004A71A6"/>
    <w:rsid w:val="004A7201"/>
    <w:rsid w:val="004A731D"/>
    <w:rsid w:val="004A76C7"/>
    <w:rsid w:val="004A7915"/>
    <w:rsid w:val="004B04E7"/>
    <w:rsid w:val="004B1620"/>
    <w:rsid w:val="004B1A2D"/>
    <w:rsid w:val="004B2380"/>
    <w:rsid w:val="004B28B4"/>
    <w:rsid w:val="004B3968"/>
    <w:rsid w:val="004B41EA"/>
    <w:rsid w:val="004B4215"/>
    <w:rsid w:val="004B4224"/>
    <w:rsid w:val="004B42CB"/>
    <w:rsid w:val="004B4A71"/>
    <w:rsid w:val="004B4EB5"/>
    <w:rsid w:val="004B5273"/>
    <w:rsid w:val="004B538A"/>
    <w:rsid w:val="004B5461"/>
    <w:rsid w:val="004B5B44"/>
    <w:rsid w:val="004B6723"/>
    <w:rsid w:val="004B687B"/>
    <w:rsid w:val="004B6B18"/>
    <w:rsid w:val="004B6C80"/>
    <w:rsid w:val="004B73F5"/>
    <w:rsid w:val="004C01AE"/>
    <w:rsid w:val="004C05B2"/>
    <w:rsid w:val="004C066B"/>
    <w:rsid w:val="004C077E"/>
    <w:rsid w:val="004C2042"/>
    <w:rsid w:val="004C20AB"/>
    <w:rsid w:val="004C2239"/>
    <w:rsid w:val="004C22DA"/>
    <w:rsid w:val="004C2BFC"/>
    <w:rsid w:val="004C3F74"/>
    <w:rsid w:val="004C443E"/>
    <w:rsid w:val="004C496E"/>
    <w:rsid w:val="004C4AF7"/>
    <w:rsid w:val="004C4E9D"/>
    <w:rsid w:val="004C525C"/>
    <w:rsid w:val="004C6551"/>
    <w:rsid w:val="004C6C40"/>
    <w:rsid w:val="004C6DCC"/>
    <w:rsid w:val="004C70AF"/>
    <w:rsid w:val="004C78CE"/>
    <w:rsid w:val="004D0829"/>
    <w:rsid w:val="004D1126"/>
    <w:rsid w:val="004D170A"/>
    <w:rsid w:val="004D1AEF"/>
    <w:rsid w:val="004D25CC"/>
    <w:rsid w:val="004D2FD7"/>
    <w:rsid w:val="004D34CD"/>
    <w:rsid w:val="004D3D39"/>
    <w:rsid w:val="004D3D71"/>
    <w:rsid w:val="004D3FB2"/>
    <w:rsid w:val="004D431E"/>
    <w:rsid w:val="004D442E"/>
    <w:rsid w:val="004D44CD"/>
    <w:rsid w:val="004D462C"/>
    <w:rsid w:val="004D53E5"/>
    <w:rsid w:val="004D5843"/>
    <w:rsid w:val="004D6A8B"/>
    <w:rsid w:val="004D6D58"/>
    <w:rsid w:val="004D6F1D"/>
    <w:rsid w:val="004D7021"/>
    <w:rsid w:val="004D7E03"/>
    <w:rsid w:val="004E0E32"/>
    <w:rsid w:val="004E1470"/>
    <w:rsid w:val="004E18C7"/>
    <w:rsid w:val="004E199A"/>
    <w:rsid w:val="004E2812"/>
    <w:rsid w:val="004E398D"/>
    <w:rsid w:val="004E4135"/>
    <w:rsid w:val="004E4B33"/>
    <w:rsid w:val="004E59B9"/>
    <w:rsid w:val="004E61CA"/>
    <w:rsid w:val="004E6F4B"/>
    <w:rsid w:val="004E7610"/>
    <w:rsid w:val="004F00E8"/>
    <w:rsid w:val="004F0625"/>
    <w:rsid w:val="004F073A"/>
    <w:rsid w:val="004F0DF9"/>
    <w:rsid w:val="004F0FD2"/>
    <w:rsid w:val="004F1258"/>
    <w:rsid w:val="004F15B5"/>
    <w:rsid w:val="004F1859"/>
    <w:rsid w:val="004F19A1"/>
    <w:rsid w:val="004F19F5"/>
    <w:rsid w:val="004F1E19"/>
    <w:rsid w:val="004F2E6E"/>
    <w:rsid w:val="004F30B7"/>
    <w:rsid w:val="004F385A"/>
    <w:rsid w:val="004F3BC7"/>
    <w:rsid w:val="004F4309"/>
    <w:rsid w:val="004F44D7"/>
    <w:rsid w:val="004F46AF"/>
    <w:rsid w:val="004F4861"/>
    <w:rsid w:val="004F4EE1"/>
    <w:rsid w:val="004F4F5C"/>
    <w:rsid w:val="004F4F9E"/>
    <w:rsid w:val="004F524B"/>
    <w:rsid w:val="004F53C8"/>
    <w:rsid w:val="004F5754"/>
    <w:rsid w:val="004F5939"/>
    <w:rsid w:val="004F5A80"/>
    <w:rsid w:val="004F5CB7"/>
    <w:rsid w:val="004F5DDD"/>
    <w:rsid w:val="004F5E39"/>
    <w:rsid w:val="004F5EB6"/>
    <w:rsid w:val="004F617F"/>
    <w:rsid w:val="004F659D"/>
    <w:rsid w:val="004F6694"/>
    <w:rsid w:val="004F6745"/>
    <w:rsid w:val="004F6B70"/>
    <w:rsid w:val="004F7177"/>
    <w:rsid w:val="004F73BE"/>
    <w:rsid w:val="004F784D"/>
    <w:rsid w:val="004F7A6C"/>
    <w:rsid w:val="004F7BFC"/>
    <w:rsid w:val="00500CD3"/>
    <w:rsid w:val="00501AB0"/>
    <w:rsid w:val="00501AF4"/>
    <w:rsid w:val="005024DC"/>
    <w:rsid w:val="005025E9"/>
    <w:rsid w:val="00502CEC"/>
    <w:rsid w:val="00503CB7"/>
    <w:rsid w:val="00503CD6"/>
    <w:rsid w:val="00503D42"/>
    <w:rsid w:val="005052AB"/>
    <w:rsid w:val="0050534E"/>
    <w:rsid w:val="005059DA"/>
    <w:rsid w:val="0050642D"/>
    <w:rsid w:val="00506931"/>
    <w:rsid w:val="00507244"/>
    <w:rsid w:val="005073D6"/>
    <w:rsid w:val="0050754C"/>
    <w:rsid w:val="005077FB"/>
    <w:rsid w:val="00507837"/>
    <w:rsid w:val="005078EC"/>
    <w:rsid w:val="00507B77"/>
    <w:rsid w:val="0051040A"/>
    <w:rsid w:val="00510478"/>
    <w:rsid w:val="00510AB7"/>
    <w:rsid w:val="005114DA"/>
    <w:rsid w:val="00511BAD"/>
    <w:rsid w:val="00512257"/>
    <w:rsid w:val="00512CCA"/>
    <w:rsid w:val="00513084"/>
    <w:rsid w:val="00513624"/>
    <w:rsid w:val="00513D3F"/>
    <w:rsid w:val="00513E7F"/>
    <w:rsid w:val="00514198"/>
    <w:rsid w:val="005143C8"/>
    <w:rsid w:val="00514C73"/>
    <w:rsid w:val="00514EDE"/>
    <w:rsid w:val="00515587"/>
    <w:rsid w:val="005155C8"/>
    <w:rsid w:val="00516421"/>
    <w:rsid w:val="005166C5"/>
    <w:rsid w:val="005175DE"/>
    <w:rsid w:val="00517AF9"/>
    <w:rsid w:val="00517CFD"/>
    <w:rsid w:val="00517F9C"/>
    <w:rsid w:val="005200AC"/>
    <w:rsid w:val="0052063D"/>
    <w:rsid w:val="00520836"/>
    <w:rsid w:val="0052149A"/>
    <w:rsid w:val="00521517"/>
    <w:rsid w:val="00521DF7"/>
    <w:rsid w:val="00522044"/>
    <w:rsid w:val="0052241D"/>
    <w:rsid w:val="00522582"/>
    <w:rsid w:val="0052282A"/>
    <w:rsid w:val="00522AA3"/>
    <w:rsid w:val="00522B85"/>
    <w:rsid w:val="00522BA7"/>
    <w:rsid w:val="00523C6E"/>
    <w:rsid w:val="005244F8"/>
    <w:rsid w:val="00525001"/>
    <w:rsid w:val="005251C7"/>
    <w:rsid w:val="00525D4A"/>
    <w:rsid w:val="00525FFB"/>
    <w:rsid w:val="005260C0"/>
    <w:rsid w:val="0052623B"/>
    <w:rsid w:val="00526A32"/>
    <w:rsid w:val="00526DA9"/>
    <w:rsid w:val="00527524"/>
    <w:rsid w:val="0052762B"/>
    <w:rsid w:val="005276C8"/>
    <w:rsid w:val="00527985"/>
    <w:rsid w:val="00527BDD"/>
    <w:rsid w:val="00527C34"/>
    <w:rsid w:val="00527E53"/>
    <w:rsid w:val="00530018"/>
    <w:rsid w:val="0053095D"/>
    <w:rsid w:val="00530B1C"/>
    <w:rsid w:val="00530B23"/>
    <w:rsid w:val="00530BB8"/>
    <w:rsid w:val="005317F0"/>
    <w:rsid w:val="00532234"/>
    <w:rsid w:val="005322EC"/>
    <w:rsid w:val="00532493"/>
    <w:rsid w:val="005327F4"/>
    <w:rsid w:val="00532E31"/>
    <w:rsid w:val="00533721"/>
    <w:rsid w:val="00533E53"/>
    <w:rsid w:val="00533E5B"/>
    <w:rsid w:val="00534504"/>
    <w:rsid w:val="00534700"/>
    <w:rsid w:val="00534767"/>
    <w:rsid w:val="00534CE9"/>
    <w:rsid w:val="00534E4C"/>
    <w:rsid w:val="005350C8"/>
    <w:rsid w:val="00536151"/>
    <w:rsid w:val="00536A1E"/>
    <w:rsid w:val="00536C9A"/>
    <w:rsid w:val="00536E3F"/>
    <w:rsid w:val="00536F41"/>
    <w:rsid w:val="005375AF"/>
    <w:rsid w:val="00537636"/>
    <w:rsid w:val="00537702"/>
    <w:rsid w:val="0053780B"/>
    <w:rsid w:val="00537B7B"/>
    <w:rsid w:val="00537F49"/>
    <w:rsid w:val="00537F4B"/>
    <w:rsid w:val="00540A85"/>
    <w:rsid w:val="00540CC0"/>
    <w:rsid w:val="00542622"/>
    <w:rsid w:val="00542BB8"/>
    <w:rsid w:val="00542C0D"/>
    <w:rsid w:val="00542C3C"/>
    <w:rsid w:val="00543048"/>
    <w:rsid w:val="005438C7"/>
    <w:rsid w:val="00543EC3"/>
    <w:rsid w:val="00543F23"/>
    <w:rsid w:val="00544343"/>
    <w:rsid w:val="00545FB0"/>
    <w:rsid w:val="00546213"/>
    <w:rsid w:val="00546467"/>
    <w:rsid w:val="00550407"/>
    <w:rsid w:val="005507C0"/>
    <w:rsid w:val="00550A9E"/>
    <w:rsid w:val="00551792"/>
    <w:rsid w:val="00551AE8"/>
    <w:rsid w:val="00551B03"/>
    <w:rsid w:val="00551EBD"/>
    <w:rsid w:val="00551EC3"/>
    <w:rsid w:val="005522C7"/>
    <w:rsid w:val="005526F2"/>
    <w:rsid w:val="00552E99"/>
    <w:rsid w:val="00553CA6"/>
    <w:rsid w:val="00553E42"/>
    <w:rsid w:val="00554298"/>
    <w:rsid w:val="0055473C"/>
    <w:rsid w:val="00554D49"/>
    <w:rsid w:val="00555658"/>
    <w:rsid w:val="00555700"/>
    <w:rsid w:val="00556919"/>
    <w:rsid w:val="00556983"/>
    <w:rsid w:val="00557C75"/>
    <w:rsid w:val="00557DF5"/>
    <w:rsid w:val="00560AAA"/>
    <w:rsid w:val="00560D8E"/>
    <w:rsid w:val="00560DCB"/>
    <w:rsid w:val="005611B7"/>
    <w:rsid w:val="00561F93"/>
    <w:rsid w:val="005622DA"/>
    <w:rsid w:val="00562303"/>
    <w:rsid w:val="00562348"/>
    <w:rsid w:val="0056282D"/>
    <w:rsid w:val="00562913"/>
    <w:rsid w:val="00562ADC"/>
    <w:rsid w:val="00562B41"/>
    <w:rsid w:val="00562BD5"/>
    <w:rsid w:val="00563008"/>
    <w:rsid w:val="00563138"/>
    <w:rsid w:val="0056316D"/>
    <w:rsid w:val="00563366"/>
    <w:rsid w:val="005636AA"/>
    <w:rsid w:val="00563A53"/>
    <w:rsid w:val="00563E7D"/>
    <w:rsid w:val="00564884"/>
    <w:rsid w:val="00565BD2"/>
    <w:rsid w:val="00565EB9"/>
    <w:rsid w:val="005673B0"/>
    <w:rsid w:val="005677FA"/>
    <w:rsid w:val="00567811"/>
    <w:rsid w:val="00567A20"/>
    <w:rsid w:val="00567E1A"/>
    <w:rsid w:val="00567F2A"/>
    <w:rsid w:val="00570569"/>
    <w:rsid w:val="00570608"/>
    <w:rsid w:val="0057067A"/>
    <w:rsid w:val="0057078C"/>
    <w:rsid w:val="00570AD1"/>
    <w:rsid w:val="00570EC0"/>
    <w:rsid w:val="005714D8"/>
    <w:rsid w:val="00571714"/>
    <w:rsid w:val="0057189B"/>
    <w:rsid w:val="0057194C"/>
    <w:rsid w:val="00571A46"/>
    <w:rsid w:val="005726F0"/>
    <w:rsid w:val="00572ED4"/>
    <w:rsid w:val="0057345F"/>
    <w:rsid w:val="0057389D"/>
    <w:rsid w:val="00573C75"/>
    <w:rsid w:val="00573CF8"/>
    <w:rsid w:val="00574693"/>
    <w:rsid w:val="00574919"/>
    <w:rsid w:val="00574B02"/>
    <w:rsid w:val="005754ED"/>
    <w:rsid w:val="00575B2D"/>
    <w:rsid w:val="00575B6A"/>
    <w:rsid w:val="00575D70"/>
    <w:rsid w:val="00576518"/>
    <w:rsid w:val="005765CD"/>
    <w:rsid w:val="005766F2"/>
    <w:rsid w:val="00577417"/>
    <w:rsid w:val="00581021"/>
    <w:rsid w:val="00581FD4"/>
    <w:rsid w:val="005823B3"/>
    <w:rsid w:val="005825D3"/>
    <w:rsid w:val="00582876"/>
    <w:rsid w:val="0058295A"/>
    <w:rsid w:val="00582E01"/>
    <w:rsid w:val="00583083"/>
    <w:rsid w:val="005833A4"/>
    <w:rsid w:val="005838A3"/>
    <w:rsid w:val="005842EB"/>
    <w:rsid w:val="0058469F"/>
    <w:rsid w:val="00584A73"/>
    <w:rsid w:val="00584D63"/>
    <w:rsid w:val="00584EDF"/>
    <w:rsid w:val="00585046"/>
    <w:rsid w:val="0058593A"/>
    <w:rsid w:val="00585A69"/>
    <w:rsid w:val="005861BE"/>
    <w:rsid w:val="005865D4"/>
    <w:rsid w:val="00586762"/>
    <w:rsid w:val="00586AEC"/>
    <w:rsid w:val="00587183"/>
    <w:rsid w:val="00587881"/>
    <w:rsid w:val="00587ACA"/>
    <w:rsid w:val="00587BB2"/>
    <w:rsid w:val="00590C90"/>
    <w:rsid w:val="005914F1"/>
    <w:rsid w:val="00591FEF"/>
    <w:rsid w:val="005927A5"/>
    <w:rsid w:val="00592E14"/>
    <w:rsid w:val="00593595"/>
    <w:rsid w:val="00594082"/>
    <w:rsid w:val="005948B5"/>
    <w:rsid w:val="00594948"/>
    <w:rsid w:val="00594A67"/>
    <w:rsid w:val="005953E7"/>
    <w:rsid w:val="005959BE"/>
    <w:rsid w:val="00595BC0"/>
    <w:rsid w:val="00596121"/>
    <w:rsid w:val="00596386"/>
    <w:rsid w:val="005963CA"/>
    <w:rsid w:val="00597357"/>
    <w:rsid w:val="00597EFD"/>
    <w:rsid w:val="005A097D"/>
    <w:rsid w:val="005A11E2"/>
    <w:rsid w:val="005A1234"/>
    <w:rsid w:val="005A1883"/>
    <w:rsid w:val="005A1AD8"/>
    <w:rsid w:val="005A1FBA"/>
    <w:rsid w:val="005A2181"/>
    <w:rsid w:val="005A21A8"/>
    <w:rsid w:val="005A274A"/>
    <w:rsid w:val="005A279B"/>
    <w:rsid w:val="005A27E0"/>
    <w:rsid w:val="005A2943"/>
    <w:rsid w:val="005A2972"/>
    <w:rsid w:val="005A313D"/>
    <w:rsid w:val="005A3320"/>
    <w:rsid w:val="005A338A"/>
    <w:rsid w:val="005A38EB"/>
    <w:rsid w:val="005A39BF"/>
    <w:rsid w:val="005A3AF0"/>
    <w:rsid w:val="005A3F0F"/>
    <w:rsid w:val="005A4A44"/>
    <w:rsid w:val="005A4D1E"/>
    <w:rsid w:val="005A6812"/>
    <w:rsid w:val="005A6ED9"/>
    <w:rsid w:val="005A700A"/>
    <w:rsid w:val="005A7302"/>
    <w:rsid w:val="005A788B"/>
    <w:rsid w:val="005B03FA"/>
    <w:rsid w:val="005B0D1B"/>
    <w:rsid w:val="005B0EE4"/>
    <w:rsid w:val="005B12B1"/>
    <w:rsid w:val="005B12F9"/>
    <w:rsid w:val="005B2308"/>
    <w:rsid w:val="005B23BF"/>
    <w:rsid w:val="005B2471"/>
    <w:rsid w:val="005B29F3"/>
    <w:rsid w:val="005B3321"/>
    <w:rsid w:val="005B3B86"/>
    <w:rsid w:val="005B477C"/>
    <w:rsid w:val="005B5222"/>
    <w:rsid w:val="005B531A"/>
    <w:rsid w:val="005B604D"/>
    <w:rsid w:val="005B6216"/>
    <w:rsid w:val="005B7A1F"/>
    <w:rsid w:val="005C048B"/>
    <w:rsid w:val="005C0803"/>
    <w:rsid w:val="005C08AC"/>
    <w:rsid w:val="005C0CD5"/>
    <w:rsid w:val="005C1F86"/>
    <w:rsid w:val="005C1F99"/>
    <w:rsid w:val="005C23B1"/>
    <w:rsid w:val="005C2618"/>
    <w:rsid w:val="005C271F"/>
    <w:rsid w:val="005C2990"/>
    <w:rsid w:val="005C2E4A"/>
    <w:rsid w:val="005C2E68"/>
    <w:rsid w:val="005C31C6"/>
    <w:rsid w:val="005C3461"/>
    <w:rsid w:val="005C37D4"/>
    <w:rsid w:val="005C389E"/>
    <w:rsid w:val="005C47A5"/>
    <w:rsid w:val="005C4C5C"/>
    <w:rsid w:val="005C4F6C"/>
    <w:rsid w:val="005C580C"/>
    <w:rsid w:val="005C7699"/>
    <w:rsid w:val="005C79C8"/>
    <w:rsid w:val="005C7A9D"/>
    <w:rsid w:val="005D0253"/>
    <w:rsid w:val="005D0754"/>
    <w:rsid w:val="005D1B58"/>
    <w:rsid w:val="005D1E35"/>
    <w:rsid w:val="005D2D8A"/>
    <w:rsid w:val="005D3045"/>
    <w:rsid w:val="005D34E0"/>
    <w:rsid w:val="005D3B01"/>
    <w:rsid w:val="005D3ECF"/>
    <w:rsid w:val="005D487F"/>
    <w:rsid w:val="005D49CE"/>
    <w:rsid w:val="005D4A50"/>
    <w:rsid w:val="005D573C"/>
    <w:rsid w:val="005D59A5"/>
    <w:rsid w:val="005D5B56"/>
    <w:rsid w:val="005D619F"/>
    <w:rsid w:val="005D64F1"/>
    <w:rsid w:val="005D6EB6"/>
    <w:rsid w:val="005D6FE1"/>
    <w:rsid w:val="005D72AF"/>
    <w:rsid w:val="005D73E9"/>
    <w:rsid w:val="005D7806"/>
    <w:rsid w:val="005D788B"/>
    <w:rsid w:val="005D7A92"/>
    <w:rsid w:val="005D7DAD"/>
    <w:rsid w:val="005E0972"/>
    <w:rsid w:val="005E0DB6"/>
    <w:rsid w:val="005E182D"/>
    <w:rsid w:val="005E18C4"/>
    <w:rsid w:val="005E1AFD"/>
    <w:rsid w:val="005E1FD3"/>
    <w:rsid w:val="005E2123"/>
    <w:rsid w:val="005E273C"/>
    <w:rsid w:val="005E34F8"/>
    <w:rsid w:val="005E39FA"/>
    <w:rsid w:val="005E3F47"/>
    <w:rsid w:val="005E4205"/>
    <w:rsid w:val="005E4714"/>
    <w:rsid w:val="005E5ECD"/>
    <w:rsid w:val="005E606E"/>
    <w:rsid w:val="005E63C5"/>
    <w:rsid w:val="005E66D1"/>
    <w:rsid w:val="005E69AB"/>
    <w:rsid w:val="005E71F1"/>
    <w:rsid w:val="005E71F8"/>
    <w:rsid w:val="005F00BD"/>
    <w:rsid w:val="005F0A58"/>
    <w:rsid w:val="005F0B9D"/>
    <w:rsid w:val="005F11BE"/>
    <w:rsid w:val="005F159C"/>
    <w:rsid w:val="005F1D52"/>
    <w:rsid w:val="005F2061"/>
    <w:rsid w:val="005F303C"/>
    <w:rsid w:val="005F334D"/>
    <w:rsid w:val="005F34FA"/>
    <w:rsid w:val="005F36F6"/>
    <w:rsid w:val="005F3783"/>
    <w:rsid w:val="005F3B36"/>
    <w:rsid w:val="005F3CC6"/>
    <w:rsid w:val="005F5280"/>
    <w:rsid w:val="005F569E"/>
    <w:rsid w:val="005F5E0A"/>
    <w:rsid w:val="005F625F"/>
    <w:rsid w:val="005F626E"/>
    <w:rsid w:val="005F6420"/>
    <w:rsid w:val="005F67A5"/>
    <w:rsid w:val="005F6AF2"/>
    <w:rsid w:val="005F6B15"/>
    <w:rsid w:val="005F71C7"/>
    <w:rsid w:val="005F7BAA"/>
    <w:rsid w:val="0060011B"/>
    <w:rsid w:val="00600A7A"/>
    <w:rsid w:val="00600C0C"/>
    <w:rsid w:val="00600F49"/>
    <w:rsid w:val="006012E7"/>
    <w:rsid w:val="00601328"/>
    <w:rsid w:val="006016D4"/>
    <w:rsid w:val="00601E03"/>
    <w:rsid w:val="00602C7C"/>
    <w:rsid w:val="006034AC"/>
    <w:rsid w:val="00603B62"/>
    <w:rsid w:val="00603E61"/>
    <w:rsid w:val="00604367"/>
    <w:rsid w:val="00604409"/>
    <w:rsid w:val="00604A02"/>
    <w:rsid w:val="00604A45"/>
    <w:rsid w:val="00604CF1"/>
    <w:rsid w:val="00604E21"/>
    <w:rsid w:val="00604EC6"/>
    <w:rsid w:val="00605025"/>
    <w:rsid w:val="00605440"/>
    <w:rsid w:val="00605A30"/>
    <w:rsid w:val="00605B4D"/>
    <w:rsid w:val="00606280"/>
    <w:rsid w:val="00606FB4"/>
    <w:rsid w:val="006074B1"/>
    <w:rsid w:val="0060756B"/>
    <w:rsid w:val="006079DC"/>
    <w:rsid w:val="006101E8"/>
    <w:rsid w:val="00611376"/>
    <w:rsid w:val="006114AA"/>
    <w:rsid w:val="00611C60"/>
    <w:rsid w:val="00611E59"/>
    <w:rsid w:val="00612851"/>
    <w:rsid w:val="00612A3B"/>
    <w:rsid w:val="00613108"/>
    <w:rsid w:val="00613499"/>
    <w:rsid w:val="006136F7"/>
    <w:rsid w:val="0061404C"/>
    <w:rsid w:val="006142CF"/>
    <w:rsid w:val="006143D8"/>
    <w:rsid w:val="006144CB"/>
    <w:rsid w:val="00615448"/>
    <w:rsid w:val="0061570D"/>
    <w:rsid w:val="00615B2C"/>
    <w:rsid w:val="0061633A"/>
    <w:rsid w:val="00616BC9"/>
    <w:rsid w:val="00616BE4"/>
    <w:rsid w:val="00617247"/>
    <w:rsid w:val="00617482"/>
    <w:rsid w:val="00617560"/>
    <w:rsid w:val="0061777A"/>
    <w:rsid w:val="00620881"/>
    <w:rsid w:val="00620C14"/>
    <w:rsid w:val="00621306"/>
    <w:rsid w:val="00621661"/>
    <w:rsid w:val="00621E64"/>
    <w:rsid w:val="0062230E"/>
    <w:rsid w:val="00623106"/>
    <w:rsid w:val="0062377E"/>
    <w:rsid w:val="00623E18"/>
    <w:rsid w:val="006242D4"/>
    <w:rsid w:val="00624AE0"/>
    <w:rsid w:val="00625244"/>
    <w:rsid w:val="00625AA0"/>
    <w:rsid w:val="00626048"/>
    <w:rsid w:val="006263D5"/>
    <w:rsid w:val="0062715C"/>
    <w:rsid w:val="00627CA1"/>
    <w:rsid w:val="00630150"/>
    <w:rsid w:val="00630817"/>
    <w:rsid w:val="00630918"/>
    <w:rsid w:val="00630B62"/>
    <w:rsid w:val="00630CB4"/>
    <w:rsid w:val="006315FC"/>
    <w:rsid w:val="00631B7D"/>
    <w:rsid w:val="00631F39"/>
    <w:rsid w:val="00632755"/>
    <w:rsid w:val="00632CA2"/>
    <w:rsid w:val="00633E41"/>
    <w:rsid w:val="00634364"/>
    <w:rsid w:val="0063437D"/>
    <w:rsid w:val="006343C9"/>
    <w:rsid w:val="006349BC"/>
    <w:rsid w:val="00634B39"/>
    <w:rsid w:val="006351F5"/>
    <w:rsid w:val="0063625F"/>
    <w:rsid w:val="0063652E"/>
    <w:rsid w:val="006368F4"/>
    <w:rsid w:val="00636981"/>
    <w:rsid w:val="0063702D"/>
    <w:rsid w:val="00637F26"/>
    <w:rsid w:val="00637FF7"/>
    <w:rsid w:val="00640281"/>
    <w:rsid w:val="006402C9"/>
    <w:rsid w:val="006404A3"/>
    <w:rsid w:val="006405DA"/>
    <w:rsid w:val="00640B6E"/>
    <w:rsid w:val="00640BE1"/>
    <w:rsid w:val="00641128"/>
    <w:rsid w:val="006416DE"/>
    <w:rsid w:val="00642043"/>
    <w:rsid w:val="00642881"/>
    <w:rsid w:val="0064311F"/>
    <w:rsid w:val="00643AD3"/>
    <w:rsid w:val="00643AE7"/>
    <w:rsid w:val="00643E10"/>
    <w:rsid w:val="006447CD"/>
    <w:rsid w:val="0064534D"/>
    <w:rsid w:val="0064572D"/>
    <w:rsid w:val="00645779"/>
    <w:rsid w:val="0064590B"/>
    <w:rsid w:val="006459BD"/>
    <w:rsid w:val="00645CE3"/>
    <w:rsid w:val="0064722D"/>
    <w:rsid w:val="006475AB"/>
    <w:rsid w:val="0064766A"/>
    <w:rsid w:val="00647B55"/>
    <w:rsid w:val="00650247"/>
    <w:rsid w:val="006505D3"/>
    <w:rsid w:val="00650BA6"/>
    <w:rsid w:val="006519D3"/>
    <w:rsid w:val="00651C63"/>
    <w:rsid w:val="00652114"/>
    <w:rsid w:val="00652166"/>
    <w:rsid w:val="00652218"/>
    <w:rsid w:val="006524AD"/>
    <w:rsid w:val="0065293E"/>
    <w:rsid w:val="00653911"/>
    <w:rsid w:val="00653E0E"/>
    <w:rsid w:val="00654396"/>
    <w:rsid w:val="00654589"/>
    <w:rsid w:val="00655010"/>
    <w:rsid w:val="0065521F"/>
    <w:rsid w:val="0065568D"/>
    <w:rsid w:val="006559AA"/>
    <w:rsid w:val="00655A97"/>
    <w:rsid w:val="0065679B"/>
    <w:rsid w:val="00656CB1"/>
    <w:rsid w:val="0065730C"/>
    <w:rsid w:val="00657348"/>
    <w:rsid w:val="006577C7"/>
    <w:rsid w:val="00657B57"/>
    <w:rsid w:val="00657BBC"/>
    <w:rsid w:val="00657C2E"/>
    <w:rsid w:val="00657E21"/>
    <w:rsid w:val="00657F8A"/>
    <w:rsid w:val="006607EE"/>
    <w:rsid w:val="0066106D"/>
    <w:rsid w:val="00661B13"/>
    <w:rsid w:val="00661D6B"/>
    <w:rsid w:val="006624B7"/>
    <w:rsid w:val="0066252F"/>
    <w:rsid w:val="0066270B"/>
    <w:rsid w:val="006628E8"/>
    <w:rsid w:val="00662914"/>
    <w:rsid w:val="0066293F"/>
    <w:rsid w:val="00662AD4"/>
    <w:rsid w:val="00664171"/>
    <w:rsid w:val="0066466D"/>
    <w:rsid w:val="00664D52"/>
    <w:rsid w:val="00664E97"/>
    <w:rsid w:val="00664EC7"/>
    <w:rsid w:val="00664F66"/>
    <w:rsid w:val="00665611"/>
    <w:rsid w:val="00666164"/>
    <w:rsid w:val="0066635C"/>
    <w:rsid w:val="00666C0F"/>
    <w:rsid w:val="00666C5F"/>
    <w:rsid w:val="00666EAC"/>
    <w:rsid w:val="00667C31"/>
    <w:rsid w:val="006700DD"/>
    <w:rsid w:val="0067015C"/>
    <w:rsid w:val="00670456"/>
    <w:rsid w:val="00671220"/>
    <w:rsid w:val="0067147D"/>
    <w:rsid w:val="00671851"/>
    <w:rsid w:val="00672D99"/>
    <w:rsid w:val="00672EC4"/>
    <w:rsid w:val="00673205"/>
    <w:rsid w:val="00673468"/>
    <w:rsid w:val="006735EA"/>
    <w:rsid w:val="00674438"/>
    <w:rsid w:val="00674703"/>
    <w:rsid w:val="00674B19"/>
    <w:rsid w:val="00675A76"/>
    <w:rsid w:val="006762E2"/>
    <w:rsid w:val="006765BB"/>
    <w:rsid w:val="0067663D"/>
    <w:rsid w:val="00676A71"/>
    <w:rsid w:val="00676BD0"/>
    <w:rsid w:val="00677242"/>
    <w:rsid w:val="00677BD8"/>
    <w:rsid w:val="00677EFA"/>
    <w:rsid w:val="00677FB4"/>
    <w:rsid w:val="0068055A"/>
    <w:rsid w:val="00680EC7"/>
    <w:rsid w:val="00681474"/>
    <w:rsid w:val="0068151E"/>
    <w:rsid w:val="00681609"/>
    <w:rsid w:val="006816AA"/>
    <w:rsid w:val="006818BE"/>
    <w:rsid w:val="006818FE"/>
    <w:rsid w:val="00681B29"/>
    <w:rsid w:val="00681E17"/>
    <w:rsid w:val="00681FF7"/>
    <w:rsid w:val="0068216E"/>
    <w:rsid w:val="006830BC"/>
    <w:rsid w:val="00683478"/>
    <w:rsid w:val="006836F9"/>
    <w:rsid w:val="006838B6"/>
    <w:rsid w:val="00684517"/>
    <w:rsid w:val="006846B2"/>
    <w:rsid w:val="0068477D"/>
    <w:rsid w:val="00684810"/>
    <w:rsid w:val="00684E51"/>
    <w:rsid w:val="00685076"/>
    <w:rsid w:val="00685088"/>
    <w:rsid w:val="00685D4A"/>
    <w:rsid w:val="00685E96"/>
    <w:rsid w:val="00686B61"/>
    <w:rsid w:val="00686F37"/>
    <w:rsid w:val="00687F1E"/>
    <w:rsid w:val="006901B6"/>
    <w:rsid w:val="00690275"/>
    <w:rsid w:val="00690325"/>
    <w:rsid w:val="00690516"/>
    <w:rsid w:val="00690ED2"/>
    <w:rsid w:val="0069140C"/>
    <w:rsid w:val="00691647"/>
    <w:rsid w:val="00691694"/>
    <w:rsid w:val="00692AE8"/>
    <w:rsid w:val="00692C67"/>
    <w:rsid w:val="00692FD5"/>
    <w:rsid w:val="00693132"/>
    <w:rsid w:val="006931EE"/>
    <w:rsid w:val="006937F1"/>
    <w:rsid w:val="006939E4"/>
    <w:rsid w:val="00693B3E"/>
    <w:rsid w:val="00693CAA"/>
    <w:rsid w:val="00693E68"/>
    <w:rsid w:val="0069475E"/>
    <w:rsid w:val="00694794"/>
    <w:rsid w:val="006948C1"/>
    <w:rsid w:val="00694C61"/>
    <w:rsid w:val="00695396"/>
    <w:rsid w:val="0069557C"/>
    <w:rsid w:val="0069570F"/>
    <w:rsid w:val="00695957"/>
    <w:rsid w:val="00695974"/>
    <w:rsid w:val="00695FB1"/>
    <w:rsid w:val="006961D7"/>
    <w:rsid w:val="0069625D"/>
    <w:rsid w:val="00696272"/>
    <w:rsid w:val="006962A2"/>
    <w:rsid w:val="006965DC"/>
    <w:rsid w:val="00696821"/>
    <w:rsid w:val="00696C26"/>
    <w:rsid w:val="0069720F"/>
    <w:rsid w:val="006A02F0"/>
    <w:rsid w:val="006A074C"/>
    <w:rsid w:val="006A0761"/>
    <w:rsid w:val="006A10BD"/>
    <w:rsid w:val="006A12A6"/>
    <w:rsid w:val="006A1E56"/>
    <w:rsid w:val="006A1E5D"/>
    <w:rsid w:val="006A1EFC"/>
    <w:rsid w:val="006A2177"/>
    <w:rsid w:val="006A235F"/>
    <w:rsid w:val="006A3024"/>
    <w:rsid w:val="006A3540"/>
    <w:rsid w:val="006A3733"/>
    <w:rsid w:val="006A3ECD"/>
    <w:rsid w:val="006A495B"/>
    <w:rsid w:val="006A4A6B"/>
    <w:rsid w:val="006A4B2B"/>
    <w:rsid w:val="006A4EF0"/>
    <w:rsid w:val="006A4FA7"/>
    <w:rsid w:val="006A518C"/>
    <w:rsid w:val="006A5CB8"/>
    <w:rsid w:val="006A5E6D"/>
    <w:rsid w:val="006A5EB2"/>
    <w:rsid w:val="006A6281"/>
    <w:rsid w:val="006A64B2"/>
    <w:rsid w:val="006A6E8A"/>
    <w:rsid w:val="006A6FAC"/>
    <w:rsid w:val="006A7A3C"/>
    <w:rsid w:val="006A7B27"/>
    <w:rsid w:val="006A7C2B"/>
    <w:rsid w:val="006A7D46"/>
    <w:rsid w:val="006B01E3"/>
    <w:rsid w:val="006B030F"/>
    <w:rsid w:val="006B0A05"/>
    <w:rsid w:val="006B193A"/>
    <w:rsid w:val="006B1C5E"/>
    <w:rsid w:val="006B1C98"/>
    <w:rsid w:val="006B2109"/>
    <w:rsid w:val="006B38D2"/>
    <w:rsid w:val="006B3DB8"/>
    <w:rsid w:val="006B408B"/>
    <w:rsid w:val="006B4657"/>
    <w:rsid w:val="006B49AB"/>
    <w:rsid w:val="006B49EC"/>
    <w:rsid w:val="006B52F6"/>
    <w:rsid w:val="006B57F4"/>
    <w:rsid w:val="006B58D0"/>
    <w:rsid w:val="006B5AFC"/>
    <w:rsid w:val="006B5D2E"/>
    <w:rsid w:val="006B6478"/>
    <w:rsid w:val="006B6519"/>
    <w:rsid w:val="006B6CBB"/>
    <w:rsid w:val="006B72F4"/>
    <w:rsid w:val="006B76CA"/>
    <w:rsid w:val="006B77D3"/>
    <w:rsid w:val="006B7F48"/>
    <w:rsid w:val="006C02C3"/>
    <w:rsid w:val="006C05FD"/>
    <w:rsid w:val="006C08B7"/>
    <w:rsid w:val="006C1ACD"/>
    <w:rsid w:val="006C1E7F"/>
    <w:rsid w:val="006C24C1"/>
    <w:rsid w:val="006C2CB3"/>
    <w:rsid w:val="006C30B3"/>
    <w:rsid w:val="006C3190"/>
    <w:rsid w:val="006C379A"/>
    <w:rsid w:val="006C37CE"/>
    <w:rsid w:val="006C3ADB"/>
    <w:rsid w:val="006C3C5F"/>
    <w:rsid w:val="006C3FC6"/>
    <w:rsid w:val="006C42B3"/>
    <w:rsid w:val="006C48A1"/>
    <w:rsid w:val="006C4A5B"/>
    <w:rsid w:val="006C52BF"/>
    <w:rsid w:val="006C595B"/>
    <w:rsid w:val="006C5CE1"/>
    <w:rsid w:val="006C7177"/>
    <w:rsid w:val="006C75DE"/>
    <w:rsid w:val="006C781A"/>
    <w:rsid w:val="006D0A86"/>
    <w:rsid w:val="006D1023"/>
    <w:rsid w:val="006D14FF"/>
    <w:rsid w:val="006D17F1"/>
    <w:rsid w:val="006D19C9"/>
    <w:rsid w:val="006D2344"/>
    <w:rsid w:val="006D2ABC"/>
    <w:rsid w:val="006D2C83"/>
    <w:rsid w:val="006D309E"/>
    <w:rsid w:val="006D3E73"/>
    <w:rsid w:val="006D4264"/>
    <w:rsid w:val="006D4291"/>
    <w:rsid w:val="006D4299"/>
    <w:rsid w:val="006D444D"/>
    <w:rsid w:val="006D4B1B"/>
    <w:rsid w:val="006D4E3B"/>
    <w:rsid w:val="006D4E3F"/>
    <w:rsid w:val="006D50D0"/>
    <w:rsid w:val="006D5146"/>
    <w:rsid w:val="006D51F2"/>
    <w:rsid w:val="006D59B2"/>
    <w:rsid w:val="006D5CD1"/>
    <w:rsid w:val="006D63DB"/>
    <w:rsid w:val="006D64AE"/>
    <w:rsid w:val="006D70EE"/>
    <w:rsid w:val="006D729D"/>
    <w:rsid w:val="006D7408"/>
    <w:rsid w:val="006D7705"/>
    <w:rsid w:val="006E0011"/>
    <w:rsid w:val="006E0593"/>
    <w:rsid w:val="006E0867"/>
    <w:rsid w:val="006E0A10"/>
    <w:rsid w:val="006E0FF7"/>
    <w:rsid w:val="006E1A54"/>
    <w:rsid w:val="006E1D43"/>
    <w:rsid w:val="006E2708"/>
    <w:rsid w:val="006E28C8"/>
    <w:rsid w:val="006E2B06"/>
    <w:rsid w:val="006E2E51"/>
    <w:rsid w:val="006E380C"/>
    <w:rsid w:val="006E3A42"/>
    <w:rsid w:val="006E43F7"/>
    <w:rsid w:val="006E4451"/>
    <w:rsid w:val="006E4B4C"/>
    <w:rsid w:val="006E4F40"/>
    <w:rsid w:val="006E52D4"/>
    <w:rsid w:val="006E53D0"/>
    <w:rsid w:val="006E54DB"/>
    <w:rsid w:val="006E59B8"/>
    <w:rsid w:val="006E5C4B"/>
    <w:rsid w:val="006E62A7"/>
    <w:rsid w:val="006E6B23"/>
    <w:rsid w:val="006E6F25"/>
    <w:rsid w:val="006E7699"/>
    <w:rsid w:val="006E76FD"/>
    <w:rsid w:val="006F01AB"/>
    <w:rsid w:val="006F01EE"/>
    <w:rsid w:val="006F031C"/>
    <w:rsid w:val="006F0555"/>
    <w:rsid w:val="006F0AA6"/>
    <w:rsid w:val="006F0F84"/>
    <w:rsid w:val="006F1135"/>
    <w:rsid w:val="006F169E"/>
    <w:rsid w:val="006F2ACC"/>
    <w:rsid w:val="006F2F79"/>
    <w:rsid w:val="006F3A67"/>
    <w:rsid w:val="006F3BBF"/>
    <w:rsid w:val="006F4355"/>
    <w:rsid w:val="006F4731"/>
    <w:rsid w:val="006F48C3"/>
    <w:rsid w:val="006F4DD3"/>
    <w:rsid w:val="006F57CC"/>
    <w:rsid w:val="006F5921"/>
    <w:rsid w:val="006F6033"/>
    <w:rsid w:val="006F63BF"/>
    <w:rsid w:val="006F6577"/>
    <w:rsid w:val="006F6ADA"/>
    <w:rsid w:val="006F724D"/>
    <w:rsid w:val="006F74B3"/>
    <w:rsid w:val="006F7783"/>
    <w:rsid w:val="006F7CA1"/>
    <w:rsid w:val="006F7E48"/>
    <w:rsid w:val="006F7E8E"/>
    <w:rsid w:val="00701294"/>
    <w:rsid w:val="007016D1"/>
    <w:rsid w:val="00701CAB"/>
    <w:rsid w:val="00702733"/>
    <w:rsid w:val="00703066"/>
    <w:rsid w:val="007032F7"/>
    <w:rsid w:val="00703FBC"/>
    <w:rsid w:val="0070429B"/>
    <w:rsid w:val="007045FF"/>
    <w:rsid w:val="00704644"/>
    <w:rsid w:val="00705313"/>
    <w:rsid w:val="00705E7F"/>
    <w:rsid w:val="00706182"/>
    <w:rsid w:val="00706F0D"/>
    <w:rsid w:val="00706F79"/>
    <w:rsid w:val="0070727C"/>
    <w:rsid w:val="007077DF"/>
    <w:rsid w:val="00707884"/>
    <w:rsid w:val="00707954"/>
    <w:rsid w:val="00707D85"/>
    <w:rsid w:val="007108E1"/>
    <w:rsid w:val="00710941"/>
    <w:rsid w:val="00710DCF"/>
    <w:rsid w:val="00711566"/>
    <w:rsid w:val="007124AB"/>
    <w:rsid w:val="00712511"/>
    <w:rsid w:val="007126BE"/>
    <w:rsid w:val="00712741"/>
    <w:rsid w:val="007134FF"/>
    <w:rsid w:val="00713E76"/>
    <w:rsid w:val="00714BEF"/>
    <w:rsid w:val="00714EF9"/>
    <w:rsid w:val="0071516C"/>
    <w:rsid w:val="0071544F"/>
    <w:rsid w:val="00715ED9"/>
    <w:rsid w:val="0071600F"/>
    <w:rsid w:val="007165C3"/>
    <w:rsid w:val="00716A15"/>
    <w:rsid w:val="00716AE8"/>
    <w:rsid w:val="00716D2D"/>
    <w:rsid w:val="00717318"/>
    <w:rsid w:val="00717593"/>
    <w:rsid w:val="0071795C"/>
    <w:rsid w:val="0072026C"/>
    <w:rsid w:val="007204C7"/>
    <w:rsid w:val="00721036"/>
    <w:rsid w:val="0072210B"/>
    <w:rsid w:val="007225C0"/>
    <w:rsid w:val="00722692"/>
    <w:rsid w:val="007228EA"/>
    <w:rsid w:val="00722AEC"/>
    <w:rsid w:val="00722FA7"/>
    <w:rsid w:val="00722FDC"/>
    <w:rsid w:val="0072405A"/>
    <w:rsid w:val="007249A3"/>
    <w:rsid w:val="007252FF"/>
    <w:rsid w:val="0072579C"/>
    <w:rsid w:val="00725B65"/>
    <w:rsid w:val="00725CFF"/>
    <w:rsid w:val="00726303"/>
    <w:rsid w:val="00726701"/>
    <w:rsid w:val="007268C6"/>
    <w:rsid w:val="00726A4E"/>
    <w:rsid w:val="00726AFA"/>
    <w:rsid w:val="00727415"/>
    <w:rsid w:val="007277B8"/>
    <w:rsid w:val="00727829"/>
    <w:rsid w:val="00727FC3"/>
    <w:rsid w:val="00730458"/>
    <w:rsid w:val="007304C3"/>
    <w:rsid w:val="00730782"/>
    <w:rsid w:val="007308B0"/>
    <w:rsid w:val="007308EA"/>
    <w:rsid w:val="00730BE8"/>
    <w:rsid w:val="00731284"/>
    <w:rsid w:val="00731325"/>
    <w:rsid w:val="0073163B"/>
    <w:rsid w:val="00731C00"/>
    <w:rsid w:val="00732706"/>
    <w:rsid w:val="007327AA"/>
    <w:rsid w:val="00732DA5"/>
    <w:rsid w:val="00732FE3"/>
    <w:rsid w:val="007337BC"/>
    <w:rsid w:val="00733834"/>
    <w:rsid w:val="0073384C"/>
    <w:rsid w:val="00733F92"/>
    <w:rsid w:val="00734ABB"/>
    <w:rsid w:val="00735CD9"/>
    <w:rsid w:val="00735D5D"/>
    <w:rsid w:val="007373C6"/>
    <w:rsid w:val="007379AC"/>
    <w:rsid w:val="00737BAA"/>
    <w:rsid w:val="00737FD7"/>
    <w:rsid w:val="007403F1"/>
    <w:rsid w:val="00740961"/>
    <w:rsid w:val="00740AD2"/>
    <w:rsid w:val="00740C10"/>
    <w:rsid w:val="007413CA"/>
    <w:rsid w:val="00741779"/>
    <w:rsid w:val="00741B61"/>
    <w:rsid w:val="00741E7C"/>
    <w:rsid w:val="00741E8E"/>
    <w:rsid w:val="00743A14"/>
    <w:rsid w:val="00743EBF"/>
    <w:rsid w:val="00743F6B"/>
    <w:rsid w:val="00744347"/>
    <w:rsid w:val="007461E0"/>
    <w:rsid w:val="00746584"/>
    <w:rsid w:val="0074663B"/>
    <w:rsid w:val="0074663C"/>
    <w:rsid w:val="00746E21"/>
    <w:rsid w:val="007478B0"/>
    <w:rsid w:val="0074799F"/>
    <w:rsid w:val="00747C67"/>
    <w:rsid w:val="007500D0"/>
    <w:rsid w:val="007500F5"/>
    <w:rsid w:val="0075043D"/>
    <w:rsid w:val="00750654"/>
    <w:rsid w:val="007506DC"/>
    <w:rsid w:val="007507BE"/>
    <w:rsid w:val="00750A91"/>
    <w:rsid w:val="0075118E"/>
    <w:rsid w:val="0075136D"/>
    <w:rsid w:val="00751782"/>
    <w:rsid w:val="007519CC"/>
    <w:rsid w:val="00751C96"/>
    <w:rsid w:val="00751D13"/>
    <w:rsid w:val="007526FD"/>
    <w:rsid w:val="00752AD4"/>
    <w:rsid w:val="007533C9"/>
    <w:rsid w:val="00753B6D"/>
    <w:rsid w:val="00753C6B"/>
    <w:rsid w:val="00753E00"/>
    <w:rsid w:val="00753FF4"/>
    <w:rsid w:val="00754022"/>
    <w:rsid w:val="007549E5"/>
    <w:rsid w:val="00754D21"/>
    <w:rsid w:val="00755C2D"/>
    <w:rsid w:val="00756285"/>
    <w:rsid w:val="007567A9"/>
    <w:rsid w:val="00756EE4"/>
    <w:rsid w:val="0075716E"/>
    <w:rsid w:val="00760213"/>
    <w:rsid w:val="007603EC"/>
    <w:rsid w:val="00760403"/>
    <w:rsid w:val="007606C3"/>
    <w:rsid w:val="00760FFE"/>
    <w:rsid w:val="00761D2B"/>
    <w:rsid w:val="0076215B"/>
    <w:rsid w:val="00762494"/>
    <w:rsid w:val="00762660"/>
    <w:rsid w:val="007627B8"/>
    <w:rsid w:val="00762EE0"/>
    <w:rsid w:val="007644A3"/>
    <w:rsid w:val="0076479E"/>
    <w:rsid w:val="007648A9"/>
    <w:rsid w:val="00764973"/>
    <w:rsid w:val="00765898"/>
    <w:rsid w:val="00765E55"/>
    <w:rsid w:val="00766084"/>
    <w:rsid w:val="00766CD7"/>
    <w:rsid w:val="0076707B"/>
    <w:rsid w:val="00767FCC"/>
    <w:rsid w:val="007701A2"/>
    <w:rsid w:val="0077029F"/>
    <w:rsid w:val="007702E4"/>
    <w:rsid w:val="007705BA"/>
    <w:rsid w:val="00770C8F"/>
    <w:rsid w:val="00770DAE"/>
    <w:rsid w:val="00770EF6"/>
    <w:rsid w:val="0077141E"/>
    <w:rsid w:val="0077190F"/>
    <w:rsid w:val="007723D9"/>
    <w:rsid w:val="0077248F"/>
    <w:rsid w:val="00772822"/>
    <w:rsid w:val="00773240"/>
    <w:rsid w:val="007732CF"/>
    <w:rsid w:val="00773E36"/>
    <w:rsid w:val="00773FD8"/>
    <w:rsid w:val="007746F6"/>
    <w:rsid w:val="00774FB4"/>
    <w:rsid w:val="0077567F"/>
    <w:rsid w:val="00775719"/>
    <w:rsid w:val="00775858"/>
    <w:rsid w:val="00775DFA"/>
    <w:rsid w:val="00776741"/>
    <w:rsid w:val="007768F9"/>
    <w:rsid w:val="00776DAA"/>
    <w:rsid w:val="00777539"/>
    <w:rsid w:val="00777641"/>
    <w:rsid w:val="007776BB"/>
    <w:rsid w:val="00777DFC"/>
    <w:rsid w:val="007808B9"/>
    <w:rsid w:val="0078090F"/>
    <w:rsid w:val="00780BD9"/>
    <w:rsid w:val="00781341"/>
    <w:rsid w:val="007814B3"/>
    <w:rsid w:val="00782098"/>
    <w:rsid w:val="0078240E"/>
    <w:rsid w:val="0078299C"/>
    <w:rsid w:val="00783312"/>
    <w:rsid w:val="007838B3"/>
    <w:rsid w:val="00783AEA"/>
    <w:rsid w:val="00783BB1"/>
    <w:rsid w:val="0078466F"/>
    <w:rsid w:val="00784F4A"/>
    <w:rsid w:val="00786C2C"/>
    <w:rsid w:val="00786E51"/>
    <w:rsid w:val="00787C93"/>
    <w:rsid w:val="00790315"/>
    <w:rsid w:val="007906CC"/>
    <w:rsid w:val="00791594"/>
    <w:rsid w:val="00791697"/>
    <w:rsid w:val="00791D8C"/>
    <w:rsid w:val="00792742"/>
    <w:rsid w:val="00792863"/>
    <w:rsid w:val="00792C1D"/>
    <w:rsid w:val="00793B02"/>
    <w:rsid w:val="00793CE7"/>
    <w:rsid w:val="007957BA"/>
    <w:rsid w:val="00795901"/>
    <w:rsid w:val="007960B8"/>
    <w:rsid w:val="00796D2F"/>
    <w:rsid w:val="00797527"/>
    <w:rsid w:val="0079769B"/>
    <w:rsid w:val="00797902"/>
    <w:rsid w:val="007A0EAD"/>
    <w:rsid w:val="007A170E"/>
    <w:rsid w:val="007A1BFC"/>
    <w:rsid w:val="007A1C8A"/>
    <w:rsid w:val="007A2160"/>
    <w:rsid w:val="007A2407"/>
    <w:rsid w:val="007A24B3"/>
    <w:rsid w:val="007A24D4"/>
    <w:rsid w:val="007A28B7"/>
    <w:rsid w:val="007A2C3C"/>
    <w:rsid w:val="007A2CC3"/>
    <w:rsid w:val="007A2E4E"/>
    <w:rsid w:val="007A306E"/>
    <w:rsid w:val="007A30FE"/>
    <w:rsid w:val="007A3140"/>
    <w:rsid w:val="007A4F00"/>
    <w:rsid w:val="007A56B3"/>
    <w:rsid w:val="007A5F80"/>
    <w:rsid w:val="007A6843"/>
    <w:rsid w:val="007A6AFD"/>
    <w:rsid w:val="007A6F3A"/>
    <w:rsid w:val="007A782C"/>
    <w:rsid w:val="007A7938"/>
    <w:rsid w:val="007B02FC"/>
    <w:rsid w:val="007B06A7"/>
    <w:rsid w:val="007B088E"/>
    <w:rsid w:val="007B143D"/>
    <w:rsid w:val="007B2275"/>
    <w:rsid w:val="007B22AC"/>
    <w:rsid w:val="007B23FB"/>
    <w:rsid w:val="007B245F"/>
    <w:rsid w:val="007B2EE6"/>
    <w:rsid w:val="007B3891"/>
    <w:rsid w:val="007B38C2"/>
    <w:rsid w:val="007B3A16"/>
    <w:rsid w:val="007B3CE2"/>
    <w:rsid w:val="007B3EA4"/>
    <w:rsid w:val="007B511C"/>
    <w:rsid w:val="007B5312"/>
    <w:rsid w:val="007B563A"/>
    <w:rsid w:val="007B5D8B"/>
    <w:rsid w:val="007B5F57"/>
    <w:rsid w:val="007B60E4"/>
    <w:rsid w:val="007B6CF3"/>
    <w:rsid w:val="007B7075"/>
    <w:rsid w:val="007B7D45"/>
    <w:rsid w:val="007C032F"/>
    <w:rsid w:val="007C0395"/>
    <w:rsid w:val="007C0BA5"/>
    <w:rsid w:val="007C1391"/>
    <w:rsid w:val="007C1E63"/>
    <w:rsid w:val="007C2A22"/>
    <w:rsid w:val="007C3184"/>
    <w:rsid w:val="007C3CDB"/>
    <w:rsid w:val="007C3F39"/>
    <w:rsid w:val="007C41B2"/>
    <w:rsid w:val="007C4777"/>
    <w:rsid w:val="007C4940"/>
    <w:rsid w:val="007C4955"/>
    <w:rsid w:val="007C4BDF"/>
    <w:rsid w:val="007C4EC3"/>
    <w:rsid w:val="007C546F"/>
    <w:rsid w:val="007C5931"/>
    <w:rsid w:val="007C5A17"/>
    <w:rsid w:val="007C5A63"/>
    <w:rsid w:val="007C5FAC"/>
    <w:rsid w:val="007C7600"/>
    <w:rsid w:val="007C77AE"/>
    <w:rsid w:val="007C77CD"/>
    <w:rsid w:val="007D025E"/>
    <w:rsid w:val="007D0392"/>
    <w:rsid w:val="007D05E8"/>
    <w:rsid w:val="007D0CB5"/>
    <w:rsid w:val="007D1227"/>
    <w:rsid w:val="007D1C93"/>
    <w:rsid w:val="007D2031"/>
    <w:rsid w:val="007D2996"/>
    <w:rsid w:val="007D3A8C"/>
    <w:rsid w:val="007D430D"/>
    <w:rsid w:val="007D446B"/>
    <w:rsid w:val="007D55E0"/>
    <w:rsid w:val="007D5B6A"/>
    <w:rsid w:val="007D5F84"/>
    <w:rsid w:val="007D6B55"/>
    <w:rsid w:val="007D79FA"/>
    <w:rsid w:val="007E0638"/>
    <w:rsid w:val="007E171E"/>
    <w:rsid w:val="007E1F90"/>
    <w:rsid w:val="007E32F1"/>
    <w:rsid w:val="007E3356"/>
    <w:rsid w:val="007E33DC"/>
    <w:rsid w:val="007E3A2F"/>
    <w:rsid w:val="007E433C"/>
    <w:rsid w:val="007E4C7C"/>
    <w:rsid w:val="007E4DAA"/>
    <w:rsid w:val="007E4DB6"/>
    <w:rsid w:val="007E50BE"/>
    <w:rsid w:val="007E5172"/>
    <w:rsid w:val="007E55D6"/>
    <w:rsid w:val="007E6247"/>
    <w:rsid w:val="007E639E"/>
    <w:rsid w:val="007E6657"/>
    <w:rsid w:val="007E66AF"/>
    <w:rsid w:val="007E6DD1"/>
    <w:rsid w:val="007E6F7A"/>
    <w:rsid w:val="007E75A4"/>
    <w:rsid w:val="007E78C7"/>
    <w:rsid w:val="007F0A58"/>
    <w:rsid w:val="007F1600"/>
    <w:rsid w:val="007F177D"/>
    <w:rsid w:val="007F1861"/>
    <w:rsid w:val="007F1F4A"/>
    <w:rsid w:val="007F2D43"/>
    <w:rsid w:val="007F3B21"/>
    <w:rsid w:val="007F3C41"/>
    <w:rsid w:val="007F4173"/>
    <w:rsid w:val="007F4234"/>
    <w:rsid w:val="007F4631"/>
    <w:rsid w:val="007F49A1"/>
    <w:rsid w:val="007F4EC3"/>
    <w:rsid w:val="007F6145"/>
    <w:rsid w:val="007F61A0"/>
    <w:rsid w:val="007F62D2"/>
    <w:rsid w:val="007F69CD"/>
    <w:rsid w:val="007F69D5"/>
    <w:rsid w:val="007F6C7A"/>
    <w:rsid w:val="007F6CE6"/>
    <w:rsid w:val="007F7358"/>
    <w:rsid w:val="007F7671"/>
    <w:rsid w:val="007F791E"/>
    <w:rsid w:val="00801060"/>
    <w:rsid w:val="008013E5"/>
    <w:rsid w:val="00801725"/>
    <w:rsid w:val="008018C6"/>
    <w:rsid w:val="008019D4"/>
    <w:rsid w:val="00802AC9"/>
    <w:rsid w:val="00802AE3"/>
    <w:rsid w:val="00802B6F"/>
    <w:rsid w:val="00802D9A"/>
    <w:rsid w:val="00802E5F"/>
    <w:rsid w:val="008034E8"/>
    <w:rsid w:val="00803CD7"/>
    <w:rsid w:val="00803EFD"/>
    <w:rsid w:val="008044C9"/>
    <w:rsid w:val="0080476C"/>
    <w:rsid w:val="008048DF"/>
    <w:rsid w:val="00804F41"/>
    <w:rsid w:val="00805001"/>
    <w:rsid w:val="008052E3"/>
    <w:rsid w:val="008055C0"/>
    <w:rsid w:val="008055FF"/>
    <w:rsid w:val="00805ED3"/>
    <w:rsid w:val="008064F0"/>
    <w:rsid w:val="008067DF"/>
    <w:rsid w:val="00806DDF"/>
    <w:rsid w:val="00806F2B"/>
    <w:rsid w:val="0080751E"/>
    <w:rsid w:val="008101DD"/>
    <w:rsid w:val="00810983"/>
    <w:rsid w:val="00810E18"/>
    <w:rsid w:val="008114B9"/>
    <w:rsid w:val="008115FB"/>
    <w:rsid w:val="00811E4D"/>
    <w:rsid w:val="0081270E"/>
    <w:rsid w:val="00812760"/>
    <w:rsid w:val="00812A24"/>
    <w:rsid w:val="00812CCA"/>
    <w:rsid w:val="00813463"/>
    <w:rsid w:val="008139DC"/>
    <w:rsid w:val="00814012"/>
    <w:rsid w:val="0081420C"/>
    <w:rsid w:val="00815CF2"/>
    <w:rsid w:val="00815E3B"/>
    <w:rsid w:val="00815FAE"/>
    <w:rsid w:val="0081691B"/>
    <w:rsid w:val="00816B9A"/>
    <w:rsid w:val="00817123"/>
    <w:rsid w:val="008172B0"/>
    <w:rsid w:val="008172CA"/>
    <w:rsid w:val="00817799"/>
    <w:rsid w:val="0082053B"/>
    <w:rsid w:val="00820593"/>
    <w:rsid w:val="00820637"/>
    <w:rsid w:val="00820706"/>
    <w:rsid w:val="00821760"/>
    <w:rsid w:val="00821887"/>
    <w:rsid w:val="00822958"/>
    <w:rsid w:val="00822BB4"/>
    <w:rsid w:val="00823107"/>
    <w:rsid w:val="008236F1"/>
    <w:rsid w:val="00823B5F"/>
    <w:rsid w:val="008244D7"/>
    <w:rsid w:val="00824886"/>
    <w:rsid w:val="0082495B"/>
    <w:rsid w:val="00824BBF"/>
    <w:rsid w:val="00825650"/>
    <w:rsid w:val="00825C3D"/>
    <w:rsid w:val="0082614F"/>
    <w:rsid w:val="00826AF3"/>
    <w:rsid w:val="0082738C"/>
    <w:rsid w:val="00827CB2"/>
    <w:rsid w:val="00830464"/>
    <w:rsid w:val="00830C5F"/>
    <w:rsid w:val="00830F7E"/>
    <w:rsid w:val="00831A33"/>
    <w:rsid w:val="00831BD4"/>
    <w:rsid w:val="00831FBB"/>
    <w:rsid w:val="00832990"/>
    <w:rsid w:val="00832C22"/>
    <w:rsid w:val="00832EC1"/>
    <w:rsid w:val="00833221"/>
    <w:rsid w:val="008341C6"/>
    <w:rsid w:val="0083592D"/>
    <w:rsid w:val="00835B65"/>
    <w:rsid w:val="008360B6"/>
    <w:rsid w:val="00836124"/>
    <w:rsid w:val="008369A2"/>
    <w:rsid w:val="008369D9"/>
    <w:rsid w:val="0083718E"/>
    <w:rsid w:val="008371FB"/>
    <w:rsid w:val="00837360"/>
    <w:rsid w:val="008402D3"/>
    <w:rsid w:val="008402F9"/>
    <w:rsid w:val="0084041B"/>
    <w:rsid w:val="0084077A"/>
    <w:rsid w:val="00841C82"/>
    <w:rsid w:val="00842763"/>
    <w:rsid w:val="00842D64"/>
    <w:rsid w:val="00843760"/>
    <w:rsid w:val="00843AAE"/>
    <w:rsid w:val="00843D58"/>
    <w:rsid w:val="00844CA1"/>
    <w:rsid w:val="008450D6"/>
    <w:rsid w:val="0084550B"/>
    <w:rsid w:val="0084579C"/>
    <w:rsid w:val="00845A79"/>
    <w:rsid w:val="00846214"/>
    <w:rsid w:val="0084667D"/>
    <w:rsid w:val="008468DD"/>
    <w:rsid w:val="00846A93"/>
    <w:rsid w:val="008470C8"/>
    <w:rsid w:val="008476A8"/>
    <w:rsid w:val="00847DCD"/>
    <w:rsid w:val="00850023"/>
    <w:rsid w:val="00850113"/>
    <w:rsid w:val="00850981"/>
    <w:rsid w:val="00850B4E"/>
    <w:rsid w:val="00850BB2"/>
    <w:rsid w:val="00850F25"/>
    <w:rsid w:val="00851E90"/>
    <w:rsid w:val="0085216C"/>
    <w:rsid w:val="00852366"/>
    <w:rsid w:val="00852F83"/>
    <w:rsid w:val="00853227"/>
    <w:rsid w:val="00853A42"/>
    <w:rsid w:val="00853E14"/>
    <w:rsid w:val="00853F20"/>
    <w:rsid w:val="00854071"/>
    <w:rsid w:val="008544CA"/>
    <w:rsid w:val="00854729"/>
    <w:rsid w:val="00854F3E"/>
    <w:rsid w:val="00855023"/>
    <w:rsid w:val="00855209"/>
    <w:rsid w:val="00855243"/>
    <w:rsid w:val="0085544F"/>
    <w:rsid w:val="008556F3"/>
    <w:rsid w:val="00855C02"/>
    <w:rsid w:val="00855C1C"/>
    <w:rsid w:val="00855C88"/>
    <w:rsid w:val="00856AD5"/>
    <w:rsid w:val="00856CE7"/>
    <w:rsid w:val="00857A54"/>
    <w:rsid w:val="00857AF9"/>
    <w:rsid w:val="00857E17"/>
    <w:rsid w:val="008600CA"/>
    <w:rsid w:val="008601A9"/>
    <w:rsid w:val="00860258"/>
    <w:rsid w:val="00860A2A"/>
    <w:rsid w:val="00861441"/>
    <w:rsid w:val="008615B8"/>
    <w:rsid w:val="00861D90"/>
    <w:rsid w:val="008627CB"/>
    <w:rsid w:val="00862964"/>
    <w:rsid w:val="00862B76"/>
    <w:rsid w:val="00864C63"/>
    <w:rsid w:val="008651CA"/>
    <w:rsid w:val="008652B1"/>
    <w:rsid w:val="0086598B"/>
    <w:rsid w:val="00866310"/>
    <w:rsid w:val="00866A30"/>
    <w:rsid w:val="00866B94"/>
    <w:rsid w:val="00866B9E"/>
    <w:rsid w:val="00866D20"/>
    <w:rsid w:val="008677F4"/>
    <w:rsid w:val="008706FA"/>
    <w:rsid w:val="00872075"/>
    <w:rsid w:val="00873948"/>
    <w:rsid w:val="0087399A"/>
    <w:rsid w:val="008740DE"/>
    <w:rsid w:val="008744C4"/>
    <w:rsid w:val="008746F4"/>
    <w:rsid w:val="0087521B"/>
    <w:rsid w:val="008756A0"/>
    <w:rsid w:val="00875820"/>
    <w:rsid w:val="00875B03"/>
    <w:rsid w:val="00876066"/>
    <w:rsid w:val="00876DE3"/>
    <w:rsid w:val="00877902"/>
    <w:rsid w:val="00877E80"/>
    <w:rsid w:val="0088010B"/>
    <w:rsid w:val="008801B9"/>
    <w:rsid w:val="008805E4"/>
    <w:rsid w:val="008806C9"/>
    <w:rsid w:val="00880F32"/>
    <w:rsid w:val="008812D6"/>
    <w:rsid w:val="00881389"/>
    <w:rsid w:val="00882710"/>
    <w:rsid w:val="00882779"/>
    <w:rsid w:val="008829AF"/>
    <w:rsid w:val="00882DD7"/>
    <w:rsid w:val="008837F2"/>
    <w:rsid w:val="00884182"/>
    <w:rsid w:val="008841AD"/>
    <w:rsid w:val="00884A33"/>
    <w:rsid w:val="00884BFE"/>
    <w:rsid w:val="00884EFC"/>
    <w:rsid w:val="008856C3"/>
    <w:rsid w:val="00886457"/>
    <w:rsid w:val="00886492"/>
    <w:rsid w:val="008869A0"/>
    <w:rsid w:val="00886C05"/>
    <w:rsid w:val="00887EA6"/>
    <w:rsid w:val="00890416"/>
    <w:rsid w:val="00890770"/>
    <w:rsid w:val="00890B1B"/>
    <w:rsid w:val="00890EBC"/>
    <w:rsid w:val="0089102F"/>
    <w:rsid w:val="00891364"/>
    <w:rsid w:val="00891C08"/>
    <w:rsid w:val="00891D57"/>
    <w:rsid w:val="00892398"/>
    <w:rsid w:val="0089246D"/>
    <w:rsid w:val="00892A6B"/>
    <w:rsid w:val="00892C6D"/>
    <w:rsid w:val="00892E6C"/>
    <w:rsid w:val="00892F50"/>
    <w:rsid w:val="00892F57"/>
    <w:rsid w:val="00892F74"/>
    <w:rsid w:val="008930E6"/>
    <w:rsid w:val="008944B3"/>
    <w:rsid w:val="00894513"/>
    <w:rsid w:val="00895EC0"/>
    <w:rsid w:val="00896D00"/>
    <w:rsid w:val="00896EF3"/>
    <w:rsid w:val="00897036"/>
    <w:rsid w:val="00897704"/>
    <w:rsid w:val="008978DB"/>
    <w:rsid w:val="00897AC3"/>
    <w:rsid w:val="00897B74"/>
    <w:rsid w:val="008A03A1"/>
    <w:rsid w:val="008A0608"/>
    <w:rsid w:val="008A1210"/>
    <w:rsid w:val="008A13C5"/>
    <w:rsid w:val="008A147C"/>
    <w:rsid w:val="008A1736"/>
    <w:rsid w:val="008A1B3E"/>
    <w:rsid w:val="008A1B57"/>
    <w:rsid w:val="008A24FB"/>
    <w:rsid w:val="008A2B27"/>
    <w:rsid w:val="008A2D7B"/>
    <w:rsid w:val="008A3358"/>
    <w:rsid w:val="008A3939"/>
    <w:rsid w:val="008A3A64"/>
    <w:rsid w:val="008A3FD8"/>
    <w:rsid w:val="008A4487"/>
    <w:rsid w:val="008A4912"/>
    <w:rsid w:val="008A4BF1"/>
    <w:rsid w:val="008A5026"/>
    <w:rsid w:val="008A53AE"/>
    <w:rsid w:val="008A5453"/>
    <w:rsid w:val="008A5A2D"/>
    <w:rsid w:val="008A6220"/>
    <w:rsid w:val="008A63A8"/>
    <w:rsid w:val="008A63D2"/>
    <w:rsid w:val="008A6531"/>
    <w:rsid w:val="008A6686"/>
    <w:rsid w:val="008A6789"/>
    <w:rsid w:val="008A7065"/>
    <w:rsid w:val="008A75E0"/>
    <w:rsid w:val="008A7A9D"/>
    <w:rsid w:val="008A7C81"/>
    <w:rsid w:val="008B0322"/>
    <w:rsid w:val="008B066E"/>
    <w:rsid w:val="008B06C0"/>
    <w:rsid w:val="008B1BC4"/>
    <w:rsid w:val="008B1D5E"/>
    <w:rsid w:val="008B21D1"/>
    <w:rsid w:val="008B2312"/>
    <w:rsid w:val="008B233A"/>
    <w:rsid w:val="008B2364"/>
    <w:rsid w:val="008B23E0"/>
    <w:rsid w:val="008B2484"/>
    <w:rsid w:val="008B2753"/>
    <w:rsid w:val="008B2E5B"/>
    <w:rsid w:val="008B36CE"/>
    <w:rsid w:val="008B3C99"/>
    <w:rsid w:val="008B42C5"/>
    <w:rsid w:val="008B45D3"/>
    <w:rsid w:val="008B45E8"/>
    <w:rsid w:val="008B476B"/>
    <w:rsid w:val="008B4ED4"/>
    <w:rsid w:val="008B51B8"/>
    <w:rsid w:val="008B58A2"/>
    <w:rsid w:val="008B5EF5"/>
    <w:rsid w:val="008B5F34"/>
    <w:rsid w:val="008B68DF"/>
    <w:rsid w:val="008B6EB5"/>
    <w:rsid w:val="008B7086"/>
    <w:rsid w:val="008B76A7"/>
    <w:rsid w:val="008B7A1F"/>
    <w:rsid w:val="008B7ECC"/>
    <w:rsid w:val="008C02EE"/>
    <w:rsid w:val="008C094B"/>
    <w:rsid w:val="008C0A4D"/>
    <w:rsid w:val="008C11B9"/>
    <w:rsid w:val="008C141C"/>
    <w:rsid w:val="008C1757"/>
    <w:rsid w:val="008C1864"/>
    <w:rsid w:val="008C1888"/>
    <w:rsid w:val="008C1C2D"/>
    <w:rsid w:val="008C2672"/>
    <w:rsid w:val="008C2AB4"/>
    <w:rsid w:val="008C2D45"/>
    <w:rsid w:val="008C2ED7"/>
    <w:rsid w:val="008C31F2"/>
    <w:rsid w:val="008C3514"/>
    <w:rsid w:val="008C3E61"/>
    <w:rsid w:val="008C4A13"/>
    <w:rsid w:val="008C4A1F"/>
    <w:rsid w:val="008C4DA1"/>
    <w:rsid w:val="008C4DDC"/>
    <w:rsid w:val="008C4E54"/>
    <w:rsid w:val="008C52EB"/>
    <w:rsid w:val="008C68C1"/>
    <w:rsid w:val="008C6B09"/>
    <w:rsid w:val="008C6CCA"/>
    <w:rsid w:val="008C6E44"/>
    <w:rsid w:val="008C7508"/>
    <w:rsid w:val="008D014F"/>
    <w:rsid w:val="008D0218"/>
    <w:rsid w:val="008D113C"/>
    <w:rsid w:val="008D1527"/>
    <w:rsid w:val="008D1C8A"/>
    <w:rsid w:val="008D1CB7"/>
    <w:rsid w:val="008D1D80"/>
    <w:rsid w:val="008D2150"/>
    <w:rsid w:val="008D26C3"/>
    <w:rsid w:val="008D274B"/>
    <w:rsid w:val="008D32F4"/>
    <w:rsid w:val="008D3672"/>
    <w:rsid w:val="008D3C37"/>
    <w:rsid w:val="008D4036"/>
    <w:rsid w:val="008D4C4E"/>
    <w:rsid w:val="008D4F31"/>
    <w:rsid w:val="008D5095"/>
    <w:rsid w:val="008D5AF0"/>
    <w:rsid w:val="008D5D31"/>
    <w:rsid w:val="008D5E6F"/>
    <w:rsid w:val="008D66D7"/>
    <w:rsid w:val="008D693E"/>
    <w:rsid w:val="008D6B43"/>
    <w:rsid w:val="008D6E4D"/>
    <w:rsid w:val="008E0410"/>
    <w:rsid w:val="008E0C73"/>
    <w:rsid w:val="008E15E8"/>
    <w:rsid w:val="008E1972"/>
    <w:rsid w:val="008E1CA0"/>
    <w:rsid w:val="008E2029"/>
    <w:rsid w:val="008E27B2"/>
    <w:rsid w:val="008E3053"/>
    <w:rsid w:val="008E32B0"/>
    <w:rsid w:val="008E3502"/>
    <w:rsid w:val="008E35DF"/>
    <w:rsid w:val="008E3C92"/>
    <w:rsid w:val="008E55F0"/>
    <w:rsid w:val="008E5D2F"/>
    <w:rsid w:val="008E6092"/>
    <w:rsid w:val="008E60BA"/>
    <w:rsid w:val="008E681A"/>
    <w:rsid w:val="008E6ACD"/>
    <w:rsid w:val="008E6FF9"/>
    <w:rsid w:val="008E70FA"/>
    <w:rsid w:val="008E71F8"/>
    <w:rsid w:val="008E7224"/>
    <w:rsid w:val="008F04B8"/>
    <w:rsid w:val="008F0F3B"/>
    <w:rsid w:val="008F1338"/>
    <w:rsid w:val="008F145B"/>
    <w:rsid w:val="008F1891"/>
    <w:rsid w:val="008F2C51"/>
    <w:rsid w:val="008F302B"/>
    <w:rsid w:val="008F329F"/>
    <w:rsid w:val="008F389E"/>
    <w:rsid w:val="008F475E"/>
    <w:rsid w:val="008F4A3E"/>
    <w:rsid w:val="008F4DD3"/>
    <w:rsid w:val="008F4E93"/>
    <w:rsid w:val="008F5198"/>
    <w:rsid w:val="008F6534"/>
    <w:rsid w:val="008F7647"/>
    <w:rsid w:val="008F768D"/>
    <w:rsid w:val="008F7D3B"/>
    <w:rsid w:val="0090057B"/>
    <w:rsid w:val="00900867"/>
    <w:rsid w:val="009013A3"/>
    <w:rsid w:val="00901DD6"/>
    <w:rsid w:val="00901E46"/>
    <w:rsid w:val="0090202D"/>
    <w:rsid w:val="00902B2B"/>
    <w:rsid w:val="00902B54"/>
    <w:rsid w:val="00903421"/>
    <w:rsid w:val="00903521"/>
    <w:rsid w:val="009035CA"/>
    <w:rsid w:val="009035DA"/>
    <w:rsid w:val="009036FC"/>
    <w:rsid w:val="0090391E"/>
    <w:rsid w:val="009039B5"/>
    <w:rsid w:val="00903AA0"/>
    <w:rsid w:val="00903B08"/>
    <w:rsid w:val="00903F2D"/>
    <w:rsid w:val="00903FC1"/>
    <w:rsid w:val="00904722"/>
    <w:rsid w:val="00904DF6"/>
    <w:rsid w:val="00904F60"/>
    <w:rsid w:val="009050E2"/>
    <w:rsid w:val="00905894"/>
    <w:rsid w:val="0090591E"/>
    <w:rsid w:val="00906142"/>
    <w:rsid w:val="00906206"/>
    <w:rsid w:val="00906242"/>
    <w:rsid w:val="009073CC"/>
    <w:rsid w:val="0090757F"/>
    <w:rsid w:val="009120B4"/>
    <w:rsid w:val="0091265F"/>
    <w:rsid w:val="009127BA"/>
    <w:rsid w:val="00912E77"/>
    <w:rsid w:val="0091309C"/>
    <w:rsid w:val="009134E7"/>
    <w:rsid w:val="0091354F"/>
    <w:rsid w:val="00913A63"/>
    <w:rsid w:val="009143D6"/>
    <w:rsid w:val="00914D5B"/>
    <w:rsid w:val="00914F17"/>
    <w:rsid w:val="009150CB"/>
    <w:rsid w:val="009152FA"/>
    <w:rsid w:val="009158E7"/>
    <w:rsid w:val="00915D88"/>
    <w:rsid w:val="00915DF7"/>
    <w:rsid w:val="00915E69"/>
    <w:rsid w:val="00916013"/>
    <w:rsid w:val="00916183"/>
    <w:rsid w:val="009164D5"/>
    <w:rsid w:val="00916881"/>
    <w:rsid w:val="00917628"/>
    <w:rsid w:val="00917732"/>
    <w:rsid w:val="009179E2"/>
    <w:rsid w:val="00917A50"/>
    <w:rsid w:val="00917E8E"/>
    <w:rsid w:val="00920236"/>
    <w:rsid w:val="00920642"/>
    <w:rsid w:val="00920B90"/>
    <w:rsid w:val="00920F00"/>
    <w:rsid w:val="0092132A"/>
    <w:rsid w:val="009213DD"/>
    <w:rsid w:val="00921DC9"/>
    <w:rsid w:val="00922388"/>
    <w:rsid w:val="009225DD"/>
    <w:rsid w:val="00923142"/>
    <w:rsid w:val="009234C3"/>
    <w:rsid w:val="00923A96"/>
    <w:rsid w:val="00923AA4"/>
    <w:rsid w:val="00923CE8"/>
    <w:rsid w:val="00923FBD"/>
    <w:rsid w:val="00924732"/>
    <w:rsid w:val="00924961"/>
    <w:rsid w:val="00925626"/>
    <w:rsid w:val="00925B2B"/>
    <w:rsid w:val="009260C6"/>
    <w:rsid w:val="00926232"/>
    <w:rsid w:val="00926284"/>
    <w:rsid w:val="00930101"/>
    <w:rsid w:val="00930405"/>
    <w:rsid w:val="00930D35"/>
    <w:rsid w:val="0093348F"/>
    <w:rsid w:val="0093377D"/>
    <w:rsid w:val="00933FC7"/>
    <w:rsid w:val="009344AF"/>
    <w:rsid w:val="00934CE8"/>
    <w:rsid w:val="00935B9E"/>
    <w:rsid w:val="00935DFF"/>
    <w:rsid w:val="0093605B"/>
    <w:rsid w:val="009362C5"/>
    <w:rsid w:val="0093632A"/>
    <w:rsid w:val="009366B3"/>
    <w:rsid w:val="00936B72"/>
    <w:rsid w:val="0093718B"/>
    <w:rsid w:val="009373E8"/>
    <w:rsid w:val="00937874"/>
    <w:rsid w:val="00940011"/>
    <w:rsid w:val="00940050"/>
    <w:rsid w:val="00940263"/>
    <w:rsid w:val="009405FE"/>
    <w:rsid w:val="009406BF"/>
    <w:rsid w:val="00940811"/>
    <w:rsid w:val="00940DA0"/>
    <w:rsid w:val="009410B6"/>
    <w:rsid w:val="00941832"/>
    <w:rsid w:val="009418D0"/>
    <w:rsid w:val="00941D8F"/>
    <w:rsid w:val="009420AD"/>
    <w:rsid w:val="00944203"/>
    <w:rsid w:val="00944B71"/>
    <w:rsid w:val="009452B9"/>
    <w:rsid w:val="0094537D"/>
    <w:rsid w:val="00945860"/>
    <w:rsid w:val="00946FE5"/>
    <w:rsid w:val="0094713F"/>
    <w:rsid w:val="009474E9"/>
    <w:rsid w:val="00947744"/>
    <w:rsid w:val="00947FB3"/>
    <w:rsid w:val="00950008"/>
    <w:rsid w:val="0095007C"/>
    <w:rsid w:val="009507A3"/>
    <w:rsid w:val="00950B7D"/>
    <w:rsid w:val="00950C3B"/>
    <w:rsid w:val="00951CD4"/>
    <w:rsid w:val="00951E26"/>
    <w:rsid w:val="00952033"/>
    <w:rsid w:val="00952285"/>
    <w:rsid w:val="00952314"/>
    <w:rsid w:val="00952775"/>
    <w:rsid w:val="00952808"/>
    <w:rsid w:val="00952B58"/>
    <w:rsid w:val="0095367F"/>
    <w:rsid w:val="0095395C"/>
    <w:rsid w:val="009539A5"/>
    <w:rsid w:val="00953E5D"/>
    <w:rsid w:val="0095424C"/>
    <w:rsid w:val="0095489A"/>
    <w:rsid w:val="00954D36"/>
    <w:rsid w:val="009568A7"/>
    <w:rsid w:val="00956F37"/>
    <w:rsid w:val="0095716B"/>
    <w:rsid w:val="00957D5D"/>
    <w:rsid w:val="00957F36"/>
    <w:rsid w:val="00957F6A"/>
    <w:rsid w:val="0096001E"/>
    <w:rsid w:val="00960594"/>
    <w:rsid w:val="009607F7"/>
    <w:rsid w:val="009609D8"/>
    <w:rsid w:val="00960CC7"/>
    <w:rsid w:val="00960FCD"/>
    <w:rsid w:val="00961143"/>
    <w:rsid w:val="00961265"/>
    <w:rsid w:val="009612E1"/>
    <w:rsid w:val="009615C0"/>
    <w:rsid w:val="00961883"/>
    <w:rsid w:val="009618A8"/>
    <w:rsid w:val="00961A8E"/>
    <w:rsid w:val="009623A5"/>
    <w:rsid w:val="00962511"/>
    <w:rsid w:val="00962EE9"/>
    <w:rsid w:val="00962FFA"/>
    <w:rsid w:val="00963545"/>
    <w:rsid w:val="00963A4D"/>
    <w:rsid w:val="00963DCC"/>
    <w:rsid w:val="00963E16"/>
    <w:rsid w:val="00964290"/>
    <w:rsid w:val="00964C57"/>
    <w:rsid w:val="00965536"/>
    <w:rsid w:val="009656BA"/>
    <w:rsid w:val="00965F88"/>
    <w:rsid w:val="009660FD"/>
    <w:rsid w:val="00966156"/>
    <w:rsid w:val="009662DF"/>
    <w:rsid w:val="00966953"/>
    <w:rsid w:val="00966B7E"/>
    <w:rsid w:val="00966C71"/>
    <w:rsid w:val="00966CCE"/>
    <w:rsid w:val="00966F4F"/>
    <w:rsid w:val="009679A8"/>
    <w:rsid w:val="00967AA9"/>
    <w:rsid w:val="00967ED9"/>
    <w:rsid w:val="00970BBB"/>
    <w:rsid w:val="00970DC9"/>
    <w:rsid w:val="00970DEE"/>
    <w:rsid w:val="00970F69"/>
    <w:rsid w:val="00971351"/>
    <w:rsid w:val="00971471"/>
    <w:rsid w:val="00971582"/>
    <w:rsid w:val="0097162E"/>
    <w:rsid w:val="00971911"/>
    <w:rsid w:val="00971C28"/>
    <w:rsid w:val="00971DE3"/>
    <w:rsid w:val="00972CAB"/>
    <w:rsid w:val="0097318A"/>
    <w:rsid w:val="00973567"/>
    <w:rsid w:val="009738B9"/>
    <w:rsid w:val="00973A9F"/>
    <w:rsid w:val="00973E55"/>
    <w:rsid w:val="00973E78"/>
    <w:rsid w:val="00974056"/>
    <w:rsid w:val="009748D5"/>
    <w:rsid w:val="009749F4"/>
    <w:rsid w:val="00974C48"/>
    <w:rsid w:val="00974DAD"/>
    <w:rsid w:val="00975969"/>
    <w:rsid w:val="00976106"/>
    <w:rsid w:val="00976B78"/>
    <w:rsid w:val="00976FE3"/>
    <w:rsid w:val="0097709F"/>
    <w:rsid w:val="009771DE"/>
    <w:rsid w:val="009777DE"/>
    <w:rsid w:val="009778FF"/>
    <w:rsid w:val="00977BC3"/>
    <w:rsid w:val="009806CD"/>
    <w:rsid w:val="00980E08"/>
    <w:rsid w:val="00980EA0"/>
    <w:rsid w:val="009810C7"/>
    <w:rsid w:val="009811DF"/>
    <w:rsid w:val="00981361"/>
    <w:rsid w:val="009819A2"/>
    <w:rsid w:val="00981AF9"/>
    <w:rsid w:val="00981E86"/>
    <w:rsid w:val="00981F05"/>
    <w:rsid w:val="009827EE"/>
    <w:rsid w:val="009833AF"/>
    <w:rsid w:val="00983417"/>
    <w:rsid w:val="00983C63"/>
    <w:rsid w:val="00983FF6"/>
    <w:rsid w:val="009843C9"/>
    <w:rsid w:val="009847BE"/>
    <w:rsid w:val="00984CBF"/>
    <w:rsid w:val="0098514A"/>
    <w:rsid w:val="00985591"/>
    <w:rsid w:val="009855A5"/>
    <w:rsid w:val="00985AA5"/>
    <w:rsid w:val="00985C68"/>
    <w:rsid w:val="009864D7"/>
    <w:rsid w:val="0098674A"/>
    <w:rsid w:val="00986E5D"/>
    <w:rsid w:val="00986FBA"/>
    <w:rsid w:val="00987DA3"/>
    <w:rsid w:val="009905E9"/>
    <w:rsid w:val="009906B5"/>
    <w:rsid w:val="00990879"/>
    <w:rsid w:val="00990E82"/>
    <w:rsid w:val="0099280B"/>
    <w:rsid w:val="00992AB9"/>
    <w:rsid w:val="0099315B"/>
    <w:rsid w:val="00993328"/>
    <w:rsid w:val="00993459"/>
    <w:rsid w:val="009934CD"/>
    <w:rsid w:val="00993E29"/>
    <w:rsid w:val="00993E38"/>
    <w:rsid w:val="00993FF3"/>
    <w:rsid w:val="0099544A"/>
    <w:rsid w:val="0099593F"/>
    <w:rsid w:val="00995B89"/>
    <w:rsid w:val="00996189"/>
    <w:rsid w:val="009964BB"/>
    <w:rsid w:val="00996749"/>
    <w:rsid w:val="00996833"/>
    <w:rsid w:val="00996969"/>
    <w:rsid w:val="009972F4"/>
    <w:rsid w:val="00997C8B"/>
    <w:rsid w:val="009A0FE8"/>
    <w:rsid w:val="009A1423"/>
    <w:rsid w:val="009A14A6"/>
    <w:rsid w:val="009A1547"/>
    <w:rsid w:val="009A1C6D"/>
    <w:rsid w:val="009A1D00"/>
    <w:rsid w:val="009A2C6D"/>
    <w:rsid w:val="009A36CC"/>
    <w:rsid w:val="009A38BB"/>
    <w:rsid w:val="009A3958"/>
    <w:rsid w:val="009A3EE8"/>
    <w:rsid w:val="009A4836"/>
    <w:rsid w:val="009A491B"/>
    <w:rsid w:val="009A531B"/>
    <w:rsid w:val="009A5B32"/>
    <w:rsid w:val="009A5BA8"/>
    <w:rsid w:val="009A5FD9"/>
    <w:rsid w:val="009A6B7D"/>
    <w:rsid w:val="009A72DB"/>
    <w:rsid w:val="009A79A6"/>
    <w:rsid w:val="009A7A21"/>
    <w:rsid w:val="009B007D"/>
    <w:rsid w:val="009B00D0"/>
    <w:rsid w:val="009B01E2"/>
    <w:rsid w:val="009B1340"/>
    <w:rsid w:val="009B1949"/>
    <w:rsid w:val="009B1E74"/>
    <w:rsid w:val="009B22A1"/>
    <w:rsid w:val="009B28AD"/>
    <w:rsid w:val="009B2A01"/>
    <w:rsid w:val="009B421E"/>
    <w:rsid w:val="009B4784"/>
    <w:rsid w:val="009B4B65"/>
    <w:rsid w:val="009B52C8"/>
    <w:rsid w:val="009B5DC5"/>
    <w:rsid w:val="009B5E85"/>
    <w:rsid w:val="009B6494"/>
    <w:rsid w:val="009B6D39"/>
    <w:rsid w:val="009B6DDE"/>
    <w:rsid w:val="009B7634"/>
    <w:rsid w:val="009B7BD6"/>
    <w:rsid w:val="009C093B"/>
    <w:rsid w:val="009C138D"/>
    <w:rsid w:val="009C1933"/>
    <w:rsid w:val="009C1D25"/>
    <w:rsid w:val="009C2278"/>
    <w:rsid w:val="009C29CA"/>
    <w:rsid w:val="009C29F1"/>
    <w:rsid w:val="009C341F"/>
    <w:rsid w:val="009C3582"/>
    <w:rsid w:val="009C38E7"/>
    <w:rsid w:val="009C3933"/>
    <w:rsid w:val="009C393A"/>
    <w:rsid w:val="009C401F"/>
    <w:rsid w:val="009C527B"/>
    <w:rsid w:val="009C5388"/>
    <w:rsid w:val="009C53CA"/>
    <w:rsid w:val="009C569B"/>
    <w:rsid w:val="009C5B5C"/>
    <w:rsid w:val="009C5E8B"/>
    <w:rsid w:val="009C5F0B"/>
    <w:rsid w:val="009C686C"/>
    <w:rsid w:val="009C7386"/>
    <w:rsid w:val="009C799A"/>
    <w:rsid w:val="009C7B42"/>
    <w:rsid w:val="009D24AB"/>
    <w:rsid w:val="009D2695"/>
    <w:rsid w:val="009D2A28"/>
    <w:rsid w:val="009D2B64"/>
    <w:rsid w:val="009D3A43"/>
    <w:rsid w:val="009D4016"/>
    <w:rsid w:val="009D4929"/>
    <w:rsid w:val="009D56D7"/>
    <w:rsid w:val="009D59B1"/>
    <w:rsid w:val="009D5A9D"/>
    <w:rsid w:val="009D5AA1"/>
    <w:rsid w:val="009D6A80"/>
    <w:rsid w:val="009D6C1F"/>
    <w:rsid w:val="009D7213"/>
    <w:rsid w:val="009D78E9"/>
    <w:rsid w:val="009D7DC6"/>
    <w:rsid w:val="009D7EEA"/>
    <w:rsid w:val="009D7F91"/>
    <w:rsid w:val="009E0D3D"/>
    <w:rsid w:val="009E1238"/>
    <w:rsid w:val="009E2794"/>
    <w:rsid w:val="009E28C0"/>
    <w:rsid w:val="009E2947"/>
    <w:rsid w:val="009E32D3"/>
    <w:rsid w:val="009E336C"/>
    <w:rsid w:val="009E3927"/>
    <w:rsid w:val="009E3B7B"/>
    <w:rsid w:val="009E428F"/>
    <w:rsid w:val="009E5D43"/>
    <w:rsid w:val="009E66AA"/>
    <w:rsid w:val="009E7673"/>
    <w:rsid w:val="009E7829"/>
    <w:rsid w:val="009E7BA1"/>
    <w:rsid w:val="009F0BCB"/>
    <w:rsid w:val="009F0D1F"/>
    <w:rsid w:val="009F0D67"/>
    <w:rsid w:val="009F0E5D"/>
    <w:rsid w:val="009F14E3"/>
    <w:rsid w:val="009F1A1F"/>
    <w:rsid w:val="009F1AC5"/>
    <w:rsid w:val="009F1ADF"/>
    <w:rsid w:val="009F25C9"/>
    <w:rsid w:val="009F269B"/>
    <w:rsid w:val="009F2B54"/>
    <w:rsid w:val="009F3646"/>
    <w:rsid w:val="009F377B"/>
    <w:rsid w:val="009F3CBD"/>
    <w:rsid w:val="009F3EC7"/>
    <w:rsid w:val="009F4288"/>
    <w:rsid w:val="009F4291"/>
    <w:rsid w:val="009F4924"/>
    <w:rsid w:val="009F4D9B"/>
    <w:rsid w:val="009F516A"/>
    <w:rsid w:val="009F5518"/>
    <w:rsid w:val="009F5AE7"/>
    <w:rsid w:val="009F6722"/>
    <w:rsid w:val="009F69C4"/>
    <w:rsid w:val="009F69F1"/>
    <w:rsid w:val="009F6A53"/>
    <w:rsid w:val="009F7B66"/>
    <w:rsid w:val="00A00917"/>
    <w:rsid w:val="00A00AE0"/>
    <w:rsid w:val="00A00FCB"/>
    <w:rsid w:val="00A014FB"/>
    <w:rsid w:val="00A0159C"/>
    <w:rsid w:val="00A0220C"/>
    <w:rsid w:val="00A02EBE"/>
    <w:rsid w:val="00A02F0B"/>
    <w:rsid w:val="00A03B72"/>
    <w:rsid w:val="00A03EDD"/>
    <w:rsid w:val="00A04187"/>
    <w:rsid w:val="00A042CA"/>
    <w:rsid w:val="00A04B5D"/>
    <w:rsid w:val="00A04DCE"/>
    <w:rsid w:val="00A051CF"/>
    <w:rsid w:val="00A056A1"/>
    <w:rsid w:val="00A05AD1"/>
    <w:rsid w:val="00A05ADB"/>
    <w:rsid w:val="00A05D53"/>
    <w:rsid w:val="00A064F5"/>
    <w:rsid w:val="00A065E6"/>
    <w:rsid w:val="00A07098"/>
    <w:rsid w:val="00A07A85"/>
    <w:rsid w:val="00A07B03"/>
    <w:rsid w:val="00A1081C"/>
    <w:rsid w:val="00A10ABE"/>
    <w:rsid w:val="00A10F25"/>
    <w:rsid w:val="00A11502"/>
    <w:rsid w:val="00A1180E"/>
    <w:rsid w:val="00A11C77"/>
    <w:rsid w:val="00A1209E"/>
    <w:rsid w:val="00A12416"/>
    <w:rsid w:val="00A12871"/>
    <w:rsid w:val="00A12899"/>
    <w:rsid w:val="00A13B58"/>
    <w:rsid w:val="00A14F6A"/>
    <w:rsid w:val="00A152E9"/>
    <w:rsid w:val="00A155FF"/>
    <w:rsid w:val="00A15A03"/>
    <w:rsid w:val="00A15B98"/>
    <w:rsid w:val="00A15FAD"/>
    <w:rsid w:val="00A16110"/>
    <w:rsid w:val="00A1690A"/>
    <w:rsid w:val="00A16F82"/>
    <w:rsid w:val="00A16FC9"/>
    <w:rsid w:val="00A17D9F"/>
    <w:rsid w:val="00A200D8"/>
    <w:rsid w:val="00A20422"/>
    <w:rsid w:val="00A20BFD"/>
    <w:rsid w:val="00A20F61"/>
    <w:rsid w:val="00A21B6F"/>
    <w:rsid w:val="00A22104"/>
    <w:rsid w:val="00A221F8"/>
    <w:rsid w:val="00A229D2"/>
    <w:rsid w:val="00A22ABE"/>
    <w:rsid w:val="00A22E09"/>
    <w:rsid w:val="00A22F94"/>
    <w:rsid w:val="00A232C5"/>
    <w:rsid w:val="00A236DD"/>
    <w:rsid w:val="00A2385B"/>
    <w:rsid w:val="00A23B00"/>
    <w:rsid w:val="00A24581"/>
    <w:rsid w:val="00A2461C"/>
    <w:rsid w:val="00A24C0A"/>
    <w:rsid w:val="00A25759"/>
    <w:rsid w:val="00A25D02"/>
    <w:rsid w:val="00A2609D"/>
    <w:rsid w:val="00A2675D"/>
    <w:rsid w:val="00A267A7"/>
    <w:rsid w:val="00A269D6"/>
    <w:rsid w:val="00A277FB"/>
    <w:rsid w:val="00A27867"/>
    <w:rsid w:val="00A27E11"/>
    <w:rsid w:val="00A3023E"/>
    <w:rsid w:val="00A306FD"/>
    <w:rsid w:val="00A3144A"/>
    <w:rsid w:val="00A314C5"/>
    <w:rsid w:val="00A3162A"/>
    <w:rsid w:val="00A316A7"/>
    <w:rsid w:val="00A31C8F"/>
    <w:rsid w:val="00A32220"/>
    <w:rsid w:val="00A32526"/>
    <w:rsid w:val="00A32B56"/>
    <w:rsid w:val="00A3307A"/>
    <w:rsid w:val="00A33154"/>
    <w:rsid w:val="00A3325C"/>
    <w:rsid w:val="00A3396B"/>
    <w:rsid w:val="00A33E65"/>
    <w:rsid w:val="00A34324"/>
    <w:rsid w:val="00A34369"/>
    <w:rsid w:val="00A35092"/>
    <w:rsid w:val="00A351C9"/>
    <w:rsid w:val="00A35A70"/>
    <w:rsid w:val="00A36198"/>
    <w:rsid w:val="00A3648C"/>
    <w:rsid w:val="00A36C40"/>
    <w:rsid w:val="00A37B67"/>
    <w:rsid w:val="00A37B6E"/>
    <w:rsid w:val="00A40203"/>
    <w:rsid w:val="00A40B7B"/>
    <w:rsid w:val="00A4168F"/>
    <w:rsid w:val="00A4178D"/>
    <w:rsid w:val="00A41E0F"/>
    <w:rsid w:val="00A425F3"/>
    <w:rsid w:val="00A43532"/>
    <w:rsid w:val="00A43BC5"/>
    <w:rsid w:val="00A43C9D"/>
    <w:rsid w:val="00A43F79"/>
    <w:rsid w:val="00A4422C"/>
    <w:rsid w:val="00A4426A"/>
    <w:rsid w:val="00A44939"/>
    <w:rsid w:val="00A4539E"/>
    <w:rsid w:val="00A45DF8"/>
    <w:rsid w:val="00A4609B"/>
    <w:rsid w:val="00A465AA"/>
    <w:rsid w:val="00A466AF"/>
    <w:rsid w:val="00A47D95"/>
    <w:rsid w:val="00A47E1E"/>
    <w:rsid w:val="00A47F26"/>
    <w:rsid w:val="00A510C8"/>
    <w:rsid w:val="00A51227"/>
    <w:rsid w:val="00A512E1"/>
    <w:rsid w:val="00A513C7"/>
    <w:rsid w:val="00A51C8C"/>
    <w:rsid w:val="00A51FB6"/>
    <w:rsid w:val="00A5241A"/>
    <w:rsid w:val="00A52ABA"/>
    <w:rsid w:val="00A52D90"/>
    <w:rsid w:val="00A540DA"/>
    <w:rsid w:val="00A54437"/>
    <w:rsid w:val="00A54638"/>
    <w:rsid w:val="00A55B68"/>
    <w:rsid w:val="00A55D5E"/>
    <w:rsid w:val="00A560A8"/>
    <w:rsid w:val="00A566CF"/>
    <w:rsid w:val="00A57CF2"/>
    <w:rsid w:val="00A57E42"/>
    <w:rsid w:val="00A607A2"/>
    <w:rsid w:val="00A60921"/>
    <w:rsid w:val="00A60A5A"/>
    <w:rsid w:val="00A60E17"/>
    <w:rsid w:val="00A60EC9"/>
    <w:rsid w:val="00A60EEB"/>
    <w:rsid w:val="00A612AA"/>
    <w:rsid w:val="00A62CDB"/>
    <w:rsid w:val="00A637D8"/>
    <w:rsid w:val="00A63C0D"/>
    <w:rsid w:val="00A63C1B"/>
    <w:rsid w:val="00A63CBA"/>
    <w:rsid w:val="00A63E59"/>
    <w:rsid w:val="00A64C77"/>
    <w:rsid w:val="00A64F87"/>
    <w:rsid w:val="00A658C5"/>
    <w:rsid w:val="00A659BB"/>
    <w:rsid w:val="00A65CE4"/>
    <w:rsid w:val="00A65E0C"/>
    <w:rsid w:val="00A662E2"/>
    <w:rsid w:val="00A669AE"/>
    <w:rsid w:val="00A678A3"/>
    <w:rsid w:val="00A67EC2"/>
    <w:rsid w:val="00A67FC0"/>
    <w:rsid w:val="00A700B3"/>
    <w:rsid w:val="00A702E9"/>
    <w:rsid w:val="00A704CD"/>
    <w:rsid w:val="00A71642"/>
    <w:rsid w:val="00A71C68"/>
    <w:rsid w:val="00A72069"/>
    <w:rsid w:val="00A72332"/>
    <w:rsid w:val="00A724CD"/>
    <w:rsid w:val="00A72640"/>
    <w:rsid w:val="00A72712"/>
    <w:rsid w:val="00A73A88"/>
    <w:rsid w:val="00A73D36"/>
    <w:rsid w:val="00A74481"/>
    <w:rsid w:val="00A745F2"/>
    <w:rsid w:val="00A74A3A"/>
    <w:rsid w:val="00A75117"/>
    <w:rsid w:val="00A75125"/>
    <w:rsid w:val="00A75EFC"/>
    <w:rsid w:val="00A7616D"/>
    <w:rsid w:val="00A7677A"/>
    <w:rsid w:val="00A769D5"/>
    <w:rsid w:val="00A777BF"/>
    <w:rsid w:val="00A77AB0"/>
    <w:rsid w:val="00A80269"/>
    <w:rsid w:val="00A802C3"/>
    <w:rsid w:val="00A80E79"/>
    <w:rsid w:val="00A81608"/>
    <w:rsid w:val="00A81DAA"/>
    <w:rsid w:val="00A82467"/>
    <w:rsid w:val="00A82AAE"/>
    <w:rsid w:val="00A838C6"/>
    <w:rsid w:val="00A83FF4"/>
    <w:rsid w:val="00A840C5"/>
    <w:rsid w:val="00A84116"/>
    <w:rsid w:val="00A84722"/>
    <w:rsid w:val="00A84C1E"/>
    <w:rsid w:val="00A851DE"/>
    <w:rsid w:val="00A85230"/>
    <w:rsid w:val="00A855C2"/>
    <w:rsid w:val="00A855D0"/>
    <w:rsid w:val="00A85867"/>
    <w:rsid w:val="00A86E6C"/>
    <w:rsid w:val="00A872EA"/>
    <w:rsid w:val="00A874BC"/>
    <w:rsid w:val="00A877CC"/>
    <w:rsid w:val="00A909D0"/>
    <w:rsid w:val="00A90C0E"/>
    <w:rsid w:val="00A91047"/>
    <w:rsid w:val="00A9135B"/>
    <w:rsid w:val="00A918E4"/>
    <w:rsid w:val="00A928CD"/>
    <w:rsid w:val="00A92EA3"/>
    <w:rsid w:val="00A93024"/>
    <w:rsid w:val="00A93048"/>
    <w:rsid w:val="00A93411"/>
    <w:rsid w:val="00A93DC1"/>
    <w:rsid w:val="00A9471F"/>
    <w:rsid w:val="00A94AFF"/>
    <w:rsid w:val="00A94F65"/>
    <w:rsid w:val="00A9523C"/>
    <w:rsid w:val="00A9576D"/>
    <w:rsid w:val="00A9580B"/>
    <w:rsid w:val="00A9598D"/>
    <w:rsid w:val="00A96464"/>
    <w:rsid w:val="00A96717"/>
    <w:rsid w:val="00A9728B"/>
    <w:rsid w:val="00A972A8"/>
    <w:rsid w:val="00A972E3"/>
    <w:rsid w:val="00A9743F"/>
    <w:rsid w:val="00A97478"/>
    <w:rsid w:val="00A97908"/>
    <w:rsid w:val="00A97DBF"/>
    <w:rsid w:val="00AA15EF"/>
    <w:rsid w:val="00AA1CCE"/>
    <w:rsid w:val="00AA1E6B"/>
    <w:rsid w:val="00AA1E79"/>
    <w:rsid w:val="00AA1FE3"/>
    <w:rsid w:val="00AA25C2"/>
    <w:rsid w:val="00AA2B3E"/>
    <w:rsid w:val="00AA2D76"/>
    <w:rsid w:val="00AA3291"/>
    <w:rsid w:val="00AA426D"/>
    <w:rsid w:val="00AA452A"/>
    <w:rsid w:val="00AA51EC"/>
    <w:rsid w:val="00AA5540"/>
    <w:rsid w:val="00AA55D5"/>
    <w:rsid w:val="00AA60ED"/>
    <w:rsid w:val="00AA6E98"/>
    <w:rsid w:val="00AB004F"/>
    <w:rsid w:val="00AB02CA"/>
    <w:rsid w:val="00AB053F"/>
    <w:rsid w:val="00AB0686"/>
    <w:rsid w:val="00AB0E3E"/>
    <w:rsid w:val="00AB10A3"/>
    <w:rsid w:val="00AB1577"/>
    <w:rsid w:val="00AB15B4"/>
    <w:rsid w:val="00AB23A5"/>
    <w:rsid w:val="00AB2AF4"/>
    <w:rsid w:val="00AB2E11"/>
    <w:rsid w:val="00AB34CC"/>
    <w:rsid w:val="00AB34FD"/>
    <w:rsid w:val="00AB3B9D"/>
    <w:rsid w:val="00AB402B"/>
    <w:rsid w:val="00AB43F5"/>
    <w:rsid w:val="00AB448D"/>
    <w:rsid w:val="00AB44BF"/>
    <w:rsid w:val="00AB4B30"/>
    <w:rsid w:val="00AB52E0"/>
    <w:rsid w:val="00AB541E"/>
    <w:rsid w:val="00AB5988"/>
    <w:rsid w:val="00AB5A48"/>
    <w:rsid w:val="00AB5E56"/>
    <w:rsid w:val="00AB64C8"/>
    <w:rsid w:val="00AB6C90"/>
    <w:rsid w:val="00AB72A8"/>
    <w:rsid w:val="00AB7C53"/>
    <w:rsid w:val="00AB7DC1"/>
    <w:rsid w:val="00AB7ED9"/>
    <w:rsid w:val="00AC0473"/>
    <w:rsid w:val="00AC172D"/>
    <w:rsid w:val="00AC1DDE"/>
    <w:rsid w:val="00AC2069"/>
    <w:rsid w:val="00AC2481"/>
    <w:rsid w:val="00AC24B8"/>
    <w:rsid w:val="00AC278C"/>
    <w:rsid w:val="00AC2978"/>
    <w:rsid w:val="00AC2B54"/>
    <w:rsid w:val="00AC2F8D"/>
    <w:rsid w:val="00AC350C"/>
    <w:rsid w:val="00AC3535"/>
    <w:rsid w:val="00AC3571"/>
    <w:rsid w:val="00AC373E"/>
    <w:rsid w:val="00AC37C2"/>
    <w:rsid w:val="00AC3E07"/>
    <w:rsid w:val="00AC3ED9"/>
    <w:rsid w:val="00AC407D"/>
    <w:rsid w:val="00AC4FB1"/>
    <w:rsid w:val="00AC572A"/>
    <w:rsid w:val="00AC5C0F"/>
    <w:rsid w:val="00AC6102"/>
    <w:rsid w:val="00AC62B1"/>
    <w:rsid w:val="00AC670F"/>
    <w:rsid w:val="00AC6784"/>
    <w:rsid w:val="00AD018F"/>
    <w:rsid w:val="00AD0B24"/>
    <w:rsid w:val="00AD0C8B"/>
    <w:rsid w:val="00AD10D6"/>
    <w:rsid w:val="00AD1209"/>
    <w:rsid w:val="00AD1569"/>
    <w:rsid w:val="00AD162D"/>
    <w:rsid w:val="00AD29EA"/>
    <w:rsid w:val="00AD397B"/>
    <w:rsid w:val="00AD3C40"/>
    <w:rsid w:val="00AD3D3F"/>
    <w:rsid w:val="00AD40BA"/>
    <w:rsid w:val="00AD43E5"/>
    <w:rsid w:val="00AD46A7"/>
    <w:rsid w:val="00AD46FA"/>
    <w:rsid w:val="00AD4ABC"/>
    <w:rsid w:val="00AD4CD7"/>
    <w:rsid w:val="00AD5B32"/>
    <w:rsid w:val="00AD5BAE"/>
    <w:rsid w:val="00AD5EFE"/>
    <w:rsid w:val="00AD5FE3"/>
    <w:rsid w:val="00AD7135"/>
    <w:rsid w:val="00AD723D"/>
    <w:rsid w:val="00AD73EF"/>
    <w:rsid w:val="00AD771A"/>
    <w:rsid w:val="00AD7CA4"/>
    <w:rsid w:val="00AD7E75"/>
    <w:rsid w:val="00AE0018"/>
    <w:rsid w:val="00AE00D9"/>
    <w:rsid w:val="00AE07CC"/>
    <w:rsid w:val="00AE08F3"/>
    <w:rsid w:val="00AE0D35"/>
    <w:rsid w:val="00AE0DD3"/>
    <w:rsid w:val="00AE21DE"/>
    <w:rsid w:val="00AE251A"/>
    <w:rsid w:val="00AE2E8A"/>
    <w:rsid w:val="00AE2F27"/>
    <w:rsid w:val="00AE3171"/>
    <w:rsid w:val="00AE3267"/>
    <w:rsid w:val="00AE3353"/>
    <w:rsid w:val="00AE349D"/>
    <w:rsid w:val="00AE3B23"/>
    <w:rsid w:val="00AE40D2"/>
    <w:rsid w:val="00AE40DD"/>
    <w:rsid w:val="00AE41C4"/>
    <w:rsid w:val="00AE4410"/>
    <w:rsid w:val="00AE52BA"/>
    <w:rsid w:val="00AE54E1"/>
    <w:rsid w:val="00AE5857"/>
    <w:rsid w:val="00AE594F"/>
    <w:rsid w:val="00AE6B91"/>
    <w:rsid w:val="00AE73B9"/>
    <w:rsid w:val="00AE797E"/>
    <w:rsid w:val="00AE79B8"/>
    <w:rsid w:val="00AE7D6E"/>
    <w:rsid w:val="00AF059E"/>
    <w:rsid w:val="00AF0B33"/>
    <w:rsid w:val="00AF19E9"/>
    <w:rsid w:val="00AF1EF3"/>
    <w:rsid w:val="00AF1F16"/>
    <w:rsid w:val="00AF20B9"/>
    <w:rsid w:val="00AF20C4"/>
    <w:rsid w:val="00AF2DB0"/>
    <w:rsid w:val="00AF2EBB"/>
    <w:rsid w:val="00AF309F"/>
    <w:rsid w:val="00AF3114"/>
    <w:rsid w:val="00AF4107"/>
    <w:rsid w:val="00AF461A"/>
    <w:rsid w:val="00AF4E2A"/>
    <w:rsid w:val="00AF5574"/>
    <w:rsid w:val="00AF697A"/>
    <w:rsid w:val="00AF6BCD"/>
    <w:rsid w:val="00AF7209"/>
    <w:rsid w:val="00AF736A"/>
    <w:rsid w:val="00AF7541"/>
    <w:rsid w:val="00AF7B85"/>
    <w:rsid w:val="00AF7DE6"/>
    <w:rsid w:val="00B0013D"/>
    <w:rsid w:val="00B00617"/>
    <w:rsid w:val="00B0070D"/>
    <w:rsid w:val="00B0075D"/>
    <w:rsid w:val="00B00773"/>
    <w:rsid w:val="00B0090C"/>
    <w:rsid w:val="00B00E33"/>
    <w:rsid w:val="00B00E50"/>
    <w:rsid w:val="00B00FEB"/>
    <w:rsid w:val="00B01158"/>
    <w:rsid w:val="00B01525"/>
    <w:rsid w:val="00B0170F"/>
    <w:rsid w:val="00B01FD0"/>
    <w:rsid w:val="00B0226C"/>
    <w:rsid w:val="00B02E6A"/>
    <w:rsid w:val="00B02F55"/>
    <w:rsid w:val="00B034AD"/>
    <w:rsid w:val="00B03747"/>
    <w:rsid w:val="00B037F6"/>
    <w:rsid w:val="00B0396B"/>
    <w:rsid w:val="00B04062"/>
    <w:rsid w:val="00B05386"/>
    <w:rsid w:val="00B05D7D"/>
    <w:rsid w:val="00B06139"/>
    <w:rsid w:val="00B065CB"/>
    <w:rsid w:val="00B068D9"/>
    <w:rsid w:val="00B06A7F"/>
    <w:rsid w:val="00B072B7"/>
    <w:rsid w:val="00B078E1"/>
    <w:rsid w:val="00B078F9"/>
    <w:rsid w:val="00B07BE2"/>
    <w:rsid w:val="00B1083F"/>
    <w:rsid w:val="00B1092D"/>
    <w:rsid w:val="00B10EB2"/>
    <w:rsid w:val="00B110AD"/>
    <w:rsid w:val="00B117E1"/>
    <w:rsid w:val="00B12743"/>
    <w:rsid w:val="00B12A22"/>
    <w:rsid w:val="00B12ECD"/>
    <w:rsid w:val="00B131BF"/>
    <w:rsid w:val="00B136A0"/>
    <w:rsid w:val="00B136E6"/>
    <w:rsid w:val="00B13FE6"/>
    <w:rsid w:val="00B14015"/>
    <w:rsid w:val="00B14323"/>
    <w:rsid w:val="00B144D3"/>
    <w:rsid w:val="00B14A5B"/>
    <w:rsid w:val="00B15083"/>
    <w:rsid w:val="00B1564C"/>
    <w:rsid w:val="00B164F8"/>
    <w:rsid w:val="00B165A0"/>
    <w:rsid w:val="00B16B91"/>
    <w:rsid w:val="00B172E8"/>
    <w:rsid w:val="00B1752D"/>
    <w:rsid w:val="00B17600"/>
    <w:rsid w:val="00B17869"/>
    <w:rsid w:val="00B20DED"/>
    <w:rsid w:val="00B217FF"/>
    <w:rsid w:val="00B21918"/>
    <w:rsid w:val="00B21DF7"/>
    <w:rsid w:val="00B22095"/>
    <w:rsid w:val="00B222BE"/>
    <w:rsid w:val="00B22853"/>
    <w:rsid w:val="00B22FA0"/>
    <w:rsid w:val="00B238C1"/>
    <w:rsid w:val="00B23B37"/>
    <w:rsid w:val="00B23B4D"/>
    <w:rsid w:val="00B23BE7"/>
    <w:rsid w:val="00B240C7"/>
    <w:rsid w:val="00B24325"/>
    <w:rsid w:val="00B24791"/>
    <w:rsid w:val="00B257D9"/>
    <w:rsid w:val="00B25A4D"/>
    <w:rsid w:val="00B2727F"/>
    <w:rsid w:val="00B272B6"/>
    <w:rsid w:val="00B27EBF"/>
    <w:rsid w:val="00B3017B"/>
    <w:rsid w:val="00B301AC"/>
    <w:rsid w:val="00B30EE8"/>
    <w:rsid w:val="00B3134E"/>
    <w:rsid w:val="00B313A1"/>
    <w:rsid w:val="00B319C4"/>
    <w:rsid w:val="00B31DBA"/>
    <w:rsid w:val="00B325F3"/>
    <w:rsid w:val="00B32E58"/>
    <w:rsid w:val="00B33346"/>
    <w:rsid w:val="00B338AF"/>
    <w:rsid w:val="00B33EB9"/>
    <w:rsid w:val="00B340C9"/>
    <w:rsid w:val="00B34A2D"/>
    <w:rsid w:val="00B34A51"/>
    <w:rsid w:val="00B34F03"/>
    <w:rsid w:val="00B3501A"/>
    <w:rsid w:val="00B35471"/>
    <w:rsid w:val="00B3610D"/>
    <w:rsid w:val="00B36549"/>
    <w:rsid w:val="00B368F5"/>
    <w:rsid w:val="00B36FC8"/>
    <w:rsid w:val="00B37F99"/>
    <w:rsid w:val="00B404DF"/>
    <w:rsid w:val="00B40652"/>
    <w:rsid w:val="00B40A4F"/>
    <w:rsid w:val="00B41088"/>
    <w:rsid w:val="00B41253"/>
    <w:rsid w:val="00B41F4A"/>
    <w:rsid w:val="00B425A4"/>
    <w:rsid w:val="00B42822"/>
    <w:rsid w:val="00B42B40"/>
    <w:rsid w:val="00B42D65"/>
    <w:rsid w:val="00B43213"/>
    <w:rsid w:val="00B434D4"/>
    <w:rsid w:val="00B43F66"/>
    <w:rsid w:val="00B4463C"/>
    <w:rsid w:val="00B452A7"/>
    <w:rsid w:val="00B4754E"/>
    <w:rsid w:val="00B4759F"/>
    <w:rsid w:val="00B47669"/>
    <w:rsid w:val="00B4779E"/>
    <w:rsid w:val="00B47B86"/>
    <w:rsid w:val="00B47D01"/>
    <w:rsid w:val="00B47FB4"/>
    <w:rsid w:val="00B5030E"/>
    <w:rsid w:val="00B5158D"/>
    <w:rsid w:val="00B5178D"/>
    <w:rsid w:val="00B51797"/>
    <w:rsid w:val="00B51BB4"/>
    <w:rsid w:val="00B51C0F"/>
    <w:rsid w:val="00B51C8A"/>
    <w:rsid w:val="00B51CBB"/>
    <w:rsid w:val="00B51F18"/>
    <w:rsid w:val="00B52A1A"/>
    <w:rsid w:val="00B52ED1"/>
    <w:rsid w:val="00B52EE3"/>
    <w:rsid w:val="00B53067"/>
    <w:rsid w:val="00B532A6"/>
    <w:rsid w:val="00B5344E"/>
    <w:rsid w:val="00B534F1"/>
    <w:rsid w:val="00B536B5"/>
    <w:rsid w:val="00B53B37"/>
    <w:rsid w:val="00B53C0D"/>
    <w:rsid w:val="00B540E3"/>
    <w:rsid w:val="00B5483B"/>
    <w:rsid w:val="00B5545D"/>
    <w:rsid w:val="00B55AB9"/>
    <w:rsid w:val="00B55BC6"/>
    <w:rsid w:val="00B55C18"/>
    <w:rsid w:val="00B567B5"/>
    <w:rsid w:val="00B56831"/>
    <w:rsid w:val="00B56C40"/>
    <w:rsid w:val="00B56ECA"/>
    <w:rsid w:val="00B5747B"/>
    <w:rsid w:val="00B5789A"/>
    <w:rsid w:val="00B57F89"/>
    <w:rsid w:val="00B60587"/>
    <w:rsid w:val="00B60DE4"/>
    <w:rsid w:val="00B60E6A"/>
    <w:rsid w:val="00B60EF7"/>
    <w:rsid w:val="00B616B6"/>
    <w:rsid w:val="00B616C5"/>
    <w:rsid w:val="00B61F61"/>
    <w:rsid w:val="00B622FE"/>
    <w:rsid w:val="00B62C28"/>
    <w:rsid w:val="00B62FBC"/>
    <w:rsid w:val="00B63252"/>
    <w:rsid w:val="00B63688"/>
    <w:rsid w:val="00B63A47"/>
    <w:rsid w:val="00B63A6B"/>
    <w:rsid w:val="00B643BD"/>
    <w:rsid w:val="00B6473B"/>
    <w:rsid w:val="00B64B05"/>
    <w:rsid w:val="00B65370"/>
    <w:rsid w:val="00B65AFC"/>
    <w:rsid w:val="00B65E0F"/>
    <w:rsid w:val="00B66F47"/>
    <w:rsid w:val="00B67E61"/>
    <w:rsid w:val="00B7012C"/>
    <w:rsid w:val="00B702D8"/>
    <w:rsid w:val="00B70627"/>
    <w:rsid w:val="00B7160C"/>
    <w:rsid w:val="00B71A17"/>
    <w:rsid w:val="00B71B90"/>
    <w:rsid w:val="00B71CB3"/>
    <w:rsid w:val="00B7208B"/>
    <w:rsid w:val="00B72337"/>
    <w:rsid w:val="00B726F3"/>
    <w:rsid w:val="00B72ADC"/>
    <w:rsid w:val="00B72F18"/>
    <w:rsid w:val="00B72F1E"/>
    <w:rsid w:val="00B72F6D"/>
    <w:rsid w:val="00B72F79"/>
    <w:rsid w:val="00B736D3"/>
    <w:rsid w:val="00B7394A"/>
    <w:rsid w:val="00B74581"/>
    <w:rsid w:val="00B7472C"/>
    <w:rsid w:val="00B748DC"/>
    <w:rsid w:val="00B75D89"/>
    <w:rsid w:val="00B76069"/>
    <w:rsid w:val="00B7618C"/>
    <w:rsid w:val="00B761C7"/>
    <w:rsid w:val="00B76285"/>
    <w:rsid w:val="00B76A56"/>
    <w:rsid w:val="00B76B65"/>
    <w:rsid w:val="00B76D33"/>
    <w:rsid w:val="00B77496"/>
    <w:rsid w:val="00B776B7"/>
    <w:rsid w:val="00B776F4"/>
    <w:rsid w:val="00B77D0C"/>
    <w:rsid w:val="00B80022"/>
    <w:rsid w:val="00B80049"/>
    <w:rsid w:val="00B800E1"/>
    <w:rsid w:val="00B800F0"/>
    <w:rsid w:val="00B80BC3"/>
    <w:rsid w:val="00B8103B"/>
    <w:rsid w:val="00B81238"/>
    <w:rsid w:val="00B812F6"/>
    <w:rsid w:val="00B8158F"/>
    <w:rsid w:val="00B81A57"/>
    <w:rsid w:val="00B81C97"/>
    <w:rsid w:val="00B81D05"/>
    <w:rsid w:val="00B81E0D"/>
    <w:rsid w:val="00B8212B"/>
    <w:rsid w:val="00B82BD0"/>
    <w:rsid w:val="00B83071"/>
    <w:rsid w:val="00B83BCF"/>
    <w:rsid w:val="00B83C59"/>
    <w:rsid w:val="00B84266"/>
    <w:rsid w:val="00B847AF"/>
    <w:rsid w:val="00B8560C"/>
    <w:rsid w:val="00B85993"/>
    <w:rsid w:val="00B860A8"/>
    <w:rsid w:val="00B86730"/>
    <w:rsid w:val="00B86A23"/>
    <w:rsid w:val="00B87323"/>
    <w:rsid w:val="00B87432"/>
    <w:rsid w:val="00B878DE"/>
    <w:rsid w:val="00B87C99"/>
    <w:rsid w:val="00B9092D"/>
    <w:rsid w:val="00B90B54"/>
    <w:rsid w:val="00B90E68"/>
    <w:rsid w:val="00B91890"/>
    <w:rsid w:val="00B935A4"/>
    <w:rsid w:val="00B93FDB"/>
    <w:rsid w:val="00B948B8"/>
    <w:rsid w:val="00B948D3"/>
    <w:rsid w:val="00B94CEB"/>
    <w:rsid w:val="00B94FE2"/>
    <w:rsid w:val="00B95197"/>
    <w:rsid w:val="00B952DC"/>
    <w:rsid w:val="00B959B6"/>
    <w:rsid w:val="00B96220"/>
    <w:rsid w:val="00B96890"/>
    <w:rsid w:val="00B96C77"/>
    <w:rsid w:val="00B96FF5"/>
    <w:rsid w:val="00BA0245"/>
    <w:rsid w:val="00BA0C20"/>
    <w:rsid w:val="00BA0DE2"/>
    <w:rsid w:val="00BA1007"/>
    <w:rsid w:val="00BA1076"/>
    <w:rsid w:val="00BA17C6"/>
    <w:rsid w:val="00BA18A9"/>
    <w:rsid w:val="00BA26B2"/>
    <w:rsid w:val="00BA26F0"/>
    <w:rsid w:val="00BA289B"/>
    <w:rsid w:val="00BA2946"/>
    <w:rsid w:val="00BA332D"/>
    <w:rsid w:val="00BA3584"/>
    <w:rsid w:val="00BA3E0D"/>
    <w:rsid w:val="00BA3E9B"/>
    <w:rsid w:val="00BA3FCE"/>
    <w:rsid w:val="00BA4392"/>
    <w:rsid w:val="00BA57B9"/>
    <w:rsid w:val="00BA5877"/>
    <w:rsid w:val="00BA5A43"/>
    <w:rsid w:val="00BA5D30"/>
    <w:rsid w:val="00BA642A"/>
    <w:rsid w:val="00BA6842"/>
    <w:rsid w:val="00BA6911"/>
    <w:rsid w:val="00BA6CF9"/>
    <w:rsid w:val="00BA6EAD"/>
    <w:rsid w:val="00BA7159"/>
    <w:rsid w:val="00BA7954"/>
    <w:rsid w:val="00BB052E"/>
    <w:rsid w:val="00BB09E4"/>
    <w:rsid w:val="00BB124E"/>
    <w:rsid w:val="00BB1A40"/>
    <w:rsid w:val="00BB1F91"/>
    <w:rsid w:val="00BB2545"/>
    <w:rsid w:val="00BB27D6"/>
    <w:rsid w:val="00BB2983"/>
    <w:rsid w:val="00BB2E64"/>
    <w:rsid w:val="00BB366D"/>
    <w:rsid w:val="00BB3714"/>
    <w:rsid w:val="00BB3DC3"/>
    <w:rsid w:val="00BB3F94"/>
    <w:rsid w:val="00BB5008"/>
    <w:rsid w:val="00BB536A"/>
    <w:rsid w:val="00BB54C8"/>
    <w:rsid w:val="00BB5B2D"/>
    <w:rsid w:val="00BB5B5D"/>
    <w:rsid w:val="00BB5EE9"/>
    <w:rsid w:val="00BB6505"/>
    <w:rsid w:val="00BB7175"/>
    <w:rsid w:val="00BB7645"/>
    <w:rsid w:val="00BB7A9F"/>
    <w:rsid w:val="00BB7D23"/>
    <w:rsid w:val="00BC03F1"/>
    <w:rsid w:val="00BC0480"/>
    <w:rsid w:val="00BC0839"/>
    <w:rsid w:val="00BC0CFD"/>
    <w:rsid w:val="00BC38F6"/>
    <w:rsid w:val="00BC4F23"/>
    <w:rsid w:val="00BC51D4"/>
    <w:rsid w:val="00BC539B"/>
    <w:rsid w:val="00BC58B7"/>
    <w:rsid w:val="00BC608B"/>
    <w:rsid w:val="00BC6322"/>
    <w:rsid w:val="00BC63A1"/>
    <w:rsid w:val="00BC6407"/>
    <w:rsid w:val="00BC66BB"/>
    <w:rsid w:val="00BC69F4"/>
    <w:rsid w:val="00BC6EC7"/>
    <w:rsid w:val="00BC7383"/>
    <w:rsid w:val="00BD00AF"/>
    <w:rsid w:val="00BD0BC9"/>
    <w:rsid w:val="00BD1330"/>
    <w:rsid w:val="00BD182F"/>
    <w:rsid w:val="00BD1D34"/>
    <w:rsid w:val="00BD2423"/>
    <w:rsid w:val="00BD25D5"/>
    <w:rsid w:val="00BD2FF6"/>
    <w:rsid w:val="00BD3B5D"/>
    <w:rsid w:val="00BD3FA5"/>
    <w:rsid w:val="00BD3FAA"/>
    <w:rsid w:val="00BD44A1"/>
    <w:rsid w:val="00BD4534"/>
    <w:rsid w:val="00BD47D7"/>
    <w:rsid w:val="00BD4847"/>
    <w:rsid w:val="00BD4925"/>
    <w:rsid w:val="00BD4B2D"/>
    <w:rsid w:val="00BD4B86"/>
    <w:rsid w:val="00BD4DD0"/>
    <w:rsid w:val="00BD4F3C"/>
    <w:rsid w:val="00BD520C"/>
    <w:rsid w:val="00BD5C13"/>
    <w:rsid w:val="00BD71E1"/>
    <w:rsid w:val="00BD7D52"/>
    <w:rsid w:val="00BD7F72"/>
    <w:rsid w:val="00BE04E9"/>
    <w:rsid w:val="00BE0741"/>
    <w:rsid w:val="00BE083C"/>
    <w:rsid w:val="00BE0AEB"/>
    <w:rsid w:val="00BE0D0C"/>
    <w:rsid w:val="00BE1179"/>
    <w:rsid w:val="00BE2D4B"/>
    <w:rsid w:val="00BE3022"/>
    <w:rsid w:val="00BE4135"/>
    <w:rsid w:val="00BE42EB"/>
    <w:rsid w:val="00BE441B"/>
    <w:rsid w:val="00BE4588"/>
    <w:rsid w:val="00BE4924"/>
    <w:rsid w:val="00BE4EE5"/>
    <w:rsid w:val="00BE516C"/>
    <w:rsid w:val="00BE5318"/>
    <w:rsid w:val="00BE561B"/>
    <w:rsid w:val="00BE5EF2"/>
    <w:rsid w:val="00BE6256"/>
    <w:rsid w:val="00BE6988"/>
    <w:rsid w:val="00BE6AB4"/>
    <w:rsid w:val="00BE6B82"/>
    <w:rsid w:val="00BE6C2C"/>
    <w:rsid w:val="00BE7665"/>
    <w:rsid w:val="00BE7845"/>
    <w:rsid w:val="00BF1385"/>
    <w:rsid w:val="00BF1491"/>
    <w:rsid w:val="00BF213C"/>
    <w:rsid w:val="00BF258C"/>
    <w:rsid w:val="00BF2869"/>
    <w:rsid w:val="00BF2D7A"/>
    <w:rsid w:val="00BF303A"/>
    <w:rsid w:val="00BF3A9F"/>
    <w:rsid w:val="00BF3D4E"/>
    <w:rsid w:val="00BF3E84"/>
    <w:rsid w:val="00BF4501"/>
    <w:rsid w:val="00BF48C2"/>
    <w:rsid w:val="00BF52F0"/>
    <w:rsid w:val="00BF5B63"/>
    <w:rsid w:val="00BF5FDA"/>
    <w:rsid w:val="00BF6087"/>
    <w:rsid w:val="00BF6194"/>
    <w:rsid w:val="00BF6D1A"/>
    <w:rsid w:val="00BF6F04"/>
    <w:rsid w:val="00BF71D9"/>
    <w:rsid w:val="00C00837"/>
    <w:rsid w:val="00C00B3A"/>
    <w:rsid w:val="00C00CC4"/>
    <w:rsid w:val="00C0155D"/>
    <w:rsid w:val="00C01590"/>
    <w:rsid w:val="00C01AF0"/>
    <w:rsid w:val="00C01EE4"/>
    <w:rsid w:val="00C022DD"/>
    <w:rsid w:val="00C03112"/>
    <w:rsid w:val="00C0395B"/>
    <w:rsid w:val="00C03D25"/>
    <w:rsid w:val="00C03EC6"/>
    <w:rsid w:val="00C03FD8"/>
    <w:rsid w:val="00C0406B"/>
    <w:rsid w:val="00C04535"/>
    <w:rsid w:val="00C04B94"/>
    <w:rsid w:val="00C055F7"/>
    <w:rsid w:val="00C0576F"/>
    <w:rsid w:val="00C05CB4"/>
    <w:rsid w:val="00C06B5F"/>
    <w:rsid w:val="00C06C59"/>
    <w:rsid w:val="00C07103"/>
    <w:rsid w:val="00C07A40"/>
    <w:rsid w:val="00C07CCD"/>
    <w:rsid w:val="00C10181"/>
    <w:rsid w:val="00C10263"/>
    <w:rsid w:val="00C107CF"/>
    <w:rsid w:val="00C10860"/>
    <w:rsid w:val="00C10F89"/>
    <w:rsid w:val="00C126CA"/>
    <w:rsid w:val="00C12871"/>
    <w:rsid w:val="00C1287A"/>
    <w:rsid w:val="00C13992"/>
    <w:rsid w:val="00C14620"/>
    <w:rsid w:val="00C14AD5"/>
    <w:rsid w:val="00C150FF"/>
    <w:rsid w:val="00C157BB"/>
    <w:rsid w:val="00C15A2A"/>
    <w:rsid w:val="00C15CDF"/>
    <w:rsid w:val="00C16D41"/>
    <w:rsid w:val="00C16EAE"/>
    <w:rsid w:val="00C17118"/>
    <w:rsid w:val="00C17A94"/>
    <w:rsid w:val="00C17C7F"/>
    <w:rsid w:val="00C17FD1"/>
    <w:rsid w:val="00C20D44"/>
    <w:rsid w:val="00C212B1"/>
    <w:rsid w:val="00C2169A"/>
    <w:rsid w:val="00C21F17"/>
    <w:rsid w:val="00C22193"/>
    <w:rsid w:val="00C228EE"/>
    <w:rsid w:val="00C22B91"/>
    <w:rsid w:val="00C23295"/>
    <w:rsid w:val="00C23314"/>
    <w:rsid w:val="00C237B3"/>
    <w:rsid w:val="00C23EB0"/>
    <w:rsid w:val="00C2427D"/>
    <w:rsid w:val="00C2429B"/>
    <w:rsid w:val="00C242A2"/>
    <w:rsid w:val="00C2443F"/>
    <w:rsid w:val="00C255E1"/>
    <w:rsid w:val="00C25FD7"/>
    <w:rsid w:val="00C26124"/>
    <w:rsid w:val="00C2658C"/>
    <w:rsid w:val="00C273B5"/>
    <w:rsid w:val="00C275E4"/>
    <w:rsid w:val="00C2764C"/>
    <w:rsid w:val="00C27C1F"/>
    <w:rsid w:val="00C300FC"/>
    <w:rsid w:val="00C308E5"/>
    <w:rsid w:val="00C309D5"/>
    <w:rsid w:val="00C31661"/>
    <w:rsid w:val="00C3204C"/>
    <w:rsid w:val="00C32366"/>
    <w:rsid w:val="00C323AC"/>
    <w:rsid w:val="00C33528"/>
    <w:rsid w:val="00C337EA"/>
    <w:rsid w:val="00C33F7F"/>
    <w:rsid w:val="00C345BC"/>
    <w:rsid w:val="00C35142"/>
    <w:rsid w:val="00C35414"/>
    <w:rsid w:val="00C35826"/>
    <w:rsid w:val="00C35C16"/>
    <w:rsid w:val="00C36757"/>
    <w:rsid w:val="00C3684D"/>
    <w:rsid w:val="00C36B59"/>
    <w:rsid w:val="00C36BAF"/>
    <w:rsid w:val="00C36F9B"/>
    <w:rsid w:val="00C37223"/>
    <w:rsid w:val="00C37573"/>
    <w:rsid w:val="00C37602"/>
    <w:rsid w:val="00C37EEB"/>
    <w:rsid w:val="00C4036D"/>
    <w:rsid w:val="00C41207"/>
    <w:rsid w:val="00C41791"/>
    <w:rsid w:val="00C418A3"/>
    <w:rsid w:val="00C41D9F"/>
    <w:rsid w:val="00C41DC9"/>
    <w:rsid w:val="00C421F8"/>
    <w:rsid w:val="00C42A41"/>
    <w:rsid w:val="00C42B62"/>
    <w:rsid w:val="00C42C33"/>
    <w:rsid w:val="00C42D4F"/>
    <w:rsid w:val="00C42EBD"/>
    <w:rsid w:val="00C42F4D"/>
    <w:rsid w:val="00C43E5B"/>
    <w:rsid w:val="00C43EE3"/>
    <w:rsid w:val="00C4409F"/>
    <w:rsid w:val="00C44C1D"/>
    <w:rsid w:val="00C44DB7"/>
    <w:rsid w:val="00C44E72"/>
    <w:rsid w:val="00C44EF2"/>
    <w:rsid w:val="00C460F8"/>
    <w:rsid w:val="00C463E9"/>
    <w:rsid w:val="00C4684E"/>
    <w:rsid w:val="00C469E3"/>
    <w:rsid w:val="00C46CEE"/>
    <w:rsid w:val="00C46E5B"/>
    <w:rsid w:val="00C47E68"/>
    <w:rsid w:val="00C500E8"/>
    <w:rsid w:val="00C50188"/>
    <w:rsid w:val="00C50302"/>
    <w:rsid w:val="00C50763"/>
    <w:rsid w:val="00C50D3D"/>
    <w:rsid w:val="00C50D51"/>
    <w:rsid w:val="00C510F8"/>
    <w:rsid w:val="00C5153C"/>
    <w:rsid w:val="00C51B88"/>
    <w:rsid w:val="00C51C60"/>
    <w:rsid w:val="00C51C64"/>
    <w:rsid w:val="00C51DD2"/>
    <w:rsid w:val="00C51E8D"/>
    <w:rsid w:val="00C51FAB"/>
    <w:rsid w:val="00C52124"/>
    <w:rsid w:val="00C5235D"/>
    <w:rsid w:val="00C530CD"/>
    <w:rsid w:val="00C53517"/>
    <w:rsid w:val="00C53E86"/>
    <w:rsid w:val="00C54226"/>
    <w:rsid w:val="00C54307"/>
    <w:rsid w:val="00C54699"/>
    <w:rsid w:val="00C54720"/>
    <w:rsid w:val="00C549C2"/>
    <w:rsid w:val="00C54C0F"/>
    <w:rsid w:val="00C551B8"/>
    <w:rsid w:val="00C55736"/>
    <w:rsid w:val="00C55CD6"/>
    <w:rsid w:val="00C55D78"/>
    <w:rsid w:val="00C55DCC"/>
    <w:rsid w:val="00C562BA"/>
    <w:rsid w:val="00C56C4F"/>
    <w:rsid w:val="00C56C8D"/>
    <w:rsid w:val="00C57363"/>
    <w:rsid w:val="00C57556"/>
    <w:rsid w:val="00C5799F"/>
    <w:rsid w:val="00C60DF0"/>
    <w:rsid w:val="00C60E1A"/>
    <w:rsid w:val="00C6184C"/>
    <w:rsid w:val="00C61859"/>
    <w:rsid w:val="00C619BA"/>
    <w:rsid w:val="00C61FDA"/>
    <w:rsid w:val="00C6208A"/>
    <w:rsid w:val="00C62463"/>
    <w:rsid w:val="00C6246B"/>
    <w:rsid w:val="00C62829"/>
    <w:rsid w:val="00C628AF"/>
    <w:rsid w:val="00C62CF0"/>
    <w:rsid w:val="00C62DE2"/>
    <w:rsid w:val="00C63014"/>
    <w:rsid w:val="00C63277"/>
    <w:rsid w:val="00C638C3"/>
    <w:rsid w:val="00C63E35"/>
    <w:rsid w:val="00C63E86"/>
    <w:rsid w:val="00C64111"/>
    <w:rsid w:val="00C64296"/>
    <w:rsid w:val="00C647E5"/>
    <w:rsid w:val="00C64B65"/>
    <w:rsid w:val="00C65A2F"/>
    <w:rsid w:val="00C65C5A"/>
    <w:rsid w:val="00C65F92"/>
    <w:rsid w:val="00C664AF"/>
    <w:rsid w:val="00C67587"/>
    <w:rsid w:val="00C704FA"/>
    <w:rsid w:val="00C70779"/>
    <w:rsid w:val="00C70A84"/>
    <w:rsid w:val="00C70E9E"/>
    <w:rsid w:val="00C714C3"/>
    <w:rsid w:val="00C71DDA"/>
    <w:rsid w:val="00C72044"/>
    <w:rsid w:val="00C7295D"/>
    <w:rsid w:val="00C72B54"/>
    <w:rsid w:val="00C733DE"/>
    <w:rsid w:val="00C744A0"/>
    <w:rsid w:val="00C74A5A"/>
    <w:rsid w:val="00C74D67"/>
    <w:rsid w:val="00C757B2"/>
    <w:rsid w:val="00C75A24"/>
    <w:rsid w:val="00C76244"/>
    <w:rsid w:val="00C767BB"/>
    <w:rsid w:val="00C76C49"/>
    <w:rsid w:val="00C80533"/>
    <w:rsid w:val="00C80F7F"/>
    <w:rsid w:val="00C80FC4"/>
    <w:rsid w:val="00C81BB2"/>
    <w:rsid w:val="00C81BC2"/>
    <w:rsid w:val="00C823AE"/>
    <w:rsid w:val="00C82A9C"/>
    <w:rsid w:val="00C83359"/>
    <w:rsid w:val="00C8356E"/>
    <w:rsid w:val="00C83A80"/>
    <w:rsid w:val="00C83B9A"/>
    <w:rsid w:val="00C83D94"/>
    <w:rsid w:val="00C841EA"/>
    <w:rsid w:val="00C84F66"/>
    <w:rsid w:val="00C8540E"/>
    <w:rsid w:val="00C85578"/>
    <w:rsid w:val="00C85E94"/>
    <w:rsid w:val="00C86228"/>
    <w:rsid w:val="00C8631C"/>
    <w:rsid w:val="00C868C2"/>
    <w:rsid w:val="00C86D42"/>
    <w:rsid w:val="00C8704E"/>
    <w:rsid w:val="00C87E31"/>
    <w:rsid w:val="00C91295"/>
    <w:rsid w:val="00C9140F"/>
    <w:rsid w:val="00C91E73"/>
    <w:rsid w:val="00C9200F"/>
    <w:rsid w:val="00C92289"/>
    <w:rsid w:val="00C9247D"/>
    <w:rsid w:val="00C925D1"/>
    <w:rsid w:val="00C9277E"/>
    <w:rsid w:val="00C92977"/>
    <w:rsid w:val="00C930BA"/>
    <w:rsid w:val="00C9335A"/>
    <w:rsid w:val="00C93A2E"/>
    <w:rsid w:val="00C93AB8"/>
    <w:rsid w:val="00C93C81"/>
    <w:rsid w:val="00C93D4F"/>
    <w:rsid w:val="00C94503"/>
    <w:rsid w:val="00C954AE"/>
    <w:rsid w:val="00C95AB8"/>
    <w:rsid w:val="00C95D80"/>
    <w:rsid w:val="00C95F6B"/>
    <w:rsid w:val="00C9623D"/>
    <w:rsid w:val="00C96C08"/>
    <w:rsid w:val="00C96C35"/>
    <w:rsid w:val="00C973F6"/>
    <w:rsid w:val="00C974AC"/>
    <w:rsid w:val="00C975CE"/>
    <w:rsid w:val="00C97782"/>
    <w:rsid w:val="00C97934"/>
    <w:rsid w:val="00C97A75"/>
    <w:rsid w:val="00CA1B2D"/>
    <w:rsid w:val="00CA1DFF"/>
    <w:rsid w:val="00CA1F18"/>
    <w:rsid w:val="00CA2866"/>
    <w:rsid w:val="00CA302A"/>
    <w:rsid w:val="00CA3C98"/>
    <w:rsid w:val="00CA4231"/>
    <w:rsid w:val="00CA437E"/>
    <w:rsid w:val="00CA45D0"/>
    <w:rsid w:val="00CA46FB"/>
    <w:rsid w:val="00CA479C"/>
    <w:rsid w:val="00CA4DE4"/>
    <w:rsid w:val="00CA5075"/>
    <w:rsid w:val="00CA53A3"/>
    <w:rsid w:val="00CA5BA8"/>
    <w:rsid w:val="00CA5DBE"/>
    <w:rsid w:val="00CA5EAE"/>
    <w:rsid w:val="00CA61E1"/>
    <w:rsid w:val="00CA698F"/>
    <w:rsid w:val="00CA6D4B"/>
    <w:rsid w:val="00CA6E41"/>
    <w:rsid w:val="00CA7046"/>
    <w:rsid w:val="00CB014E"/>
    <w:rsid w:val="00CB072A"/>
    <w:rsid w:val="00CB10F3"/>
    <w:rsid w:val="00CB10FD"/>
    <w:rsid w:val="00CB2B32"/>
    <w:rsid w:val="00CB3FA2"/>
    <w:rsid w:val="00CB4598"/>
    <w:rsid w:val="00CB4844"/>
    <w:rsid w:val="00CB48E8"/>
    <w:rsid w:val="00CB4932"/>
    <w:rsid w:val="00CB4B89"/>
    <w:rsid w:val="00CB5C40"/>
    <w:rsid w:val="00CB5F27"/>
    <w:rsid w:val="00CB6C65"/>
    <w:rsid w:val="00CB7379"/>
    <w:rsid w:val="00CB7CC4"/>
    <w:rsid w:val="00CB7D25"/>
    <w:rsid w:val="00CC030E"/>
    <w:rsid w:val="00CC0790"/>
    <w:rsid w:val="00CC0939"/>
    <w:rsid w:val="00CC1D0D"/>
    <w:rsid w:val="00CC24E5"/>
    <w:rsid w:val="00CC2578"/>
    <w:rsid w:val="00CC28C9"/>
    <w:rsid w:val="00CC2940"/>
    <w:rsid w:val="00CC2BF4"/>
    <w:rsid w:val="00CC2C7E"/>
    <w:rsid w:val="00CC3E8D"/>
    <w:rsid w:val="00CC420C"/>
    <w:rsid w:val="00CC47F5"/>
    <w:rsid w:val="00CC4E16"/>
    <w:rsid w:val="00CC50C2"/>
    <w:rsid w:val="00CC5A19"/>
    <w:rsid w:val="00CC6582"/>
    <w:rsid w:val="00CC669D"/>
    <w:rsid w:val="00CC7056"/>
    <w:rsid w:val="00CC768C"/>
    <w:rsid w:val="00CC7992"/>
    <w:rsid w:val="00CD00A1"/>
    <w:rsid w:val="00CD0611"/>
    <w:rsid w:val="00CD06AA"/>
    <w:rsid w:val="00CD0C5C"/>
    <w:rsid w:val="00CD165C"/>
    <w:rsid w:val="00CD181A"/>
    <w:rsid w:val="00CD236F"/>
    <w:rsid w:val="00CD2A68"/>
    <w:rsid w:val="00CD2E9B"/>
    <w:rsid w:val="00CD3161"/>
    <w:rsid w:val="00CD3421"/>
    <w:rsid w:val="00CD4317"/>
    <w:rsid w:val="00CD4B8F"/>
    <w:rsid w:val="00CD5031"/>
    <w:rsid w:val="00CD51D0"/>
    <w:rsid w:val="00CD569A"/>
    <w:rsid w:val="00CD6A35"/>
    <w:rsid w:val="00CD6B4D"/>
    <w:rsid w:val="00CD6EAD"/>
    <w:rsid w:val="00CD729E"/>
    <w:rsid w:val="00CD74A7"/>
    <w:rsid w:val="00CD7665"/>
    <w:rsid w:val="00CE0039"/>
    <w:rsid w:val="00CE0782"/>
    <w:rsid w:val="00CE1CAC"/>
    <w:rsid w:val="00CE221F"/>
    <w:rsid w:val="00CE275B"/>
    <w:rsid w:val="00CE37DC"/>
    <w:rsid w:val="00CE3C93"/>
    <w:rsid w:val="00CE3CDF"/>
    <w:rsid w:val="00CE4488"/>
    <w:rsid w:val="00CE484C"/>
    <w:rsid w:val="00CE48AF"/>
    <w:rsid w:val="00CE4945"/>
    <w:rsid w:val="00CE4AFC"/>
    <w:rsid w:val="00CE5158"/>
    <w:rsid w:val="00CE73D1"/>
    <w:rsid w:val="00CE7A3E"/>
    <w:rsid w:val="00CF0620"/>
    <w:rsid w:val="00CF07D2"/>
    <w:rsid w:val="00CF1035"/>
    <w:rsid w:val="00CF15D0"/>
    <w:rsid w:val="00CF1D53"/>
    <w:rsid w:val="00CF1EE8"/>
    <w:rsid w:val="00CF2002"/>
    <w:rsid w:val="00CF20F1"/>
    <w:rsid w:val="00CF3389"/>
    <w:rsid w:val="00CF3EB3"/>
    <w:rsid w:val="00CF437B"/>
    <w:rsid w:val="00CF44F8"/>
    <w:rsid w:val="00CF5927"/>
    <w:rsid w:val="00CF59EA"/>
    <w:rsid w:val="00CF5D67"/>
    <w:rsid w:val="00CF6445"/>
    <w:rsid w:val="00CF6AC9"/>
    <w:rsid w:val="00CF6EEB"/>
    <w:rsid w:val="00CF72A1"/>
    <w:rsid w:val="00CF77B1"/>
    <w:rsid w:val="00CF7829"/>
    <w:rsid w:val="00CF7E0D"/>
    <w:rsid w:val="00D0010A"/>
    <w:rsid w:val="00D00880"/>
    <w:rsid w:val="00D008AB"/>
    <w:rsid w:val="00D00A3E"/>
    <w:rsid w:val="00D00F82"/>
    <w:rsid w:val="00D0110C"/>
    <w:rsid w:val="00D013E0"/>
    <w:rsid w:val="00D016E3"/>
    <w:rsid w:val="00D020DD"/>
    <w:rsid w:val="00D021D9"/>
    <w:rsid w:val="00D0280C"/>
    <w:rsid w:val="00D02B9F"/>
    <w:rsid w:val="00D03F7E"/>
    <w:rsid w:val="00D0435B"/>
    <w:rsid w:val="00D043A6"/>
    <w:rsid w:val="00D0484E"/>
    <w:rsid w:val="00D04857"/>
    <w:rsid w:val="00D0500A"/>
    <w:rsid w:val="00D05048"/>
    <w:rsid w:val="00D054D1"/>
    <w:rsid w:val="00D058F3"/>
    <w:rsid w:val="00D05FB5"/>
    <w:rsid w:val="00D06120"/>
    <w:rsid w:val="00D0651D"/>
    <w:rsid w:val="00D06765"/>
    <w:rsid w:val="00D06F2C"/>
    <w:rsid w:val="00D075B2"/>
    <w:rsid w:val="00D079E8"/>
    <w:rsid w:val="00D07B8B"/>
    <w:rsid w:val="00D100A7"/>
    <w:rsid w:val="00D100FF"/>
    <w:rsid w:val="00D1084B"/>
    <w:rsid w:val="00D10A44"/>
    <w:rsid w:val="00D111FB"/>
    <w:rsid w:val="00D113C9"/>
    <w:rsid w:val="00D11A94"/>
    <w:rsid w:val="00D11BAE"/>
    <w:rsid w:val="00D11EE2"/>
    <w:rsid w:val="00D11F29"/>
    <w:rsid w:val="00D12310"/>
    <w:rsid w:val="00D12C87"/>
    <w:rsid w:val="00D13060"/>
    <w:rsid w:val="00D13AF2"/>
    <w:rsid w:val="00D14543"/>
    <w:rsid w:val="00D14A01"/>
    <w:rsid w:val="00D16DEC"/>
    <w:rsid w:val="00D17243"/>
    <w:rsid w:val="00D178ED"/>
    <w:rsid w:val="00D201A9"/>
    <w:rsid w:val="00D201EE"/>
    <w:rsid w:val="00D208C2"/>
    <w:rsid w:val="00D20939"/>
    <w:rsid w:val="00D21202"/>
    <w:rsid w:val="00D21338"/>
    <w:rsid w:val="00D21816"/>
    <w:rsid w:val="00D219DF"/>
    <w:rsid w:val="00D21D13"/>
    <w:rsid w:val="00D22158"/>
    <w:rsid w:val="00D221CA"/>
    <w:rsid w:val="00D22BBF"/>
    <w:rsid w:val="00D22FF9"/>
    <w:rsid w:val="00D23680"/>
    <w:rsid w:val="00D23838"/>
    <w:rsid w:val="00D238EB"/>
    <w:rsid w:val="00D23EC7"/>
    <w:rsid w:val="00D245F4"/>
    <w:rsid w:val="00D247CA"/>
    <w:rsid w:val="00D249AD"/>
    <w:rsid w:val="00D24C4D"/>
    <w:rsid w:val="00D25440"/>
    <w:rsid w:val="00D26090"/>
    <w:rsid w:val="00D27210"/>
    <w:rsid w:val="00D27461"/>
    <w:rsid w:val="00D3017A"/>
    <w:rsid w:val="00D30D91"/>
    <w:rsid w:val="00D31118"/>
    <w:rsid w:val="00D3165D"/>
    <w:rsid w:val="00D316DF"/>
    <w:rsid w:val="00D31C18"/>
    <w:rsid w:val="00D31C52"/>
    <w:rsid w:val="00D31D28"/>
    <w:rsid w:val="00D34128"/>
    <w:rsid w:val="00D3426A"/>
    <w:rsid w:val="00D344F8"/>
    <w:rsid w:val="00D349E5"/>
    <w:rsid w:val="00D34C7D"/>
    <w:rsid w:val="00D357D2"/>
    <w:rsid w:val="00D35DAB"/>
    <w:rsid w:val="00D363E4"/>
    <w:rsid w:val="00D36801"/>
    <w:rsid w:val="00D36FF1"/>
    <w:rsid w:val="00D37699"/>
    <w:rsid w:val="00D37B72"/>
    <w:rsid w:val="00D37E34"/>
    <w:rsid w:val="00D404F6"/>
    <w:rsid w:val="00D40E5B"/>
    <w:rsid w:val="00D4171C"/>
    <w:rsid w:val="00D41A27"/>
    <w:rsid w:val="00D42033"/>
    <w:rsid w:val="00D434A1"/>
    <w:rsid w:val="00D43C73"/>
    <w:rsid w:val="00D44248"/>
    <w:rsid w:val="00D44DD3"/>
    <w:rsid w:val="00D46030"/>
    <w:rsid w:val="00D461A3"/>
    <w:rsid w:val="00D46287"/>
    <w:rsid w:val="00D47654"/>
    <w:rsid w:val="00D47C93"/>
    <w:rsid w:val="00D47DC4"/>
    <w:rsid w:val="00D50620"/>
    <w:rsid w:val="00D51735"/>
    <w:rsid w:val="00D52212"/>
    <w:rsid w:val="00D522D8"/>
    <w:rsid w:val="00D52475"/>
    <w:rsid w:val="00D52CB7"/>
    <w:rsid w:val="00D52EDF"/>
    <w:rsid w:val="00D5362F"/>
    <w:rsid w:val="00D53E7A"/>
    <w:rsid w:val="00D53F19"/>
    <w:rsid w:val="00D53F8A"/>
    <w:rsid w:val="00D546BA"/>
    <w:rsid w:val="00D54AA4"/>
    <w:rsid w:val="00D55B15"/>
    <w:rsid w:val="00D55B49"/>
    <w:rsid w:val="00D560E8"/>
    <w:rsid w:val="00D57D83"/>
    <w:rsid w:val="00D57E55"/>
    <w:rsid w:val="00D57FE6"/>
    <w:rsid w:val="00D60066"/>
    <w:rsid w:val="00D60975"/>
    <w:rsid w:val="00D6110D"/>
    <w:rsid w:val="00D6139B"/>
    <w:rsid w:val="00D613A7"/>
    <w:rsid w:val="00D619FC"/>
    <w:rsid w:val="00D61F0A"/>
    <w:rsid w:val="00D62076"/>
    <w:rsid w:val="00D62293"/>
    <w:rsid w:val="00D62A7B"/>
    <w:rsid w:val="00D62B44"/>
    <w:rsid w:val="00D639A2"/>
    <w:rsid w:val="00D63C0F"/>
    <w:rsid w:val="00D644CA"/>
    <w:rsid w:val="00D65093"/>
    <w:rsid w:val="00D65B73"/>
    <w:rsid w:val="00D66111"/>
    <w:rsid w:val="00D6649A"/>
    <w:rsid w:val="00D66E20"/>
    <w:rsid w:val="00D672FB"/>
    <w:rsid w:val="00D67CFB"/>
    <w:rsid w:val="00D702FB"/>
    <w:rsid w:val="00D7057B"/>
    <w:rsid w:val="00D7057C"/>
    <w:rsid w:val="00D70E61"/>
    <w:rsid w:val="00D710B4"/>
    <w:rsid w:val="00D711CC"/>
    <w:rsid w:val="00D712D9"/>
    <w:rsid w:val="00D715D7"/>
    <w:rsid w:val="00D71645"/>
    <w:rsid w:val="00D7188B"/>
    <w:rsid w:val="00D72A10"/>
    <w:rsid w:val="00D73123"/>
    <w:rsid w:val="00D7373C"/>
    <w:rsid w:val="00D7426E"/>
    <w:rsid w:val="00D7457E"/>
    <w:rsid w:val="00D746AE"/>
    <w:rsid w:val="00D746C1"/>
    <w:rsid w:val="00D74C20"/>
    <w:rsid w:val="00D75BC1"/>
    <w:rsid w:val="00D76315"/>
    <w:rsid w:val="00D76DE1"/>
    <w:rsid w:val="00D76E5E"/>
    <w:rsid w:val="00D773B5"/>
    <w:rsid w:val="00D77441"/>
    <w:rsid w:val="00D80DD2"/>
    <w:rsid w:val="00D81632"/>
    <w:rsid w:val="00D81861"/>
    <w:rsid w:val="00D82CDF"/>
    <w:rsid w:val="00D8303B"/>
    <w:rsid w:val="00D832EC"/>
    <w:rsid w:val="00D83384"/>
    <w:rsid w:val="00D83CA9"/>
    <w:rsid w:val="00D84070"/>
    <w:rsid w:val="00D85001"/>
    <w:rsid w:val="00D857CF"/>
    <w:rsid w:val="00D85940"/>
    <w:rsid w:val="00D85A41"/>
    <w:rsid w:val="00D85B59"/>
    <w:rsid w:val="00D86E80"/>
    <w:rsid w:val="00D870AD"/>
    <w:rsid w:val="00D87156"/>
    <w:rsid w:val="00D8773E"/>
    <w:rsid w:val="00D878E3"/>
    <w:rsid w:val="00D87961"/>
    <w:rsid w:val="00D87D87"/>
    <w:rsid w:val="00D87F85"/>
    <w:rsid w:val="00D87FF6"/>
    <w:rsid w:val="00D90124"/>
    <w:rsid w:val="00D90602"/>
    <w:rsid w:val="00D90A1F"/>
    <w:rsid w:val="00D90D4D"/>
    <w:rsid w:val="00D91345"/>
    <w:rsid w:val="00D913FD"/>
    <w:rsid w:val="00D9170A"/>
    <w:rsid w:val="00D921F2"/>
    <w:rsid w:val="00D9372F"/>
    <w:rsid w:val="00D948C5"/>
    <w:rsid w:val="00D96175"/>
    <w:rsid w:val="00D962B6"/>
    <w:rsid w:val="00D96426"/>
    <w:rsid w:val="00D96802"/>
    <w:rsid w:val="00D96AF0"/>
    <w:rsid w:val="00D96B12"/>
    <w:rsid w:val="00D96C1D"/>
    <w:rsid w:val="00D96D3E"/>
    <w:rsid w:val="00D96E04"/>
    <w:rsid w:val="00D975C6"/>
    <w:rsid w:val="00D97609"/>
    <w:rsid w:val="00D97B12"/>
    <w:rsid w:val="00DA0020"/>
    <w:rsid w:val="00DA0888"/>
    <w:rsid w:val="00DA0C0B"/>
    <w:rsid w:val="00DA190D"/>
    <w:rsid w:val="00DA1B8B"/>
    <w:rsid w:val="00DA251A"/>
    <w:rsid w:val="00DA26F2"/>
    <w:rsid w:val="00DA2A6D"/>
    <w:rsid w:val="00DA2CE7"/>
    <w:rsid w:val="00DA39E8"/>
    <w:rsid w:val="00DA3F35"/>
    <w:rsid w:val="00DA4C1E"/>
    <w:rsid w:val="00DA4E59"/>
    <w:rsid w:val="00DA5235"/>
    <w:rsid w:val="00DA52C7"/>
    <w:rsid w:val="00DA595A"/>
    <w:rsid w:val="00DA59C0"/>
    <w:rsid w:val="00DA6006"/>
    <w:rsid w:val="00DA6300"/>
    <w:rsid w:val="00DA664B"/>
    <w:rsid w:val="00DA67DB"/>
    <w:rsid w:val="00DA6AA9"/>
    <w:rsid w:val="00DA6BC6"/>
    <w:rsid w:val="00DA71A3"/>
    <w:rsid w:val="00DA765F"/>
    <w:rsid w:val="00DA77D6"/>
    <w:rsid w:val="00DA7B6B"/>
    <w:rsid w:val="00DB0292"/>
    <w:rsid w:val="00DB0DB7"/>
    <w:rsid w:val="00DB141E"/>
    <w:rsid w:val="00DB164A"/>
    <w:rsid w:val="00DB1DE1"/>
    <w:rsid w:val="00DB1FD4"/>
    <w:rsid w:val="00DB2190"/>
    <w:rsid w:val="00DB242E"/>
    <w:rsid w:val="00DB3675"/>
    <w:rsid w:val="00DB4467"/>
    <w:rsid w:val="00DB46A7"/>
    <w:rsid w:val="00DB4B3C"/>
    <w:rsid w:val="00DB5414"/>
    <w:rsid w:val="00DB58AA"/>
    <w:rsid w:val="00DB60B1"/>
    <w:rsid w:val="00DB6B28"/>
    <w:rsid w:val="00DB70C6"/>
    <w:rsid w:val="00DB7A73"/>
    <w:rsid w:val="00DB7BCA"/>
    <w:rsid w:val="00DC065A"/>
    <w:rsid w:val="00DC150D"/>
    <w:rsid w:val="00DC1A7A"/>
    <w:rsid w:val="00DC1F45"/>
    <w:rsid w:val="00DC208B"/>
    <w:rsid w:val="00DC24DC"/>
    <w:rsid w:val="00DC25EE"/>
    <w:rsid w:val="00DC2B2F"/>
    <w:rsid w:val="00DC2EC1"/>
    <w:rsid w:val="00DC36D8"/>
    <w:rsid w:val="00DC39A6"/>
    <w:rsid w:val="00DC4317"/>
    <w:rsid w:val="00DC4448"/>
    <w:rsid w:val="00DC47F3"/>
    <w:rsid w:val="00DC56E3"/>
    <w:rsid w:val="00DC5F91"/>
    <w:rsid w:val="00DC5F99"/>
    <w:rsid w:val="00DC5FFA"/>
    <w:rsid w:val="00DC69E3"/>
    <w:rsid w:val="00DC6C24"/>
    <w:rsid w:val="00DC7127"/>
    <w:rsid w:val="00DC787C"/>
    <w:rsid w:val="00DC7A7E"/>
    <w:rsid w:val="00DC7C12"/>
    <w:rsid w:val="00DD01D9"/>
    <w:rsid w:val="00DD0237"/>
    <w:rsid w:val="00DD0465"/>
    <w:rsid w:val="00DD0959"/>
    <w:rsid w:val="00DD12C3"/>
    <w:rsid w:val="00DD1518"/>
    <w:rsid w:val="00DD1B5A"/>
    <w:rsid w:val="00DD2483"/>
    <w:rsid w:val="00DD2CF3"/>
    <w:rsid w:val="00DD30F0"/>
    <w:rsid w:val="00DD3366"/>
    <w:rsid w:val="00DD3750"/>
    <w:rsid w:val="00DD3A9D"/>
    <w:rsid w:val="00DD3C7B"/>
    <w:rsid w:val="00DD3E88"/>
    <w:rsid w:val="00DD3F9B"/>
    <w:rsid w:val="00DD406C"/>
    <w:rsid w:val="00DD421D"/>
    <w:rsid w:val="00DD4485"/>
    <w:rsid w:val="00DD45D4"/>
    <w:rsid w:val="00DD4890"/>
    <w:rsid w:val="00DD4DE2"/>
    <w:rsid w:val="00DD5636"/>
    <w:rsid w:val="00DD642A"/>
    <w:rsid w:val="00DD6D8B"/>
    <w:rsid w:val="00DD767F"/>
    <w:rsid w:val="00DD7C48"/>
    <w:rsid w:val="00DE07BF"/>
    <w:rsid w:val="00DE0A17"/>
    <w:rsid w:val="00DE0A4D"/>
    <w:rsid w:val="00DE0A9A"/>
    <w:rsid w:val="00DE10F8"/>
    <w:rsid w:val="00DE15FA"/>
    <w:rsid w:val="00DE181C"/>
    <w:rsid w:val="00DE2152"/>
    <w:rsid w:val="00DE3AF0"/>
    <w:rsid w:val="00DE3CA5"/>
    <w:rsid w:val="00DE400F"/>
    <w:rsid w:val="00DE456F"/>
    <w:rsid w:val="00DE53B1"/>
    <w:rsid w:val="00DE5771"/>
    <w:rsid w:val="00DE5AA0"/>
    <w:rsid w:val="00DE6003"/>
    <w:rsid w:val="00DE64BF"/>
    <w:rsid w:val="00DE64DC"/>
    <w:rsid w:val="00DE6BDE"/>
    <w:rsid w:val="00DE6F5A"/>
    <w:rsid w:val="00DE71E0"/>
    <w:rsid w:val="00DE7A4D"/>
    <w:rsid w:val="00DF0136"/>
    <w:rsid w:val="00DF0321"/>
    <w:rsid w:val="00DF03E0"/>
    <w:rsid w:val="00DF0E4C"/>
    <w:rsid w:val="00DF16B2"/>
    <w:rsid w:val="00DF1CC4"/>
    <w:rsid w:val="00DF276B"/>
    <w:rsid w:val="00DF2881"/>
    <w:rsid w:val="00DF2CAF"/>
    <w:rsid w:val="00DF2D08"/>
    <w:rsid w:val="00DF2E64"/>
    <w:rsid w:val="00DF3623"/>
    <w:rsid w:val="00DF36A0"/>
    <w:rsid w:val="00DF3D98"/>
    <w:rsid w:val="00DF47B3"/>
    <w:rsid w:val="00DF48AD"/>
    <w:rsid w:val="00DF4B9B"/>
    <w:rsid w:val="00DF52C3"/>
    <w:rsid w:val="00DF537B"/>
    <w:rsid w:val="00DF59BB"/>
    <w:rsid w:val="00DF5A5B"/>
    <w:rsid w:val="00DF60F7"/>
    <w:rsid w:val="00DF681A"/>
    <w:rsid w:val="00DF6A79"/>
    <w:rsid w:val="00DF6D08"/>
    <w:rsid w:val="00DF6D6A"/>
    <w:rsid w:val="00DF7242"/>
    <w:rsid w:val="00DF7974"/>
    <w:rsid w:val="00DF7AE7"/>
    <w:rsid w:val="00DF7E35"/>
    <w:rsid w:val="00E006CC"/>
    <w:rsid w:val="00E0079E"/>
    <w:rsid w:val="00E008F7"/>
    <w:rsid w:val="00E01204"/>
    <w:rsid w:val="00E01854"/>
    <w:rsid w:val="00E019C4"/>
    <w:rsid w:val="00E01B39"/>
    <w:rsid w:val="00E02CB8"/>
    <w:rsid w:val="00E02D05"/>
    <w:rsid w:val="00E02D4A"/>
    <w:rsid w:val="00E02DB3"/>
    <w:rsid w:val="00E03C41"/>
    <w:rsid w:val="00E0416C"/>
    <w:rsid w:val="00E04D82"/>
    <w:rsid w:val="00E054B8"/>
    <w:rsid w:val="00E0582D"/>
    <w:rsid w:val="00E06A91"/>
    <w:rsid w:val="00E06E61"/>
    <w:rsid w:val="00E06E62"/>
    <w:rsid w:val="00E07574"/>
    <w:rsid w:val="00E10C0A"/>
    <w:rsid w:val="00E10C99"/>
    <w:rsid w:val="00E10D37"/>
    <w:rsid w:val="00E111C3"/>
    <w:rsid w:val="00E11309"/>
    <w:rsid w:val="00E11664"/>
    <w:rsid w:val="00E11840"/>
    <w:rsid w:val="00E11914"/>
    <w:rsid w:val="00E11BFA"/>
    <w:rsid w:val="00E11DDB"/>
    <w:rsid w:val="00E134C4"/>
    <w:rsid w:val="00E139F2"/>
    <w:rsid w:val="00E13DFA"/>
    <w:rsid w:val="00E13FE5"/>
    <w:rsid w:val="00E14308"/>
    <w:rsid w:val="00E1472D"/>
    <w:rsid w:val="00E15158"/>
    <w:rsid w:val="00E15168"/>
    <w:rsid w:val="00E1561D"/>
    <w:rsid w:val="00E1564A"/>
    <w:rsid w:val="00E157EA"/>
    <w:rsid w:val="00E15DFA"/>
    <w:rsid w:val="00E15FA8"/>
    <w:rsid w:val="00E162A2"/>
    <w:rsid w:val="00E16830"/>
    <w:rsid w:val="00E16871"/>
    <w:rsid w:val="00E169A4"/>
    <w:rsid w:val="00E17880"/>
    <w:rsid w:val="00E200E6"/>
    <w:rsid w:val="00E21118"/>
    <w:rsid w:val="00E21300"/>
    <w:rsid w:val="00E21306"/>
    <w:rsid w:val="00E2139C"/>
    <w:rsid w:val="00E21508"/>
    <w:rsid w:val="00E2160B"/>
    <w:rsid w:val="00E218FF"/>
    <w:rsid w:val="00E21913"/>
    <w:rsid w:val="00E219D1"/>
    <w:rsid w:val="00E22113"/>
    <w:rsid w:val="00E22805"/>
    <w:rsid w:val="00E22DBB"/>
    <w:rsid w:val="00E22F29"/>
    <w:rsid w:val="00E22F88"/>
    <w:rsid w:val="00E231BE"/>
    <w:rsid w:val="00E239E7"/>
    <w:rsid w:val="00E241AD"/>
    <w:rsid w:val="00E24564"/>
    <w:rsid w:val="00E24882"/>
    <w:rsid w:val="00E24FB9"/>
    <w:rsid w:val="00E2539C"/>
    <w:rsid w:val="00E253D2"/>
    <w:rsid w:val="00E25AD3"/>
    <w:rsid w:val="00E26B58"/>
    <w:rsid w:val="00E27139"/>
    <w:rsid w:val="00E300F7"/>
    <w:rsid w:val="00E3025C"/>
    <w:rsid w:val="00E30486"/>
    <w:rsid w:val="00E30985"/>
    <w:rsid w:val="00E30E70"/>
    <w:rsid w:val="00E3102C"/>
    <w:rsid w:val="00E316D7"/>
    <w:rsid w:val="00E31C9E"/>
    <w:rsid w:val="00E3203F"/>
    <w:rsid w:val="00E3228B"/>
    <w:rsid w:val="00E325DB"/>
    <w:rsid w:val="00E326E3"/>
    <w:rsid w:val="00E3302E"/>
    <w:rsid w:val="00E333E3"/>
    <w:rsid w:val="00E3375B"/>
    <w:rsid w:val="00E33F71"/>
    <w:rsid w:val="00E34167"/>
    <w:rsid w:val="00E34477"/>
    <w:rsid w:val="00E346BB"/>
    <w:rsid w:val="00E34A44"/>
    <w:rsid w:val="00E352DB"/>
    <w:rsid w:val="00E3551D"/>
    <w:rsid w:val="00E35DDD"/>
    <w:rsid w:val="00E36770"/>
    <w:rsid w:val="00E36780"/>
    <w:rsid w:val="00E36B2B"/>
    <w:rsid w:val="00E36F73"/>
    <w:rsid w:val="00E3711D"/>
    <w:rsid w:val="00E37304"/>
    <w:rsid w:val="00E37843"/>
    <w:rsid w:val="00E3790C"/>
    <w:rsid w:val="00E37A0A"/>
    <w:rsid w:val="00E37C88"/>
    <w:rsid w:val="00E4086E"/>
    <w:rsid w:val="00E40A4B"/>
    <w:rsid w:val="00E41234"/>
    <w:rsid w:val="00E4203F"/>
    <w:rsid w:val="00E42617"/>
    <w:rsid w:val="00E43826"/>
    <w:rsid w:val="00E43FC4"/>
    <w:rsid w:val="00E44945"/>
    <w:rsid w:val="00E44CCB"/>
    <w:rsid w:val="00E44D4C"/>
    <w:rsid w:val="00E453DF"/>
    <w:rsid w:val="00E45B97"/>
    <w:rsid w:val="00E45FD9"/>
    <w:rsid w:val="00E47048"/>
    <w:rsid w:val="00E47B24"/>
    <w:rsid w:val="00E50929"/>
    <w:rsid w:val="00E50AC8"/>
    <w:rsid w:val="00E517A2"/>
    <w:rsid w:val="00E5195C"/>
    <w:rsid w:val="00E51A73"/>
    <w:rsid w:val="00E5238E"/>
    <w:rsid w:val="00E52B3B"/>
    <w:rsid w:val="00E53264"/>
    <w:rsid w:val="00E53369"/>
    <w:rsid w:val="00E5343E"/>
    <w:rsid w:val="00E53FE0"/>
    <w:rsid w:val="00E5434B"/>
    <w:rsid w:val="00E5435B"/>
    <w:rsid w:val="00E54B03"/>
    <w:rsid w:val="00E54CEB"/>
    <w:rsid w:val="00E55221"/>
    <w:rsid w:val="00E56B6B"/>
    <w:rsid w:val="00E56B7B"/>
    <w:rsid w:val="00E57160"/>
    <w:rsid w:val="00E571A3"/>
    <w:rsid w:val="00E57877"/>
    <w:rsid w:val="00E57CE4"/>
    <w:rsid w:val="00E60157"/>
    <w:rsid w:val="00E601E0"/>
    <w:rsid w:val="00E60204"/>
    <w:rsid w:val="00E60282"/>
    <w:rsid w:val="00E60C5D"/>
    <w:rsid w:val="00E61533"/>
    <w:rsid w:val="00E61C21"/>
    <w:rsid w:val="00E61D1D"/>
    <w:rsid w:val="00E622EF"/>
    <w:rsid w:val="00E6242F"/>
    <w:rsid w:val="00E625C7"/>
    <w:rsid w:val="00E62633"/>
    <w:rsid w:val="00E63056"/>
    <w:rsid w:val="00E63193"/>
    <w:rsid w:val="00E632D1"/>
    <w:rsid w:val="00E63408"/>
    <w:rsid w:val="00E63CD8"/>
    <w:rsid w:val="00E63E3C"/>
    <w:rsid w:val="00E6444C"/>
    <w:rsid w:val="00E6606C"/>
    <w:rsid w:val="00E66273"/>
    <w:rsid w:val="00E6633B"/>
    <w:rsid w:val="00E66EA1"/>
    <w:rsid w:val="00E676A8"/>
    <w:rsid w:val="00E67AEA"/>
    <w:rsid w:val="00E70493"/>
    <w:rsid w:val="00E709F9"/>
    <w:rsid w:val="00E70C24"/>
    <w:rsid w:val="00E71000"/>
    <w:rsid w:val="00E71360"/>
    <w:rsid w:val="00E71543"/>
    <w:rsid w:val="00E7226B"/>
    <w:rsid w:val="00E72CD4"/>
    <w:rsid w:val="00E73065"/>
    <w:rsid w:val="00E73602"/>
    <w:rsid w:val="00E741B2"/>
    <w:rsid w:val="00E750CD"/>
    <w:rsid w:val="00E7526A"/>
    <w:rsid w:val="00E753B2"/>
    <w:rsid w:val="00E757ED"/>
    <w:rsid w:val="00E75AD8"/>
    <w:rsid w:val="00E75B7C"/>
    <w:rsid w:val="00E75C32"/>
    <w:rsid w:val="00E75DD5"/>
    <w:rsid w:val="00E76B13"/>
    <w:rsid w:val="00E76E0F"/>
    <w:rsid w:val="00E76F05"/>
    <w:rsid w:val="00E77245"/>
    <w:rsid w:val="00E774FA"/>
    <w:rsid w:val="00E775A0"/>
    <w:rsid w:val="00E77720"/>
    <w:rsid w:val="00E77B8A"/>
    <w:rsid w:val="00E8032C"/>
    <w:rsid w:val="00E8043B"/>
    <w:rsid w:val="00E8062C"/>
    <w:rsid w:val="00E80BCD"/>
    <w:rsid w:val="00E80C4B"/>
    <w:rsid w:val="00E82302"/>
    <w:rsid w:val="00E82FAD"/>
    <w:rsid w:val="00E835A5"/>
    <w:rsid w:val="00E835F2"/>
    <w:rsid w:val="00E8365C"/>
    <w:rsid w:val="00E83713"/>
    <w:rsid w:val="00E83848"/>
    <w:rsid w:val="00E83A0A"/>
    <w:rsid w:val="00E83DB3"/>
    <w:rsid w:val="00E84BB8"/>
    <w:rsid w:val="00E84BD8"/>
    <w:rsid w:val="00E8648E"/>
    <w:rsid w:val="00E864DD"/>
    <w:rsid w:val="00E86706"/>
    <w:rsid w:val="00E86CA1"/>
    <w:rsid w:val="00E8714D"/>
    <w:rsid w:val="00E875F4"/>
    <w:rsid w:val="00E90446"/>
    <w:rsid w:val="00E907A6"/>
    <w:rsid w:val="00E90C43"/>
    <w:rsid w:val="00E90C6C"/>
    <w:rsid w:val="00E91938"/>
    <w:rsid w:val="00E91F71"/>
    <w:rsid w:val="00E9203E"/>
    <w:rsid w:val="00E9304E"/>
    <w:rsid w:val="00E93919"/>
    <w:rsid w:val="00E939E6"/>
    <w:rsid w:val="00E93A85"/>
    <w:rsid w:val="00E93B1B"/>
    <w:rsid w:val="00E941D2"/>
    <w:rsid w:val="00E94489"/>
    <w:rsid w:val="00E94B77"/>
    <w:rsid w:val="00E94C65"/>
    <w:rsid w:val="00E94C89"/>
    <w:rsid w:val="00E94FEE"/>
    <w:rsid w:val="00E95095"/>
    <w:rsid w:val="00E95831"/>
    <w:rsid w:val="00E965A8"/>
    <w:rsid w:val="00E97135"/>
    <w:rsid w:val="00E97ABA"/>
    <w:rsid w:val="00EA05B3"/>
    <w:rsid w:val="00EA09B7"/>
    <w:rsid w:val="00EA0FF2"/>
    <w:rsid w:val="00EA18B3"/>
    <w:rsid w:val="00EA21C4"/>
    <w:rsid w:val="00EA238C"/>
    <w:rsid w:val="00EA2826"/>
    <w:rsid w:val="00EA2E34"/>
    <w:rsid w:val="00EA2F6A"/>
    <w:rsid w:val="00EA310B"/>
    <w:rsid w:val="00EA499E"/>
    <w:rsid w:val="00EA4CE5"/>
    <w:rsid w:val="00EA530F"/>
    <w:rsid w:val="00EA5744"/>
    <w:rsid w:val="00EA587B"/>
    <w:rsid w:val="00EA6301"/>
    <w:rsid w:val="00EA67AC"/>
    <w:rsid w:val="00EA6B40"/>
    <w:rsid w:val="00EA73DF"/>
    <w:rsid w:val="00EA78BA"/>
    <w:rsid w:val="00EB0246"/>
    <w:rsid w:val="00EB028C"/>
    <w:rsid w:val="00EB08F7"/>
    <w:rsid w:val="00EB0A61"/>
    <w:rsid w:val="00EB122C"/>
    <w:rsid w:val="00EB1EB1"/>
    <w:rsid w:val="00EB2A65"/>
    <w:rsid w:val="00EB2C48"/>
    <w:rsid w:val="00EB3149"/>
    <w:rsid w:val="00EB3405"/>
    <w:rsid w:val="00EB3477"/>
    <w:rsid w:val="00EB4256"/>
    <w:rsid w:val="00EB4443"/>
    <w:rsid w:val="00EB4A0C"/>
    <w:rsid w:val="00EB4B03"/>
    <w:rsid w:val="00EB4D34"/>
    <w:rsid w:val="00EB4DB7"/>
    <w:rsid w:val="00EB4FF7"/>
    <w:rsid w:val="00EB69BA"/>
    <w:rsid w:val="00EB6D8F"/>
    <w:rsid w:val="00EB726E"/>
    <w:rsid w:val="00EB727F"/>
    <w:rsid w:val="00EB75FE"/>
    <w:rsid w:val="00EC0131"/>
    <w:rsid w:val="00EC0552"/>
    <w:rsid w:val="00EC065B"/>
    <w:rsid w:val="00EC0A05"/>
    <w:rsid w:val="00EC1779"/>
    <w:rsid w:val="00EC1C1D"/>
    <w:rsid w:val="00EC1C4A"/>
    <w:rsid w:val="00EC2693"/>
    <w:rsid w:val="00EC2DB1"/>
    <w:rsid w:val="00EC31E8"/>
    <w:rsid w:val="00EC37B6"/>
    <w:rsid w:val="00EC3B06"/>
    <w:rsid w:val="00EC4598"/>
    <w:rsid w:val="00EC4B2E"/>
    <w:rsid w:val="00EC53FE"/>
    <w:rsid w:val="00EC5617"/>
    <w:rsid w:val="00EC5B1D"/>
    <w:rsid w:val="00EC5E6B"/>
    <w:rsid w:val="00EC6374"/>
    <w:rsid w:val="00EC67E9"/>
    <w:rsid w:val="00EC71DB"/>
    <w:rsid w:val="00EC7533"/>
    <w:rsid w:val="00EC7C41"/>
    <w:rsid w:val="00ED0013"/>
    <w:rsid w:val="00ED07BE"/>
    <w:rsid w:val="00ED17F4"/>
    <w:rsid w:val="00ED197B"/>
    <w:rsid w:val="00ED1D81"/>
    <w:rsid w:val="00ED213D"/>
    <w:rsid w:val="00ED21C1"/>
    <w:rsid w:val="00ED26C4"/>
    <w:rsid w:val="00ED3295"/>
    <w:rsid w:val="00ED3C32"/>
    <w:rsid w:val="00ED3D7C"/>
    <w:rsid w:val="00ED4C8C"/>
    <w:rsid w:val="00ED4E66"/>
    <w:rsid w:val="00ED52C1"/>
    <w:rsid w:val="00ED5626"/>
    <w:rsid w:val="00ED5B9A"/>
    <w:rsid w:val="00ED5B9F"/>
    <w:rsid w:val="00ED5F10"/>
    <w:rsid w:val="00ED64C5"/>
    <w:rsid w:val="00ED664F"/>
    <w:rsid w:val="00ED67D6"/>
    <w:rsid w:val="00ED6B05"/>
    <w:rsid w:val="00ED7907"/>
    <w:rsid w:val="00ED7C67"/>
    <w:rsid w:val="00EE0D9B"/>
    <w:rsid w:val="00EE0E6B"/>
    <w:rsid w:val="00EE1387"/>
    <w:rsid w:val="00EE13B9"/>
    <w:rsid w:val="00EE23D9"/>
    <w:rsid w:val="00EE2602"/>
    <w:rsid w:val="00EE2A29"/>
    <w:rsid w:val="00EE2B8B"/>
    <w:rsid w:val="00EE2BCD"/>
    <w:rsid w:val="00EE319C"/>
    <w:rsid w:val="00EE333A"/>
    <w:rsid w:val="00EE36C3"/>
    <w:rsid w:val="00EE391D"/>
    <w:rsid w:val="00EE3CF4"/>
    <w:rsid w:val="00EE475A"/>
    <w:rsid w:val="00EE481F"/>
    <w:rsid w:val="00EE4B3B"/>
    <w:rsid w:val="00EE50FC"/>
    <w:rsid w:val="00EE547B"/>
    <w:rsid w:val="00EE5B18"/>
    <w:rsid w:val="00EE5CD6"/>
    <w:rsid w:val="00EE60AF"/>
    <w:rsid w:val="00EE6CBD"/>
    <w:rsid w:val="00EE6D6A"/>
    <w:rsid w:val="00EE6E60"/>
    <w:rsid w:val="00EE7331"/>
    <w:rsid w:val="00EE74EC"/>
    <w:rsid w:val="00EF0277"/>
    <w:rsid w:val="00EF0657"/>
    <w:rsid w:val="00EF0B7B"/>
    <w:rsid w:val="00EF0BCE"/>
    <w:rsid w:val="00EF0F2A"/>
    <w:rsid w:val="00EF150F"/>
    <w:rsid w:val="00EF1992"/>
    <w:rsid w:val="00EF255B"/>
    <w:rsid w:val="00EF25AD"/>
    <w:rsid w:val="00EF2B0C"/>
    <w:rsid w:val="00EF32E3"/>
    <w:rsid w:val="00EF34B7"/>
    <w:rsid w:val="00EF3E38"/>
    <w:rsid w:val="00EF42CB"/>
    <w:rsid w:val="00EF52D1"/>
    <w:rsid w:val="00EF536E"/>
    <w:rsid w:val="00EF549F"/>
    <w:rsid w:val="00EF5703"/>
    <w:rsid w:val="00EF5B14"/>
    <w:rsid w:val="00EF5B2E"/>
    <w:rsid w:val="00EF5C83"/>
    <w:rsid w:val="00EF5FCB"/>
    <w:rsid w:val="00EF66DE"/>
    <w:rsid w:val="00EF696B"/>
    <w:rsid w:val="00EF78DB"/>
    <w:rsid w:val="00F001D1"/>
    <w:rsid w:val="00F005F4"/>
    <w:rsid w:val="00F008E1"/>
    <w:rsid w:val="00F0126D"/>
    <w:rsid w:val="00F013DD"/>
    <w:rsid w:val="00F01729"/>
    <w:rsid w:val="00F018A7"/>
    <w:rsid w:val="00F018E2"/>
    <w:rsid w:val="00F01CE7"/>
    <w:rsid w:val="00F01EBD"/>
    <w:rsid w:val="00F020B0"/>
    <w:rsid w:val="00F02668"/>
    <w:rsid w:val="00F02A73"/>
    <w:rsid w:val="00F02D61"/>
    <w:rsid w:val="00F02FD2"/>
    <w:rsid w:val="00F031DF"/>
    <w:rsid w:val="00F039F8"/>
    <w:rsid w:val="00F03A5E"/>
    <w:rsid w:val="00F03D69"/>
    <w:rsid w:val="00F03DA1"/>
    <w:rsid w:val="00F045BB"/>
    <w:rsid w:val="00F047A2"/>
    <w:rsid w:val="00F049A8"/>
    <w:rsid w:val="00F049B0"/>
    <w:rsid w:val="00F04C33"/>
    <w:rsid w:val="00F04E17"/>
    <w:rsid w:val="00F066D0"/>
    <w:rsid w:val="00F0691A"/>
    <w:rsid w:val="00F07296"/>
    <w:rsid w:val="00F07E6A"/>
    <w:rsid w:val="00F07EBA"/>
    <w:rsid w:val="00F10B72"/>
    <w:rsid w:val="00F10E63"/>
    <w:rsid w:val="00F10EA5"/>
    <w:rsid w:val="00F11291"/>
    <w:rsid w:val="00F11416"/>
    <w:rsid w:val="00F11771"/>
    <w:rsid w:val="00F11905"/>
    <w:rsid w:val="00F11B4A"/>
    <w:rsid w:val="00F11D3D"/>
    <w:rsid w:val="00F12047"/>
    <w:rsid w:val="00F12142"/>
    <w:rsid w:val="00F1227F"/>
    <w:rsid w:val="00F12291"/>
    <w:rsid w:val="00F12809"/>
    <w:rsid w:val="00F1365C"/>
    <w:rsid w:val="00F13913"/>
    <w:rsid w:val="00F13BEB"/>
    <w:rsid w:val="00F13C8E"/>
    <w:rsid w:val="00F14371"/>
    <w:rsid w:val="00F14689"/>
    <w:rsid w:val="00F1500F"/>
    <w:rsid w:val="00F1580E"/>
    <w:rsid w:val="00F15907"/>
    <w:rsid w:val="00F15A24"/>
    <w:rsid w:val="00F15B48"/>
    <w:rsid w:val="00F15C5A"/>
    <w:rsid w:val="00F15E99"/>
    <w:rsid w:val="00F16689"/>
    <w:rsid w:val="00F169EF"/>
    <w:rsid w:val="00F16BA6"/>
    <w:rsid w:val="00F17064"/>
    <w:rsid w:val="00F1707E"/>
    <w:rsid w:val="00F17279"/>
    <w:rsid w:val="00F17478"/>
    <w:rsid w:val="00F17A28"/>
    <w:rsid w:val="00F17F70"/>
    <w:rsid w:val="00F21255"/>
    <w:rsid w:val="00F21427"/>
    <w:rsid w:val="00F215EC"/>
    <w:rsid w:val="00F21CC6"/>
    <w:rsid w:val="00F21EAC"/>
    <w:rsid w:val="00F224B7"/>
    <w:rsid w:val="00F22D50"/>
    <w:rsid w:val="00F23187"/>
    <w:rsid w:val="00F23A26"/>
    <w:rsid w:val="00F23ACA"/>
    <w:rsid w:val="00F23C19"/>
    <w:rsid w:val="00F2475B"/>
    <w:rsid w:val="00F251F9"/>
    <w:rsid w:val="00F25867"/>
    <w:rsid w:val="00F25ACC"/>
    <w:rsid w:val="00F26093"/>
    <w:rsid w:val="00F2641F"/>
    <w:rsid w:val="00F26D37"/>
    <w:rsid w:val="00F27659"/>
    <w:rsid w:val="00F27A7C"/>
    <w:rsid w:val="00F27A8C"/>
    <w:rsid w:val="00F300EA"/>
    <w:rsid w:val="00F30236"/>
    <w:rsid w:val="00F3069A"/>
    <w:rsid w:val="00F30859"/>
    <w:rsid w:val="00F3159B"/>
    <w:rsid w:val="00F31829"/>
    <w:rsid w:val="00F32035"/>
    <w:rsid w:val="00F32A1A"/>
    <w:rsid w:val="00F3308D"/>
    <w:rsid w:val="00F33228"/>
    <w:rsid w:val="00F333C6"/>
    <w:rsid w:val="00F334BE"/>
    <w:rsid w:val="00F336FD"/>
    <w:rsid w:val="00F33B77"/>
    <w:rsid w:val="00F34924"/>
    <w:rsid w:val="00F35474"/>
    <w:rsid w:val="00F356FB"/>
    <w:rsid w:val="00F357CE"/>
    <w:rsid w:val="00F35866"/>
    <w:rsid w:val="00F3586A"/>
    <w:rsid w:val="00F36099"/>
    <w:rsid w:val="00F3641B"/>
    <w:rsid w:val="00F36A90"/>
    <w:rsid w:val="00F36B6E"/>
    <w:rsid w:val="00F370B1"/>
    <w:rsid w:val="00F37668"/>
    <w:rsid w:val="00F37700"/>
    <w:rsid w:val="00F37C58"/>
    <w:rsid w:val="00F37CA8"/>
    <w:rsid w:val="00F404A9"/>
    <w:rsid w:val="00F404B1"/>
    <w:rsid w:val="00F4076C"/>
    <w:rsid w:val="00F40A9B"/>
    <w:rsid w:val="00F40D93"/>
    <w:rsid w:val="00F411AB"/>
    <w:rsid w:val="00F411C0"/>
    <w:rsid w:val="00F411CA"/>
    <w:rsid w:val="00F41688"/>
    <w:rsid w:val="00F41717"/>
    <w:rsid w:val="00F4190D"/>
    <w:rsid w:val="00F4195D"/>
    <w:rsid w:val="00F42073"/>
    <w:rsid w:val="00F421B9"/>
    <w:rsid w:val="00F4295D"/>
    <w:rsid w:val="00F42CFA"/>
    <w:rsid w:val="00F42E95"/>
    <w:rsid w:val="00F42EA5"/>
    <w:rsid w:val="00F43019"/>
    <w:rsid w:val="00F43065"/>
    <w:rsid w:val="00F434D0"/>
    <w:rsid w:val="00F435D2"/>
    <w:rsid w:val="00F43641"/>
    <w:rsid w:val="00F43715"/>
    <w:rsid w:val="00F43741"/>
    <w:rsid w:val="00F4403F"/>
    <w:rsid w:val="00F44113"/>
    <w:rsid w:val="00F44408"/>
    <w:rsid w:val="00F445B6"/>
    <w:rsid w:val="00F452D4"/>
    <w:rsid w:val="00F455C4"/>
    <w:rsid w:val="00F45F6C"/>
    <w:rsid w:val="00F46188"/>
    <w:rsid w:val="00F46AF4"/>
    <w:rsid w:val="00F46F16"/>
    <w:rsid w:val="00F46F29"/>
    <w:rsid w:val="00F474F1"/>
    <w:rsid w:val="00F47FC6"/>
    <w:rsid w:val="00F505C4"/>
    <w:rsid w:val="00F507F3"/>
    <w:rsid w:val="00F50D0B"/>
    <w:rsid w:val="00F50FC5"/>
    <w:rsid w:val="00F510A8"/>
    <w:rsid w:val="00F51836"/>
    <w:rsid w:val="00F51935"/>
    <w:rsid w:val="00F52418"/>
    <w:rsid w:val="00F52A82"/>
    <w:rsid w:val="00F531C0"/>
    <w:rsid w:val="00F5320C"/>
    <w:rsid w:val="00F539AD"/>
    <w:rsid w:val="00F53DA9"/>
    <w:rsid w:val="00F54519"/>
    <w:rsid w:val="00F54FA3"/>
    <w:rsid w:val="00F56135"/>
    <w:rsid w:val="00F561FC"/>
    <w:rsid w:val="00F56BC9"/>
    <w:rsid w:val="00F57544"/>
    <w:rsid w:val="00F57C13"/>
    <w:rsid w:val="00F57F25"/>
    <w:rsid w:val="00F60707"/>
    <w:rsid w:val="00F609B3"/>
    <w:rsid w:val="00F60C8A"/>
    <w:rsid w:val="00F61417"/>
    <w:rsid w:val="00F615F6"/>
    <w:rsid w:val="00F6172B"/>
    <w:rsid w:val="00F625ED"/>
    <w:rsid w:val="00F62C25"/>
    <w:rsid w:val="00F6395B"/>
    <w:rsid w:val="00F63B6F"/>
    <w:rsid w:val="00F63C36"/>
    <w:rsid w:val="00F6457D"/>
    <w:rsid w:val="00F645DC"/>
    <w:rsid w:val="00F64757"/>
    <w:rsid w:val="00F64D44"/>
    <w:rsid w:val="00F6548F"/>
    <w:rsid w:val="00F657FD"/>
    <w:rsid w:val="00F659D8"/>
    <w:rsid w:val="00F66A43"/>
    <w:rsid w:val="00F66A5F"/>
    <w:rsid w:val="00F66B46"/>
    <w:rsid w:val="00F66E9E"/>
    <w:rsid w:val="00F67298"/>
    <w:rsid w:val="00F6795B"/>
    <w:rsid w:val="00F67DD5"/>
    <w:rsid w:val="00F701D2"/>
    <w:rsid w:val="00F7095F"/>
    <w:rsid w:val="00F71037"/>
    <w:rsid w:val="00F7196F"/>
    <w:rsid w:val="00F71A48"/>
    <w:rsid w:val="00F71FB7"/>
    <w:rsid w:val="00F7298D"/>
    <w:rsid w:val="00F731AC"/>
    <w:rsid w:val="00F736F2"/>
    <w:rsid w:val="00F73B47"/>
    <w:rsid w:val="00F73EAB"/>
    <w:rsid w:val="00F73F74"/>
    <w:rsid w:val="00F74918"/>
    <w:rsid w:val="00F749DE"/>
    <w:rsid w:val="00F74A61"/>
    <w:rsid w:val="00F74BDB"/>
    <w:rsid w:val="00F75A65"/>
    <w:rsid w:val="00F761D4"/>
    <w:rsid w:val="00F7632D"/>
    <w:rsid w:val="00F77096"/>
    <w:rsid w:val="00F7719B"/>
    <w:rsid w:val="00F7720B"/>
    <w:rsid w:val="00F77B20"/>
    <w:rsid w:val="00F77E53"/>
    <w:rsid w:val="00F77E7C"/>
    <w:rsid w:val="00F8057B"/>
    <w:rsid w:val="00F810AC"/>
    <w:rsid w:val="00F81687"/>
    <w:rsid w:val="00F81AE5"/>
    <w:rsid w:val="00F81D7F"/>
    <w:rsid w:val="00F81F86"/>
    <w:rsid w:val="00F82298"/>
    <w:rsid w:val="00F8240C"/>
    <w:rsid w:val="00F8248C"/>
    <w:rsid w:val="00F82DE5"/>
    <w:rsid w:val="00F82F87"/>
    <w:rsid w:val="00F836E9"/>
    <w:rsid w:val="00F83704"/>
    <w:rsid w:val="00F83723"/>
    <w:rsid w:val="00F840C3"/>
    <w:rsid w:val="00F84919"/>
    <w:rsid w:val="00F849C3"/>
    <w:rsid w:val="00F84B43"/>
    <w:rsid w:val="00F856B0"/>
    <w:rsid w:val="00F862E9"/>
    <w:rsid w:val="00F863EC"/>
    <w:rsid w:val="00F86939"/>
    <w:rsid w:val="00F86BB6"/>
    <w:rsid w:val="00F87914"/>
    <w:rsid w:val="00F87D9B"/>
    <w:rsid w:val="00F90064"/>
    <w:rsid w:val="00F902C0"/>
    <w:rsid w:val="00F9044B"/>
    <w:rsid w:val="00F9060D"/>
    <w:rsid w:val="00F9101B"/>
    <w:rsid w:val="00F9184E"/>
    <w:rsid w:val="00F919C7"/>
    <w:rsid w:val="00F91D06"/>
    <w:rsid w:val="00F923C3"/>
    <w:rsid w:val="00F93277"/>
    <w:rsid w:val="00F936D3"/>
    <w:rsid w:val="00F94B07"/>
    <w:rsid w:val="00F94B58"/>
    <w:rsid w:val="00F94D04"/>
    <w:rsid w:val="00F954D8"/>
    <w:rsid w:val="00F95B14"/>
    <w:rsid w:val="00F95B53"/>
    <w:rsid w:val="00F9607E"/>
    <w:rsid w:val="00F9646A"/>
    <w:rsid w:val="00F96495"/>
    <w:rsid w:val="00F96AA0"/>
    <w:rsid w:val="00F96B20"/>
    <w:rsid w:val="00F9704E"/>
    <w:rsid w:val="00F9738B"/>
    <w:rsid w:val="00FA0522"/>
    <w:rsid w:val="00FA09D8"/>
    <w:rsid w:val="00FA0A3B"/>
    <w:rsid w:val="00FA0F95"/>
    <w:rsid w:val="00FA1116"/>
    <w:rsid w:val="00FA1183"/>
    <w:rsid w:val="00FA1498"/>
    <w:rsid w:val="00FA1977"/>
    <w:rsid w:val="00FA28A0"/>
    <w:rsid w:val="00FA2A8E"/>
    <w:rsid w:val="00FA2CAB"/>
    <w:rsid w:val="00FA2DF0"/>
    <w:rsid w:val="00FA2FBB"/>
    <w:rsid w:val="00FA3371"/>
    <w:rsid w:val="00FA3C08"/>
    <w:rsid w:val="00FA40E2"/>
    <w:rsid w:val="00FA468B"/>
    <w:rsid w:val="00FA4778"/>
    <w:rsid w:val="00FA4801"/>
    <w:rsid w:val="00FA48F3"/>
    <w:rsid w:val="00FA5044"/>
    <w:rsid w:val="00FA58AD"/>
    <w:rsid w:val="00FA5939"/>
    <w:rsid w:val="00FA7214"/>
    <w:rsid w:val="00FA7934"/>
    <w:rsid w:val="00FA7A5A"/>
    <w:rsid w:val="00FA7AD7"/>
    <w:rsid w:val="00FA7F3B"/>
    <w:rsid w:val="00FB0473"/>
    <w:rsid w:val="00FB0674"/>
    <w:rsid w:val="00FB0D69"/>
    <w:rsid w:val="00FB1291"/>
    <w:rsid w:val="00FB16B1"/>
    <w:rsid w:val="00FB17BD"/>
    <w:rsid w:val="00FB188F"/>
    <w:rsid w:val="00FB195B"/>
    <w:rsid w:val="00FB1E04"/>
    <w:rsid w:val="00FB1EDE"/>
    <w:rsid w:val="00FB2264"/>
    <w:rsid w:val="00FB27BE"/>
    <w:rsid w:val="00FB2A04"/>
    <w:rsid w:val="00FB2ACB"/>
    <w:rsid w:val="00FB2AD0"/>
    <w:rsid w:val="00FB2C26"/>
    <w:rsid w:val="00FB2E5A"/>
    <w:rsid w:val="00FB322A"/>
    <w:rsid w:val="00FB3299"/>
    <w:rsid w:val="00FB37C2"/>
    <w:rsid w:val="00FB38F6"/>
    <w:rsid w:val="00FB3A82"/>
    <w:rsid w:val="00FB3B10"/>
    <w:rsid w:val="00FB3C9A"/>
    <w:rsid w:val="00FB455F"/>
    <w:rsid w:val="00FB4883"/>
    <w:rsid w:val="00FB54A9"/>
    <w:rsid w:val="00FB565D"/>
    <w:rsid w:val="00FB6B04"/>
    <w:rsid w:val="00FB6C1D"/>
    <w:rsid w:val="00FB7BDD"/>
    <w:rsid w:val="00FB7D9F"/>
    <w:rsid w:val="00FC026A"/>
    <w:rsid w:val="00FC0367"/>
    <w:rsid w:val="00FC0458"/>
    <w:rsid w:val="00FC0A96"/>
    <w:rsid w:val="00FC1383"/>
    <w:rsid w:val="00FC16E3"/>
    <w:rsid w:val="00FC18F4"/>
    <w:rsid w:val="00FC216F"/>
    <w:rsid w:val="00FC2497"/>
    <w:rsid w:val="00FC2F5F"/>
    <w:rsid w:val="00FC30A6"/>
    <w:rsid w:val="00FC3820"/>
    <w:rsid w:val="00FC409E"/>
    <w:rsid w:val="00FC4AAB"/>
    <w:rsid w:val="00FC4FFA"/>
    <w:rsid w:val="00FC52E1"/>
    <w:rsid w:val="00FC5657"/>
    <w:rsid w:val="00FC659D"/>
    <w:rsid w:val="00FD026B"/>
    <w:rsid w:val="00FD0721"/>
    <w:rsid w:val="00FD076E"/>
    <w:rsid w:val="00FD0ADD"/>
    <w:rsid w:val="00FD0C13"/>
    <w:rsid w:val="00FD12BA"/>
    <w:rsid w:val="00FD2AFE"/>
    <w:rsid w:val="00FD2E05"/>
    <w:rsid w:val="00FD30B3"/>
    <w:rsid w:val="00FD3589"/>
    <w:rsid w:val="00FD37D4"/>
    <w:rsid w:val="00FD3DEB"/>
    <w:rsid w:val="00FD4203"/>
    <w:rsid w:val="00FD4559"/>
    <w:rsid w:val="00FD4D13"/>
    <w:rsid w:val="00FD567D"/>
    <w:rsid w:val="00FD5945"/>
    <w:rsid w:val="00FD5E02"/>
    <w:rsid w:val="00FD5E1E"/>
    <w:rsid w:val="00FD6309"/>
    <w:rsid w:val="00FD669A"/>
    <w:rsid w:val="00FD7CA4"/>
    <w:rsid w:val="00FE009F"/>
    <w:rsid w:val="00FE0820"/>
    <w:rsid w:val="00FE16C6"/>
    <w:rsid w:val="00FE17C4"/>
    <w:rsid w:val="00FE2211"/>
    <w:rsid w:val="00FE225B"/>
    <w:rsid w:val="00FE23FB"/>
    <w:rsid w:val="00FE3CD7"/>
    <w:rsid w:val="00FE4178"/>
    <w:rsid w:val="00FE489B"/>
    <w:rsid w:val="00FE4A2B"/>
    <w:rsid w:val="00FE4AF9"/>
    <w:rsid w:val="00FE4BF1"/>
    <w:rsid w:val="00FE4DEE"/>
    <w:rsid w:val="00FE5086"/>
    <w:rsid w:val="00FE60E7"/>
    <w:rsid w:val="00FE6600"/>
    <w:rsid w:val="00FE68CF"/>
    <w:rsid w:val="00FE6A7A"/>
    <w:rsid w:val="00FE6B3B"/>
    <w:rsid w:val="00FE6C7A"/>
    <w:rsid w:val="00FE732A"/>
    <w:rsid w:val="00FE734D"/>
    <w:rsid w:val="00FE74E9"/>
    <w:rsid w:val="00FF02A3"/>
    <w:rsid w:val="00FF0A87"/>
    <w:rsid w:val="00FF0F3F"/>
    <w:rsid w:val="00FF1D5C"/>
    <w:rsid w:val="00FF29B1"/>
    <w:rsid w:val="00FF3551"/>
    <w:rsid w:val="00FF35CD"/>
    <w:rsid w:val="00FF3B60"/>
    <w:rsid w:val="00FF3E9A"/>
    <w:rsid w:val="00FF497E"/>
    <w:rsid w:val="00FF5633"/>
    <w:rsid w:val="00FF572B"/>
    <w:rsid w:val="00FF597A"/>
    <w:rsid w:val="00FF5D67"/>
    <w:rsid w:val="00FF61C2"/>
    <w:rsid w:val="00FF62C8"/>
    <w:rsid w:val="00FF6381"/>
    <w:rsid w:val="00FF6479"/>
    <w:rsid w:val="00FF69CE"/>
    <w:rsid w:val="00FF69D1"/>
    <w:rsid w:val="00FF6ED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59327"/>
  <w15:docId w15:val="{3298F85F-8FAE-4F39-9BA6-C491BB12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sz w:val="17"/>
        <w:szCs w:val="17"/>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B79"/>
    <w:rPr>
      <w:lang w:val="en-US"/>
    </w:rPr>
  </w:style>
  <w:style w:type="paragraph" w:styleId="Heading1">
    <w:name w:val="heading 1"/>
    <w:basedOn w:val="Normal"/>
    <w:next w:val="Normal"/>
    <w:link w:val="Heading1Char"/>
    <w:uiPriority w:val="9"/>
    <w:qFormat/>
    <w:rsid w:val="0052241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41D"/>
    <w:rPr>
      <w:rFonts w:asciiTheme="majorHAnsi" w:eastAsiaTheme="majorEastAsia" w:hAnsiTheme="majorHAnsi" w:cstheme="majorBidi"/>
      <w:b/>
      <w:bCs/>
      <w:color w:val="2E74B5" w:themeColor="accent1" w:themeShade="BF"/>
      <w:sz w:val="28"/>
      <w:szCs w:val="28"/>
      <w:lang w:val="en-US" w:eastAsia="ja-JP"/>
    </w:rPr>
  </w:style>
  <w:style w:type="paragraph" w:styleId="Header">
    <w:name w:val="header"/>
    <w:basedOn w:val="Normal"/>
    <w:link w:val="HeaderChar"/>
    <w:uiPriority w:val="99"/>
    <w:unhideWhenUsed/>
    <w:rsid w:val="00996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969"/>
  </w:style>
  <w:style w:type="paragraph" w:styleId="Footer">
    <w:name w:val="footer"/>
    <w:basedOn w:val="Normal"/>
    <w:link w:val="FooterChar"/>
    <w:uiPriority w:val="99"/>
    <w:unhideWhenUsed/>
    <w:rsid w:val="00996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969"/>
  </w:style>
  <w:style w:type="paragraph" w:styleId="ListParagraph">
    <w:name w:val="List Paragraph"/>
    <w:basedOn w:val="Normal"/>
    <w:uiPriority w:val="34"/>
    <w:qFormat/>
    <w:rsid w:val="00562B41"/>
    <w:pPr>
      <w:ind w:left="720"/>
      <w:contextualSpacing/>
    </w:pPr>
  </w:style>
  <w:style w:type="character" w:styleId="CommentReference">
    <w:name w:val="annotation reference"/>
    <w:basedOn w:val="DefaultParagraphFont"/>
    <w:uiPriority w:val="99"/>
    <w:semiHidden/>
    <w:unhideWhenUsed/>
    <w:rsid w:val="006D444D"/>
    <w:rPr>
      <w:sz w:val="16"/>
      <w:szCs w:val="16"/>
    </w:rPr>
  </w:style>
  <w:style w:type="paragraph" w:styleId="CommentText">
    <w:name w:val="annotation text"/>
    <w:basedOn w:val="Normal"/>
    <w:link w:val="CommentTextChar"/>
    <w:uiPriority w:val="99"/>
    <w:unhideWhenUsed/>
    <w:rsid w:val="006D444D"/>
    <w:pPr>
      <w:spacing w:line="240" w:lineRule="auto"/>
    </w:pPr>
    <w:rPr>
      <w:sz w:val="20"/>
      <w:szCs w:val="20"/>
    </w:rPr>
  </w:style>
  <w:style w:type="character" w:customStyle="1" w:styleId="CommentTextChar">
    <w:name w:val="Comment Text Char"/>
    <w:basedOn w:val="DefaultParagraphFont"/>
    <w:link w:val="CommentText"/>
    <w:uiPriority w:val="99"/>
    <w:rsid w:val="006D444D"/>
    <w:rPr>
      <w:sz w:val="20"/>
      <w:szCs w:val="20"/>
    </w:rPr>
  </w:style>
  <w:style w:type="paragraph" w:styleId="CommentSubject">
    <w:name w:val="annotation subject"/>
    <w:basedOn w:val="CommentText"/>
    <w:next w:val="CommentText"/>
    <w:link w:val="CommentSubjectChar"/>
    <w:uiPriority w:val="99"/>
    <w:semiHidden/>
    <w:unhideWhenUsed/>
    <w:rsid w:val="006D444D"/>
    <w:rPr>
      <w:b/>
      <w:bCs/>
    </w:rPr>
  </w:style>
  <w:style w:type="character" w:customStyle="1" w:styleId="CommentSubjectChar">
    <w:name w:val="Comment Subject Char"/>
    <w:basedOn w:val="CommentTextChar"/>
    <w:link w:val="CommentSubject"/>
    <w:uiPriority w:val="99"/>
    <w:semiHidden/>
    <w:rsid w:val="006D444D"/>
    <w:rPr>
      <w:b/>
      <w:bCs/>
      <w:sz w:val="20"/>
      <w:szCs w:val="20"/>
    </w:rPr>
  </w:style>
  <w:style w:type="paragraph" w:styleId="BalloonText">
    <w:name w:val="Balloon Text"/>
    <w:basedOn w:val="Normal"/>
    <w:link w:val="BalloonTextChar"/>
    <w:uiPriority w:val="99"/>
    <w:semiHidden/>
    <w:unhideWhenUsed/>
    <w:rsid w:val="006D4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44D"/>
    <w:rPr>
      <w:rFonts w:ascii="Segoe UI" w:hAnsi="Segoe UI" w:cs="Segoe UI"/>
      <w:sz w:val="18"/>
      <w:szCs w:val="18"/>
    </w:rPr>
  </w:style>
  <w:style w:type="character" w:styleId="Hyperlink">
    <w:name w:val="Hyperlink"/>
    <w:basedOn w:val="DefaultParagraphFont"/>
    <w:uiPriority w:val="99"/>
    <w:unhideWhenUsed/>
    <w:rsid w:val="008101DD"/>
    <w:rPr>
      <w:color w:val="0563C1" w:themeColor="hyperlink"/>
      <w:u w:val="single"/>
    </w:rPr>
  </w:style>
  <w:style w:type="character" w:styleId="FollowedHyperlink">
    <w:name w:val="FollowedHyperlink"/>
    <w:basedOn w:val="DefaultParagraphFont"/>
    <w:uiPriority w:val="99"/>
    <w:semiHidden/>
    <w:unhideWhenUsed/>
    <w:rsid w:val="008101DD"/>
    <w:rPr>
      <w:color w:val="954F72" w:themeColor="followedHyperlink"/>
      <w:u w:val="single"/>
    </w:rPr>
  </w:style>
  <w:style w:type="paragraph" w:styleId="Quote">
    <w:name w:val="Quote"/>
    <w:basedOn w:val="Normal"/>
    <w:next w:val="Normal"/>
    <w:link w:val="QuoteChar"/>
    <w:uiPriority w:val="29"/>
    <w:qFormat/>
    <w:rsid w:val="0052241D"/>
    <w:pPr>
      <w:spacing w:after="200" w:line="276" w:lineRule="auto"/>
    </w:pPr>
    <w:rPr>
      <w:i/>
      <w:iCs/>
      <w:color w:val="000000" w:themeColor="text1"/>
    </w:rPr>
  </w:style>
  <w:style w:type="character" w:customStyle="1" w:styleId="QuoteChar">
    <w:name w:val="Quote Char"/>
    <w:basedOn w:val="DefaultParagraphFont"/>
    <w:link w:val="Quote"/>
    <w:uiPriority w:val="29"/>
    <w:rsid w:val="0052241D"/>
    <w:rPr>
      <w:i/>
      <w:iCs/>
      <w:color w:val="000000" w:themeColor="text1"/>
      <w:lang w:val="en-US"/>
    </w:rPr>
  </w:style>
  <w:style w:type="paragraph" w:styleId="FootnoteText">
    <w:name w:val="footnote text"/>
    <w:basedOn w:val="Normal"/>
    <w:link w:val="FootnoteTextChar"/>
    <w:uiPriority w:val="99"/>
    <w:unhideWhenUsed/>
    <w:rsid w:val="0052241D"/>
    <w:pPr>
      <w:spacing w:after="0" w:line="240" w:lineRule="auto"/>
    </w:pPr>
    <w:rPr>
      <w:sz w:val="20"/>
      <w:szCs w:val="20"/>
    </w:rPr>
  </w:style>
  <w:style w:type="character" w:customStyle="1" w:styleId="FootnoteTextChar">
    <w:name w:val="Footnote Text Char"/>
    <w:basedOn w:val="DefaultParagraphFont"/>
    <w:link w:val="FootnoteText"/>
    <w:uiPriority w:val="99"/>
    <w:rsid w:val="0052241D"/>
    <w:rPr>
      <w:sz w:val="20"/>
      <w:szCs w:val="20"/>
      <w:lang w:val="en-US"/>
    </w:rPr>
  </w:style>
  <w:style w:type="character" w:styleId="FootnoteReference">
    <w:name w:val="footnote reference"/>
    <w:basedOn w:val="DefaultParagraphFont"/>
    <w:uiPriority w:val="99"/>
    <w:unhideWhenUsed/>
    <w:rsid w:val="0052241D"/>
    <w:rPr>
      <w:vertAlign w:val="superscript"/>
    </w:rPr>
  </w:style>
  <w:style w:type="paragraph" w:styleId="Bibliography">
    <w:name w:val="Bibliography"/>
    <w:basedOn w:val="Normal"/>
    <w:next w:val="Normal"/>
    <w:uiPriority w:val="37"/>
    <w:unhideWhenUsed/>
    <w:rsid w:val="0052241D"/>
    <w:pPr>
      <w:spacing w:after="200" w:line="276" w:lineRule="auto"/>
    </w:pPr>
    <w:rPr>
      <w:rFonts w:eastAsiaTheme="minorHAnsi"/>
      <w:lang w:eastAsia="en-US"/>
    </w:rPr>
  </w:style>
  <w:style w:type="paragraph" w:styleId="Date">
    <w:name w:val="Date"/>
    <w:basedOn w:val="Normal"/>
    <w:next w:val="Normal"/>
    <w:link w:val="DateChar"/>
    <w:uiPriority w:val="99"/>
    <w:semiHidden/>
    <w:unhideWhenUsed/>
    <w:rsid w:val="0052241D"/>
    <w:pPr>
      <w:spacing w:after="200" w:line="276" w:lineRule="auto"/>
    </w:pPr>
    <w:rPr>
      <w:rFonts w:eastAsiaTheme="minorHAnsi"/>
      <w:lang w:eastAsia="en-US"/>
    </w:rPr>
  </w:style>
  <w:style w:type="character" w:customStyle="1" w:styleId="DateChar">
    <w:name w:val="Date Char"/>
    <w:basedOn w:val="DefaultParagraphFont"/>
    <w:link w:val="Date"/>
    <w:uiPriority w:val="99"/>
    <w:semiHidden/>
    <w:rsid w:val="0052241D"/>
    <w:rPr>
      <w:rFonts w:eastAsiaTheme="minorHAnsi"/>
      <w:lang w:val="en-US" w:eastAsia="en-US"/>
    </w:rPr>
  </w:style>
  <w:style w:type="paragraph" w:customStyle="1" w:styleId="xl65">
    <w:name w:val="xl65"/>
    <w:basedOn w:val="Normal"/>
    <w:rsid w:val="0052241D"/>
    <w:pPr>
      <w:spacing w:before="100" w:beforeAutospacing="1" w:after="100" w:afterAutospacing="1" w:line="240" w:lineRule="auto"/>
      <w:jc w:val="center"/>
    </w:pPr>
    <w:rPr>
      <w:rFonts w:eastAsia="Times New Roman"/>
      <w:sz w:val="24"/>
      <w:szCs w:val="24"/>
    </w:rPr>
  </w:style>
  <w:style w:type="paragraph" w:customStyle="1" w:styleId="xl66">
    <w:name w:val="xl66"/>
    <w:basedOn w:val="Normal"/>
    <w:rsid w:val="0052241D"/>
    <w:pPr>
      <w:spacing w:before="100" w:beforeAutospacing="1" w:after="100" w:afterAutospacing="1" w:line="240" w:lineRule="auto"/>
      <w:jc w:val="center"/>
    </w:pPr>
    <w:rPr>
      <w:rFonts w:eastAsia="Times New Roman"/>
      <w:sz w:val="24"/>
      <w:szCs w:val="24"/>
    </w:rPr>
  </w:style>
  <w:style w:type="paragraph" w:customStyle="1" w:styleId="xl67">
    <w:name w:val="xl67"/>
    <w:basedOn w:val="Normal"/>
    <w:rsid w:val="0052241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68">
    <w:name w:val="xl68"/>
    <w:basedOn w:val="Normal"/>
    <w:rsid w:val="0052241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69">
    <w:name w:val="xl69"/>
    <w:basedOn w:val="Normal"/>
    <w:rsid w:val="0052241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70">
    <w:name w:val="xl70"/>
    <w:basedOn w:val="Normal"/>
    <w:rsid w:val="0052241D"/>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rPr>
  </w:style>
  <w:style w:type="character" w:customStyle="1" w:styleId="apple-converted-space">
    <w:name w:val="apple-converted-space"/>
    <w:basedOn w:val="DefaultParagraphFont"/>
    <w:rsid w:val="0052241D"/>
  </w:style>
  <w:style w:type="paragraph" w:styleId="Revision">
    <w:name w:val="Revision"/>
    <w:hidden/>
    <w:uiPriority w:val="99"/>
    <w:semiHidden/>
    <w:rsid w:val="0052241D"/>
    <w:pPr>
      <w:spacing w:after="0" w:line="240" w:lineRule="auto"/>
    </w:pPr>
    <w:rPr>
      <w:rFonts w:eastAsiaTheme="minorHAnsi"/>
      <w:lang w:eastAsia="en-US"/>
    </w:rPr>
  </w:style>
  <w:style w:type="paragraph" w:styleId="EndnoteText">
    <w:name w:val="endnote text"/>
    <w:basedOn w:val="Normal"/>
    <w:link w:val="EndnoteTextChar"/>
    <w:uiPriority w:val="99"/>
    <w:semiHidden/>
    <w:unhideWhenUsed/>
    <w:rsid w:val="0052241D"/>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52241D"/>
    <w:rPr>
      <w:rFonts w:eastAsiaTheme="minorHAnsi"/>
      <w:sz w:val="20"/>
      <w:szCs w:val="20"/>
      <w:lang w:eastAsia="en-US"/>
    </w:rPr>
  </w:style>
  <w:style w:type="character" w:styleId="EndnoteReference">
    <w:name w:val="endnote reference"/>
    <w:basedOn w:val="DefaultParagraphFont"/>
    <w:uiPriority w:val="99"/>
    <w:semiHidden/>
    <w:unhideWhenUsed/>
    <w:rsid w:val="0052241D"/>
    <w:rPr>
      <w:vertAlign w:val="superscript"/>
    </w:rPr>
  </w:style>
  <w:style w:type="character" w:styleId="PlaceholderText">
    <w:name w:val="Placeholder Text"/>
    <w:basedOn w:val="DefaultParagraphFont"/>
    <w:uiPriority w:val="99"/>
    <w:semiHidden/>
    <w:rsid w:val="0052241D"/>
    <w:rPr>
      <w:color w:val="808080"/>
    </w:rPr>
  </w:style>
  <w:style w:type="paragraph" w:styleId="NormalWeb">
    <w:name w:val="Normal (Web)"/>
    <w:basedOn w:val="Normal"/>
    <w:uiPriority w:val="99"/>
    <w:semiHidden/>
    <w:unhideWhenUsed/>
    <w:rsid w:val="00492AFF"/>
    <w:pPr>
      <w:spacing w:before="100" w:beforeAutospacing="1" w:after="100" w:afterAutospacing="1" w:line="240" w:lineRule="auto"/>
    </w:pPr>
    <w:rPr>
      <w:sz w:val="24"/>
      <w:szCs w:val="24"/>
      <w:lang w:eastAsia="en-SG"/>
    </w:rPr>
  </w:style>
  <w:style w:type="paragraph" w:customStyle="1" w:styleId="EndNoteBibliographyTitle">
    <w:name w:val="EndNote Bibliography Title"/>
    <w:basedOn w:val="Normal"/>
    <w:link w:val="EndNoteBibliographyTitleChar"/>
    <w:rsid w:val="00FE4178"/>
    <w:pPr>
      <w:spacing w:after="0"/>
      <w:jc w:val="center"/>
    </w:pPr>
    <w:rPr>
      <w:noProof/>
      <w:sz w:val="24"/>
    </w:rPr>
  </w:style>
  <w:style w:type="character" w:customStyle="1" w:styleId="EndNoteBibliographyTitleChar">
    <w:name w:val="EndNote Bibliography Title Char"/>
    <w:basedOn w:val="DefaultParagraphFont"/>
    <w:link w:val="EndNoteBibliographyTitle"/>
    <w:rsid w:val="00FE4178"/>
    <w:rPr>
      <w:noProof/>
      <w:sz w:val="24"/>
      <w:lang w:val="en-US"/>
    </w:rPr>
  </w:style>
  <w:style w:type="paragraph" w:customStyle="1" w:styleId="EndNoteBibliography">
    <w:name w:val="EndNote Bibliography"/>
    <w:basedOn w:val="Normal"/>
    <w:link w:val="EndNoteBibliographyChar"/>
    <w:rsid w:val="00FE4178"/>
    <w:pPr>
      <w:spacing w:line="240" w:lineRule="auto"/>
    </w:pPr>
    <w:rPr>
      <w:noProof/>
      <w:sz w:val="24"/>
    </w:rPr>
  </w:style>
  <w:style w:type="character" w:customStyle="1" w:styleId="EndNoteBibliographyChar">
    <w:name w:val="EndNote Bibliography Char"/>
    <w:basedOn w:val="DefaultParagraphFont"/>
    <w:link w:val="EndNoteBibliography"/>
    <w:rsid w:val="00FE4178"/>
    <w:rPr>
      <w:noProof/>
      <w:sz w:val="24"/>
      <w:lang w:val="en-US"/>
    </w:rPr>
  </w:style>
  <w:style w:type="paragraph" w:customStyle="1" w:styleId="EndNoteCategoryHeading">
    <w:name w:val="EndNote Category Heading"/>
    <w:basedOn w:val="Normal"/>
    <w:link w:val="EndNoteCategoryHeadingChar"/>
    <w:rsid w:val="00F57C13"/>
    <w:pPr>
      <w:spacing w:before="120" w:after="120"/>
    </w:pPr>
    <w:rPr>
      <w:b/>
      <w:noProof/>
    </w:rPr>
  </w:style>
  <w:style w:type="character" w:customStyle="1" w:styleId="EndNoteCategoryHeadingChar">
    <w:name w:val="EndNote Category Heading Char"/>
    <w:basedOn w:val="DefaultParagraphFont"/>
    <w:link w:val="EndNoteCategoryHeading"/>
    <w:rsid w:val="00F57C13"/>
    <w:rPr>
      <w:b/>
      <w:noProof/>
    </w:rPr>
  </w:style>
  <w:style w:type="character" w:customStyle="1" w:styleId="UnresolvedMention1">
    <w:name w:val="Unresolved Mention1"/>
    <w:basedOn w:val="DefaultParagraphFont"/>
    <w:uiPriority w:val="99"/>
    <w:semiHidden/>
    <w:unhideWhenUsed/>
    <w:rsid w:val="00F93277"/>
    <w:rPr>
      <w:color w:val="605E5C"/>
      <w:shd w:val="clear" w:color="auto" w:fill="E1DFDD"/>
    </w:rPr>
  </w:style>
  <w:style w:type="character" w:customStyle="1" w:styleId="UnresolvedMention2">
    <w:name w:val="Unresolved Mention2"/>
    <w:basedOn w:val="DefaultParagraphFont"/>
    <w:uiPriority w:val="99"/>
    <w:semiHidden/>
    <w:unhideWhenUsed/>
    <w:rsid w:val="00703FBC"/>
    <w:rPr>
      <w:color w:val="605E5C"/>
      <w:shd w:val="clear" w:color="auto" w:fill="E1DFDD"/>
    </w:rPr>
  </w:style>
  <w:style w:type="character" w:customStyle="1" w:styleId="UnresolvedMention21">
    <w:name w:val="Unresolved Mention21"/>
    <w:basedOn w:val="DefaultParagraphFont"/>
    <w:uiPriority w:val="99"/>
    <w:semiHidden/>
    <w:unhideWhenUsed/>
    <w:rsid w:val="00A678A3"/>
    <w:rPr>
      <w:color w:val="605E5C"/>
      <w:shd w:val="clear" w:color="auto" w:fill="E1DFDD"/>
    </w:rPr>
  </w:style>
  <w:style w:type="character" w:customStyle="1" w:styleId="UnresolvedMention3">
    <w:name w:val="Unresolved Mention3"/>
    <w:basedOn w:val="DefaultParagraphFont"/>
    <w:uiPriority w:val="99"/>
    <w:semiHidden/>
    <w:unhideWhenUsed/>
    <w:rsid w:val="007627B8"/>
    <w:rPr>
      <w:color w:val="605E5C"/>
      <w:shd w:val="clear" w:color="auto" w:fill="E1DFDD"/>
    </w:rPr>
  </w:style>
  <w:style w:type="character" w:customStyle="1" w:styleId="UnresolvedMention4">
    <w:name w:val="Unresolved Mention4"/>
    <w:basedOn w:val="DefaultParagraphFont"/>
    <w:uiPriority w:val="99"/>
    <w:semiHidden/>
    <w:unhideWhenUsed/>
    <w:rsid w:val="00B96890"/>
    <w:rPr>
      <w:color w:val="605E5C"/>
      <w:shd w:val="clear" w:color="auto" w:fill="E1DFDD"/>
    </w:rPr>
  </w:style>
  <w:style w:type="character" w:customStyle="1" w:styleId="UnresolvedMention5">
    <w:name w:val="Unresolved Mention5"/>
    <w:basedOn w:val="DefaultParagraphFont"/>
    <w:uiPriority w:val="99"/>
    <w:semiHidden/>
    <w:unhideWhenUsed/>
    <w:rsid w:val="005E606E"/>
    <w:rPr>
      <w:color w:val="605E5C"/>
      <w:shd w:val="clear" w:color="auto" w:fill="E1DFDD"/>
    </w:rPr>
  </w:style>
  <w:style w:type="numbering" w:customStyle="1" w:styleId="NoList1">
    <w:name w:val="No List1"/>
    <w:next w:val="NoList"/>
    <w:uiPriority w:val="99"/>
    <w:semiHidden/>
    <w:unhideWhenUsed/>
    <w:rsid w:val="00824886"/>
  </w:style>
  <w:style w:type="character" w:customStyle="1" w:styleId="article-content">
    <w:name w:val="article-content"/>
    <w:basedOn w:val="DefaultParagraphFont"/>
    <w:rsid w:val="00824886"/>
  </w:style>
  <w:style w:type="character" w:customStyle="1" w:styleId="UnresolvedMention51">
    <w:name w:val="Unresolved Mention51"/>
    <w:basedOn w:val="DefaultParagraphFont"/>
    <w:uiPriority w:val="99"/>
    <w:semiHidden/>
    <w:unhideWhenUsed/>
    <w:rsid w:val="00824886"/>
    <w:rPr>
      <w:color w:val="605E5C"/>
      <w:shd w:val="clear" w:color="auto" w:fill="E1DFDD"/>
    </w:rPr>
  </w:style>
  <w:style w:type="character" w:customStyle="1" w:styleId="UnresolvedMention6">
    <w:name w:val="Unresolved Mention6"/>
    <w:basedOn w:val="DefaultParagraphFont"/>
    <w:uiPriority w:val="99"/>
    <w:semiHidden/>
    <w:unhideWhenUsed/>
    <w:rsid w:val="007C4BDF"/>
    <w:rPr>
      <w:color w:val="605E5C"/>
      <w:shd w:val="clear" w:color="auto" w:fill="E1DFDD"/>
    </w:rPr>
  </w:style>
  <w:style w:type="character" w:customStyle="1" w:styleId="UnresolvedMention7">
    <w:name w:val="Unresolved Mention7"/>
    <w:basedOn w:val="DefaultParagraphFont"/>
    <w:uiPriority w:val="99"/>
    <w:semiHidden/>
    <w:unhideWhenUsed/>
    <w:rsid w:val="00D058F3"/>
    <w:rPr>
      <w:color w:val="605E5C"/>
      <w:shd w:val="clear" w:color="auto" w:fill="E1DFDD"/>
    </w:rPr>
  </w:style>
  <w:style w:type="character" w:customStyle="1" w:styleId="UnresolvedMention8">
    <w:name w:val="Unresolved Mention8"/>
    <w:basedOn w:val="DefaultParagraphFont"/>
    <w:uiPriority w:val="99"/>
    <w:semiHidden/>
    <w:unhideWhenUsed/>
    <w:rsid w:val="00FC16E3"/>
    <w:rPr>
      <w:color w:val="605E5C"/>
      <w:shd w:val="clear" w:color="auto" w:fill="E1DFDD"/>
    </w:rPr>
  </w:style>
  <w:style w:type="character" w:customStyle="1" w:styleId="UnresolvedMention9">
    <w:name w:val="Unresolved Mention9"/>
    <w:basedOn w:val="DefaultParagraphFont"/>
    <w:uiPriority w:val="99"/>
    <w:semiHidden/>
    <w:unhideWhenUsed/>
    <w:rsid w:val="00411D8B"/>
    <w:rPr>
      <w:color w:val="605E5C"/>
      <w:shd w:val="clear" w:color="auto" w:fill="E1DFDD"/>
    </w:rPr>
  </w:style>
  <w:style w:type="character" w:customStyle="1" w:styleId="UnresolvedMention10">
    <w:name w:val="Unresolved Mention10"/>
    <w:basedOn w:val="DefaultParagraphFont"/>
    <w:uiPriority w:val="99"/>
    <w:semiHidden/>
    <w:unhideWhenUsed/>
    <w:rsid w:val="00F52A82"/>
    <w:rPr>
      <w:color w:val="605E5C"/>
      <w:shd w:val="clear" w:color="auto" w:fill="E1DFDD"/>
    </w:rPr>
  </w:style>
  <w:style w:type="character" w:customStyle="1" w:styleId="UnresolvedMention11">
    <w:name w:val="Unresolved Mention11"/>
    <w:basedOn w:val="DefaultParagraphFont"/>
    <w:uiPriority w:val="99"/>
    <w:semiHidden/>
    <w:unhideWhenUsed/>
    <w:rsid w:val="008B45D3"/>
    <w:rPr>
      <w:color w:val="605E5C"/>
      <w:shd w:val="clear" w:color="auto" w:fill="E1DFDD"/>
    </w:rPr>
  </w:style>
  <w:style w:type="character" w:customStyle="1" w:styleId="UnresolvedMention12">
    <w:name w:val="Unresolved Mention12"/>
    <w:basedOn w:val="DefaultParagraphFont"/>
    <w:uiPriority w:val="99"/>
    <w:semiHidden/>
    <w:unhideWhenUsed/>
    <w:rsid w:val="00890EBC"/>
    <w:rPr>
      <w:color w:val="605E5C"/>
      <w:shd w:val="clear" w:color="auto" w:fill="E1DFDD"/>
    </w:rPr>
  </w:style>
  <w:style w:type="character" w:customStyle="1" w:styleId="UnresolvedMention13">
    <w:name w:val="Unresolved Mention13"/>
    <w:basedOn w:val="DefaultParagraphFont"/>
    <w:uiPriority w:val="99"/>
    <w:semiHidden/>
    <w:unhideWhenUsed/>
    <w:rsid w:val="00226C61"/>
    <w:rPr>
      <w:color w:val="605E5C"/>
      <w:shd w:val="clear" w:color="auto" w:fill="E1DFDD"/>
    </w:rPr>
  </w:style>
  <w:style w:type="character" w:customStyle="1" w:styleId="UnresolvedMention14">
    <w:name w:val="Unresolved Mention14"/>
    <w:basedOn w:val="DefaultParagraphFont"/>
    <w:uiPriority w:val="99"/>
    <w:semiHidden/>
    <w:unhideWhenUsed/>
    <w:rsid w:val="00D710B4"/>
    <w:rPr>
      <w:color w:val="605E5C"/>
      <w:shd w:val="clear" w:color="auto" w:fill="E1DFDD"/>
    </w:rPr>
  </w:style>
  <w:style w:type="character" w:customStyle="1" w:styleId="UnresolvedMention15">
    <w:name w:val="Unresolved Mention15"/>
    <w:basedOn w:val="DefaultParagraphFont"/>
    <w:uiPriority w:val="99"/>
    <w:semiHidden/>
    <w:unhideWhenUsed/>
    <w:rsid w:val="006F1135"/>
    <w:rPr>
      <w:color w:val="605E5C"/>
      <w:shd w:val="clear" w:color="auto" w:fill="E1DFDD"/>
    </w:rPr>
  </w:style>
  <w:style w:type="character" w:customStyle="1" w:styleId="UnresolvedMention150">
    <w:name w:val="Unresolved Mention15"/>
    <w:basedOn w:val="DefaultParagraphFont"/>
    <w:uiPriority w:val="99"/>
    <w:semiHidden/>
    <w:unhideWhenUsed/>
    <w:rsid w:val="00F731AC"/>
    <w:rPr>
      <w:color w:val="605E5C"/>
      <w:shd w:val="clear" w:color="auto" w:fill="E1DFDD"/>
    </w:rPr>
  </w:style>
  <w:style w:type="character" w:customStyle="1" w:styleId="UnresolvedMention16">
    <w:name w:val="Unresolved Mention16"/>
    <w:basedOn w:val="DefaultParagraphFont"/>
    <w:uiPriority w:val="99"/>
    <w:semiHidden/>
    <w:unhideWhenUsed/>
    <w:rsid w:val="00F731AC"/>
    <w:rPr>
      <w:color w:val="605E5C"/>
      <w:shd w:val="clear" w:color="auto" w:fill="E1DFDD"/>
    </w:rPr>
  </w:style>
  <w:style w:type="character" w:customStyle="1" w:styleId="UnresolvedMention17">
    <w:name w:val="Unresolved Mention17"/>
    <w:basedOn w:val="DefaultParagraphFont"/>
    <w:uiPriority w:val="99"/>
    <w:semiHidden/>
    <w:unhideWhenUsed/>
    <w:rsid w:val="00F731AC"/>
    <w:rPr>
      <w:color w:val="605E5C"/>
      <w:shd w:val="clear" w:color="auto" w:fill="E1DFDD"/>
    </w:rPr>
  </w:style>
  <w:style w:type="character" w:customStyle="1" w:styleId="UnresolvedMention18">
    <w:name w:val="Unresolved Mention18"/>
    <w:basedOn w:val="DefaultParagraphFont"/>
    <w:uiPriority w:val="99"/>
    <w:semiHidden/>
    <w:unhideWhenUsed/>
    <w:rsid w:val="00F731AC"/>
    <w:rPr>
      <w:color w:val="605E5C"/>
      <w:shd w:val="clear" w:color="auto" w:fill="E1DFDD"/>
    </w:rPr>
  </w:style>
  <w:style w:type="character" w:customStyle="1" w:styleId="UnresolvedMention19">
    <w:name w:val="Unresolved Mention19"/>
    <w:basedOn w:val="DefaultParagraphFont"/>
    <w:uiPriority w:val="99"/>
    <w:semiHidden/>
    <w:unhideWhenUsed/>
    <w:rsid w:val="00F731AC"/>
    <w:rPr>
      <w:color w:val="605E5C"/>
      <w:shd w:val="clear" w:color="auto" w:fill="E1DFDD"/>
    </w:rPr>
  </w:style>
  <w:style w:type="character" w:customStyle="1" w:styleId="UnresolvedMention20">
    <w:name w:val="Unresolved Mention20"/>
    <w:basedOn w:val="DefaultParagraphFont"/>
    <w:uiPriority w:val="99"/>
    <w:semiHidden/>
    <w:unhideWhenUsed/>
    <w:rsid w:val="00F731AC"/>
    <w:rPr>
      <w:color w:val="605E5C"/>
      <w:shd w:val="clear" w:color="auto" w:fill="E1DFDD"/>
    </w:rPr>
  </w:style>
  <w:style w:type="character" w:customStyle="1" w:styleId="UnresolvedMention22">
    <w:name w:val="Unresolved Mention22"/>
    <w:basedOn w:val="DefaultParagraphFont"/>
    <w:uiPriority w:val="99"/>
    <w:semiHidden/>
    <w:unhideWhenUsed/>
    <w:rsid w:val="00F731AC"/>
    <w:rPr>
      <w:color w:val="605E5C"/>
      <w:shd w:val="clear" w:color="auto" w:fill="E1DFDD"/>
    </w:rPr>
  </w:style>
  <w:style w:type="character" w:customStyle="1" w:styleId="UnresolvedMention23">
    <w:name w:val="Unresolved Mention23"/>
    <w:basedOn w:val="DefaultParagraphFont"/>
    <w:uiPriority w:val="99"/>
    <w:semiHidden/>
    <w:unhideWhenUsed/>
    <w:rsid w:val="00F731AC"/>
    <w:rPr>
      <w:color w:val="605E5C"/>
      <w:shd w:val="clear" w:color="auto" w:fill="E1DFDD"/>
    </w:rPr>
  </w:style>
  <w:style w:type="paragraph" w:customStyle="1" w:styleId="Default">
    <w:name w:val="Default"/>
    <w:rsid w:val="00F731AC"/>
    <w:pPr>
      <w:autoSpaceDE w:val="0"/>
      <w:autoSpaceDN w:val="0"/>
      <w:adjustRightInd w:val="0"/>
      <w:spacing w:after="0" w:line="240" w:lineRule="auto"/>
    </w:pPr>
    <w:rPr>
      <w:sz w:val="24"/>
      <w:szCs w:val="24"/>
    </w:rPr>
  </w:style>
  <w:style w:type="character" w:customStyle="1" w:styleId="UnresolvedMention24">
    <w:name w:val="Unresolved Mention24"/>
    <w:basedOn w:val="DefaultParagraphFont"/>
    <w:uiPriority w:val="99"/>
    <w:semiHidden/>
    <w:unhideWhenUsed/>
    <w:rsid w:val="00F731AC"/>
    <w:rPr>
      <w:color w:val="605E5C"/>
      <w:shd w:val="clear" w:color="auto" w:fill="E1DFDD"/>
    </w:rPr>
  </w:style>
  <w:style w:type="character" w:customStyle="1" w:styleId="UnresolvedMention25">
    <w:name w:val="Unresolved Mention25"/>
    <w:basedOn w:val="DefaultParagraphFont"/>
    <w:uiPriority w:val="99"/>
    <w:semiHidden/>
    <w:unhideWhenUsed/>
    <w:rsid w:val="00F731AC"/>
    <w:rPr>
      <w:color w:val="605E5C"/>
      <w:shd w:val="clear" w:color="auto" w:fill="E1DFDD"/>
    </w:rPr>
  </w:style>
  <w:style w:type="character" w:customStyle="1" w:styleId="UnresolvedMention26">
    <w:name w:val="Unresolved Mention26"/>
    <w:basedOn w:val="DefaultParagraphFont"/>
    <w:uiPriority w:val="99"/>
    <w:semiHidden/>
    <w:unhideWhenUsed/>
    <w:rsid w:val="00F731AC"/>
    <w:rPr>
      <w:color w:val="605E5C"/>
      <w:shd w:val="clear" w:color="auto" w:fill="E1DFDD"/>
    </w:rPr>
  </w:style>
  <w:style w:type="character" w:customStyle="1" w:styleId="UnresolvedMention27">
    <w:name w:val="Unresolved Mention27"/>
    <w:basedOn w:val="DefaultParagraphFont"/>
    <w:uiPriority w:val="99"/>
    <w:semiHidden/>
    <w:unhideWhenUsed/>
    <w:rsid w:val="00F731AC"/>
    <w:rPr>
      <w:color w:val="605E5C"/>
      <w:shd w:val="clear" w:color="auto" w:fill="E1DFDD"/>
    </w:rPr>
  </w:style>
  <w:style w:type="character" w:customStyle="1" w:styleId="UnresolvedMention28">
    <w:name w:val="Unresolved Mention28"/>
    <w:basedOn w:val="DefaultParagraphFont"/>
    <w:uiPriority w:val="99"/>
    <w:semiHidden/>
    <w:unhideWhenUsed/>
    <w:rsid w:val="00F731AC"/>
    <w:rPr>
      <w:color w:val="605E5C"/>
      <w:shd w:val="clear" w:color="auto" w:fill="E1DFDD"/>
    </w:rPr>
  </w:style>
  <w:style w:type="character" w:customStyle="1" w:styleId="UnresolvedMention29">
    <w:name w:val="Unresolved Mention29"/>
    <w:basedOn w:val="DefaultParagraphFont"/>
    <w:uiPriority w:val="99"/>
    <w:semiHidden/>
    <w:unhideWhenUsed/>
    <w:rsid w:val="00F731AC"/>
    <w:rPr>
      <w:color w:val="605E5C"/>
      <w:shd w:val="clear" w:color="auto" w:fill="E1DFDD"/>
    </w:rPr>
  </w:style>
  <w:style w:type="character" w:customStyle="1" w:styleId="UnresolvedMention30">
    <w:name w:val="Unresolved Mention30"/>
    <w:basedOn w:val="DefaultParagraphFont"/>
    <w:uiPriority w:val="99"/>
    <w:semiHidden/>
    <w:unhideWhenUsed/>
    <w:rsid w:val="00F731AC"/>
    <w:rPr>
      <w:color w:val="605E5C"/>
      <w:shd w:val="clear" w:color="auto" w:fill="E1DFDD"/>
    </w:rPr>
  </w:style>
  <w:style w:type="character" w:customStyle="1" w:styleId="UnresolvedMention31">
    <w:name w:val="Unresolved Mention31"/>
    <w:basedOn w:val="DefaultParagraphFont"/>
    <w:uiPriority w:val="99"/>
    <w:semiHidden/>
    <w:unhideWhenUsed/>
    <w:rsid w:val="00F731AC"/>
    <w:rPr>
      <w:color w:val="605E5C"/>
      <w:shd w:val="clear" w:color="auto" w:fill="E1DFDD"/>
    </w:rPr>
  </w:style>
  <w:style w:type="character" w:customStyle="1" w:styleId="UnresolvedMention32">
    <w:name w:val="Unresolved Mention32"/>
    <w:basedOn w:val="DefaultParagraphFont"/>
    <w:uiPriority w:val="99"/>
    <w:semiHidden/>
    <w:unhideWhenUsed/>
    <w:rsid w:val="00F731AC"/>
    <w:rPr>
      <w:color w:val="605E5C"/>
      <w:shd w:val="clear" w:color="auto" w:fill="E1DFDD"/>
    </w:rPr>
  </w:style>
  <w:style w:type="character" w:customStyle="1" w:styleId="UnresolvedMention33">
    <w:name w:val="Unresolved Mention33"/>
    <w:basedOn w:val="DefaultParagraphFont"/>
    <w:uiPriority w:val="99"/>
    <w:semiHidden/>
    <w:unhideWhenUsed/>
    <w:rsid w:val="00F731AC"/>
    <w:rPr>
      <w:color w:val="605E5C"/>
      <w:shd w:val="clear" w:color="auto" w:fill="E1DFDD"/>
    </w:rPr>
  </w:style>
  <w:style w:type="character" w:customStyle="1" w:styleId="UnresolvedMention34">
    <w:name w:val="Unresolved Mention34"/>
    <w:basedOn w:val="DefaultParagraphFont"/>
    <w:uiPriority w:val="99"/>
    <w:semiHidden/>
    <w:unhideWhenUsed/>
    <w:rsid w:val="00F731AC"/>
    <w:rPr>
      <w:color w:val="605E5C"/>
      <w:shd w:val="clear" w:color="auto" w:fill="E1DFDD"/>
    </w:rPr>
  </w:style>
  <w:style w:type="table" w:styleId="TableGrid">
    <w:name w:val="Table Grid"/>
    <w:basedOn w:val="TableNormal"/>
    <w:uiPriority w:val="39"/>
    <w:rsid w:val="00EA4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55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683">
      <w:bodyDiv w:val="1"/>
      <w:marLeft w:val="0"/>
      <w:marRight w:val="0"/>
      <w:marTop w:val="0"/>
      <w:marBottom w:val="0"/>
      <w:divBdr>
        <w:top w:val="none" w:sz="0" w:space="0" w:color="auto"/>
        <w:left w:val="none" w:sz="0" w:space="0" w:color="auto"/>
        <w:bottom w:val="none" w:sz="0" w:space="0" w:color="auto"/>
        <w:right w:val="none" w:sz="0" w:space="0" w:color="auto"/>
      </w:divBdr>
    </w:div>
    <w:div w:id="29032499">
      <w:bodyDiv w:val="1"/>
      <w:marLeft w:val="0"/>
      <w:marRight w:val="0"/>
      <w:marTop w:val="0"/>
      <w:marBottom w:val="0"/>
      <w:divBdr>
        <w:top w:val="none" w:sz="0" w:space="0" w:color="auto"/>
        <w:left w:val="none" w:sz="0" w:space="0" w:color="auto"/>
        <w:bottom w:val="none" w:sz="0" w:space="0" w:color="auto"/>
        <w:right w:val="none" w:sz="0" w:space="0" w:color="auto"/>
      </w:divBdr>
    </w:div>
    <w:div w:id="42562408">
      <w:bodyDiv w:val="1"/>
      <w:marLeft w:val="0"/>
      <w:marRight w:val="0"/>
      <w:marTop w:val="0"/>
      <w:marBottom w:val="0"/>
      <w:divBdr>
        <w:top w:val="none" w:sz="0" w:space="0" w:color="auto"/>
        <w:left w:val="none" w:sz="0" w:space="0" w:color="auto"/>
        <w:bottom w:val="none" w:sz="0" w:space="0" w:color="auto"/>
        <w:right w:val="none" w:sz="0" w:space="0" w:color="auto"/>
      </w:divBdr>
    </w:div>
    <w:div w:id="67927587">
      <w:bodyDiv w:val="1"/>
      <w:marLeft w:val="0"/>
      <w:marRight w:val="0"/>
      <w:marTop w:val="0"/>
      <w:marBottom w:val="0"/>
      <w:divBdr>
        <w:top w:val="none" w:sz="0" w:space="0" w:color="auto"/>
        <w:left w:val="none" w:sz="0" w:space="0" w:color="auto"/>
        <w:bottom w:val="none" w:sz="0" w:space="0" w:color="auto"/>
        <w:right w:val="none" w:sz="0" w:space="0" w:color="auto"/>
      </w:divBdr>
    </w:div>
    <w:div w:id="70347345">
      <w:bodyDiv w:val="1"/>
      <w:marLeft w:val="0"/>
      <w:marRight w:val="0"/>
      <w:marTop w:val="0"/>
      <w:marBottom w:val="0"/>
      <w:divBdr>
        <w:top w:val="none" w:sz="0" w:space="0" w:color="auto"/>
        <w:left w:val="none" w:sz="0" w:space="0" w:color="auto"/>
        <w:bottom w:val="none" w:sz="0" w:space="0" w:color="auto"/>
        <w:right w:val="none" w:sz="0" w:space="0" w:color="auto"/>
      </w:divBdr>
    </w:div>
    <w:div w:id="140000528">
      <w:bodyDiv w:val="1"/>
      <w:marLeft w:val="0"/>
      <w:marRight w:val="0"/>
      <w:marTop w:val="0"/>
      <w:marBottom w:val="0"/>
      <w:divBdr>
        <w:top w:val="none" w:sz="0" w:space="0" w:color="auto"/>
        <w:left w:val="none" w:sz="0" w:space="0" w:color="auto"/>
        <w:bottom w:val="none" w:sz="0" w:space="0" w:color="auto"/>
        <w:right w:val="none" w:sz="0" w:space="0" w:color="auto"/>
      </w:divBdr>
    </w:div>
    <w:div w:id="170722622">
      <w:bodyDiv w:val="1"/>
      <w:marLeft w:val="0"/>
      <w:marRight w:val="0"/>
      <w:marTop w:val="0"/>
      <w:marBottom w:val="0"/>
      <w:divBdr>
        <w:top w:val="none" w:sz="0" w:space="0" w:color="auto"/>
        <w:left w:val="none" w:sz="0" w:space="0" w:color="auto"/>
        <w:bottom w:val="none" w:sz="0" w:space="0" w:color="auto"/>
        <w:right w:val="none" w:sz="0" w:space="0" w:color="auto"/>
      </w:divBdr>
    </w:div>
    <w:div w:id="171840262">
      <w:bodyDiv w:val="1"/>
      <w:marLeft w:val="0"/>
      <w:marRight w:val="0"/>
      <w:marTop w:val="0"/>
      <w:marBottom w:val="0"/>
      <w:divBdr>
        <w:top w:val="none" w:sz="0" w:space="0" w:color="auto"/>
        <w:left w:val="none" w:sz="0" w:space="0" w:color="auto"/>
        <w:bottom w:val="none" w:sz="0" w:space="0" w:color="auto"/>
        <w:right w:val="none" w:sz="0" w:space="0" w:color="auto"/>
      </w:divBdr>
    </w:div>
    <w:div w:id="184754610">
      <w:bodyDiv w:val="1"/>
      <w:marLeft w:val="0"/>
      <w:marRight w:val="0"/>
      <w:marTop w:val="0"/>
      <w:marBottom w:val="0"/>
      <w:divBdr>
        <w:top w:val="none" w:sz="0" w:space="0" w:color="auto"/>
        <w:left w:val="none" w:sz="0" w:space="0" w:color="auto"/>
        <w:bottom w:val="none" w:sz="0" w:space="0" w:color="auto"/>
        <w:right w:val="none" w:sz="0" w:space="0" w:color="auto"/>
      </w:divBdr>
    </w:div>
    <w:div w:id="199441404">
      <w:bodyDiv w:val="1"/>
      <w:marLeft w:val="0"/>
      <w:marRight w:val="0"/>
      <w:marTop w:val="0"/>
      <w:marBottom w:val="0"/>
      <w:divBdr>
        <w:top w:val="none" w:sz="0" w:space="0" w:color="auto"/>
        <w:left w:val="none" w:sz="0" w:space="0" w:color="auto"/>
        <w:bottom w:val="none" w:sz="0" w:space="0" w:color="auto"/>
        <w:right w:val="none" w:sz="0" w:space="0" w:color="auto"/>
      </w:divBdr>
    </w:div>
    <w:div w:id="209922905">
      <w:bodyDiv w:val="1"/>
      <w:marLeft w:val="0"/>
      <w:marRight w:val="0"/>
      <w:marTop w:val="0"/>
      <w:marBottom w:val="0"/>
      <w:divBdr>
        <w:top w:val="none" w:sz="0" w:space="0" w:color="auto"/>
        <w:left w:val="none" w:sz="0" w:space="0" w:color="auto"/>
        <w:bottom w:val="none" w:sz="0" w:space="0" w:color="auto"/>
        <w:right w:val="none" w:sz="0" w:space="0" w:color="auto"/>
      </w:divBdr>
    </w:div>
    <w:div w:id="281887682">
      <w:bodyDiv w:val="1"/>
      <w:marLeft w:val="0"/>
      <w:marRight w:val="0"/>
      <w:marTop w:val="0"/>
      <w:marBottom w:val="0"/>
      <w:divBdr>
        <w:top w:val="none" w:sz="0" w:space="0" w:color="auto"/>
        <w:left w:val="none" w:sz="0" w:space="0" w:color="auto"/>
        <w:bottom w:val="none" w:sz="0" w:space="0" w:color="auto"/>
        <w:right w:val="none" w:sz="0" w:space="0" w:color="auto"/>
      </w:divBdr>
    </w:div>
    <w:div w:id="283659050">
      <w:bodyDiv w:val="1"/>
      <w:marLeft w:val="0"/>
      <w:marRight w:val="0"/>
      <w:marTop w:val="0"/>
      <w:marBottom w:val="0"/>
      <w:divBdr>
        <w:top w:val="none" w:sz="0" w:space="0" w:color="auto"/>
        <w:left w:val="none" w:sz="0" w:space="0" w:color="auto"/>
        <w:bottom w:val="none" w:sz="0" w:space="0" w:color="auto"/>
        <w:right w:val="none" w:sz="0" w:space="0" w:color="auto"/>
      </w:divBdr>
    </w:div>
    <w:div w:id="294414057">
      <w:bodyDiv w:val="1"/>
      <w:marLeft w:val="0"/>
      <w:marRight w:val="0"/>
      <w:marTop w:val="0"/>
      <w:marBottom w:val="0"/>
      <w:divBdr>
        <w:top w:val="none" w:sz="0" w:space="0" w:color="auto"/>
        <w:left w:val="none" w:sz="0" w:space="0" w:color="auto"/>
        <w:bottom w:val="none" w:sz="0" w:space="0" w:color="auto"/>
        <w:right w:val="none" w:sz="0" w:space="0" w:color="auto"/>
      </w:divBdr>
    </w:div>
    <w:div w:id="299579258">
      <w:bodyDiv w:val="1"/>
      <w:marLeft w:val="0"/>
      <w:marRight w:val="0"/>
      <w:marTop w:val="0"/>
      <w:marBottom w:val="0"/>
      <w:divBdr>
        <w:top w:val="none" w:sz="0" w:space="0" w:color="auto"/>
        <w:left w:val="none" w:sz="0" w:space="0" w:color="auto"/>
        <w:bottom w:val="none" w:sz="0" w:space="0" w:color="auto"/>
        <w:right w:val="none" w:sz="0" w:space="0" w:color="auto"/>
      </w:divBdr>
    </w:div>
    <w:div w:id="302582332">
      <w:bodyDiv w:val="1"/>
      <w:marLeft w:val="0"/>
      <w:marRight w:val="0"/>
      <w:marTop w:val="0"/>
      <w:marBottom w:val="0"/>
      <w:divBdr>
        <w:top w:val="none" w:sz="0" w:space="0" w:color="auto"/>
        <w:left w:val="none" w:sz="0" w:space="0" w:color="auto"/>
        <w:bottom w:val="none" w:sz="0" w:space="0" w:color="auto"/>
        <w:right w:val="none" w:sz="0" w:space="0" w:color="auto"/>
      </w:divBdr>
    </w:div>
    <w:div w:id="309559058">
      <w:bodyDiv w:val="1"/>
      <w:marLeft w:val="0"/>
      <w:marRight w:val="0"/>
      <w:marTop w:val="0"/>
      <w:marBottom w:val="0"/>
      <w:divBdr>
        <w:top w:val="none" w:sz="0" w:space="0" w:color="auto"/>
        <w:left w:val="none" w:sz="0" w:space="0" w:color="auto"/>
        <w:bottom w:val="none" w:sz="0" w:space="0" w:color="auto"/>
        <w:right w:val="none" w:sz="0" w:space="0" w:color="auto"/>
      </w:divBdr>
    </w:div>
    <w:div w:id="313607306">
      <w:bodyDiv w:val="1"/>
      <w:marLeft w:val="0"/>
      <w:marRight w:val="0"/>
      <w:marTop w:val="0"/>
      <w:marBottom w:val="0"/>
      <w:divBdr>
        <w:top w:val="none" w:sz="0" w:space="0" w:color="auto"/>
        <w:left w:val="none" w:sz="0" w:space="0" w:color="auto"/>
        <w:bottom w:val="none" w:sz="0" w:space="0" w:color="auto"/>
        <w:right w:val="none" w:sz="0" w:space="0" w:color="auto"/>
      </w:divBdr>
    </w:div>
    <w:div w:id="316763165">
      <w:bodyDiv w:val="1"/>
      <w:marLeft w:val="0"/>
      <w:marRight w:val="0"/>
      <w:marTop w:val="0"/>
      <w:marBottom w:val="0"/>
      <w:divBdr>
        <w:top w:val="none" w:sz="0" w:space="0" w:color="auto"/>
        <w:left w:val="none" w:sz="0" w:space="0" w:color="auto"/>
        <w:bottom w:val="none" w:sz="0" w:space="0" w:color="auto"/>
        <w:right w:val="none" w:sz="0" w:space="0" w:color="auto"/>
      </w:divBdr>
    </w:div>
    <w:div w:id="354965284">
      <w:bodyDiv w:val="1"/>
      <w:marLeft w:val="0"/>
      <w:marRight w:val="0"/>
      <w:marTop w:val="0"/>
      <w:marBottom w:val="0"/>
      <w:divBdr>
        <w:top w:val="none" w:sz="0" w:space="0" w:color="auto"/>
        <w:left w:val="none" w:sz="0" w:space="0" w:color="auto"/>
        <w:bottom w:val="none" w:sz="0" w:space="0" w:color="auto"/>
        <w:right w:val="none" w:sz="0" w:space="0" w:color="auto"/>
      </w:divBdr>
    </w:div>
    <w:div w:id="372770494">
      <w:bodyDiv w:val="1"/>
      <w:marLeft w:val="0"/>
      <w:marRight w:val="0"/>
      <w:marTop w:val="0"/>
      <w:marBottom w:val="0"/>
      <w:divBdr>
        <w:top w:val="none" w:sz="0" w:space="0" w:color="auto"/>
        <w:left w:val="none" w:sz="0" w:space="0" w:color="auto"/>
        <w:bottom w:val="none" w:sz="0" w:space="0" w:color="auto"/>
        <w:right w:val="none" w:sz="0" w:space="0" w:color="auto"/>
      </w:divBdr>
    </w:div>
    <w:div w:id="387341929">
      <w:bodyDiv w:val="1"/>
      <w:marLeft w:val="0"/>
      <w:marRight w:val="0"/>
      <w:marTop w:val="0"/>
      <w:marBottom w:val="0"/>
      <w:divBdr>
        <w:top w:val="none" w:sz="0" w:space="0" w:color="auto"/>
        <w:left w:val="none" w:sz="0" w:space="0" w:color="auto"/>
        <w:bottom w:val="none" w:sz="0" w:space="0" w:color="auto"/>
        <w:right w:val="none" w:sz="0" w:space="0" w:color="auto"/>
      </w:divBdr>
    </w:div>
    <w:div w:id="396131389">
      <w:bodyDiv w:val="1"/>
      <w:marLeft w:val="0"/>
      <w:marRight w:val="0"/>
      <w:marTop w:val="0"/>
      <w:marBottom w:val="0"/>
      <w:divBdr>
        <w:top w:val="none" w:sz="0" w:space="0" w:color="auto"/>
        <w:left w:val="none" w:sz="0" w:space="0" w:color="auto"/>
        <w:bottom w:val="none" w:sz="0" w:space="0" w:color="auto"/>
        <w:right w:val="none" w:sz="0" w:space="0" w:color="auto"/>
      </w:divBdr>
    </w:div>
    <w:div w:id="412817681">
      <w:bodyDiv w:val="1"/>
      <w:marLeft w:val="0"/>
      <w:marRight w:val="0"/>
      <w:marTop w:val="0"/>
      <w:marBottom w:val="0"/>
      <w:divBdr>
        <w:top w:val="none" w:sz="0" w:space="0" w:color="auto"/>
        <w:left w:val="none" w:sz="0" w:space="0" w:color="auto"/>
        <w:bottom w:val="none" w:sz="0" w:space="0" w:color="auto"/>
        <w:right w:val="none" w:sz="0" w:space="0" w:color="auto"/>
      </w:divBdr>
    </w:div>
    <w:div w:id="434861059">
      <w:bodyDiv w:val="1"/>
      <w:marLeft w:val="0"/>
      <w:marRight w:val="0"/>
      <w:marTop w:val="0"/>
      <w:marBottom w:val="0"/>
      <w:divBdr>
        <w:top w:val="none" w:sz="0" w:space="0" w:color="auto"/>
        <w:left w:val="none" w:sz="0" w:space="0" w:color="auto"/>
        <w:bottom w:val="none" w:sz="0" w:space="0" w:color="auto"/>
        <w:right w:val="none" w:sz="0" w:space="0" w:color="auto"/>
      </w:divBdr>
    </w:div>
    <w:div w:id="439646761">
      <w:bodyDiv w:val="1"/>
      <w:marLeft w:val="0"/>
      <w:marRight w:val="0"/>
      <w:marTop w:val="0"/>
      <w:marBottom w:val="0"/>
      <w:divBdr>
        <w:top w:val="none" w:sz="0" w:space="0" w:color="auto"/>
        <w:left w:val="none" w:sz="0" w:space="0" w:color="auto"/>
        <w:bottom w:val="none" w:sz="0" w:space="0" w:color="auto"/>
        <w:right w:val="none" w:sz="0" w:space="0" w:color="auto"/>
      </w:divBdr>
    </w:div>
    <w:div w:id="502866061">
      <w:bodyDiv w:val="1"/>
      <w:marLeft w:val="0"/>
      <w:marRight w:val="0"/>
      <w:marTop w:val="0"/>
      <w:marBottom w:val="0"/>
      <w:divBdr>
        <w:top w:val="none" w:sz="0" w:space="0" w:color="auto"/>
        <w:left w:val="none" w:sz="0" w:space="0" w:color="auto"/>
        <w:bottom w:val="none" w:sz="0" w:space="0" w:color="auto"/>
        <w:right w:val="none" w:sz="0" w:space="0" w:color="auto"/>
      </w:divBdr>
    </w:div>
    <w:div w:id="518159652">
      <w:bodyDiv w:val="1"/>
      <w:marLeft w:val="0"/>
      <w:marRight w:val="0"/>
      <w:marTop w:val="0"/>
      <w:marBottom w:val="0"/>
      <w:divBdr>
        <w:top w:val="none" w:sz="0" w:space="0" w:color="auto"/>
        <w:left w:val="none" w:sz="0" w:space="0" w:color="auto"/>
        <w:bottom w:val="none" w:sz="0" w:space="0" w:color="auto"/>
        <w:right w:val="none" w:sz="0" w:space="0" w:color="auto"/>
      </w:divBdr>
    </w:div>
    <w:div w:id="519509468">
      <w:bodyDiv w:val="1"/>
      <w:marLeft w:val="0"/>
      <w:marRight w:val="0"/>
      <w:marTop w:val="0"/>
      <w:marBottom w:val="0"/>
      <w:divBdr>
        <w:top w:val="none" w:sz="0" w:space="0" w:color="auto"/>
        <w:left w:val="none" w:sz="0" w:space="0" w:color="auto"/>
        <w:bottom w:val="none" w:sz="0" w:space="0" w:color="auto"/>
        <w:right w:val="none" w:sz="0" w:space="0" w:color="auto"/>
      </w:divBdr>
    </w:div>
    <w:div w:id="610278638">
      <w:bodyDiv w:val="1"/>
      <w:marLeft w:val="0"/>
      <w:marRight w:val="0"/>
      <w:marTop w:val="0"/>
      <w:marBottom w:val="0"/>
      <w:divBdr>
        <w:top w:val="none" w:sz="0" w:space="0" w:color="auto"/>
        <w:left w:val="none" w:sz="0" w:space="0" w:color="auto"/>
        <w:bottom w:val="none" w:sz="0" w:space="0" w:color="auto"/>
        <w:right w:val="none" w:sz="0" w:space="0" w:color="auto"/>
      </w:divBdr>
    </w:div>
    <w:div w:id="625430747">
      <w:bodyDiv w:val="1"/>
      <w:marLeft w:val="0"/>
      <w:marRight w:val="0"/>
      <w:marTop w:val="0"/>
      <w:marBottom w:val="0"/>
      <w:divBdr>
        <w:top w:val="none" w:sz="0" w:space="0" w:color="auto"/>
        <w:left w:val="none" w:sz="0" w:space="0" w:color="auto"/>
        <w:bottom w:val="none" w:sz="0" w:space="0" w:color="auto"/>
        <w:right w:val="none" w:sz="0" w:space="0" w:color="auto"/>
      </w:divBdr>
    </w:div>
    <w:div w:id="625502377">
      <w:bodyDiv w:val="1"/>
      <w:marLeft w:val="0"/>
      <w:marRight w:val="0"/>
      <w:marTop w:val="0"/>
      <w:marBottom w:val="0"/>
      <w:divBdr>
        <w:top w:val="none" w:sz="0" w:space="0" w:color="auto"/>
        <w:left w:val="none" w:sz="0" w:space="0" w:color="auto"/>
        <w:bottom w:val="none" w:sz="0" w:space="0" w:color="auto"/>
        <w:right w:val="none" w:sz="0" w:space="0" w:color="auto"/>
      </w:divBdr>
    </w:div>
    <w:div w:id="690763221">
      <w:bodyDiv w:val="1"/>
      <w:marLeft w:val="0"/>
      <w:marRight w:val="0"/>
      <w:marTop w:val="0"/>
      <w:marBottom w:val="0"/>
      <w:divBdr>
        <w:top w:val="none" w:sz="0" w:space="0" w:color="auto"/>
        <w:left w:val="none" w:sz="0" w:space="0" w:color="auto"/>
        <w:bottom w:val="none" w:sz="0" w:space="0" w:color="auto"/>
        <w:right w:val="none" w:sz="0" w:space="0" w:color="auto"/>
      </w:divBdr>
    </w:div>
    <w:div w:id="707531833">
      <w:bodyDiv w:val="1"/>
      <w:marLeft w:val="0"/>
      <w:marRight w:val="0"/>
      <w:marTop w:val="0"/>
      <w:marBottom w:val="0"/>
      <w:divBdr>
        <w:top w:val="none" w:sz="0" w:space="0" w:color="auto"/>
        <w:left w:val="none" w:sz="0" w:space="0" w:color="auto"/>
        <w:bottom w:val="none" w:sz="0" w:space="0" w:color="auto"/>
        <w:right w:val="none" w:sz="0" w:space="0" w:color="auto"/>
      </w:divBdr>
    </w:div>
    <w:div w:id="725252594">
      <w:bodyDiv w:val="1"/>
      <w:marLeft w:val="0"/>
      <w:marRight w:val="0"/>
      <w:marTop w:val="0"/>
      <w:marBottom w:val="0"/>
      <w:divBdr>
        <w:top w:val="none" w:sz="0" w:space="0" w:color="auto"/>
        <w:left w:val="none" w:sz="0" w:space="0" w:color="auto"/>
        <w:bottom w:val="none" w:sz="0" w:space="0" w:color="auto"/>
        <w:right w:val="none" w:sz="0" w:space="0" w:color="auto"/>
      </w:divBdr>
    </w:div>
    <w:div w:id="726495191">
      <w:bodyDiv w:val="1"/>
      <w:marLeft w:val="0"/>
      <w:marRight w:val="0"/>
      <w:marTop w:val="0"/>
      <w:marBottom w:val="0"/>
      <w:divBdr>
        <w:top w:val="none" w:sz="0" w:space="0" w:color="auto"/>
        <w:left w:val="none" w:sz="0" w:space="0" w:color="auto"/>
        <w:bottom w:val="none" w:sz="0" w:space="0" w:color="auto"/>
        <w:right w:val="none" w:sz="0" w:space="0" w:color="auto"/>
      </w:divBdr>
    </w:div>
    <w:div w:id="750807994">
      <w:bodyDiv w:val="1"/>
      <w:marLeft w:val="0"/>
      <w:marRight w:val="0"/>
      <w:marTop w:val="0"/>
      <w:marBottom w:val="0"/>
      <w:divBdr>
        <w:top w:val="none" w:sz="0" w:space="0" w:color="auto"/>
        <w:left w:val="none" w:sz="0" w:space="0" w:color="auto"/>
        <w:bottom w:val="none" w:sz="0" w:space="0" w:color="auto"/>
        <w:right w:val="none" w:sz="0" w:space="0" w:color="auto"/>
      </w:divBdr>
    </w:div>
    <w:div w:id="758599968">
      <w:bodyDiv w:val="1"/>
      <w:marLeft w:val="0"/>
      <w:marRight w:val="0"/>
      <w:marTop w:val="0"/>
      <w:marBottom w:val="0"/>
      <w:divBdr>
        <w:top w:val="none" w:sz="0" w:space="0" w:color="auto"/>
        <w:left w:val="none" w:sz="0" w:space="0" w:color="auto"/>
        <w:bottom w:val="none" w:sz="0" w:space="0" w:color="auto"/>
        <w:right w:val="none" w:sz="0" w:space="0" w:color="auto"/>
      </w:divBdr>
    </w:div>
    <w:div w:id="787578242">
      <w:bodyDiv w:val="1"/>
      <w:marLeft w:val="0"/>
      <w:marRight w:val="0"/>
      <w:marTop w:val="0"/>
      <w:marBottom w:val="0"/>
      <w:divBdr>
        <w:top w:val="none" w:sz="0" w:space="0" w:color="auto"/>
        <w:left w:val="none" w:sz="0" w:space="0" w:color="auto"/>
        <w:bottom w:val="none" w:sz="0" w:space="0" w:color="auto"/>
        <w:right w:val="none" w:sz="0" w:space="0" w:color="auto"/>
      </w:divBdr>
    </w:div>
    <w:div w:id="803616681">
      <w:bodyDiv w:val="1"/>
      <w:marLeft w:val="0"/>
      <w:marRight w:val="0"/>
      <w:marTop w:val="0"/>
      <w:marBottom w:val="0"/>
      <w:divBdr>
        <w:top w:val="none" w:sz="0" w:space="0" w:color="auto"/>
        <w:left w:val="none" w:sz="0" w:space="0" w:color="auto"/>
        <w:bottom w:val="none" w:sz="0" w:space="0" w:color="auto"/>
        <w:right w:val="none" w:sz="0" w:space="0" w:color="auto"/>
      </w:divBdr>
    </w:div>
    <w:div w:id="830563923">
      <w:bodyDiv w:val="1"/>
      <w:marLeft w:val="0"/>
      <w:marRight w:val="0"/>
      <w:marTop w:val="0"/>
      <w:marBottom w:val="0"/>
      <w:divBdr>
        <w:top w:val="none" w:sz="0" w:space="0" w:color="auto"/>
        <w:left w:val="none" w:sz="0" w:space="0" w:color="auto"/>
        <w:bottom w:val="none" w:sz="0" w:space="0" w:color="auto"/>
        <w:right w:val="none" w:sz="0" w:space="0" w:color="auto"/>
      </w:divBdr>
    </w:div>
    <w:div w:id="848251353">
      <w:bodyDiv w:val="1"/>
      <w:marLeft w:val="0"/>
      <w:marRight w:val="0"/>
      <w:marTop w:val="0"/>
      <w:marBottom w:val="0"/>
      <w:divBdr>
        <w:top w:val="none" w:sz="0" w:space="0" w:color="auto"/>
        <w:left w:val="none" w:sz="0" w:space="0" w:color="auto"/>
        <w:bottom w:val="none" w:sz="0" w:space="0" w:color="auto"/>
        <w:right w:val="none" w:sz="0" w:space="0" w:color="auto"/>
      </w:divBdr>
    </w:div>
    <w:div w:id="907346473">
      <w:bodyDiv w:val="1"/>
      <w:marLeft w:val="0"/>
      <w:marRight w:val="0"/>
      <w:marTop w:val="0"/>
      <w:marBottom w:val="0"/>
      <w:divBdr>
        <w:top w:val="none" w:sz="0" w:space="0" w:color="auto"/>
        <w:left w:val="none" w:sz="0" w:space="0" w:color="auto"/>
        <w:bottom w:val="none" w:sz="0" w:space="0" w:color="auto"/>
        <w:right w:val="none" w:sz="0" w:space="0" w:color="auto"/>
      </w:divBdr>
    </w:div>
    <w:div w:id="913010715">
      <w:bodyDiv w:val="1"/>
      <w:marLeft w:val="0"/>
      <w:marRight w:val="0"/>
      <w:marTop w:val="0"/>
      <w:marBottom w:val="0"/>
      <w:divBdr>
        <w:top w:val="none" w:sz="0" w:space="0" w:color="auto"/>
        <w:left w:val="none" w:sz="0" w:space="0" w:color="auto"/>
        <w:bottom w:val="none" w:sz="0" w:space="0" w:color="auto"/>
        <w:right w:val="none" w:sz="0" w:space="0" w:color="auto"/>
      </w:divBdr>
    </w:div>
    <w:div w:id="930509088">
      <w:bodyDiv w:val="1"/>
      <w:marLeft w:val="0"/>
      <w:marRight w:val="0"/>
      <w:marTop w:val="0"/>
      <w:marBottom w:val="0"/>
      <w:divBdr>
        <w:top w:val="none" w:sz="0" w:space="0" w:color="auto"/>
        <w:left w:val="none" w:sz="0" w:space="0" w:color="auto"/>
        <w:bottom w:val="none" w:sz="0" w:space="0" w:color="auto"/>
        <w:right w:val="none" w:sz="0" w:space="0" w:color="auto"/>
      </w:divBdr>
    </w:div>
    <w:div w:id="963661150">
      <w:bodyDiv w:val="1"/>
      <w:marLeft w:val="0"/>
      <w:marRight w:val="0"/>
      <w:marTop w:val="0"/>
      <w:marBottom w:val="0"/>
      <w:divBdr>
        <w:top w:val="none" w:sz="0" w:space="0" w:color="auto"/>
        <w:left w:val="none" w:sz="0" w:space="0" w:color="auto"/>
        <w:bottom w:val="none" w:sz="0" w:space="0" w:color="auto"/>
        <w:right w:val="none" w:sz="0" w:space="0" w:color="auto"/>
      </w:divBdr>
    </w:div>
    <w:div w:id="970551740">
      <w:bodyDiv w:val="1"/>
      <w:marLeft w:val="0"/>
      <w:marRight w:val="0"/>
      <w:marTop w:val="0"/>
      <w:marBottom w:val="0"/>
      <w:divBdr>
        <w:top w:val="none" w:sz="0" w:space="0" w:color="auto"/>
        <w:left w:val="none" w:sz="0" w:space="0" w:color="auto"/>
        <w:bottom w:val="none" w:sz="0" w:space="0" w:color="auto"/>
        <w:right w:val="none" w:sz="0" w:space="0" w:color="auto"/>
      </w:divBdr>
    </w:div>
    <w:div w:id="982929453">
      <w:bodyDiv w:val="1"/>
      <w:marLeft w:val="0"/>
      <w:marRight w:val="0"/>
      <w:marTop w:val="0"/>
      <w:marBottom w:val="0"/>
      <w:divBdr>
        <w:top w:val="none" w:sz="0" w:space="0" w:color="auto"/>
        <w:left w:val="none" w:sz="0" w:space="0" w:color="auto"/>
        <w:bottom w:val="none" w:sz="0" w:space="0" w:color="auto"/>
        <w:right w:val="none" w:sz="0" w:space="0" w:color="auto"/>
      </w:divBdr>
    </w:div>
    <w:div w:id="991371182">
      <w:bodyDiv w:val="1"/>
      <w:marLeft w:val="0"/>
      <w:marRight w:val="0"/>
      <w:marTop w:val="0"/>
      <w:marBottom w:val="0"/>
      <w:divBdr>
        <w:top w:val="none" w:sz="0" w:space="0" w:color="auto"/>
        <w:left w:val="none" w:sz="0" w:space="0" w:color="auto"/>
        <w:bottom w:val="none" w:sz="0" w:space="0" w:color="auto"/>
        <w:right w:val="none" w:sz="0" w:space="0" w:color="auto"/>
      </w:divBdr>
    </w:div>
    <w:div w:id="1019310286">
      <w:bodyDiv w:val="1"/>
      <w:marLeft w:val="0"/>
      <w:marRight w:val="0"/>
      <w:marTop w:val="0"/>
      <w:marBottom w:val="0"/>
      <w:divBdr>
        <w:top w:val="none" w:sz="0" w:space="0" w:color="auto"/>
        <w:left w:val="none" w:sz="0" w:space="0" w:color="auto"/>
        <w:bottom w:val="none" w:sz="0" w:space="0" w:color="auto"/>
        <w:right w:val="none" w:sz="0" w:space="0" w:color="auto"/>
      </w:divBdr>
    </w:div>
    <w:div w:id="1058897522">
      <w:bodyDiv w:val="1"/>
      <w:marLeft w:val="0"/>
      <w:marRight w:val="0"/>
      <w:marTop w:val="0"/>
      <w:marBottom w:val="0"/>
      <w:divBdr>
        <w:top w:val="none" w:sz="0" w:space="0" w:color="auto"/>
        <w:left w:val="none" w:sz="0" w:space="0" w:color="auto"/>
        <w:bottom w:val="none" w:sz="0" w:space="0" w:color="auto"/>
        <w:right w:val="none" w:sz="0" w:space="0" w:color="auto"/>
      </w:divBdr>
    </w:div>
    <w:div w:id="1059090110">
      <w:bodyDiv w:val="1"/>
      <w:marLeft w:val="0"/>
      <w:marRight w:val="0"/>
      <w:marTop w:val="0"/>
      <w:marBottom w:val="0"/>
      <w:divBdr>
        <w:top w:val="none" w:sz="0" w:space="0" w:color="auto"/>
        <w:left w:val="none" w:sz="0" w:space="0" w:color="auto"/>
        <w:bottom w:val="none" w:sz="0" w:space="0" w:color="auto"/>
        <w:right w:val="none" w:sz="0" w:space="0" w:color="auto"/>
      </w:divBdr>
    </w:div>
    <w:div w:id="1120999521">
      <w:bodyDiv w:val="1"/>
      <w:marLeft w:val="0"/>
      <w:marRight w:val="0"/>
      <w:marTop w:val="0"/>
      <w:marBottom w:val="0"/>
      <w:divBdr>
        <w:top w:val="none" w:sz="0" w:space="0" w:color="auto"/>
        <w:left w:val="none" w:sz="0" w:space="0" w:color="auto"/>
        <w:bottom w:val="none" w:sz="0" w:space="0" w:color="auto"/>
        <w:right w:val="none" w:sz="0" w:space="0" w:color="auto"/>
      </w:divBdr>
    </w:div>
    <w:div w:id="1125198517">
      <w:bodyDiv w:val="1"/>
      <w:marLeft w:val="0"/>
      <w:marRight w:val="0"/>
      <w:marTop w:val="0"/>
      <w:marBottom w:val="0"/>
      <w:divBdr>
        <w:top w:val="none" w:sz="0" w:space="0" w:color="auto"/>
        <w:left w:val="none" w:sz="0" w:space="0" w:color="auto"/>
        <w:bottom w:val="none" w:sz="0" w:space="0" w:color="auto"/>
        <w:right w:val="none" w:sz="0" w:space="0" w:color="auto"/>
      </w:divBdr>
    </w:div>
    <w:div w:id="1127433919">
      <w:bodyDiv w:val="1"/>
      <w:marLeft w:val="0"/>
      <w:marRight w:val="0"/>
      <w:marTop w:val="0"/>
      <w:marBottom w:val="0"/>
      <w:divBdr>
        <w:top w:val="none" w:sz="0" w:space="0" w:color="auto"/>
        <w:left w:val="none" w:sz="0" w:space="0" w:color="auto"/>
        <w:bottom w:val="none" w:sz="0" w:space="0" w:color="auto"/>
        <w:right w:val="none" w:sz="0" w:space="0" w:color="auto"/>
      </w:divBdr>
    </w:div>
    <w:div w:id="1145388816">
      <w:bodyDiv w:val="1"/>
      <w:marLeft w:val="0"/>
      <w:marRight w:val="0"/>
      <w:marTop w:val="0"/>
      <w:marBottom w:val="0"/>
      <w:divBdr>
        <w:top w:val="none" w:sz="0" w:space="0" w:color="auto"/>
        <w:left w:val="none" w:sz="0" w:space="0" w:color="auto"/>
        <w:bottom w:val="none" w:sz="0" w:space="0" w:color="auto"/>
        <w:right w:val="none" w:sz="0" w:space="0" w:color="auto"/>
      </w:divBdr>
    </w:div>
    <w:div w:id="1164056133">
      <w:bodyDiv w:val="1"/>
      <w:marLeft w:val="0"/>
      <w:marRight w:val="0"/>
      <w:marTop w:val="0"/>
      <w:marBottom w:val="0"/>
      <w:divBdr>
        <w:top w:val="none" w:sz="0" w:space="0" w:color="auto"/>
        <w:left w:val="none" w:sz="0" w:space="0" w:color="auto"/>
        <w:bottom w:val="none" w:sz="0" w:space="0" w:color="auto"/>
        <w:right w:val="none" w:sz="0" w:space="0" w:color="auto"/>
      </w:divBdr>
    </w:div>
    <w:div w:id="1173453189">
      <w:bodyDiv w:val="1"/>
      <w:marLeft w:val="0"/>
      <w:marRight w:val="0"/>
      <w:marTop w:val="0"/>
      <w:marBottom w:val="0"/>
      <w:divBdr>
        <w:top w:val="none" w:sz="0" w:space="0" w:color="auto"/>
        <w:left w:val="none" w:sz="0" w:space="0" w:color="auto"/>
        <w:bottom w:val="none" w:sz="0" w:space="0" w:color="auto"/>
        <w:right w:val="none" w:sz="0" w:space="0" w:color="auto"/>
      </w:divBdr>
    </w:div>
    <w:div w:id="1183739441">
      <w:bodyDiv w:val="1"/>
      <w:marLeft w:val="0"/>
      <w:marRight w:val="0"/>
      <w:marTop w:val="0"/>
      <w:marBottom w:val="0"/>
      <w:divBdr>
        <w:top w:val="none" w:sz="0" w:space="0" w:color="auto"/>
        <w:left w:val="none" w:sz="0" w:space="0" w:color="auto"/>
        <w:bottom w:val="none" w:sz="0" w:space="0" w:color="auto"/>
        <w:right w:val="none" w:sz="0" w:space="0" w:color="auto"/>
      </w:divBdr>
    </w:div>
    <w:div w:id="1197229702">
      <w:bodyDiv w:val="1"/>
      <w:marLeft w:val="0"/>
      <w:marRight w:val="0"/>
      <w:marTop w:val="0"/>
      <w:marBottom w:val="0"/>
      <w:divBdr>
        <w:top w:val="none" w:sz="0" w:space="0" w:color="auto"/>
        <w:left w:val="none" w:sz="0" w:space="0" w:color="auto"/>
        <w:bottom w:val="none" w:sz="0" w:space="0" w:color="auto"/>
        <w:right w:val="none" w:sz="0" w:space="0" w:color="auto"/>
      </w:divBdr>
    </w:div>
    <w:div w:id="1199853138">
      <w:bodyDiv w:val="1"/>
      <w:marLeft w:val="0"/>
      <w:marRight w:val="0"/>
      <w:marTop w:val="0"/>
      <w:marBottom w:val="0"/>
      <w:divBdr>
        <w:top w:val="none" w:sz="0" w:space="0" w:color="auto"/>
        <w:left w:val="none" w:sz="0" w:space="0" w:color="auto"/>
        <w:bottom w:val="none" w:sz="0" w:space="0" w:color="auto"/>
        <w:right w:val="none" w:sz="0" w:space="0" w:color="auto"/>
      </w:divBdr>
    </w:div>
    <w:div w:id="1202324940">
      <w:bodyDiv w:val="1"/>
      <w:marLeft w:val="0"/>
      <w:marRight w:val="0"/>
      <w:marTop w:val="0"/>
      <w:marBottom w:val="0"/>
      <w:divBdr>
        <w:top w:val="none" w:sz="0" w:space="0" w:color="auto"/>
        <w:left w:val="none" w:sz="0" w:space="0" w:color="auto"/>
        <w:bottom w:val="none" w:sz="0" w:space="0" w:color="auto"/>
        <w:right w:val="none" w:sz="0" w:space="0" w:color="auto"/>
      </w:divBdr>
    </w:div>
    <w:div w:id="1203588809">
      <w:bodyDiv w:val="1"/>
      <w:marLeft w:val="0"/>
      <w:marRight w:val="0"/>
      <w:marTop w:val="0"/>
      <w:marBottom w:val="0"/>
      <w:divBdr>
        <w:top w:val="none" w:sz="0" w:space="0" w:color="auto"/>
        <w:left w:val="none" w:sz="0" w:space="0" w:color="auto"/>
        <w:bottom w:val="none" w:sz="0" w:space="0" w:color="auto"/>
        <w:right w:val="none" w:sz="0" w:space="0" w:color="auto"/>
      </w:divBdr>
    </w:div>
    <w:div w:id="1206066693">
      <w:bodyDiv w:val="1"/>
      <w:marLeft w:val="0"/>
      <w:marRight w:val="0"/>
      <w:marTop w:val="0"/>
      <w:marBottom w:val="0"/>
      <w:divBdr>
        <w:top w:val="none" w:sz="0" w:space="0" w:color="auto"/>
        <w:left w:val="none" w:sz="0" w:space="0" w:color="auto"/>
        <w:bottom w:val="none" w:sz="0" w:space="0" w:color="auto"/>
        <w:right w:val="none" w:sz="0" w:space="0" w:color="auto"/>
      </w:divBdr>
    </w:div>
    <w:div w:id="1208834327">
      <w:bodyDiv w:val="1"/>
      <w:marLeft w:val="0"/>
      <w:marRight w:val="0"/>
      <w:marTop w:val="0"/>
      <w:marBottom w:val="0"/>
      <w:divBdr>
        <w:top w:val="none" w:sz="0" w:space="0" w:color="auto"/>
        <w:left w:val="none" w:sz="0" w:space="0" w:color="auto"/>
        <w:bottom w:val="none" w:sz="0" w:space="0" w:color="auto"/>
        <w:right w:val="none" w:sz="0" w:space="0" w:color="auto"/>
      </w:divBdr>
    </w:div>
    <w:div w:id="1225604661">
      <w:bodyDiv w:val="1"/>
      <w:marLeft w:val="0"/>
      <w:marRight w:val="0"/>
      <w:marTop w:val="0"/>
      <w:marBottom w:val="0"/>
      <w:divBdr>
        <w:top w:val="none" w:sz="0" w:space="0" w:color="auto"/>
        <w:left w:val="none" w:sz="0" w:space="0" w:color="auto"/>
        <w:bottom w:val="none" w:sz="0" w:space="0" w:color="auto"/>
        <w:right w:val="none" w:sz="0" w:space="0" w:color="auto"/>
      </w:divBdr>
    </w:div>
    <w:div w:id="1228687336">
      <w:bodyDiv w:val="1"/>
      <w:marLeft w:val="0"/>
      <w:marRight w:val="0"/>
      <w:marTop w:val="0"/>
      <w:marBottom w:val="0"/>
      <w:divBdr>
        <w:top w:val="none" w:sz="0" w:space="0" w:color="auto"/>
        <w:left w:val="none" w:sz="0" w:space="0" w:color="auto"/>
        <w:bottom w:val="none" w:sz="0" w:space="0" w:color="auto"/>
        <w:right w:val="none" w:sz="0" w:space="0" w:color="auto"/>
      </w:divBdr>
    </w:div>
    <w:div w:id="1229223938">
      <w:bodyDiv w:val="1"/>
      <w:marLeft w:val="0"/>
      <w:marRight w:val="0"/>
      <w:marTop w:val="0"/>
      <w:marBottom w:val="0"/>
      <w:divBdr>
        <w:top w:val="none" w:sz="0" w:space="0" w:color="auto"/>
        <w:left w:val="none" w:sz="0" w:space="0" w:color="auto"/>
        <w:bottom w:val="none" w:sz="0" w:space="0" w:color="auto"/>
        <w:right w:val="none" w:sz="0" w:space="0" w:color="auto"/>
      </w:divBdr>
    </w:div>
    <w:div w:id="1236745426">
      <w:bodyDiv w:val="1"/>
      <w:marLeft w:val="0"/>
      <w:marRight w:val="0"/>
      <w:marTop w:val="0"/>
      <w:marBottom w:val="0"/>
      <w:divBdr>
        <w:top w:val="none" w:sz="0" w:space="0" w:color="auto"/>
        <w:left w:val="none" w:sz="0" w:space="0" w:color="auto"/>
        <w:bottom w:val="none" w:sz="0" w:space="0" w:color="auto"/>
        <w:right w:val="none" w:sz="0" w:space="0" w:color="auto"/>
      </w:divBdr>
    </w:div>
    <w:div w:id="1248612210">
      <w:bodyDiv w:val="1"/>
      <w:marLeft w:val="0"/>
      <w:marRight w:val="0"/>
      <w:marTop w:val="0"/>
      <w:marBottom w:val="0"/>
      <w:divBdr>
        <w:top w:val="none" w:sz="0" w:space="0" w:color="auto"/>
        <w:left w:val="none" w:sz="0" w:space="0" w:color="auto"/>
        <w:bottom w:val="none" w:sz="0" w:space="0" w:color="auto"/>
        <w:right w:val="none" w:sz="0" w:space="0" w:color="auto"/>
      </w:divBdr>
    </w:div>
    <w:div w:id="1249926897">
      <w:bodyDiv w:val="1"/>
      <w:marLeft w:val="0"/>
      <w:marRight w:val="0"/>
      <w:marTop w:val="0"/>
      <w:marBottom w:val="0"/>
      <w:divBdr>
        <w:top w:val="none" w:sz="0" w:space="0" w:color="auto"/>
        <w:left w:val="none" w:sz="0" w:space="0" w:color="auto"/>
        <w:bottom w:val="none" w:sz="0" w:space="0" w:color="auto"/>
        <w:right w:val="none" w:sz="0" w:space="0" w:color="auto"/>
      </w:divBdr>
    </w:div>
    <w:div w:id="1253006492">
      <w:bodyDiv w:val="1"/>
      <w:marLeft w:val="0"/>
      <w:marRight w:val="0"/>
      <w:marTop w:val="0"/>
      <w:marBottom w:val="0"/>
      <w:divBdr>
        <w:top w:val="none" w:sz="0" w:space="0" w:color="auto"/>
        <w:left w:val="none" w:sz="0" w:space="0" w:color="auto"/>
        <w:bottom w:val="none" w:sz="0" w:space="0" w:color="auto"/>
        <w:right w:val="none" w:sz="0" w:space="0" w:color="auto"/>
      </w:divBdr>
    </w:div>
    <w:div w:id="1257519227">
      <w:bodyDiv w:val="1"/>
      <w:marLeft w:val="0"/>
      <w:marRight w:val="0"/>
      <w:marTop w:val="0"/>
      <w:marBottom w:val="0"/>
      <w:divBdr>
        <w:top w:val="none" w:sz="0" w:space="0" w:color="auto"/>
        <w:left w:val="none" w:sz="0" w:space="0" w:color="auto"/>
        <w:bottom w:val="none" w:sz="0" w:space="0" w:color="auto"/>
        <w:right w:val="none" w:sz="0" w:space="0" w:color="auto"/>
      </w:divBdr>
    </w:div>
    <w:div w:id="1295719830">
      <w:bodyDiv w:val="1"/>
      <w:marLeft w:val="0"/>
      <w:marRight w:val="0"/>
      <w:marTop w:val="0"/>
      <w:marBottom w:val="0"/>
      <w:divBdr>
        <w:top w:val="none" w:sz="0" w:space="0" w:color="auto"/>
        <w:left w:val="none" w:sz="0" w:space="0" w:color="auto"/>
        <w:bottom w:val="none" w:sz="0" w:space="0" w:color="auto"/>
        <w:right w:val="none" w:sz="0" w:space="0" w:color="auto"/>
      </w:divBdr>
    </w:div>
    <w:div w:id="1296179546">
      <w:bodyDiv w:val="1"/>
      <w:marLeft w:val="0"/>
      <w:marRight w:val="0"/>
      <w:marTop w:val="0"/>
      <w:marBottom w:val="0"/>
      <w:divBdr>
        <w:top w:val="none" w:sz="0" w:space="0" w:color="auto"/>
        <w:left w:val="none" w:sz="0" w:space="0" w:color="auto"/>
        <w:bottom w:val="none" w:sz="0" w:space="0" w:color="auto"/>
        <w:right w:val="none" w:sz="0" w:space="0" w:color="auto"/>
      </w:divBdr>
    </w:div>
    <w:div w:id="1304384001">
      <w:bodyDiv w:val="1"/>
      <w:marLeft w:val="0"/>
      <w:marRight w:val="0"/>
      <w:marTop w:val="0"/>
      <w:marBottom w:val="0"/>
      <w:divBdr>
        <w:top w:val="none" w:sz="0" w:space="0" w:color="auto"/>
        <w:left w:val="none" w:sz="0" w:space="0" w:color="auto"/>
        <w:bottom w:val="none" w:sz="0" w:space="0" w:color="auto"/>
        <w:right w:val="none" w:sz="0" w:space="0" w:color="auto"/>
      </w:divBdr>
    </w:div>
    <w:div w:id="1312519980">
      <w:bodyDiv w:val="1"/>
      <w:marLeft w:val="0"/>
      <w:marRight w:val="0"/>
      <w:marTop w:val="0"/>
      <w:marBottom w:val="0"/>
      <w:divBdr>
        <w:top w:val="none" w:sz="0" w:space="0" w:color="auto"/>
        <w:left w:val="none" w:sz="0" w:space="0" w:color="auto"/>
        <w:bottom w:val="none" w:sz="0" w:space="0" w:color="auto"/>
        <w:right w:val="none" w:sz="0" w:space="0" w:color="auto"/>
      </w:divBdr>
    </w:div>
    <w:div w:id="1313220923">
      <w:bodyDiv w:val="1"/>
      <w:marLeft w:val="0"/>
      <w:marRight w:val="0"/>
      <w:marTop w:val="0"/>
      <w:marBottom w:val="0"/>
      <w:divBdr>
        <w:top w:val="none" w:sz="0" w:space="0" w:color="auto"/>
        <w:left w:val="none" w:sz="0" w:space="0" w:color="auto"/>
        <w:bottom w:val="none" w:sz="0" w:space="0" w:color="auto"/>
        <w:right w:val="none" w:sz="0" w:space="0" w:color="auto"/>
      </w:divBdr>
    </w:div>
    <w:div w:id="1328366841">
      <w:bodyDiv w:val="1"/>
      <w:marLeft w:val="0"/>
      <w:marRight w:val="0"/>
      <w:marTop w:val="0"/>
      <w:marBottom w:val="0"/>
      <w:divBdr>
        <w:top w:val="none" w:sz="0" w:space="0" w:color="auto"/>
        <w:left w:val="none" w:sz="0" w:space="0" w:color="auto"/>
        <w:bottom w:val="none" w:sz="0" w:space="0" w:color="auto"/>
        <w:right w:val="none" w:sz="0" w:space="0" w:color="auto"/>
      </w:divBdr>
    </w:div>
    <w:div w:id="1335914270">
      <w:bodyDiv w:val="1"/>
      <w:marLeft w:val="0"/>
      <w:marRight w:val="0"/>
      <w:marTop w:val="0"/>
      <w:marBottom w:val="0"/>
      <w:divBdr>
        <w:top w:val="none" w:sz="0" w:space="0" w:color="auto"/>
        <w:left w:val="none" w:sz="0" w:space="0" w:color="auto"/>
        <w:bottom w:val="none" w:sz="0" w:space="0" w:color="auto"/>
        <w:right w:val="none" w:sz="0" w:space="0" w:color="auto"/>
      </w:divBdr>
    </w:div>
    <w:div w:id="1336884418">
      <w:bodyDiv w:val="1"/>
      <w:marLeft w:val="0"/>
      <w:marRight w:val="0"/>
      <w:marTop w:val="0"/>
      <w:marBottom w:val="0"/>
      <w:divBdr>
        <w:top w:val="none" w:sz="0" w:space="0" w:color="auto"/>
        <w:left w:val="none" w:sz="0" w:space="0" w:color="auto"/>
        <w:bottom w:val="none" w:sz="0" w:space="0" w:color="auto"/>
        <w:right w:val="none" w:sz="0" w:space="0" w:color="auto"/>
      </w:divBdr>
      <w:divsChild>
        <w:div w:id="140737166">
          <w:marLeft w:val="0"/>
          <w:marRight w:val="0"/>
          <w:marTop w:val="0"/>
          <w:marBottom w:val="0"/>
          <w:divBdr>
            <w:top w:val="none" w:sz="0" w:space="0" w:color="auto"/>
            <w:left w:val="none" w:sz="0" w:space="0" w:color="auto"/>
            <w:bottom w:val="none" w:sz="0" w:space="0" w:color="auto"/>
            <w:right w:val="none" w:sz="0" w:space="0" w:color="auto"/>
          </w:divBdr>
        </w:div>
        <w:div w:id="194779720">
          <w:marLeft w:val="0"/>
          <w:marRight w:val="0"/>
          <w:marTop w:val="0"/>
          <w:marBottom w:val="0"/>
          <w:divBdr>
            <w:top w:val="none" w:sz="0" w:space="0" w:color="auto"/>
            <w:left w:val="none" w:sz="0" w:space="0" w:color="auto"/>
            <w:bottom w:val="none" w:sz="0" w:space="0" w:color="auto"/>
            <w:right w:val="none" w:sz="0" w:space="0" w:color="auto"/>
          </w:divBdr>
        </w:div>
        <w:div w:id="1132134709">
          <w:marLeft w:val="0"/>
          <w:marRight w:val="0"/>
          <w:marTop w:val="0"/>
          <w:marBottom w:val="0"/>
          <w:divBdr>
            <w:top w:val="none" w:sz="0" w:space="0" w:color="auto"/>
            <w:left w:val="none" w:sz="0" w:space="0" w:color="auto"/>
            <w:bottom w:val="none" w:sz="0" w:space="0" w:color="auto"/>
            <w:right w:val="none" w:sz="0" w:space="0" w:color="auto"/>
          </w:divBdr>
        </w:div>
        <w:div w:id="1161502495">
          <w:marLeft w:val="0"/>
          <w:marRight w:val="0"/>
          <w:marTop w:val="0"/>
          <w:marBottom w:val="0"/>
          <w:divBdr>
            <w:top w:val="none" w:sz="0" w:space="0" w:color="auto"/>
            <w:left w:val="none" w:sz="0" w:space="0" w:color="auto"/>
            <w:bottom w:val="none" w:sz="0" w:space="0" w:color="auto"/>
            <w:right w:val="none" w:sz="0" w:space="0" w:color="auto"/>
          </w:divBdr>
        </w:div>
        <w:div w:id="1711102449">
          <w:marLeft w:val="0"/>
          <w:marRight w:val="0"/>
          <w:marTop w:val="0"/>
          <w:marBottom w:val="0"/>
          <w:divBdr>
            <w:top w:val="none" w:sz="0" w:space="0" w:color="auto"/>
            <w:left w:val="none" w:sz="0" w:space="0" w:color="auto"/>
            <w:bottom w:val="none" w:sz="0" w:space="0" w:color="auto"/>
            <w:right w:val="none" w:sz="0" w:space="0" w:color="auto"/>
          </w:divBdr>
        </w:div>
        <w:div w:id="1836529286">
          <w:marLeft w:val="0"/>
          <w:marRight w:val="0"/>
          <w:marTop w:val="0"/>
          <w:marBottom w:val="0"/>
          <w:divBdr>
            <w:top w:val="none" w:sz="0" w:space="0" w:color="auto"/>
            <w:left w:val="none" w:sz="0" w:space="0" w:color="auto"/>
            <w:bottom w:val="none" w:sz="0" w:space="0" w:color="auto"/>
            <w:right w:val="none" w:sz="0" w:space="0" w:color="auto"/>
          </w:divBdr>
        </w:div>
      </w:divsChild>
    </w:div>
    <w:div w:id="1340309047">
      <w:bodyDiv w:val="1"/>
      <w:marLeft w:val="0"/>
      <w:marRight w:val="0"/>
      <w:marTop w:val="0"/>
      <w:marBottom w:val="0"/>
      <w:divBdr>
        <w:top w:val="none" w:sz="0" w:space="0" w:color="auto"/>
        <w:left w:val="none" w:sz="0" w:space="0" w:color="auto"/>
        <w:bottom w:val="none" w:sz="0" w:space="0" w:color="auto"/>
        <w:right w:val="none" w:sz="0" w:space="0" w:color="auto"/>
      </w:divBdr>
    </w:div>
    <w:div w:id="1362626829">
      <w:bodyDiv w:val="1"/>
      <w:marLeft w:val="0"/>
      <w:marRight w:val="0"/>
      <w:marTop w:val="0"/>
      <w:marBottom w:val="0"/>
      <w:divBdr>
        <w:top w:val="none" w:sz="0" w:space="0" w:color="auto"/>
        <w:left w:val="none" w:sz="0" w:space="0" w:color="auto"/>
        <w:bottom w:val="none" w:sz="0" w:space="0" w:color="auto"/>
        <w:right w:val="none" w:sz="0" w:space="0" w:color="auto"/>
      </w:divBdr>
    </w:div>
    <w:div w:id="1369721251">
      <w:bodyDiv w:val="1"/>
      <w:marLeft w:val="0"/>
      <w:marRight w:val="0"/>
      <w:marTop w:val="0"/>
      <w:marBottom w:val="0"/>
      <w:divBdr>
        <w:top w:val="none" w:sz="0" w:space="0" w:color="auto"/>
        <w:left w:val="none" w:sz="0" w:space="0" w:color="auto"/>
        <w:bottom w:val="none" w:sz="0" w:space="0" w:color="auto"/>
        <w:right w:val="none" w:sz="0" w:space="0" w:color="auto"/>
      </w:divBdr>
    </w:div>
    <w:div w:id="1386097779">
      <w:bodyDiv w:val="1"/>
      <w:marLeft w:val="0"/>
      <w:marRight w:val="0"/>
      <w:marTop w:val="0"/>
      <w:marBottom w:val="0"/>
      <w:divBdr>
        <w:top w:val="none" w:sz="0" w:space="0" w:color="auto"/>
        <w:left w:val="none" w:sz="0" w:space="0" w:color="auto"/>
        <w:bottom w:val="none" w:sz="0" w:space="0" w:color="auto"/>
        <w:right w:val="none" w:sz="0" w:space="0" w:color="auto"/>
      </w:divBdr>
    </w:div>
    <w:div w:id="1407532938">
      <w:bodyDiv w:val="1"/>
      <w:marLeft w:val="0"/>
      <w:marRight w:val="0"/>
      <w:marTop w:val="0"/>
      <w:marBottom w:val="0"/>
      <w:divBdr>
        <w:top w:val="none" w:sz="0" w:space="0" w:color="auto"/>
        <w:left w:val="none" w:sz="0" w:space="0" w:color="auto"/>
        <w:bottom w:val="none" w:sz="0" w:space="0" w:color="auto"/>
        <w:right w:val="none" w:sz="0" w:space="0" w:color="auto"/>
      </w:divBdr>
    </w:div>
    <w:div w:id="1428497655">
      <w:bodyDiv w:val="1"/>
      <w:marLeft w:val="0"/>
      <w:marRight w:val="0"/>
      <w:marTop w:val="0"/>
      <w:marBottom w:val="0"/>
      <w:divBdr>
        <w:top w:val="none" w:sz="0" w:space="0" w:color="auto"/>
        <w:left w:val="none" w:sz="0" w:space="0" w:color="auto"/>
        <w:bottom w:val="none" w:sz="0" w:space="0" w:color="auto"/>
        <w:right w:val="none" w:sz="0" w:space="0" w:color="auto"/>
      </w:divBdr>
    </w:div>
    <w:div w:id="1432119199">
      <w:bodyDiv w:val="1"/>
      <w:marLeft w:val="0"/>
      <w:marRight w:val="0"/>
      <w:marTop w:val="0"/>
      <w:marBottom w:val="0"/>
      <w:divBdr>
        <w:top w:val="none" w:sz="0" w:space="0" w:color="auto"/>
        <w:left w:val="none" w:sz="0" w:space="0" w:color="auto"/>
        <w:bottom w:val="none" w:sz="0" w:space="0" w:color="auto"/>
        <w:right w:val="none" w:sz="0" w:space="0" w:color="auto"/>
      </w:divBdr>
    </w:div>
    <w:div w:id="1451321038">
      <w:bodyDiv w:val="1"/>
      <w:marLeft w:val="0"/>
      <w:marRight w:val="0"/>
      <w:marTop w:val="0"/>
      <w:marBottom w:val="0"/>
      <w:divBdr>
        <w:top w:val="none" w:sz="0" w:space="0" w:color="auto"/>
        <w:left w:val="none" w:sz="0" w:space="0" w:color="auto"/>
        <w:bottom w:val="none" w:sz="0" w:space="0" w:color="auto"/>
        <w:right w:val="none" w:sz="0" w:space="0" w:color="auto"/>
      </w:divBdr>
    </w:div>
    <w:div w:id="1457675656">
      <w:bodyDiv w:val="1"/>
      <w:marLeft w:val="0"/>
      <w:marRight w:val="0"/>
      <w:marTop w:val="0"/>
      <w:marBottom w:val="0"/>
      <w:divBdr>
        <w:top w:val="none" w:sz="0" w:space="0" w:color="auto"/>
        <w:left w:val="none" w:sz="0" w:space="0" w:color="auto"/>
        <w:bottom w:val="none" w:sz="0" w:space="0" w:color="auto"/>
        <w:right w:val="none" w:sz="0" w:space="0" w:color="auto"/>
      </w:divBdr>
    </w:div>
    <w:div w:id="1467888247">
      <w:bodyDiv w:val="1"/>
      <w:marLeft w:val="0"/>
      <w:marRight w:val="0"/>
      <w:marTop w:val="0"/>
      <w:marBottom w:val="0"/>
      <w:divBdr>
        <w:top w:val="none" w:sz="0" w:space="0" w:color="auto"/>
        <w:left w:val="none" w:sz="0" w:space="0" w:color="auto"/>
        <w:bottom w:val="none" w:sz="0" w:space="0" w:color="auto"/>
        <w:right w:val="none" w:sz="0" w:space="0" w:color="auto"/>
      </w:divBdr>
    </w:div>
    <w:div w:id="1494757746">
      <w:bodyDiv w:val="1"/>
      <w:marLeft w:val="0"/>
      <w:marRight w:val="0"/>
      <w:marTop w:val="0"/>
      <w:marBottom w:val="0"/>
      <w:divBdr>
        <w:top w:val="none" w:sz="0" w:space="0" w:color="auto"/>
        <w:left w:val="none" w:sz="0" w:space="0" w:color="auto"/>
        <w:bottom w:val="none" w:sz="0" w:space="0" w:color="auto"/>
        <w:right w:val="none" w:sz="0" w:space="0" w:color="auto"/>
      </w:divBdr>
    </w:div>
    <w:div w:id="1506289260">
      <w:bodyDiv w:val="1"/>
      <w:marLeft w:val="0"/>
      <w:marRight w:val="0"/>
      <w:marTop w:val="0"/>
      <w:marBottom w:val="0"/>
      <w:divBdr>
        <w:top w:val="none" w:sz="0" w:space="0" w:color="auto"/>
        <w:left w:val="none" w:sz="0" w:space="0" w:color="auto"/>
        <w:bottom w:val="none" w:sz="0" w:space="0" w:color="auto"/>
        <w:right w:val="none" w:sz="0" w:space="0" w:color="auto"/>
      </w:divBdr>
    </w:div>
    <w:div w:id="1523477850">
      <w:bodyDiv w:val="1"/>
      <w:marLeft w:val="0"/>
      <w:marRight w:val="0"/>
      <w:marTop w:val="0"/>
      <w:marBottom w:val="0"/>
      <w:divBdr>
        <w:top w:val="none" w:sz="0" w:space="0" w:color="auto"/>
        <w:left w:val="none" w:sz="0" w:space="0" w:color="auto"/>
        <w:bottom w:val="none" w:sz="0" w:space="0" w:color="auto"/>
        <w:right w:val="none" w:sz="0" w:space="0" w:color="auto"/>
      </w:divBdr>
    </w:div>
    <w:div w:id="1538464819">
      <w:bodyDiv w:val="1"/>
      <w:marLeft w:val="0"/>
      <w:marRight w:val="0"/>
      <w:marTop w:val="0"/>
      <w:marBottom w:val="0"/>
      <w:divBdr>
        <w:top w:val="none" w:sz="0" w:space="0" w:color="auto"/>
        <w:left w:val="none" w:sz="0" w:space="0" w:color="auto"/>
        <w:bottom w:val="none" w:sz="0" w:space="0" w:color="auto"/>
        <w:right w:val="none" w:sz="0" w:space="0" w:color="auto"/>
      </w:divBdr>
    </w:div>
    <w:div w:id="1547110011">
      <w:bodyDiv w:val="1"/>
      <w:marLeft w:val="0"/>
      <w:marRight w:val="0"/>
      <w:marTop w:val="0"/>
      <w:marBottom w:val="0"/>
      <w:divBdr>
        <w:top w:val="none" w:sz="0" w:space="0" w:color="auto"/>
        <w:left w:val="none" w:sz="0" w:space="0" w:color="auto"/>
        <w:bottom w:val="none" w:sz="0" w:space="0" w:color="auto"/>
        <w:right w:val="none" w:sz="0" w:space="0" w:color="auto"/>
      </w:divBdr>
    </w:div>
    <w:div w:id="1619096971">
      <w:bodyDiv w:val="1"/>
      <w:marLeft w:val="0"/>
      <w:marRight w:val="0"/>
      <w:marTop w:val="0"/>
      <w:marBottom w:val="0"/>
      <w:divBdr>
        <w:top w:val="none" w:sz="0" w:space="0" w:color="auto"/>
        <w:left w:val="none" w:sz="0" w:space="0" w:color="auto"/>
        <w:bottom w:val="none" w:sz="0" w:space="0" w:color="auto"/>
        <w:right w:val="none" w:sz="0" w:space="0" w:color="auto"/>
      </w:divBdr>
    </w:div>
    <w:div w:id="1629315503">
      <w:bodyDiv w:val="1"/>
      <w:marLeft w:val="0"/>
      <w:marRight w:val="0"/>
      <w:marTop w:val="0"/>
      <w:marBottom w:val="0"/>
      <w:divBdr>
        <w:top w:val="none" w:sz="0" w:space="0" w:color="auto"/>
        <w:left w:val="none" w:sz="0" w:space="0" w:color="auto"/>
        <w:bottom w:val="none" w:sz="0" w:space="0" w:color="auto"/>
        <w:right w:val="none" w:sz="0" w:space="0" w:color="auto"/>
      </w:divBdr>
    </w:div>
    <w:div w:id="1634675169">
      <w:bodyDiv w:val="1"/>
      <w:marLeft w:val="0"/>
      <w:marRight w:val="0"/>
      <w:marTop w:val="0"/>
      <w:marBottom w:val="0"/>
      <w:divBdr>
        <w:top w:val="none" w:sz="0" w:space="0" w:color="auto"/>
        <w:left w:val="none" w:sz="0" w:space="0" w:color="auto"/>
        <w:bottom w:val="none" w:sz="0" w:space="0" w:color="auto"/>
        <w:right w:val="none" w:sz="0" w:space="0" w:color="auto"/>
      </w:divBdr>
    </w:div>
    <w:div w:id="1657150284">
      <w:bodyDiv w:val="1"/>
      <w:marLeft w:val="0"/>
      <w:marRight w:val="0"/>
      <w:marTop w:val="0"/>
      <w:marBottom w:val="0"/>
      <w:divBdr>
        <w:top w:val="none" w:sz="0" w:space="0" w:color="auto"/>
        <w:left w:val="none" w:sz="0" w:space="0" w:color="auto"/>
        <w:bottom w:val="none" w:sz="0" w:space="0" w:color="auto"/>
        <w:right w:val="none" w:sz="0" w:space="0" w:color="auto"/>
      </w:divBdr>
    </w:div>
    <w:div w:id="1665090580">
      <w:bodyDiv w:val="1"/>
      <w:marLeft w:val="0"/>
      <w:marRight w:val="0"/>
      <w:marTop w:val="0"/>
      <w:marBottom w:val="0"/>
      <w:divBdr>
        <w:top w:val="none" w:sz="0" w:space="0" w:color="auto"/>
        <w:left w:val="none" w:sz="0" w:space="0" w:color="auto"/>
        <w:bottom w:val="none" w:sz="0" w:space="0" w:color="auto"/>
        <w:right w:val="none" w:sz="0" w:space="0" w:color="auto"/>
      </w:divBdr>
    </w:div>
    <w:div w:id="1675375549">
      <w:bodyDiv w:val="1"/>
      <w:marLeft w:val="0"/>
      <w:marRight w:val="0"/>
      <w:marTop w:val="0"/>
      <w:marBottom w:val="0"/>
      <w:divBdr>
        <w:top w:val="none" w:sz="0" w:space="0" w:color="auto"/>
        <w:left w:val="none" w:sz="0" w:space="0" w:color="auto"/>
        <w:bottom w:val="none" w:sz="0" w:space="0" w:color="auto"/>
        <w:right w:val="none" w:sz="0" w:space="0" w:color="auto"/>
      </w:divBdr>
    </w:div>
    <w:div w:id="1688368370">
      <w:bodyDiv w:val="1"/>
      <w:marLeft w:val="0"/>
      <w:marRight w:val="0"/>
      <w:marTop w:val="0"/>
      <w:marBottom w:val="0"/>
      <w:divBdr>
        <w:top w:val="none" w:sz="0" w:space="0" w:color="auto"/>
        <w:left w:val="none" w:sz="0" w:space="0" w:color="auto"/>
        <w:bottom w:val="none" w:sz="0" w:space="0" w:color="auto"/>
        <w:right w:val="none" w:sz="0" w:space="0" w:color="auto"/>
      </w:divBdr>
    </w:div>
    <w:div w:id="1727145272">
      <w:bodyDiv w:val="1"/>
      <w:marLeft w:val="0"/>
      <w:marRight w:val="0"/>
      <w:marTop w:val="0"/>
      <w:marBottom w:val="0"/>
      <w:divBdr>
        <w:top w:val="none" w:sz="0" w:space="0" w:color="auto"/>
        <w:left w:val="none" w:sz="0" w:space="0" w:color="auto"/>
        <w:bottom w:val="none" w:sz="0" w:space="0" w:color="auto"/>
        <w:right w:val="none" w:sz="0" w:space="0" w:color="auto"/>
      </w:divBdr>
    </w:div>
    <w:div w:id="1759597368">
      <w:bodyDiv w:val="1"/>
      <w:marLeft w:val="0"/>
      <w:marRight w:val="0"/>
      <w:marTop w:val="0"/>
      <w:marBottom w:val="0"/>
      <w:divBdr>
        <w:top w:val="none" w:sz="0" w:space="0" w:color="auto"/>
        <w:left w:val="none" w:sz="0" w:space="0" w:color="auto"/>
        <w:bottom w:val="none" w:sz="0" w:space="0" w:color="auto"/>
        <w:right w:val="none" w:sz="0" w:space="0" w:color="auto"/>
      </w:divBdr>
    </w:div>
    <w:div w:id="1790004706">
      <w:bodyDiv w:val="1"/>
      <w:marLeft w:val="0"/>
      <w:marRight w:val="0"/>
      <w:marTop w:val="0"/>
      <w:marBottom w:val="0"/>
      <w:divBdr>
        <w:top w:val="none" w:sz="0" w:space="0" w:color="auto"/>
        <w:left w:val="none" w:sz="0" w:space="0" w:color="auto"/>
        <w:bottom w:val="none" w:sz="0" w:space="0" w:color="auto"/>
        <w:right w:val="none" w:sz="0" w:space="0" w:color="auto"/>
      </w:divBdr>
    </w:div>
    <w:div w:id="1794518191">
      <w:bodyDiv w:val="1"/>
      <w:marLeft w:val="0"/>
      <w:marRight w:val="0"/>
      <w:marTop w:val="0"/>
      <w:marBottom w:val="0"/>
      <w:divBdr>
        <w:top w:val="none" w:sz="0" w:space="0" w:color="auto"/>
        <w:left w:val="none" w:sz="0" w:space="0" w:color="auto"/>
        <w:bottom w:val="none" w:sz="0" w:space="0" w:color="auto"/>
        <w:right w:val="none" w:sz="0" w:space="0" w:color="auto"/>
      </w:divBdr>
    </w:div>
    <w:div w:id="1799301085">
      <w:bodyDiv w:val="1"/>
      <w:marLeft w:val="0"/>
      <w:marRight w:val="0"/>
      <w:marTop w:val="0"/>
      <w:marBottom w:val="0"/>
      <w:divBdr>
        <w:top w:val="none" w:sz="0" w:space="0" w:color="auto"/>
        <w:left w:val="none" w:sz="0" w:space="0" w:color="auto"/>
        <w:bottom w:val="none" w:sz="0" w:space="0" w:color="auto"/>
        <w:right w:val="none" w:sz="0" w:space="0" w:color="auto"/>
      </w:divBdr>
    </w:div>
    <w:div w:id="1803038075">
      <w:bodyDiv w:val="1"/>
      <w:marLeft w:val="0"/>
      <w:marRight w:val="0"/>
      <w:marTop w:val="0"/>
      <w:marBottom w:val="0"/>
      <w:divBdr>
        <w:top w:val="none" w:sz="0" w:space="0" w:color="auto"/>
        <w:left w:val="none" w:sz="0" w:space="0" w:color="auto"/>
        <w:bottom w:val="none" w:sz="0" w:space="0" w:color="auto"/>
        <w:right w:val="none" w:sz="0" w:space="0" w:color="auto"/>
      </w:divBdr>
    </w:div>
    <w:div w:id="1827475953">
      <w:bodyDiv w:val="1"/>
      <w:marLeft w:val="0"/>
      <w:marRight w:val="0"/>
      <w:marTop w:val="0"/>
      <w:marBottom w:val="0"/>
      <w:divBdr>
        <w:top w:val="none" w:sz="0" w:space="0" w:color="auto"/>
        <w:left w:val="none" w:sz="0" w:space="0" w:color="auto"/>
        <w:bottom w:val="none" w:sz="0" w:space="0" w:color="auto"/>
        <w:right w:val="none" w:sz="0" w:space="0" w:color="auto"/>
      </w:divBdr>
    </w:div>
    <w:div w:id="1849563754">
      <w:bodyDiv w:val="1"/>
      <w:marLeft w:val="0"/>
      <w:marRight w:val="0"/>
      <w:marTop w:val="0"/>
      <w:marBottom w:val="0"/>
      <w:divBdr>
        <w:top w:val="none" w:sz="0" w:space="0" w:color="auto"/>
        <w:left w:val="none" w:sz="0" w:space="0" w:color="auto"/>
        <w:bottom w:val="none" w:sz="0" w:space="0" w:color="auto"/>
        <w:right w:val="none" w:sz="0" w:space="0" w:color="auto"/>
      </w:divBdr>
    </w:div>
    <w:div w:id="1866091561">
      <w:bodyDiv w:val="1"/>
      <w:marLeft w:val="0"/>
      <w:marRight w:val="0"/>
      <w:marTop w:val="0"/>
      <w:marBottom w:val="0"/>
      <w:divBdr>
        <w:top w:val="none" w:sz="0" w:space="0" w:color="auto"/>
        <w:left w:val="none" w:sz="0" w:space="0" w:color="auto"/>
        <w:bottom w:val="none" w:sz="0" w:space="0" w:color="auto"/>
        <w:right w:val="none" w:sz="0" w:space="0" w:color="auto"/>
      </w:divBdr>
    </w:div>
    <w:div w:id="1874534494">
      <w:bodyDiv w:val="1"/>
      <w:marLeft w:val="0"/>
      <w:marRight w:val="0"/>
      <w:marTop w:val="0"/>
      <w:marBottom w:val="0"/>
      <w:divBdr>
        <w:top w:val="none" w:sz="0" w:space="0" w:color="auto"/>
        <w:left w:val="none" w:sz="0" w:space="0" w:color="auto"/>
        <w:bottom w:val="none" w:sz="0" w:space="0" w:color="auto"/>
        <w:right w:val="none" w:sz="0" w:space="0" w:color="auto"/>
      </w:divBdr>
    </w:div>
    <w:div w:id="1878664527">
      <w:bodyDiv w:val="1"/>
      <w:marLeft w:val="0"/>
      <w:marRight w:val="0"/>
      <w:marTop w:val="0"/>
      <w:marBottom w:val="0"/>
      <w:divBdr>
        <w:top w:val="none" w:sz="0" w:space="0" w:color="auto"/>
        <w:left w:val="none" w:sz="0" w:space="0" w:color="auto"/>
        <w:bottom w:val="none" w:sz="0" w:space="0" w:color="auto"/>
        <w:right w:val="none" w:sz="0" w:space="0" w:color="auto"/>
      </w:divBdr>
    </w:div>
    <w:div w:id="1901204966">
      <w:bodyDiv w:val="1"/>
      <w:marLeft w:val="0"/>
      <w:marRight w:val="0"/>
      <w:marTop w:val="0"/>
      <w:marBottom w:val="0"/>
      <w:divBdr>
        <w:top w:val="none" w:sz="0" w:space="0" w:color="auto"/>
        <w:left w:val="none" w:sz="0" w:space="0" w:color="auto"/>
        <w:bottom w:val="none" w:sz="0" w:space="0" w:color="auto"/>
        <w:right w:val="none" w:sz="0" w:space="0" w:color="auto"/>
      </w:divBdr>
    </w:div>
    <w:div w:id="1921713741">
      <w:bodyDiv w:val="1"/>
      <w:marLeft w:val="0"/>
      <w:marRight w:val="0"/>
      <w:marTop w:val="0"/>
      <w:marBottom w:val="0"/>
      <w:divBdr>
        <w:top w:val="none" w:sz="0" w:space="0" w:color="auto"/>
        <w:left w:val="none" w:sz="0" w:space="0" w:color="auto"/>
        <w:bottom w:val="none" w:sz="0" w:space="0" w:color="auto"/>
        <w:right w:val="none" w:sz="0" w:space="0" w:color="auto"/>
      </w:divBdr>
    </w:div>
    <w:div w:id="1954433758">
      <w:bodyDiv w:val="1"/>
      <w:marLeft w:val="0"/>
      <w:marRight w:val="0"/>
      <w:marTop w:val="0"/>
      <w:marBottom w:val="0"/>
      <w:divBdr>
        <w:top w:val="none" w:sz="0" w:space="0" w:color="auto"/>
        <w:left w:val="none" w:sz="0" w:space="0" w:color="auto"/>
        <w:bottom w:val="none" w:sz="0" w:space="0" w:color="auto"/>
        <w:right w:val="none" w:sz="0" w:space="0" w:color="auto"/>
      </w:divBdr>
    </w:div>
    <w:div w:id="1968849864">
      <w:bodyDiv w:val="1"/>
      <w:marLeft w:val="0"/>
      <w:marRight w:val="0"/>
      <w:marTop w:val="0"/>
      <w:marBottom w:val="0"/>
      <w:divBdr>
        <w:top w:val="none" w:sz="0" w:space="0" w:color="auto"/>
        <w:left w:val="none" w:sz="0" w:space="0" w:color="auto"/>
        <w:bottom w:val="none" w:sz="0" w:space="0" w:color="auto"/>
        <w:right w:val="none" w:sz="0" w:space="0" w:color="auto"/>
      </w:divBdr>
    </w:div>
    <w:div w:id="1988704744">
      <w:bodyDiv w:val="1"/>
      <w:marLeft w:val="0"/>
      <w:marRight w:val="0"/>
      <w:marTop w:val="0"/>
      <w:marBottom w:val="0"/>
      <w:divBdr>
        <w:top w:val="none" w:sz="0" w:space="0" w:color="auto"/>
        <w:left w:val="none" w:sz="0" w:space="0" w:color="auto"/>
        <w:bottom w:val="none" w:sz="0" w:space="0" w:color="auto"/>
        <w:right w:val="none" w:sz="0" w:space="0" w:color="auto"/>
      </w:divBdr>
    </w:div>
    <w:div w:id="2003655735">
      <w:bodyDiv w:val="1"/>
      <w:marLeft w:val="0"/>
      <w:marRight w:val="0"/>
      <w:marTop w:val="0"/>
      <w:marBottom w:val="0"/>
      <w:divBdr>
        <w:top w:val="none" w:sz="0" w:space="0" w:color="auto"/>
        <w:left w:val="none" w:sz="0" w:space="0" w:color="auto"/>
        <w:bottom w:val="none" w:sz="0" w:space="0" w:color="auto"/>
        <w:right w:val="none" w:sz="0" w:space="0" w:color="auto"/>
      </w:divBdr>
    </w:div>
    <w:div w:id="2024278028">
      <w:bodyDiv w:val="1"/>
      <w:marLeft w:val="0"/>
      <w:marRight w:val="0"/>
      <w:marTop w:val="0"/>
      <w:marBottom w:val="0"/>
      <w:divBdr>
        <w:top w:val="none" w:sz="0" w:space="0" w:color="auto"/>
        <w:left w:val="none" w:sz="0" w:space="0" w:color="auto"/>
        <w:bottom w:val="none" w:sz="0" w:space="0" w:color="auto"/>
        <w:right w:val="none" w:sz="0" w:space="0" w:color="auto"/>
      </w:divBdr>
    </w:div>
    <w:div w:id="2051176758">
      <w:bodyDiv w:val="1"/>
      <w:marLeft w:val="0"/>
      <w:marRight w:val="0"/>
      <w:marTop w:val="0"/>
      <w:marBottom w:val="0"/>
      <w:divBdr>
        <w:top w:val="none" w:sz="0" w:space="0" w:color="auto"/>
        <w:left w:val="none" w:sz="0" w:space="0" w:color="auto"/>
        <w:bottom w:val="none" w:sz="0" w:space="0" w:color="auto"/>
        <w:right w:val="none" w:sz="0" w:space="0" w:color="auto"/>
      </w:divBdr>
    </w:div>
    <w:div w:id="2065447869">
      <w:bodyDiv w:val="1"/>
      <w:marLeft w:val="0"/>
      <w:marRight w:val="0"/>
      <w:marTop w:val="0"/>
      <w:marBottom w:val="0"/>
      <w:divBdr>
        <w:top w:val="none" w:sz="0" w:space="0" w:color="auto"/>
        <w:left w:val="none" w:sz="0" w:space="0" w:color="auto"/>
        <w:bottom w:val="none" w:sz="0" w:space="0" w:color="auto"/>
        <w:right w:val="none" w:sz="0" w:space="0" w:color="auto"/>
      </w:divBdr>
    </w:div>
    <w:div w:id="2071686414">
      <w:bodyDiv w:val="1"/>
      <w:marLeft w:val="0"/>
      <w:marRight w:val="0"/>
      <w:marTop w:val="0"/>
      <w:marBottom w:val="0"/>
      <w:divBdr>
        <w:top w:val="none" w:sz="0" w:space="0" w:color="auto"/>
        <w:left w:val="none" w:sz="0" w:space="0" w:color="auto"/>
        <w:bottom w:val="none" w:sz="0" w:space="0" w:color="auto"/>
        <w:right w:val="none" w:sz="0" w:space="0" w:color="auto"/>
      </w:divBdr>
    </w:div>
    <w:div w:id="2096896228">
      <w:bodyDiv w:val="1"/>
      <w:marLeft w:val="0"/>
      <w:marRight w:val="0"/>
      <w:marTop w:val="0"/>
      <w:marBottom w:val="0"/>
      <w:divBdr>
        <w:top w:val="none" w:sz="0" w:space="0" w:color="auto"/>
        <w:left w:val="none" w:sz="0" w:space="0" w:color="auto"/>
        <w:bottom w:val="none" w:sz="0" w:space="0" w:color="auto"/>
        <w:right w:val="none" w:sz="0" w:space="0" w:color="auto"/>
      </w:divBdr>
    </w:div>
    <w:div w:id="2106806465">
      <w:bodyDiv w:val="1"/>
      <w:marLeft w:val="0"/>
      <w:marRight w:val="0"/>
      <w:marTop w:val="0"/>
      <w:marBottom w:val="0"/>
      <w:divBdr>
        <w:top w:val="none" w:sz="0" w:space="0" w:color="auto"/>
        <w:left w:val="none" w:sz="0" w:space="0" w:color="auto"/>
        <w:bottom w:val="none" w:sz="0" w:space="0" w:color="auto"/>
        <w:right w:val="none" w:sz="0" w:space="0" w:color="auto"/>
      </w:divBdr>
    </w:div>
    <w:div w:id="2111046531">
      <w:bodyDiv w:val="1"/>
      <w:marLeft w:val="0"/>
      <w:marRight w:val="0"/>
      <w:marTop w:val="0"/>
      <w:marBottom w:val="0"/>
      <w:divBdr>
        <w:top w:val="none" w:sz="0" w:space="0" w:color="auto"/>
        <w:left w:val="none" w:sz="0" w:space="0" w:color="auto"/>
        <w:bottom w:val="none" w:sz="0" w:space="0" w:color="auto"/>
        <w:right w:val="none" w:sz="0" w:space="0" w:color="auto"/>
      </w:divBdr>
    </w:div>
    <w:div w:id="2134471169">
      <w:bodyDiv w:val="1"/>
      <w:marLeft w:val="0"/>
      <w:marRight w:val="0"/>
      <w:marTop w:val="0"/>
      <w:marBottom w:val="0"/>
      <w:divBdr>
        <w:top w:val="none" w:sz="0" w:space="0" w:color="auto"/>
        <w:left w:val="none" w:sz="0" w:space="0" w:color="auto"/>
        <w:bottom w:val="none" w:sz="0" w:space="0" w:color="auto"/>
        <w:right w:val="none" w:sz="0" w:space="0" w:color="auto"/>
      </w:divBdr>
    </w:div>
    <w:div w:id="2135057025">
      <w:bodyDiv w:val="1"/>
      <w:marLeft w:val="0"/>
      <w:marRight w:val="0"/>
      <w:marTop w:val="0"/>
      <w:marBottom w:val="0"/>
      <w:divBdr>
        <w:top w:val="none" w:sz="0" w:space="0" w:color="auto"/>
        <w:left w:val="none" w:sz="0" w:space="0" w:color="auto"/>
        <w:bottom w:val="none" w:sz="0" w:space="0" w:color="auto"/>
        <w:right w:val="none" w:sz="0" w:space="0" w:color="auto"/>
      </w:divBdr>
    </w:div>
    <w:div w:id="2135521105">
      <w:bodyDiv w:val="1"/>
      <w:marLeft w:val="0"/>
      <w:marRight w:val="0"/>
      <w:marTop w:val="0"/>
      <w:marBottom w:val="0"/>
      <w:divBdr>
        <w:top w:val="none" w:sz="0" w:space="0" w:color="auto"/>
        <w:left w:val="none" w:sz="0" w:space="0" w:color="auto"/>
        <w:bottom w:val="none" w:sz="0" w:space="0" w:color="auto"/>
        <w:right w:val="none" w:sz="0" w:space="0" w:color="auto"/>
      </w:divBdr>
    </w:div>
    <w:div w:id="2137092074">
      <w:bodyDiv w:val="1"/>
      <w:marLeft w:val="0"/>
      <w:marRight w:val="0"/>
      <w:marTop w:val="0"/>
      <w:marBottom w:val="0"/>
      <w:divBdr>
        <w:top w:val="none" w:sz="0" w:space="0" w:color="auto"/>
        <w:left w:val="none" w:sz="0" w:space="0" w:color="auto"/>
        <w:bottom w:val="none" w:sz="0" w:space="0" w:color="auto"/>
        <w:right w:val="none" w:sz="0" w:space="0" w:color="auto"/>
      </w:divBdr>
    </w:div>
    <w:div w:id="2137218628">
      <w:bodyDiv w:val="1"/>
      <w:marLeft w:val="0"/>
      <w:marRight w:val="0"/>
      <w:marTop w:val="0"/>
      <w:marBottom w:val="0"/>
      <w:divBdr>
        <w:top w:val="none" w:sz="0" w:space="0" w:color="auto"/>
        <w:left w:val="none" w:sz="0" w:space="0" w:color="auto"/>
        <w:bottom w:val="none" w:sz="0" w:space="0" w:color="auto"/>
        <w:right w:val="none" w:sz="0" w:space="0" w:color="auto"/>
      </w:divBdr>
    </w:div>
    <w:div w:id="21409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s://wrds-web.wharton.upenn.edu/wrds/support/Data/_001Manuals%20and%20Overviews/_001Compustat/_001North%20America%20-%20Global%20-%20Bank/_000dataguide/cogs.cf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rds-www.wharton.upenn.edu/documents/746/WRDS_SEC_Analytics_Suite_Manual_Jan_2011.pdf"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theacsi.org/about-acsi/history"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rds-web.wharton.upenn.edu/wrds/support/Data/_001Manuals%20and%20Overviews/_001Compustat/_001North%20America%20-%20Global%20-%20Bank/_000dataguide/xsga.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whartonwrds.com/our-datasets/wrds-sec-analytics-suite/"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rds-www.wharton.upenn.edu/documents/745/_001WRDS_SEC_Analytics_Suite_Manual_Dec_2015.pdf"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rds-web.wharton.upenn.edu/wrds/support/Data/_001Manuals%20and%20Overviews/_001Compustat/_001North%20America%20-%20Global%20-%20Bank/_000dataguide/xopr.cf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s://ssrn.com/abstract=307161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8F786-81F4-40DD-A981-5BB684E2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8889</Words>
  <Characters>50672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UNC Kenan-Flagler Business School</Company>
  <LinksUpToDate>false</LinksUpToDate>
  <CharactersWithSpaces>59443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leongim LameGirl</dc:creator>
  <cp:keywords/>
  <dc:description/>
  <cp:lastModifiedBy>Kapil R. TULI</cp:lastModifiedBy>
  <cp:revision>2</cp:revision>
  <cp:lastPrinted>2019-08-26T05:02:00Z</cp:lastPrinted>
  <dcterms:created xsi:type="dcterms:W3CDTF">2020-04-10T02:27:00Z</dcterms:created>
  <dcterms:modified xsi:type="dcterms:W3CDTF">2020-04-10T02:27:00Z</dcterms:modified>
</cp:coreProperties>
</file>