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F88F" w14:textId="3254EF0C" w:rsidR="003F3B9C" w:rsidRPr="003F3B9C" w:rsidRDefault="003F3B9C">
      <w:pPr>
        <w:rPr>
          <w:rFonts w:eastAsia="Times New Roman" w:cstheme="minorHAnsi"/>
          <w:sz w:val="22"/>
          <w:szCs w:val="22"/>
        </w:rPr>
      </w:pPr>
      <w:r w:rsidRPr="003F3B9C">
        <w:rPr>
          <w:rFonts w:eastAsia="Times New Roman" w:cstheme="minorHAnsi"/>
          <w:sz w:val="22"/>
          <w:szCs w:val="22"/>
        </w:rPr>
        <w:t>Dear Editor</w:t>
      </w:r>
      <w:r>
        <w:rPr>
          <w:rFonts w:eastAsia="Times New Roman" w:cstheme="minorHAnsi"/>
          <w:sz w:val="22"/>
          <w:szCs w:val="22"/>
        </w:rPr>
        <w:t>,</w:t>
      </w:r>
    </w:p>
    <w:p w14:paraId="27D5453B" w14:textId="3BCDB05E" w:rsidR="003F3B9C" w:rsidRPr="003F3B9C" w:rsidRDefault="003F3B9C">
      <w:pPr>
        <w:rPr>
          <w:rFonts w:cstheme="minorHAnsi"/>
          <w:sz w:val="22"/>
          <w:szCs w:val="22"/>
        </w:rPr>
      </w:pPr>
    </w:p>
    <w:p w14:paraId="5CF3C802" w14:textId="05AA91CF" w:rsidR="003F3B9C" w:rsidRPr="003F3B9C" w:rsidRDefault="003F3B9C">
      <w:pPr>
        <w:rPr>
          <w:rFonts w:cstheme="minorHAnsi"/>
          <w:sz w:val="22"/>
          <w:szCs w:val="22"/>
        </w:rPr>
      </w:pPr>
      <w:r w:rsidRPr="003F3B9C">
        <w:rPr>
          <w:rFonts w:cstheme="minorHAnsi"/>
          <w:sz w:val="22"/>
          <w:szCs w:val="22"/>
        </w:rPr>
        <w:t xml:space="preserve">Thank you </w:t>
      </w:r>
      <w:r>
        <w:rPr>
          <w:rFonts w:cstheme="minorHAnsi"/>
          <w:sz w:val="22"/>
          <w:szCs w:val="22"/>
        </w:rPr>
        <w:t>for the opportunity to publish our article in your journal – please find attached a revised manuscript along with this response to reviewer’s comments, hopefully satisfactorily addressed below.</w:t>
      </w:r>
    </w:p>
    <w:p w14:paraId="4B4479D2" w14:textId="1D024CAD" w:rsidR="003F3B9C" w:rsidRPr="003F3B9C" w:rsidRDefault="003F3B9C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F3B9C" w:rsidRPr="00666E65" w14:paraId="25370820" w14:textId="77777777" w:rsidTr="003F3B9C">
        <w:tc>
          <w:tcPr>
            <w:tcW w:w="3003" w:type="dxa"/>
          </w:tcPr>
          <w:p w14:paraId="79F7CB85" w14:textId="659A0CC4" w:rsidR="003F3B9C" w:rsidRPr="00666E65" w:rsidRDefault="003F3B9C">
            <w:pPr>
              <w:rPr>
                <w:rFonts w:cstheme="minorHAnsi"/>
                <w:b/>
                <w:sz w:val="22"/>
                <w:szCs w:val="22"/>
              </w:rPr>
            </w:pPr>
            <w:r w:rsidRPr="00666E65">
              <w:rPr>
                <w:rFonts w:cstheme="minorHAnsi"/>
                <w:b/>
                <w:sz w:val="22"/>
                <w:szCs w:val="22"/>
              </w:rPr>
              <w:t>Reviewer Comment/Question</w:t>
            </w:r>
          </w:p>
        </w:tc>
        <w:tc>
          <w:tcPr>
            <w:tcW w:w="3003" w:type="dxa"/>
          </w:tcPr>
          <w:p w14:paraId="3247A61A" w14:textId="0EB361A5" w:rsidR="003F3B9C" w:rsidRPr="00666E65" w:rsidRDefault="003F3B9C">
            <w:pPr>
              <w:rPr>
                <w:rFonts w:cstheme="minorHAnsi"/>
                <w:b/>
                <w:sz w:val="22"/>
                <w:szCs w:val="22"/>
              </w:rPr>
            </w:pPr>
            <w:r w:rsidRPr="00666E65">
              <w:rPr>
                <w:rFonts w:cstheme="minorHAnsi"/>
                <w:b/>
                <w:sz w:val="22"/>
                <w:szCs w:val="22"/>
              </w:rPr>
              <w:t>Response</w:t>
            </w:r>
          </w:p>
        </w:tc>
        <w:tc>
          <w:tcPr>
            <w:tcW w:w="3004" w:type="dxa"/>
          </w:tcPr>
          <w:p w14:paraId="01BC05CC" w14:textId="41E04D5E" w:rsidR="003F3B9C" w:rsidRPr="00666E65" w:rsidRDefault="003F3B9C">
            <w:pPr>
              <w:rPr>
                <w:rFonts w:cstheme="minorHAnsi"/>
                <w:b/>
                <w:sz w:val="22"/>
                <w:szCs w:val="22"/>
              </w:rPr>
            </w:pPr>
            <w:r w:rsidRPr="00666E65">
              <w:rPr>
                <w:rFonts w:cstheme="minorHAnsi"/>
                <w:b/>
                <w:sz w:val="22"/>
                <w:szCs w:val="22"/>
              </w:rPr>
              <w:t>Action</w:t>
            </w:r>
          </w:p>
        </w:tc>
      </w:tr>
      <w:tr w:rsidR="003F3B9C" w:rsidRPr="003F3B9C" w14:paraId="1952B761" w14:textId="77777777" w:rsidTr="003F3B9C">
        <w:tc>
          <w:tcPr>
            <w:tcW w:w="3003" w:type="dxa"/>
          </w:tcPr>
          <w:p w14:paraId="4B3F8320" w14:textId="293832AB" w:rsidR="003F3B9C" w:rsidRPr="003F3B9C" w:rsidRDefault="003F3B9C">
            <w:pPr>
              <w:rPr>
                <w:rFonts w:cstheme="minorHAnsi"/>
                <w:sz w:val="22"/>
                <w:szCs w:val="22"/>
              </w:rPr>
            </w:pPr>
            <w:r w:rsidRPr="003F3B9C">
              <w:rPr>
                <w:rFonts w:eastAsia="Times New Roman" w:cstheme="minorHAnsi"/>
                <w:sz w:val="22"/>
                <w:szCs w:val="22"/>
              </w:rPr>
              <w:t>Was origin of pain confirmed by local infiltration?</w:t>
            </w:r>
          </w:p>
        </w:tc>
        <w:tc>
          <w:tcPr>
            <w:tcW w:w="3003" w:type="dxa"/>
          </w:tcPr>
          <w:p w14:paraId="5E9648C0" w14:textId="348A8974" w:rsidR="003F3B9C" w:rsidRPr="003F3B9C" w:rsidRDefault="00643A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 xml:space="preserve">non-union site is not amenable to </w:t>
            </w:r>
            <w:r w:rsidR="005006C0">
              <w:rPr>
                <w:rFonts w:cstheme="minorHAnsi"/>
                <w:sz w:val="22"/>
                <w:szCs w:val="22"/>
              </w:rPr>
              <w:t xml:space="preserve">reliable </w:t>
            </w:r>
            <w:r>
              <w:rPr>
                <w:rFonts w:cstheme="minorHAnsi"/>
                <w:sz w:val="22"/>
                <w:szCs w:val="22"/>
              </w:rPr>
              <w:t>local infiltration as pain is secondary to mechanical instability</w:t>
            </w:r>
          </w:p>
        </w:tc>
        <w:tc>
          <w:tcPr>
            <w:tcW w:w="3004" w:type="dxa"/>
          </w:tcPr>
          <w:p w14:paraId="4671DDB1" w14:textId="6E5DBF1A" w:rsidR="003F3B9C" w:rsidRPr="003F3B9C" w:rsidRDefault="00643A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Added to </w:t>
            </w:r>
            <w:r w:rsidR="009D2435">
              <w:rPr>
                <w:rFonts w:cstheme="minorHAnsi"/>
                <w:sz w:val="22"/>
                <w:szCs w:val="22"/>
              </w:rPr>
              <w:t xml:space="preserve">methods and patients, line </w:t>
            </w:r>
            <w:r w:rsidR="00556822">
              <w:rPr>
                <w:rFonts w:cstheme="minorHAnsi"/>
                <w:sz w:val="22"/>
                <w:szCs w:val="22"/>
              </w:rPr>
              <w:t>85-87</w:t>
            </w:r>
          </w:p>
        </w:tc>
      </w:tr>
      <w:tr w:rsidR="003F3B9C" w:rsidRPr="003F3B9C" w14:paraId="10BDB95A" w14:textId="77777777" w:rsidTr="003F3B9C">
        <w:tc>
          <w:tcPr>
            <w:tcW w:w="3003" w:type="dxa"/>
          </w:tcPr>
          <w:p w14:paraId="1551C32E" w14:textId="64B2C0FE" w:rsidR="003F3B9C" w:rsidRPr="003F3B9C" w:rsidRDefault="003F3B9C">
            <w:pPr>
              <w:rPr>
                <w:rFonts w:cstheme="minorHAnsi"/>
                <w:sz w:val="22"/>
                <w:szCs w:val="22"/>
              </w:rPr>
            </w:pPr>
            <w:r w:rsidRPr="003F3B9C">
              <w:rPr>
                <w:rFonts w:eastAsia="Times New Roman" w:cstheme="minorHAnsi"/>
                <w:sz w:val="22"/>
                <w:szCs w:val="22"/>
              </w:rPr>
              <w:t>It is not clear what surgical approach was in the two failures (cases with ongoing pain)</w:t>
            </w:r>
            <w:r w:rsidRPr="003F3B9C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3F3B9C">
              <w:rPr>
                <w:rFonts w:eastAsia="Times New Roman" w:cstheme="minorHAnsi"/>
                <w:sz w:val="22"/>
                <w:szCs w:val="22"/>
              </w:rPr>
              <w:t>and in the case complicated by haemorrhage</w:t>
            </w:r>
          </w:p>
        </w:tc>
        <w:tc>
          <w:tcPr>
            <w:tcW w:w="3003" w:type="dxa"/>
          </w:tcPr>
          <w:p w14:paraId="7CB9855D" w14:textId="424B00F0" w:rsidR="003F3B9C" w:rsidRPr="003F3B9C" w:rsidRDefault="00643A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cstheme="minorHAnsi"/>
                <w:sz w:val="22"/>
                <w:szCs w:val="22"/>
              </w:rPr>
              <w:t>Stoppa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approach was used in all three cases. We would not classify these as failures as union was achieve</w:t>
            </w:r>
            <w:r w:rsidR="00556822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 and mechanical symptoms resolved in all cases</w:t>
            </w:r>
            <w:r w:rsidR="00556822">
              <w:rPr>
                <w:rFonts w:cstheme="minorHAnsi"/>
                <w:sz w:val="22"/>
                <w:szCs w:val="22"/>
              </w:rPr>
              <w:t xml:space="preserve"> (ln 212)</w:t>
            </w:r>
            <w:r>
              <w:rPr>
                <w:rFonts w:cstheme="minorHAnsi"/>
                <w:sz w:val="22"/>
                <w:szCs w:val="22"/>
              </w:rPr>
              <w:t>, it was groin symptoms that deteriorated, secondary to joint pathology (</w:t>
            </w:r>
            <w:proofErr w:type="spellStart"/>
            <w:r>
              <w:rPr>
                <w:rFonts w:cstheme="minorHAnsi"/>
                <w:sz w:val="22"/>
                <w:szCs w:val="22"/>
              </w:rPr>
              <w:t>ie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not pelvic instability).</w:t>
            </w:r>
          </w:p>
        </w:tc>
        <w:tc>
          <w:tcPr>
            <w:tcW w:w="3004" w:type="dxa"/>
          </w:tcPr>
          <w:p w14:paraId="588C4C76" w14:textId="77777777" w:rsidR="003F3B9C" w:rsidRDefault="00643A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Clarified in </w:t>
            </w:r>
            <w:r w:rsidR="00556822">
              <w:rPr>
                <w:rFonts w:cstheme="minorHAnsi"/>
                <w:sz w:val="22"/>
                <w:szCs w:val="22"/>
              </w:rPr>
              <w:t>results</w:t>
            </w:r>
          </w:p>
          <w:p w14:paraId="475AB026" w14:textId="77777777" w:rsidR="00556822" w:rsidRDefault="0055682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Line 202</w:t>
            </w:r>
          </w:p>
          <w:p w14:paraId="2F3095D6" w14:textId="372AD949" w:rsidR="00556822" w:rsidRDefault="0055682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Line 213-216</w:t>
            </w:r>
          </w:p>
          <w:p w14:paraId="743E2FD3" w14:textId="01D3A369" w:rsidR="00556822" w:rsidRPr="003F3B9C" w:rsidRDefault="0055682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F3B9C" w:rsidRPr="003F3B9C" w14:paraId="68C21097" w14:textId="77777777" w:rsidTr="003F3B9C">
        <w:tc>
          <w:tcPr>
            <w:tcW w:w="3003" w:type="dxa"/>
          </w:tcPr>
          <w:p w14:paraId="597C635F" w14:textId="770FAAAA" w:rsidR="003F3B9C" w:rsidRPr="003F3B9C" w:rsidRDefault="003F3B9C">
            <w:pPr>
              <w:rPr>
                <w:rFonts w:cstheme="minorHAnsi"/>
                <w:sz w:val="22"/>
                <w:szCs w:val="22"/>
              </w:rPr>
            </w:pPr>
            <w:r w:rsidRPr="003F3B9C">
              <w:rPr>
                <w:rFonts w:eastAsia="Times New Roman" w:cstheme="minorHAnsi"/>
                <w:sz w:val="22"/>
                <w:szCs w:val="22"/>
              </w:rPr>
              <w:t>With regard to the false horizon (and possible neurovascular damage), the authors do not describe whether this is different in the two described approaches</w:t>
            </w:r>
          </w:p>
        </w:tc>
        <w:tc>
          <w:tcPr>
            <w:tcW w:w="3003" w:type="dxa"/>
          </w:tcPr>
          <w:p w14:paraId="13FD1DC3" w14:textId="27C3B2DF" w:rsidR="003F3B9C" w:rsidRPr="003F3B9C" w:rsidRDefault="00643A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This is different and </w:t>
            </w:r>
            <w:r w:rsidR="00666E65">
              <w:rPr>
                <w:rFonts w:cstheme="minorHAnsi"/>
                <w:sz w:val="22"/>
                <w:szCs w:val="22"/>
              </w:rPr>
              <w:t>wa</w:t>
            </w:r>
            <w:r>
              <w:rPr>
                <w:rFonts w:cstheme="minorHAnsi"/>
                <w:sz w:val="22"/>
                <w:szCs w:val="22"/>
              </w:rPr>
              <w:t>s the justification for adopting an ilioinguinal approach in one case.</w:t>
            </w:r>
          </w:p>
        </w:tc>
        <w:tc>
          <w:tcPr>
            <w:tcW w:w="3004" w:type="dxa"/>
          </w:tcPr>
          <w:p w14:paraId="706B8B0B" w14:textId="2F76EF12" w:rsidR="003F3B9C" w:rsidRPr="003F3B9C" w:rsidRDefault="00AA55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Already in ‘Surgical technique’ ln 165-167</w:t>
            </w:r>
          </w:p>
        </w:tc>
      </w:tr>
      <w:tr w:rsidR="003F3B9C" w:rsidRPr="003F3B9C" w14:paraId="2CEA979B" w14:textId="77777777" w:rsidTr="003F3B9C">
        <w:tc>
          <w:tcPr>
            <w:tcW w:w="3003" w:type="dxa"/>
          </w:tcPr>
          <w:p w14:paraId="78036AC3" w14:textId="6C8F7E03" w:rsidR="003F3B9C" w:rsidRPr="003F3B9C" w:rsidRDefault="003F3B9C">
            <w:pPr>
              <w:rPr>
                <w:rFonts w:cstheme="minorHAnsi"/>
                <w:sz w:val="22"/>
                <w:szCs w:val="22"/>
              </w:rPr>
            </w:pPr>
            <w:r w:rsidRPr="003F3B9C">
              <w:rPr>
                <w:rFonts w:eastAsia="Times New Roman" w:cstheme="minorHAnsi"/>
                <w:sz w:val="22"/>
                <w:szCs w:val="22"/>
              </w:rPr>
              <w:t>I wonder why a postop CT was not used to confirm union?</w:t>
            </w:r>
          </w:p>
        </w:tc>
        <w:tc>
          <w:tcPr>
            <w:tcW w:w="3003" w:type="dxa"/>
          </w:tcPr>
          <w:p w14:paraId="3623A8FC" w14:textId="4E50421B" w:rsidR="003F3B9C" w:rsidRPr="003F3B9C" w:rsidRDefault="00643A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Buttock/mechanical symptoms resolved in all cases and radiographs demonstrated signs of union. Given both clinical and radiological evidence of union, CT is not felt to be justified </w:t>
            </w:r>
          </w:p>
        </w:tc>
        <w:tc>
          <w:tcPr>
            <w:tcW w:w="3004" w:type="dxa"/>
          </w:tcPr>
          <w:p w14:paraId="74F5FD49" w14:textId="77777777" w:rsidR="003F3B9C" w:rsidRDefault="00643A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Added to discussion.</w:t>
            </w:r>
          </w:p>
          <w:p w14:paraId="1116A5FD" w14:textId="4A498782" w:rsidR="002B2075" w:rsidRPr="003F3B9C" w:rsidRDefault="002B20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Lines </w:t>
            </w:r>
            <w:r w:rsidR="00E90BA5">
              <w:rPr>
                <w:rFonts w:cstheme="minorHAnsi"/>
                <w:sz w:val="22"/>
                <w:szCs w:val="22"/>
              </w:rPr>
              <w:t>278-280</w:t>
            </w:r>
          </w:p>
        </w:tc>
      </w:tr>
      <w:tr w:rsidR="003F3B9C" w:rsidRPr="003F3B9C" w14:paraId="2043DCFC" w14:textId="77777777" w:rsidTr="003F3B9C">
        <w:tc>
          <w:tcPr>
            <w:tcW w:w="3003" w:type="dxa"/>
          </w:tcPr>
          <w:p w14:paraId="3EC6CDBB" w14:textId="553FFA6E" w:rsidR="003F3B9C" w:rsidRPr="003F3B9C" w:rsidRDefault="003F3B9C">
            <w:pPr>
              <w:rPr>
                <w:rFonts w:cstheme="minorHAnsi"/>
                <w:sz w:val="22"/>
                <w:szCs w:val="22"/>
              </w:rPr>
            </w:pPr>
            <w:r w:rsidRPr="003F3B9C">
              <w:rPr>
                <w:rFonts w:eastAsia="Times New Roman" w:cstheme="minorHAnsi"/>
                <w:sz w:val="22"/>
                <w:szCs w:val="22"/>
              </w:rPr>
              <w:t>How was defined that symptoms related to pelvic instability resolved (despite ongoing groin pain?)</w:t>
            </w:r>
          </w:p>
        </w:tc>
        <w:tc>
          <w:tcPr>
            <w:tcW w:w="3003" w:type="dxa"/>
          </w:tcPr>
          <w:p w14:paraId="6BCF5027" w14:textId="06B82094" w:rsidR="003F3B9C" w:rsidRPr="003F3B9C" w:rsidRDefault="005006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Clinical assessment of patients – improvement in mechanical symptoms and associated union. Groin pain of articular origin presumed not to be improved by stabilising the pelvis  </w:t>
            </w:r>
          </w:p>
        </w:tc>
        <w:tc>
          <w:tcPr>
            <w:tcW w:w="3004" w:type="dxa"/>
          </w:tcPr>
          <w:p w14:paraId="0B42E47A" w14:textId="06D9AD9D" w:rsidR="003F3B9C" w:rsidRPr="003F3B9C" w:rsidRDefault="00306DB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Clarified l</w:t>
            </w:r>
            <w:r w:rsidR="005F07A0">
              <w:rPr>
                <w:rFonts w:cstheme="minorHAnsi"/>
                <w:sz w:val="22"/>
                <w:szCs w:val="22"/>
              </w:rPr>
              <w:t>i</w:t>
            </w:r>
            <w:r>
              <w:rPr>
                <w:rFonts w:cstheme="minorHAnsi"/>
                <w:sz w:val="22"/>
                <w:szCs w:val="22"/>
              </w:rPr>
              <w:t>n</w:t>
            </w:r>
            <w:r w:rsidR="005F07A0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 xml:space="preserve"> 212</w:t>
            </w:r>
          </w:p>
        </w:tc>
      </w:tr>
      <w:tr w:rsidR="003F3B9C" w:rsidRPr="003F3B9C" w14:paraId="4E601930" w14:textId="77777777" w:rsidTr="003F3B9C">
        <w:tc>
          <w:tcPr>
            <w:tcW w:w="3003" w:type="dxa"/>
          </w:tcPr>
          <w:p w14:paraId="66818005" w14:textId="2E68459C" w:rsidR="003F3B9C" w:rsidRPr="003F3B9C" w:rsidRDefault="003F3B9C">
            <w:pPr>
              <w:rPr>
                <w:rFonts w:cstheme="minorHAnsi"/>
                <w:sz w:val="22"/>
                <w:szCs w:val="22"/>
              </w:rPr>
            </w:pPr>
            <w:r w:rsidRPr="003F3B9C">
              <w:rPr>
                <w:rFonts w:eastAsia="Times New Roman" w:cstheme="minorHAnsi"/>
                <w:sz w:val="22"/>
                <w:szCs w:val="22"/>
              </w:rPr>
              <w:t>I miss a report/discussion on prevalence of FAI syndrome. Especially in patients with pincer like deformities (high CE) FAI might be a factor in ongoing pain after PAO. One might also might also hypothesize unusual forces from FAI to be involved in non-</w:t>
            </w:r>
            <w:r w:rsidRPr="003F3B9C">
              <w:rPr>
                <w:rFonts w:eastAsia="Times New Roman" w:cstheme="minorHAnsi"/>
                <w:sz w:val="22"/>
                <w:szCs w:val="22"/>
              </w:rPr>
              <w:lastRenderedPageBreak/>
              <w:t>union or stress fractures after PAO.</w:t>
            </w:r>
          </w:p>
        </w:tc>
        <w:tc>
          <w:tcPr>
            <w:tcW w:w="3003" w:type="dxa"/>
          </w:tcPr>
          <w:p w14:paraId="79637DC8" w14:textId="03E89107" w:rsidR="005006C0" w:rsidRDefault="005006C0" w:rsidP="005006C0">
            <w:r>
              <w:rPr>
                <w:rFonts w:ascii="Helvetica" w:hAnsi="Helvetica"/>
                <w:color w:val="000000"/>
                <w:sz w:val="18"/>
                <w:szCs w:val="18"/>
              </w:rPr>
              <w:lastRenderedPageBreak/>
              <w:t>We are not sure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there needs to be a discussion on FAI </w:t>
            </w:r>
            <w:proofErr w:type="gramStart"/>
            <w:r>
              <w:rPr>
                <w:rFonts w:ascii="Helvetica" w:hAnsi="Helvetica"/>
                <w:color w:val="000000"/>
                <w:sz w:val="18"/>
                <w:szCs w:val="18"/>
              </w:rPr>
              <w:t>syndrome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when</w:t>
            </w:r>
            <w:proofErr w:type="gram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all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cases were performed for dysplasia. Non-union and stress fractures are much less likely when PAO is performed for FAI (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acetabular retroversion) because there is much less separation at the superior pubic ramus osteotomy. </w:t>
            </w:r>
          </w:p>
          <w:p w14:paraId="78DD6561" w14:textId="77777777" w:rsidR="005006C0" w:rsidRDefault="005006C0" w:rsidP="005006C0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FAI is not a factor in increased forces causing the stress fracture; the explanation of these stress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lastRenderedPageBreak/>
              <w:t>fractures is very clear in the article (Japanese finite element modelling paper).</w:t>
            </w:r>
          </w:p>
          <w:p w14:paraId="608720AA" w14:textId="77777777" w:rsidR="005006C0" w:rsidRDefault="005006C0" w:rsidP="005006C0">
            <w:pPr>
              <w:rPr>
                <w:rFonts w:ascii="Times New Roman" w:hAnsi="Times New Roman"/>
              </w:rPr>
            </w:pPr>
          </w:p>
          <w:p w14:paraId="11191CCE" w14:textId="77777777" w:rsidR="003F3B9C" w:rsidRPr="003F3B9C" w:rsidRDefault="003F3B9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04" w:type="dxa"/>
          </w:tcPr>
          <w:p w14:paraId="25C00927" w14:textId="5D83FBA7" w:rsidR="003F3B9C" w:rsidRDefault="005006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We have emphasised that all patients in this series received PAO for symptomatic dysplasia (not FAI).</w:t>
            </w:r>
          </w:p>
          <w:p w14:paraId="2B5A1846" w14:textId="1D3A24C5" w:rsidR="002B2075" w:rsidRDefault="002B20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Line 98-99</w:t>
            </w:r>
          </w:p>
          <w:p w14:paraId="0B72CE46" w14:textId="51060A75" w:rsidR="002B2075" w:rsidRPr="003F3B9C" w:rsidRDefault="002B207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Line 23</w:t>
            </w:r>
            <w:r w:rsidR="005F07A0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3F3B9C" w:rsidRPr="003F3B9C" w14:paraId="21CE9024" w14:textId="77777777" w:rsidTr="003F3B9C">
        <w:tc>
          <w:tcPr>
            <w:tcW w:w="3003" w:type="dxa"/>
          </w:tcPr>
          <w:p w14:paraId="6A5D9857" w14:textId="77777777" w:rsidR="003F3B9C" w:rsidRPr="003F3B9C" w:rsidRDefault="003F3B9C" w:rsidP="003F3B9C">
            <w:pPr>
              <w:rPr>
                <w:rFonts w:eastAsia="Times New Roman" w:cstheme="minorHAnsi"/>
                <w:sz w:val="22"/>
                <w:szCs w:val="22"/>
              </w:rPr>
            </w:pPr>
            <w:r w:rsidRPr="003F3B9C">
              <w:rPr>
                <w:rFonts w:eastAsia="Times New Roman" w:cstheme="minorHAnsi"/>
                <w:sz w:val="22"/>
                <w:szCs w:val="22"/>
              </w:rPr>
              <w:t xml:space="preserve">I would consider not to discuss the D insufficiency: It is not evident whether this is a factor of outcomes in this series. (Besides that, I miss cut-of values for definition of </w:t>
            </w:r>
            <w:proofErr w:type="spellStart"/>
            <w:r w:rsidRPr="003F3B9C">
              <w:rPr>
                <w:rFonts w:eastAsia="Times New Roman" w:cstheme="minorHAnsi"/>
                <w:sz w:val="22"/>
                <w:szCs w:val="22"/>
              </w:rPr>
              <w:t>vit</w:t>
            </w:r>
            <w:proofErr w:type="spellEnd"/>
            <w:r w:rsidRPr="003F3B9C">
              <w:rPr>
                <w:rFonts w:eastAsia="Times New Roman" w:cstheme="minorHAnsi"/>
                <w:sz w:val="22"/>
                <w:szCs w:val="22"/>
              </w:rPr>
              <w:t xml:space="preserve"> D insufficiency, and also post op </w:t>
            </w:r>
            <w:proofErr w:type="spellStart"/>
            <w:r w:rsidRPr="003F3B9C">
              <w:rPr>
                <w:rFonts w:eastAsia="Times New Roman" w:cstheme="minorHAnsi"/>
                <w:sz w:val="22"/>
                <w:szCs w:val="22"/>
              </w:rPr>
              <w:t>vit</w:t>
            </w:r>
            <w:proofErr w:type="spellEnd"/>
            <w:r w:rsidRPr="003F3B9C">
              <w:rPr>
                <w:rFonts w:eastAsia="Times New Roman" w:cstheme="minorHAnsi"/>
                <w:sz w:val="22"/>
                <w:szCs w:val="22"/>
              </w:rPr>
              <w:t xml:space="preserve"> D levels are not reported).</w:t>
            </w:r>
          </w:p>
          <w:p w14:paraId="57B32465" w14:textId="6D0205FF" w:rsidR="003F3B9C" w:rsidRPr="003F3B9C" w:rsidRDefault="003F3B9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03" w:type="dxa"/>
          </w:tcPr>
          <w:p w14:paraId="0E882E5B" w14:textId="0CA6D0DF" w:rsidR="003F3B9C" w:rsidRPr="003F3B9C" w:rsidRDefault="00226B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Vitamin D and serological bone profile is a routine part of the work up of these patients and we do not operate until this is felt to be corrected. </w:t>
            </w:r>
            <w:r w:rsidR="005006C0">
              <w:rPr>
                <w:rFonts w:cstheme="minorHAnsi"/>
                <w:sz w:val="22"/>
                <w:szCs w:val="22"/>
              </w:rPr>
              <w:t xml:space="preserve">It is acknowledged that Vitamin D correction cannot be shown to be </w:t>
            </w:r>
          </w:p>
        </w:tc>
        <w:tc>
          <w:tcPr>
            <w:tcW w:w="3004" w:type="dxa"/>
          </w:tcPr>
          <w:p w14:paraId="19670F9C" w14:textId="2A4895BE" w:rsidR="003F3B9C" w:rsidRPr="003F3B9C" w:rsidRDefault="005006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We have removed the part of the discussion relating to </w:t>
            </w:r>
            <w:proofErr w:type="spellStart"/>
            <w:r>
              <w:rPr>
                <w:rFonts w:cstheme="minorHAnsi"/>
                <w:sz w:val="22"/>
                <w:szCs w:val="22"/>
              </w:rPr>
              <w:t>Vit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 correction. </w:t>
            </w:r>
          </w:p>
        </w:tc>
      </w:tr>
      <w:tr w:rsidR="005006C0" w:rsidRPr="003F3B9C" w14:paraId="0073109A" w14:textId="77777777" w:rsidTr="003F3B9C">
        <w:tc>
          <w:tcPr>
            <w:tcW w:w="3003" w:type="dxa"/>
          </w:tcPr>
          <w:p w14:paraId="4D0F7382" w14:textId="595094DF" w:rsidR="005006C0" w:rsidRPr="003F3B9C" w:rsidRDefault="005006C0">
            <w:pPr>
              <w:rPr>
                <w:rFonts w:eastAsia="Times New Roman" w:cstheme="minorHAnsi"/>
                <w:sz w:val="22"/>
                <w:szCs w:val="22"/>
              </w:rPr>
            </w:pPr>
            <w:r w:rsidRPr="003F3B9C">
              <w:rPr>
                <w:rFonts w:eastAsia="Times New Roman" w:cstheme="minorHAnsi"/>
                <w:sz w:val="22"/>
                <w:szCs w:val="22"/>
              </w:rPr>
              <w:t>A paragraph in the discussion part of the manuscript, mentioning the limitations of the study </w:t>
            </w:r>
          </w:p>
        </w:tc>
        <w:tc>
          <w:tcPr>
            <w:tcW w:w="3003" w:type="dxa"/>
          </w:tcPr>
          <w:p w14:paraId="64CF1DDD" w14:textId="77777777" w:rsidR="005006C0" w:rsidRPr="003F3B9C" w:rsidRDefault="005006C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9D68A7A" w14:textId="77777777" w:rsidR="005006C0" w:rsidRDefault="005006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Limitations paragraph added.</w:t>
            </w:r>
          </w:p>
          <w:p w14:paraId="78B986BE" w14:textId="4FB1D185" w:rsidR="00E90BA5" w:rsidRPr="003F3B9C" w:rsidRDefault="00E90BA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Line 274-280</w:t>
            </w:r>
          </w:p>
        </w:tc>
      </w:tr>
      <w:tr w:rsidR="003F3B9C" w:rsidRPr="003F3B9C" w14:paraId="5382FF28" w14:textId="77777777" w:rsidTr="003F3B9C">
        <w:tc>
          <w:tcPr>
            <w:tcW w:w="3003" w:type="dxa"/>
          </w:tcPr>
          <w:p w14:paraId="130A1EAF" w14:textId="66ADC234" w:rsidR="003F3B9C" w:rsidRPr="003F3B9C" w:rsidRDefault="003F3B9C">
            <w:pPr>
              <w:rPr>
                <w:rFonts w:cstheme="minorHAnsi"/>
                <w:sz w:val="22"/>
                <w:szCs w:val="22"/>
              </w:rPr>
            </w:pPr>
            <w:r w:rsidRPr="003F3B9C">
              <w:rPr>
                <w:rFonts w:eastAsia="Times New Roman" w:cstheme="minorHAnsi"/>
                <w:sz w:val="22"/>
                <w:szCs w:val="22"/>
              </w:rPr>
              <w:t>A more robust discussion revealing the clinical importance of your findings would add to the value of the manuscript</w:t>
            </w:r>
          </w:p>
        </w:tc>
        <w:tc>
          <w:tcPr>
            <w:tcW w:w="3003" w:type="dxa"/>
          </w:tcPr>
          <w:p w14:paraId="0647D1A1" w14:textId="77777777" w:rsidR="003F3B9C" w:rsidRPr="003F3B9C" w:rsidRDefault="003F3B9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04" w:type="dxa"/>
          </w:tcPr>
          <w:p w14:paraId="08780F66" w14:textId="77777777" w:rsidR="00E90BA5" w:rsidRDefault="00E90BA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Additional paragraph </w:t>
            </w:r>
          </w:p>
          <w:p w14:paraId="0C41CDDB" w14:textId="53CD5D10" w:rsidR="003F3B9C" w:rsidRPr="003F3B9C" w:rsidRDefault="00E90BA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lines 238-242</w:t>
            </w:r>
          </w:p>
        </w:tc>
      </w:tr>
    </w:tbl>
    <w:p w14:paraId="7C444516" w14:textId="7BA86BBE" w:rsidR="003F3B9C" w:rsidRDefault="003F3B9C">
      <w:pPr>
        <w:rPr>
          <w:rFonts w:cstheme="minorHAnsi"/>
          <w:sz w:val="22"/>
          <w:szCs w:val="22"/>
        </w:rPr>
      </w:pPr>
    </w:p>
    <w:p w14:paraId="073A450C" w14:textId="4C30E485" w:rsidR="003F3B9C" w:rsidRDefault="003F3B9C">
      <w:pPr>
        <w:rPr>
          <w:rFonts w:cstheme="minorHAnsi"/>
          <w:sz w:val="22"/>
          <w:szCs w:val="22"/>
        </w:rPr>
      </w:pPr>
    </w:p>
    <w:p w14:paraId="44A5A046" w14:textId="34BF74F0" w:rsidR="003F3B9C" w:rsidRDefault="003F3B9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hope the revised manuscript addresses the suggestions made satisfactorily and look forward to hearing back,</w:t>
      </w:r>
    </w:p>
    <w:p w14:paraId="2FF5F0AF" w14:textId="091F26B8" w:rsidR="003F3B9C" w:rsidRDefault="003F3B9C">
      <w:pPr>
        <w:rPr>
          <w:rFonts w:cstheme="minorHAnsi"/>
          <w:sz w:val="22"/>
          <w:szCs w:val="22"/>
        </w:rPr>
      </w:pPr>
    </w:p>
    <w:p w14:paraId="0B1D1CB7" w14:textId="0F53A2CE" w:rsidR="003F3B9C" w:rsidRDefault="003F3B9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Kind regards</w:t>
      </w:r>
    </w:p>
    <w:p w14:paraId="16997F1F" w14:textId="19AE8A47" w:rsidR="003F3B9C" w:rsidRDefault="003F3B9C">
      <w:pPr>
        <w:rPr>
          <w:rFonts w:cstheme="minorHAnsi"/>
          <w:sz w:val="22"/>
          <w:szCs w:val="22"/>
        </w:rPr>
      </w:pPr>
    </w:p>
    <w:p w14:paraId="57FB7A3E" w14:textId="19B1D7ED" w:rsidR="003F3B9C" w:rsidRDefault="003F3B9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Alex Shearman</w:t>
      </w:r>
    </w:p>
    <w:p w14:paraId="47D00831" w14:textId="77777777" w:rsidR="003F3B9C" w:rsidRPr="003F3B9C" w:rsidRDefault="003F3B9C">
      <w:pPr>
        <w:rPr>
          <w:rFonts w:cstheme="minorHAnsi"/>
          <w:sz w:val="22"/>
          <w:szCs w:val="22"/>
        </w:rPr>
      </w:pPr>
    </w:p>
    <w:sectPr w:rsidR="003F3B9C" w:rsidRPr="003F3B9C" w:rsidSect="00D235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5D"/>
    <w:rsid w:val="000105E6"/>
    <w:rsid w:val="0001533E"/>
    <w:rsid w:val="00033439"/>
    <w:rsid w:val="00035642"/>
    <w:rsid w:val="00040A7F"/>
    <w:rsid w:val="00042CCE"/>
    <w:rsid w:val="000667B3"/>
    <w:rsid w:val="00076245"/>
    <w:rsid w:val="00100678"/>
    <w:rsid w:val="00105A78"/>
    <w:rsid w:val="00114D21"/>
    <w:rsid w:val="00167290"/>
    <w:rsid w:val="001826E7"/>
    <w:rsid w:val="001A60DD"/>
    <w:rsid w:val="001D6DA3"/>
    <w:rsid w:val="00226B58"/>
    <w:rsid w:val="00295046"/>
    <w:rsid w:val="002B2075"/>
    <w:rsid w:val="002E5E0E"/>
    <w:rsid w:val="002E72D6"/>
    <w:rsid w:val="00306DBD"/>
    <w:rsid w:val="00347F8D"/>
    <w:rsid w:val="00373BB0"/>
    <w:rsid w:val="003856CB"/>
    <w:rsid w:val="003B0B04"/>
    <w:rsid w:val="003F3B9C"/>
    <w:rsid w:val="004266D8"/>
    <w:rsid w:val="004344DB"/>
    <w:rsid w:val="00446ED5"/>
    <w:rsid w:val="00476868"/>
    <w:rsid w:val="004D15D1"/>
    <w:rsid w:val="005006C0"/>
    <w:rsid w:val="00500FB6"/>
    <w:rsid w:val="00501755"/>
    <w:rsid w:val="00556822"/>
    <w:rsid w:val="005612F3"/>
    <w:rsid w:val="005759F2"/>
    <w:rsid w:val="005F07A0"/>
    <w:rsid w:val="00643A9D"/>
    <w:rsid w:val="00666E65"/>
    <w:rsid w:val="00695546"/>
    <w:rsid w:val="006E7754"/>
    <w:rsid w:val="00722482"/>
    <w:rsid w:val="00762CE5"/>
    <w:rsid w:val="00784D1E"/>
    <w:rsid w:val="007B790A"/>
    <w:rsid w:val="007F1B6D"/>
    <w:rsid w:val="0087299D"/>
    <w:rsid w:val="008773C5"/>
    <w:rsid w:val="009D2435"/>
    <w:rsid w:val="00A62CF6"/>
    <w:rsid w:val="00A658C2"/>
    <w:rsid w:val="00A801C4"/>
    <w:rsid w:val="00A80D99"/>
    <w:rsid w:val="00AA29A5"/>
    <w:rsid w:val="00AA55B0"/>
    <w:rsid w:val="00AC4D5D"/>
    <w:rsid w:val="00B60EF2"/>
    <w:rsid w:val="00BE0804"/>
    <w:rsid w:val="00BF33BC"/>
    <w:rsid w:val="00C02633"/>
    <w:rsid w:val="00C73140"/>
    <w:rsid w:val="00D011E6"/>
    <w:rsid w:val="00D14E4A"/>
    <w:rsid w:val="00D2356E"/>
    <w:rsid w:val="00D265FC"/>
    <w:rsid w:val="00D326EE"/>
    <w:rsid w:val="00D734D1"/>
    <w:rsid w:val="00DE0974"/>
    <w:rsid w:val="00DE5C5F"/>
    <w:rsid w:val="00E243F1"/>
    <w:rsid w:val="00E812F7"/>
    <w:rsid w:val="00E90BA5"/>
    <w:rsid w:val="00EA5035"/>
    <w:rsid w:val="00EC0B76"/>
    <w:rsid w:val="00F451C6"/>
    <w:rsid w:val="00F62179"/>
    <w:rsid w:val="00F73DC3"/>
    <w:rsid w:val="00F8516F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FDEA2"/>
  <w14:defaultImageDpi w14:val="32767"/>
  <w15:chartTrackingRefBased/>
  <w15:docId w15:val="{7CD0BD42-764C-F345-A501-2C9B014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3B9C"/>
  </w:style>
  <w:style w:type="table" w:styleId="TableGrid">
    <w:name w:val="Table Grid"/>
    <w:basedOn w:val="TableNormal"/>
    <w:uiPriority w:val="39"/>
    <w:rsid w:val="003F3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623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0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7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Shearman</dc:creator>
  <cp:keywords/>
  <dc:description/>
  <cp:lastModifiedBy>Alexander Shearman</cp:lastModifiedBy>
  <cp:revision>7</cp:revision>
  <dcterms:created xsi:type="dcterms:W3CDTF">2020-02-05T16:09:00Z</dcterms:created>
  <dcterms:modified xsi:type="dcterms:W3CDTF">2020-02-05T20:48:00Z</dcterms:modified>
</cp:coreProperties>
</file>