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E" w:rsidRPr="00A261A3" w:rsidRDefault="007E2E9E" w:rsidP="007E2E9E">
      <w:pPr>
        <w:pStyle w:val="H1"/>
      </w:pPr>
      <w:bookmarkStart w:id="0" w:name="_GoBack"/>
      <w:bookmarkEnd w:id="0"/>
      <w:r w:rsidRPr="00612322">
        <w:t>Appendix</w:t>
      </w:r>
    </w:p>
    <w:p w:rsidR="007E2E9E" w:rsidRPr="0039767B" w:rsidRDefault="007E2E9E" w:rsidP="007E2E9E">
      <w:pPr>
        <w:pStyle w:val="CP"/>
      </w:pPr>
      <w:r w:rsidRPr="006275BC">
        <w:rPr>
          <w:rStyle w:val="CPBChar"/>
          <w:rFonts w:ascii="Times New Roman" w:hAnsi="Times New Roman"/>
        </w:rPr>
        <w:t>Table A1.</w:t>
      </w:r>
      <w:r w:rsidRPr="00612322">
        <w:t xml:space="preserve"> Description of Job Quality Measures: By Decile.</w:t>
      </w:r>
    </w:p>
    <w:tbl>
      <w:tblPr>
        <w:tblStyle w:val="TableGrid"/>
        <w:tblW w:w="4317" w:type="pct"/>
        <w:tblLook w:val="04A0" w:firstRow="1" w:lastRow="0" w:firstColumn="1" w:lastColumn="0" w:noHBand="0" w:noVBand="1"/>
      </w:tblPr>
      <w:tblGrid>
        <w:gridCol w:w="1984"/>
        <w:gridCol w:w="694"/>
        <w:gridCol w:w="695"/>
        <w:gridCol w:w="695"/>
        <w:gridCol w:w="695"/>
        <w:gridCol w:w="785"/>
        <w:gridCol w:w="785"/>
        <w:gridCol w:w="785"/>
        <w:gridCol w:w="785"/>
        <w:gridCol w:w="785"/>
        <w:gridCol w:w="888"/>
      </w:tblGrid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CH"/>
              <w:spacing w:after="200"/>
              <w:rPr>
                <w:szCs w:val="22"/>
              </w:rPr>
            </w:pPr>
            <w:r w:rsidRPr="00612322">
              <w:rPr>
                <w:szCs w:val="22"/>
              </w:rPr>
              <w:t>Variable</w:t>
            </w:r>
          </w:p>
        </w:tc>
        <w:tc>
          <w:tcPr>
            <w:tcW w:w="354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rPr>
                <w:szCs w:val="22"/>
              </w:rPr>
              <w:t>10th</w:t>
            </w:r>
          </w:p>
        </w:tc>
        <w:tc>
          <w:tcPr>
            <w:tcW w:w="354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20th</w:t>
            </w:r>
          </w:p>
        </w:tc>
        <w:tc>
          <w:tcPr>
            <w:tcW w:w="354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30th</w:t>
            </w:r>
          </w:p>
        </w:tc>
        <w:tc>
          <w:tcPr>
            <w:tcW w:w="354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40th</w:t>
            </w:r>
          </w:p>
        </w:tc>
        <w:tc>
          <w:tcPr>
            <w:tcW w:w="400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50th</w:t>
            </w:r>
          </w:p>
        </w:tc>
        <w:tc>
          <w:tcPr>
            <w:tcW w:w="400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60th</w:t>
            </w:r>
          </w:p>
        </w:tc>
        <w:tc>
          <w:tcPr>
            <w:tcW w:w="400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70th</w:t>
            </w:r>
          </w:p>
        </w:tc>
        <w:tc>
          <w:tcPr>
            <w:tcW w:w="400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80th</w:t>
            </w:r>
          </w:p>
        </w:tc>
        <w:tc>
          <w:tcPr>
            <w:tcW w:w="400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90th</w:t>
            </w:r>
          </w:p>
        </w:tc>
        <w:tc>
          <w:tcPr>
            <w:tcW w:w="569" w:type="pct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t>100th</w:t>
            </w:r>
          </w:p>
        </w:tc>
      </w:tr>
      <w:tr w:rsidR="007E2E9E" w:rsidRPr="0039767B" w:rsidTr="00612322">
        <w:tc>
          <w:tcPr>
            <w:tcW w:w="5000" w:type="pct"/>
            <w:gridSpan w:val="11"/>
          </w:tcPr>
          <w:p w:rsidR="007E2E9E" w:rsidRPr="006A70A2" w:rsidRDefault="007E2E9E" w:rsidP="00612322">
            <w:pPr>
              <w:pStyle w:val="TT"/>
              <w:rPr>
                <w:b/>
                <w:bCs/>
                <w:i/>
                <w:iCs/>
              </w:rPr>
            </w:pPr>
            <w:r w:rsidRPr="00612322">
              <w:rPr>
                <w:szCs w:val="22"/>
              </w:rPr>
              <w:t xml:space="preserve">Satisfaction </w:t>
            </w:r>
            <w:r>
              <w:t>i</w:t>
            </w:r>
            <w:r w:rsidRPr="00612322">
              <w:rPr>
                <w:szCs w:val="22"/>
              </w:rPr>
              <w:t>tems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Salary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1.63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3.69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Benefits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0.71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1.00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1.34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2.60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Supervision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1.50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2.67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Control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2.78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3.71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Usefulness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3.22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Advancement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2.50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Status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1.45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2.25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Security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1.23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2.56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Colleagues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2.27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3.38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Workload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2.00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2.5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3.94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4.00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 xml:space="preserve">Job </w:t>
            </w:r>
            <w:r w:rsidRPr="00A261A3">
              <w:t>satisfaction (continuous</w:t>
            </w:r>
            <w:r w:rsidRPr="00612322">
              <w:t>)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>
              <w:t>−</w:t>
            </w:r>
            <w:r w:rsidRPr="00612322">
              <w:t>1.19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>
              <w:t>−</w:t>
            </w:r>
            <w:r w:rsidRPr="00612322">
              <w:t>0.67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>
              <w:t>−</w:t>
            </w:r>
            <w:r w:rsidRPr="00612322">
              <w:t>0.32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>
              <w:t>−</w:t>
            </w:r>
            <w:r w:rsidRPr="00612322">
              <w:t>0.06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0.14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0.32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0.44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0.58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1.14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1.93</w:t>
            </w:r>
          </w:p>
        </w:tc>
      </w:tr>
      <w:tr w:rsidR="007E2E9E" w:rsidRPr="0039767B" w:rsidTr="00612322">
        <w:tc>
          <w:tcPr>
            <w:tcW w:w="5000" w:type="pct"/>
            <w:gridSpan w:val="11"/>
          </w:tcPr>
          <w:p w:rsidR="007E2E9E" w:rsidRPr="00612322" w:rsidRDefault="007E2E9E" w:rsidP="00612322">
            <w:pPr>
              <w:pStyle w:val="TT"/>
              <w:spacing w:after="200"/>
              <w:rPr>
                <w:szCs w:val="22"/>
              </w:rPr>
            </w:pPr>
            <w:r w:rsidRPr="00612322">
              <w:rPr>
                <w:szCs w:val="22"/>
              </w:rPr>
              <w:t xml:space="preserve">Objective </w:t>
            </w:r>
            <w:r>
              <w:t>m</w:t>
            </w:r>
            <w:r w:rsidRPr="00612322">
              <w:rPr>
                <w:szCs w:val="22"/>
              </w:rPr>
              <w:t>easures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Income ($)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1,733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4,073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6,424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9,013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13,000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16,640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20,800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25,350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34,320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150,000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lastRenderedPageBreak/>
              <w:tab/>
            </w:r>
            <w:r w:rsidRPr="00612322">
              <w:t xml:space="preserve">Benefits 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0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0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0.29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1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2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3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6</w:t>
            </w:r>
          </w:p>
        </w:tc>
      </w:tr>
      <w:tr w:rsidR="007E2E9E" w:rsidRPr="0039767B" w:rsidTr="00612322">
        <w:tc>
          <w:tcPr>
            <w:tcW w:w="1012" w:type="pct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612322">
              <w:t>Hours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25.8</w:t>
            </w:r>
          </w:p>
        </w:tc>
        <w:tc>
          <w:tcPr>
            <w:tcW w:w="354" w:type="pct"/>
          </w:tcPr>
          <w:p w:rsidR="007E2E9E" w:rsidRPr="0039767B" w:rsidRDefault="007E2E9E" w:rsidP="00612322">
            <w:pPr>
              <w:pStyle w:val="TT"/>
            </w:pPr>
            <w:r w:rsidRPr="00612322">
              <w:t>33.75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37.35</w:t>
            </w:r>
          </w:p>
        </w:tc>
        <w:tc>
          <w:tcPr>
            <w:tcW w:w="354" w:type="pct"/>
          </w:tcPr>
          <w:p w:rsidR="007E2E9E" w:rsidRPr="001F28C6" w:rsidRDefault="007E2E9E" w:rsidP="00612322">
            <w:pPr>
              <w:pStyle w:val="TT"/>
            </w:pPr>
            <w:r w:rsidRPr="00612322">
              <w:t>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40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45</w:t>
            </w:r>
          </w:p>
        </w:tc>
        <w:tc>
          <w:tcPr>
            <w:tcW w:w="400" w:type="pct"/>
          </w:tcPr>
          <w:p w:rsidR="007E2E9E" w:rsidRPr="001F28C6" w:rsidRDefault="007E2E9E" w:rsidP="00612322">
            <w:pPr>
              <w:pStyle w:val="TT"/>
            </w:pPr>
            <w:r w:rsidRPr="00612322">
              <w:t>50</w:t>
            </w:r>
          </w:p>
        </w:tc>
        <w:tc>
          <w:tcPr>
            <w:tcW w:w="569" w:type="pct"/>
          </w:tcPr>
          <w:p w:rsidR="007E2E9E" w:rsidRPr="001F28C6" w:rsidRDefault="007E2E9E" w:rsidP="00612322">
            <w:pPr>
              <w:pStyle w:val="TT"/>
            </w:pPr>
            <w:r w:rsidRPr="00612322">
              <w:t>80</w:t>
            </w:r>
          </w:p>
        </w:tc>
      </w:tr>
    </w:tbl>
    <w:p w:rsidR="007E2E9E" w:rsidRPr="0039767B" w:rsidRDefault="007E2E9E" w:rsidP="007E2E9E">
      <w:pPr>
        <w:pStyle w:val="CP"/>
      </w:pPr>
      <w:r w:rsidRPr="0039767B">
        <w:rPr>
          <w:rStyle w:val="CPBChar"/>
          <w:rFonts w:ascii="Times New Roman" w:hAnsi="Times New Roman"/>
        </w:rPr>
        <w:t>Table A2.</w:t>
      </w:r>
      <w:r w:rsidRPr="00612322">
        <w:t xml:space="preserve"> Hybrid Models of Self-Reported Offending, Work, and Job Quality: Sensitivity Analyses.</w:t>
      </w:r>
    </w:p>
    <w:tbl>
      <w:tblPr>
        <w:tblStyle w:val="TableGrid"/>
        <w:tblpPr w:leftFromText="180" w:rightFromText="180" w:vertAnchor="text" w:horzAnchor="margin" w:tblpY="81"/>
        <w:tblW w:w="5192" w:type="pct"/>
        <w:tblLayout w:type="fixed"/>
        <w:tblLook w:val="04A0" w:firstRow="1" w:lastRow="0" w:firstColumn="1" w:lastColumn="0" w:noHBand="0" w:noVBand="1"/>
      </w:tblPr>
      <w:tblGrid>
        <w:gridCol w:w="2932"/>
        <w:gridCol w:w="1231"/>
        <w:gridCol w:w="1800"/>
        <w:gridCol w:w="1893"/>
        <w:gridCol w:w="2088"/>
      </w:tblGrid>
      <w:tr w:rsidR="007E2E9E" w:rsidRPr="0039767B" w:rsidTr="00612322">
        <w:trPr>
          <w:trHeight w:val="537"/>
        </w:trPr>
        <w:tc>
          <w:tcPr>
            <w:tcW w:w="1435" w:type="pct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  <w:r w:rsidRPr="009C48FC">
              <w:rPr>
                <w:bCs/>
              </w:rPr>
              <w:t xml:space="preserve">Section </w:t>
            </w:r>
            <w:r w:rsidRPr="00612322">
              <w:rPr>
                <w:bCs/>
              </w:rPr>
              <w:t>1</w:t>
            </w:r>
          </w:p>
        </w:tc>
        <w:tc>
          <w:tcPr>
            <w:tcW w:w="1482" w:type="pct"/>
            <w:gridSpan w:val="2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Exposure</w:t>
            </w:r>
          </w:p>
        </w:tc>
        <w:tc>
          <w:tcPr>
            <w:tcW w:w="1947" w:type="pct"/>
            <w:gridSpan w:val="2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Monthly Level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  <w:r w:rsidRPr="00612322">
              <w:rPr>
                <w:bCs/>
              </w:rPr>
              <w:t>Variable</w:t>
            </w:r>
          </w:p>
        </w:tc>
        <w:tc>
          <w:tcPr>
            <w:tcW w:w="602" w:type="pct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IRR</w:t>
            </w:r>
          </w:p>
        </w:tc>
        <w:tc>
          <w:tcPr>
            <w:tcW w:w="880" w:type="pct"/>
          </w:tcPr>
          <w:p w:rsidR="007E2E9E" w:rsidRPr="00612322" w:rsidRDefault="007E2E9E" w:rsidP="00612322">
            <w:pPr>
              <w:pStyle w:val="TCH"/>
              <w:rPr>
                <w:b/>
                <w:bCs/>
                <w:i/>
              </w:rPr>
            </w:pPr>
            <w:r w:rsidRPr="00612322">
              <w:rPr>
                <w:bCs/>
                <w:i/>
              </w:rPr>
              <w:t>SE</w:t>
            </w:r>
          </w:p>
        </w:tc>
        <w:tc>
          <w:tcPr>
            <w:tcW w:w="926" w:type="pct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IRR</w:t>
            </w:r>
          </w:p>
        </w:tc>
        <w:tc>
          <w:tcPr>
            <w:tcW w:w="1021" w:type="pct"/>
          </w:tcPr>
          <w:p w:rsidR="007E2E9E" w:rsidRPr="00612322" w:rsidRDefault="007E2E9E" w:rsidP="00612322">
            <w:pPr>
              <w:pStyle w:val="TCH"/>
              <w:rPr>
                <w:i/>
                <w:szCs w:val="22"/>
              </w:rPr>
            </w:pPr>
            <w:r w:rsidRPr="00612322">
              <w:rPr>
                <w:i/>
              </w:rPr>
              <w:t>SE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Work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rPr>
                <w:color w:val="000000"/>
              </w:rPr>
              <w:t xml:space="preserve"> 1.32*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0.18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  <w:rPr>
                <w:b/>
              </w:rPr>
            </w:pPr>
            <w:r w:rsidRPr="00612322">
              <w:t>1.08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t>0.06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>satisfaction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rPr>
                <w:color w:val="000000"/>
              </w:rPr>
              <w:t>0.96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0.04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t>0.98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t>0.02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t>(decile)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rPr>
                <w:i/>
              </w:rPr>
              <w:t>N</w:t>
            </w:r>
            <w:r w:rsidRPr="00612322">
              <w:t xml:space="preserve"> (NT)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1,167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(3,647)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  <w:rPr>
                <w:b/>
              </w:rPr>
            </w:pPr>
            <w:r w:rsidRPr="00612322">
              <w:t>1,195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  <w:rPr>
                <w:b/>
              </w:rPr>
            </w:pPr>
            <w:r w:rsidRPr="00612322">
              <w:t>(48,729)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Section 2</w:t>
            </w:r>
          </w:p>
        </w:tc>
        <w:tc>
          <w:tcPr>
            <w:tcW w:w="1482" w:type="pct"/>
            <w:gridSpan w:val="2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81631B">
              <w:t>Work only</w:t>
            </w:r>
          </w:p>
        </w:tc>
        <w:tc>
          <w:tcPr>
            <w:tcW w:w="1947" w:type="pct"/>
            <w:gridSpan w:val="2"/>
          </w:tcPr>
          <w:p w:rsidR="007E2E9E" w:rsidRPr="00612322" w:rsidRDefault="007E2E9E" w:rsidP="00612322">
            <w:pPr>
              <w:pStyle w:val="TT"/>
            </w:pPr>
            <w:r w:rsidRPr="00612322">
              <w:t xml:space="preserve">Work </w:t>
            </w:r>
            <w:r w:rsidRPr="0081631B">
              <w:t>only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>satisfaction continuous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Variable</w:t>
            </w:r>
          </w:p>
        </w:tc>
        <w:tc>
          <w:tcPr>
            <w:tcW w:w="602" w:type="pct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612322">
              <w:t>IRR</w:t>
            </w:r>
          </w:p>
        </w:tc>
        <w:tc>
          <w:tcPr>
            <w:tcW w:w="880" w:type="pct"/>
          </w:tcPr>
          <w:p w:rsidR="007E2E9E" w:rsidRPr="00612322" w:rsidRDefault="007E2E9E" w:rsidP="00612322">
            <w:pPr>
              <w:pStyle w:val="TT"/>
              <w:rPr>
                <w:i/>
                <w:color w:val="000000"/>
              </w:rPr>
            </w:pPr>
            <w:r w:rsidRPr="00612322">
              <w:rPr>
                <w:i/>
              </w:rPr>
              <w:t>SE</w:t>
            </w:r>
          </w:p>
        </w:tc>
        <w:tc>
          <w:tcPr>
            <w:tcW w:w="926" w:type="pct"/>
          </w:tcPr>
          <w:p w:rsidR="007E2E9E" w:rsidRPr="009C48FC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1021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Work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>satisfaction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0.96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.05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t>(continuous)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0.97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0.07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rPr>
                <w:i/>
              </w:rPr>
              <w:t>N</w:t>
            </w:r>
            <w:r w:rsidRPr="00612322">
              <w:t xml:space="preserve"> (NT)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839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(2,002)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839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(2,002)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9C48FC">
              <w:t xml:space="preserve">Section </w:t>
            </w:r>
            <w:r w:rsidRPr="00612322">
              <w:t>3</w:t>
            </w:r>
          </w:p>
        </w:tc>
        <w:tc>
          <w:tcPr>
            <w:tcW w:w="1482" w:type="pct"/>
            <w:gridSpan w:val="2"/>
          </w:tcPr>
          <w:p w:rsidR="007E2E9E" w:rsidRPr="00612322" w:rsidRDefault="007E2E9E" w:rsidP="00612322">
            <w:pPr>
              <w:pStyle w:val="TT"/>
            </w:pPr>
            <w:r w:rsidRPr="00612322">
              <w:t xml:space="preserve">Job </w:t>
            </w:r>
            <w:r w:rsidRPr="0081631B">
              <w:t>satisfaction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Decile </w:t>
            </w:r>
            <w:r w:rsidRPr="0081631B">
              <w:t>measure</w:t>
            </w:r>
          </w:p>
        </w:tc>
        <w:tc>
          <w:tcPr>
            <w:tcW w:w="1947" w:type="pct"/>
            <w:gridSpan w:val="2"/>
          </w:tcPr>
          <w:p w:rsidR="007E2E9E" w:rsidRPr="00612322" w:rsidRDefault="007E2E9E" w:rsidP="00612322">
            <w:pPr>
              <w:pStyle w:val="TT"/>
            </w:pPr>
            <w:r w:rsidRPr="00612322">
              <w:t xml:space="preserve">Job </w:t>
            </w:r>
            <w:r w:rsidRPr="0081631B">
              <w:t>satisfaction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Quintile </w:t>
            </w:r>
            <w:r w:rsidRPr="004A3F7A">
              <w:t>indicator</w:t>
            </w:r>
            <w:r w:rsidRPr="00612322">
              <w:t xml:space="preserve">s </w:t>
            </w:r>
            <w:r w:rsidRPr="004A3F7A">
              <w:rPr>
                <w:color w:val="0000FF"/>
                <w:vertAlign w:val="superscript"/>
              </w:rPr>
              <w:t>a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Variable</w:t>
            </w:r>
          </w:p>
        </w:tc>
        <w:tc>
          <w:tcPr>
            <w:tcW w:w="602" w:type="pct"/>
          </w:tcPr>
          <w:p w:rsidR="007E2E9E" w:rsidRPr="00612322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880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  <w:tc>
          <w:tcPr>
            <w:tcW w:w="926" w:type="pct"/>
          </w:tcPr>
          <w:p w:rsidR="007E2E9E" w:rsidRPr="00612322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1021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lastRenderedPageBreak/>
              <w:t>Work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rPr>
                <w:color w:val="000000"/>
              </w:rPr>
              <w:t xml:space="preserve"> 1.42* 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t>0.21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 xml:space="preserve"> 1.38*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0.21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>satisfaction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t>(</w:t>
            </w:r>
            <w:r>
              <w:t>seco</w:t>
            </w:r>
            <w:r w:rsidRPr="00612322">
              <w:rPr>
                <w:szCs w:val="22"/>
              </w:rPr>
              <w:t xml:space="preserve">nd </w:t>
            </w:r>
            <w:r w:rsidRPr="00612322">
              <w:t>quintile)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1.01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0.16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rPr>
                <w:szCs w:val="22"/>
              </w:rPr>
              <w:t>(</w:t>
            </w:r>
            <w:r>
              <w:t>thi</w:t>
            </w:r>
            <w:r w:rsidRPr="00612322">
              <w:rPr>
                <w:szCs w:val="22"/>
              </w:rPr>
              <w:t>rd</w:t>
            </w:r>
            <w:r w:rsidRPr="00612322">
              <w:t xml:space="preserve"> quintile)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0.90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0.15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t>(</w:t>
            </w:r>
            <w:r>
              <w:t>four</w:t>
            </w:r>
            <w:r w:rsidRPr="00612322">
              <w:rPr>
                <w:szCs w:val="22"/>
              </w:rPr>
              <w:t xml:space="preserve">th </w:t>
            </w:r>
            <w:r w:rsidRPr="00612322">
              <w:t>quintile)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0.92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0.17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rPr>
                <w:szCs w:val="22"/>
              </w:rPr>
              <w:t>(</w:t>
            </w:r>
            <w:r>
              <w:t>fif</w:t>
            </w:r>
            <w:r w:rsidRPr="00612322">
              <w:rPr>
                <w:szCs w:val="22"/>
              </w:rPr>
              <w:t>th</w:t>
            </w:r>
            <w:r w:rsidRPr="00612322">
              <w:t xml:space="preserve"> quintile)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0.81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0.16</w:t>
            </w:r>
          </w:p>
        </w:tc>
      </w:tr>
      <w:tr w:rsidR="007E2E9E" w:rsidRPr="0039767B" w:rsidTr="00612322">
        <w:trPr>
          <w:trHeight w:val="11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 xml:space="preserve">satisfaction </w:t>
            </w:r>
            <w:r w:rsidRPr="00612322">
              <w:t>(decile)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t>0.99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t>0.02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>
              <w:t>—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rPr>
                <w:i/>
              </w:rPr>
              <w:t>N</w:t>
            </w:r>
            <w:r w:rsidRPr="00612322">
              <w:t xml:space="preserve"> (NT)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t>1,195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t>(4,066)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t>1,195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t>(4,066)</w:t>
            </w:r>
          </w:p>
        </w:tc>
      </w:tr>
      <w:tr w:rsidR="007E2E9E" w:rsidRPr="0039767B" w:rsidTr="00612322">
        <w:trPr>
          <w:trHeight w:val="572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  <w:rPr>
                <w:szCs w:val="22"/>
              </w:rPr>
            </w:pPr>
            <w:r w:rsidRPr="0081631B">
              <w:t>Section 4</w:t>
            </w:r>
          </w:p>
        </w:tc>
        <w:tc>
          <w:tcPr>
            <w:tcW w:w="1482" w:type="pct"/>
            <w:gridSpan w:val="2"/>
          </w:tcPr>
          <w:p w:rsidR="007E2E9E" w:rsidRPr="00612322" w:rsidRDefault="007E2E9E" w:rsidP="00612322">
            <w:pPr>
              <w:pStyle w:val="TT"/>
              <w:rPr>
                <w:szCs w:val="22"/>
              </w:rPr>
            </w:pPr>
            <w:r w:rsidRPr="00612322">
              <w:rPr>
                <w:szCs w:val="22"/>
              </w:rPr>
              <w:t xml:space="preserve">All </w:t>
            </w:r>
            <w:r w:rsidRPr="0081631B">
              <w:t>crime</w:t>
            </w:r>
          </w:p>
          <w:p w:rsidR="007E2E9E" w:rsidRPr="00612322" w:rsidRDefault="007E2E9E" w:rsidP="00612322">
            <w:pPr>
              <w:pStyle w:val="TT"/>
              <w:spacing w:after="200"/>
              <w:rPr>
                <w:szCs w:val="22"/>
              </w:rPr>
            </w:pPr>
            <w:r w:rsidRPr="00612322">
              <w:t>Frequency</w:t>
            </w:r>
          </w:p>
        </w:tc>
        <w:tc>
          <w:tcPr>
            <w:tcW w:w="1947" w:type="pct"/>
            <w:gridSpan w:val="2"/>
          </w:tcPr>
          <w:p w:rsidR="007E2E9E" w:rsidRPr="00612322" w:rsidRDefault="007E2E9E" w:rsidP="00612322">
            <w:pPr>
              <w:pStyle w:val="TT"/>
              <w:rPr>
                <w:szCs w:val="22"/>
              </w:rPr>
            </w:pPr>
            <w:r w:rsidRPr="00612322">
              <w:t xml:space="preserve">Property </w:t>
            </w:r>
            <w:r w:rsidRPr="0081631B">
              <w:t>crime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Variety 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Variable</w:t>
            </w:r>
          </w:p>
        </w:tc>
        <w:tc>
          <w:tcPr>
            <w:tcW w:w="602" w:type="pct"/>
          </w:tcPr>
          <w:p w:rsidR="007E2E9E" w:rsidRPr="009C48FC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880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  <w:tc>
          <w:tcPr>
            <w:tcW w:w="926" w:type="pct"/>
          </w:tcPr>
          <w:p w:rsidR="007E2E9E" w:rsidRPr="009C48FC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1021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Work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1.28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0.20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 xml:space="preserve"> 1.69**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0.30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81631B">
              <w:t>satisfaction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</w:pPr>
            <w:r w:rsidRPr="00612322">
              <w:rPr>
                <w:color w:val="000000"/>
              </w:rPr>
              <w:t>0.95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0.05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0.97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0.05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612322">
              <w:rPr>
                <w:i/>
              </w:rPr>
              <w:t>N</w:t>
            </w:r>
            <w:r>
              <w:t xml:space="preserve"> </w:t>
            </w:r>
            <w:r w:rsidRPr="00612322">
              <w:t xml:space="preserve">(NT) </w:t>
            </w:r>
            <w:hyperlink w:anchor="HueD_note2" w:history="1">
              <w:r>
                <w:rPr>
                  <w:rStyle w:val="Hyperlink"/>
                  <w:color w:val="0000FF"/>
                  <w:highlight w:val="yellow"/>
                  <w:vertAlign w:val="superscript"/>
                </w:rPr>
                <w:t>b</w:t>
              </w:r>
            </w:hyperlink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1,193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(4,058)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1,194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(4,063)</w:t>
            </w:r>
          </w:p>
        </w:tc>
      </w:tr>
      <w:tr w:rsidR="007E2E9E" w:rsidRPr="0039767B" w:rsidTr="00612322">
        <w:trPr>
          <w:trHeight w:val="662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81631B">
              <w:t>Section 5</w:t>
            </w:r>
          </w:p>
        </w:tc>
        <w:tc>
          <w:tcPr>
            <w:tcW w:w="1482" w:type="pct"/>
            <w:gridSpan w:val="2"/>
          </w:tcPr>
          <w:p w:rsidR="007E2E9E" w:rsidRPr="00612322" w:rsidRDefault="007E2E9E" w:rsidP="00612322">
            <w:pPr>
              <w:pStyle w:val="TT"/>
            </w:pPr>
            <w:r w:rsidRPr="00612322">
              <w:t xml:space="preserve">Violent </w:t>
            </w:r>
            <w:r w:rsidRPr="0081631B">
              <w:t>crime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Variety</w:t>
            </w:r>
          </w:p>
        </w:tc>
        <w:tc>
          <w:tcPr>
            <w:tcW w:w="1947" w:type="pct"/>
            <w:gridSpan w:val="2"/>
          </w:tcPr>
          <w:p w:rsidR="007E2E9E" w:rsidRPr="00612322" w:rsidRDefault="007E2E9E" w:rsidP="00612322">
            <w:pPr>
              <w:pStyle w:val="TT"/>
            </w:pPr>
            <w:r w:rsidRPr="00612322">
              <w:t xml:space="preserve">Drug </w:t>
            </w:r>
            <w:r w:rsidRPr="0081631B">
              <w:t>crime</w:t>
            </w:r>
          </w:p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Variety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Variable</w:t>
            </w:r>
          </w:p>
        </w:tc>
        <w:tc>
          <w:tcPr>
            <w:tcW w:w="602" w:type="pct"/>
          </w:tcPr>
          <w:p w:rsidR="007E2E9E" w:rsidRPr="00612322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880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  <w:tc>
          <w:tcPr>
            <w:tcW w:w="926" w:type="pct"/>
          </w:tcPr>
          <w:p w:rsidR="007E2E9E" w:rsidRPr="00612322" w:rsidRDefault="007E2E9E" w:rsidP="00612322">
            <w:pPr>
              <w:pStyle w:val="TT"/>
            </w:pPr>
            <w:r w:rsidRPr="00612322">
              <w:t>IRR</w:t>
            </w:r>
          </w:p>
        </w:tc>
        <w:tc>
          <w:tcPr>
            <w:tcW w:w="1021" w:type="pct"/>
          </w:tcPr>
          <w:p w:rsidR="007E2E9E" w:rsidRPr="00612322" w:rsidRDefault="007E2E9E" w:rsidP="00612322">
            <w:pPr>
              <w:pStyle w:val="TT"/>
              <w:rPr>
                <w:i/>
              </w:rPr>
            </w:pPr>
            <w:r w:rsidRPr="00612322">
              <w:rPr>
                <w:i/>
              </w:rPr>
              <w:t>SE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Work</w:t>
            </w:r>
          </w:p>
        </w:tc>
        <w:tc>
          <w:tcPr>
            <w:tcW w:w="602" w:type="pct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0.89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0.23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 xml:space="preserve"> 1.45*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  <w:rPr>
                <w:color w:val="000000"/>
              </w:rPr>
            </w:pPr>
            <w:r w:rsidRPr="00612322">
              <w:rPr>
                <w:color w:val="000000"/>
              </w:rPr>
              <w:t>0.26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lastRenderedPageBreak/>
              <w:t xml:space="preserve">Job </w:t>
            </w:r>
            <w:r w:rsidRPr="0081631B">
              <w:t>satisfaction</w:t>
            </w:r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1.01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0.08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 xml:space="preserve"> 0.91</w:t>
            </w:r>
            <w:r w:rsidRPr="00612322">
              <w:rPr>
                <w:color w:val="54545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0.05</w:t>
            </w:r>
          </w:p>
        </w:tc>
      </w:tr>
      <w:tr w:rsidR="007E2E9E" w:rsidRPr="0039767B" w:rsidTr="00612322">
        <w:trPr>
          <w:trHeight w:val="68"/>
        </w:trPr>
        <w:tc>
          <w:tcPr>
            <w:tcW w:w="1435" w:type="pct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612322">
              <w:rPr>
                <w:i/>
              </w:rPr>
              <w:t>N</w:t>
            </w:r>
            <w:r>
              <w:t xml:space="preserve"> </w:t>
            </w:r>
            <w:r w:rsidRPr="00612322">
              <w:t xml:space="preserve">(NT) </w:t>
            </w:r>
            <w:hyperlink w:anchor="HueD_note2" w:history="1">
              <w:r w:rsidRPr="00612322">
                <w:rPr>
                  <w:rStyle w:val="Hyperlink"/>
                  <w:color w:val="0000FF"/>
                  <w:vertAlign w:val="superscript"/>
                </w:rPr>
                <w:t>2</w:t>
              </w:r>
            </w:hyperlink>
          </w:p>
        </w:tc>
        <w:tc>
          <w:tcPr>
            <w:tcW w:w="602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1,195</w:t>
            </w:r>
          </w:p>
        </w:tc>
        <w:tc>
          <w:tcPr>
            <w:tcW w:w="880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(4,066)</w:t>
            </w:r>
          </w:p>
        </w:tc>
        <w:tc>
          <w:tcPr>
            <w:tcW w:w="926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1,194</w:t>
            </w:r>
          </w:p>
        </w:tc>
        <w:tc>
          <w:tcPr>
            <w:tcW w:w="1021" w:type="pct"/>
          </w:tcPr>
          <w:p w:rsidR="007E2E9E" w:rsidRPr="001F28C6" w:rsidRDefault="007E2E9E" w:rsidP="00612322">
            <w:pPr>
              <w:pStyle w:val="TT"/>
            </w:pPr>
            <w:r w:rsidRPr="00612322">
              <w:rPr>
                <w:color w:val="000000"/>
              </w:rPr>
              <w:t>(4,061)</w:t>
            </w:r>
          </w:p>
        </w:tc>
      </w:tr>
    </w:tbl>
    <w:p w:rsidR="007E2E9E" w:rsidRDefault="007E2E9E" w:rsidP="007E2E9E">
      <w:pPr>
        <w:pStyle w:val="CPSO"/>
        <w:framePr w:hSpace="180" w:wrap="around" w:vAnchor="text" w:hAnchor="margin" w:y="81"/>
      </w:pPr>
      <w:r w:rsidRPr="00612322">
        <w:rPr>
          <w:i/>
        </w:rPr>
        <w:t>Note</w:t>
      </w:r>
      <w:r>
        <w:t xml:space="preserve">. </w:t>
      </w:r>
      <w:r w:rsidRPr="00612322">
        <w:t>All hypothesis tests are two-tailed; All models (with the exception of monthly</w:t>
      </w:r>
      <w:r>
        <w:t xml:space="preserve"> </w:t>
      </w:r>
      <w:r w:rsidRPr="00612322">
        <w:t>level analysis) are fully specified with control variables omitted from output; Coefficients are incident rate ratios (IRR) computed (</w:t>
      </w:r>
      <w:r w:rsidRPr="00612322">
        <w:rPr>
          <w:i/>
        </w:rPr>
        <w:t>e</w:t>
      </w:r>
      <w:r w:rsidRPr="00612322">
        <w:rPr>
          <w:i/>
          <w:vertAlign w:val="superscript"/>
        </w:rPr>
        <w:t>B</w:t>
      </w:r>
      <w:r w:rsidRPr="00612322">
        <w:t>); Estimates rely on only within-individual variation</w:t>
      </w:r>
      <w:r>
        <w:t>.</w:t>
      </w:r>
    </w:p>
    <w:p w:rsidR="007E2E9E" w:rsidRDefault="007E2E9E" w:rsidP="007E2E9E">
      <w:pPr>
        <w:pStyle w:val="CPSO"/>
        <w:framePr w:hSpace="180" w:wrap="around" w:vAnchor="text" w:hAnchor="margin" w:y="81"/>
      </w:pPr>
      <w:proofErr w:type="gramStart"/>
      <w:r w:rsidRPr="00612322">
        <w:rPr>
          <w:vertAlign w:val="superscript"/>
        </w:rPr>
        <w:t>a</w:t>
      </w:r>
      <w:proofErr w:type="gramEnd"/>
      <w:r>
        <w:t xml:space="preserve"> </w:t>
      </w:r>
      <w:r w:rsidRPr="00612322">
        <w:t xml:space="preserve">The </w:t>
      </w:r>
      <w:r>
        <w:t>first</w:t>
      </w:r>
      <w:r w:rsidRPr="00612322">
        <w:t xml:space="preserve"> quintile (indicating the lowest job satisfaction) is the reference category. </w:t>
      </w:r>
      <w:proofErr w:type="gramStart"/>
      <w:r w:rsidRPr="00612322">
        <w:rPr>
          <w:vertAlign w:val="superscript"/>
        </w:rPr>
        <w:t>b</w:t>
      </w:r>
      <w:proofErr w:type="gramEnd"/>
      <w:r>
        <w:t xml:space="preserve"> </w:t>
      </w:r>
      <w:r w:rsidRPr="00612322">
        <w:t>Sample sizes are not consistent because of a greater number of missing observations on the frequency measures relative to the variety outcome, and a greater number of missing on some outcomes relative to others.</w:t>
      </w:r>
    </w:p>
    <w:p w:rsidR="007E2E9E" w:rsidRDefault="007E2E9E" w:rsidP="007E2E9E">
      <w:pPr>
        <w:pStyle w:val="CPSO"/>
        <w:framePr w:hSpace="180" w:wrap="around" w:vAnchor="text" w:hAnchor="margin" w:y="81"/>
      </w:pPr>
      <w:proofErr w:type="gramStart"/>
      <w:r w:rsidRPr="0045277D">
        <w:rPr>
          <w:color w:val="545454"/>
          <w:shd w:val="clear" w:color="auto" w:fill="FFFFFF"/>
          <w:vertAlign w:val="superscript"/>
        </w:rPr>
        <w:t>†</w:t>
      </w:r>
      <w:r w:rsidRPr="0045277D">
        <w:rPr>
          <w:i/>
        </w:rPr>
        <w:t>p</w:t>
      </w:r>
      <w:r w:rsidRPr="0081631B">
        <w:t xml:space="preserve"> ≤ .</w:t>
      </w:r>
      <w:r>
        <w:t>10.</w:t>
      </w:r>
      <w:proofErr w:type="gramEnd"/>
      <w:r>
        <w:t xml:space="preserve"> </w:t>
      </w:r>
      <w:proofErr w:type="gramStart"/>
      <w:r w:rsidRPr="00612322">
        <w:t>*</w:t>
      </w:r>
      <w:r w:rsidRPr="0045277D">
        <w:rPr>
          <w:i/>
        </w:rPr>
        <w:t>p</w:t>
      </w:r>
      <w:r w:rsidRPr="0081631B">
        <w:t xml:space="preserve"> </w:t>
      </w:r>
      <w:r w:rsidRPr="0045277D">
        <w:t>≤ .</w:t>
      </w:r>
      <w:r>
        <w:t>05.</w:t>
      </w:r>
      <w:proofErr w:type="gramEnd"/>
      <w:r>
        <w:t xml:space="preserve"> </w:t>
      </w:r>
      <w:proofErr w:type="gramStart"/>
      <w:r>
        <w:t>**</w:t>
      </w:r>
      <w:r w:rsidRPr="00612322">
        <w:rPr>
          <w:i/>
        </w:rPr>
        <w:t>p</w:t>
      </w:r>
      <w:r w:rsidRPr="0081631B">
        <w:t xml:space="preserve"> </w:t>
      </w:r>
      <w:r w:rsidRPr="0045277D">
        <w:t>≤ .</w:t>
      </w:r>
      <w:r>
        <w:t>01.</w:t>
      </w:r>
      <w:proofErr w:type="gramEnd"/>
      <w:r>
        <w:t xml:space="preserve"> </w:t>
      </w:r>
      <w:proofErr w:type="gramStart"/>
      <w:r>
        <w:t>***</w:t>
      </w:r>
      <w:r w:rsidRPr="00612322">
        <w:rPr>
          <w:i/>
        </w:rPr>
        <w:t>p</w:t>
      </w:r>
      <w:r w:rsidRPr="0081631B">
        <w:t xml:space="preserve"> </w:t>
      </w:r>
      <w:r w:rsidRPr="0045277D">
        <w:t>≤</w:t>
      </w:r>
      <w:r>
        <w:t xml:space="preserve"> .001.</w:t>
      </w:r>
      <w:proofErr w:type="gramEnd"/>
    </w:p>
    <w:p w:rsidR="007E2E9E" w:rsidRPr="0039767B" w:rsidRDefault="007E2E9E" w:rsidP="007E2E9E">
      <w:pPr>
        <w:pStyle w:val="CP"/>
        <w:rPr>
          <w:highlight w:val="red"/>
        </w:rPr>
      </w:pPr>
      <w:r w:rsidRPr="0039767B">
        <w:rPr>
          <w:rStyle w:val="CPBChar"/>
          <w:rFonts w:ascii="Times New Roman" w:hAnsi="Times New Roman"/>
        </w:rPr>
        <w:t>Table A3.</w:t>
      </w:r>
      <w:r w:rsidRPr="00612322">
        <w:t xml:space="preserve"> </w:t>
      </w:r>
      <w:proofErr w:type="gramStart"/>
      <w:r w:rsidRPr="00612322">
        <w:t>Hybrid Model of Self-Reported Offending, Work, and Job Quality.</w:t>
      </w:r>
      <w:proofErr w:type="gramEnd"/>
    </w:p>
    <w:tbl>
      <w:tblPr>
        <w:tblStyle w:val="TableGrid"/>
        <w:tblpPr w:leftFromText="180" w:rightFromText="180" w:vertAnchor="text" w:horzAnchor="margin" w:tblpY="81"/>
        <w:tblW w:w="6543" w:type="pct"/>
        <w:tblLook w:val="04A0" w:firstRow="1" w:lastRow="0" w:firstColumn="1" w:lastColumn="0" w:noHBand="0" w:noVBand="1"/>
      </w:tblPr>
      <w:tblGrid>
        <w:gridCol w:w="5151"/>
        <w:gridCol w:w="2066"/>
        <w:gridCol w:w="1530"/>
        <w:gridCol w:w="3784"/>
      </w:tblGrid>
      <w:tr w:rsidR="007E2E9E" w:rsidRPr="0039767B" w:rsidTr="00612322">
        <w:trPr>
          <w:trHeight w:val="498"/>
        </w:trPr>
        <w:tc>
          <w:tcPr>
            <w:tcW w:w="1586" w:type="pct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</w:p>
        </w:tc>
        <w:tc>
          <w:tcPr>
            <w:tcW w:w="2272" w:type="pct"/>
            <w:gridSpan w:val="3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 xml:space="preserve">Full Specification </w:t>
            </w:r>
            <w:r w:rsidRPr="004A3F7A">
              <w:rPr>
                <w:bCs/>
              </w:rPr>
              <w:t>W</w:t>
            </w:r>
            <w:r w:rsidRPr="00612322">
              <w:rPr>
                <w:bCs/>
              </w:rPr>
              <w:t>ith</w:t>
            </w:r>
            <w:r w:rsidRPr="004A3F7A">
              <w:rPr>
                <w:bCs/>
              </w:rPr>
              <w:t xml:space="preserve"> </w:t>
            </w:r>
            <w:r w:rsidRPr="00612322">
              <w:rPr>
                <w:bCs/>
              </w:rPr>
              <w:t>Additional Covariates Included</w:t>
            </w:r>
          </w:p>
        </w:tc>
      </w:tr>
      <w:tr w:rsidR="007E2E9E" w:rsidRPr="0039767B" w:rsidTr="00612322">
        <w:trPr>
          <w:trHeight w:val="109"/>
        </w:trPr>
        <w:tc>
          <w:tcPr>
            <w:tcW w:w="1586" w:type="pct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  <w:r w:rsidRPr="00612322">
              <w:rPr>
                <w:bCs/>
              </w:rPr>
              <w:t>Variable</w:t>
            </w:r>
          </w:p>
        </w:tc>
        <w:tc>
          <w:tcPr>
            <w:tcW w:w="636" w:type="pct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IRR</w:t>
            </w:r>
          </w:p>
        </w:tc>
        <w:tc>
          <w:tcPr>
            <w:tcW w:w="471" w:type="pct"/>
          </w:tcPr>
          <w:p w:rsidR="007E2E9E" w:rsidRPr="00612322" w:rsidRDefault="007E2E9E" w:rsidP="00612322">
            <w:pPr>
              <w:pStyle w:val="TCH"/>
              <w:rPr>
                <w:bCs/>
                <w:i/>
              </w:rPr>
            </w:pPr>
            <w:r w:rsidRPr="00612322">
              <w:rPr>
                <w:bCs/>
                <w:i/>
              </w:rPr>
              <w:t>SE</w:t>
            </w:r>
          </w:p>
        </w:tc>
        <w:tc>
          <w:tcPr>
            <w:tcW w:w="1165" w:type="pct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95</w:t>
            </w:r>
            <w:r w:rsidRPr="006A067F">
              <w:t xml:space="preserve"> Percent</w:t>
            </w:r>
            <w:r w:rsidRPr="00612322" w:rsidDel="00676DB9">
              <w:rPr>
                <w:bCs/>
              </w:rPr>
              <w:t xml:space="preserve"> </w:t>
            </w:r>
            <w:r w:rsidRPr="00612322">
              <w:rPr>
                <w:bCs/>
              </w:rPr>
              <w:t>CI</w:t>
            </w:r>
          </w:p>
        </w:tc>
      </w:tr>
      <w:tr w:rsidR="007E2E9E" w:rsidRPr="0039767B" w:rsidTr="00612322">
        <w:trPr>
          <w:trHeight w:val="117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Work</w:t>
            </w:r>
          </w:p>
        </w:tc>
        <w:tc>
          <w:tcPr>
            <w:tcW w:w="636" w:type="pct"/>
          </w:tcPr>
          <w:p w:rsidR="007E2E9E" w:rsidRPr="001F28C6" w:rsidRDefault="007E2E9E" w:rsidP="00612322">
            <w:pPr>
              <w:pStyle w:val="TT"/>
            </w:pPr>
            <w:r w:rsidRPr="00612322">
              <w:t>1.25</w:t>
            </w:r>
            <w:r w:rsidRPr="00612322">
              <w:rPr>
                <w:vertAlign w:val="superscript"/>
              </w:rPr>
              <w:t>†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17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(0.96, 1.64)</w:t>
            </w:r>
          </w:p>
        </w:tc>
      </w:tr>
      <w:tr w:rsidR="007E2E9E" w:rsidRPr="0039767B" w:rsidTr="00612322">
        <w:trPr>
          <w:trHeight w:val="117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Job </w:t>
            </w:r>
            <w:r w:rsidRPr="006A067F">
              <w:t>satisfaction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0.96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04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(0.88, 1.04)</w:t>
            </w:r>
          </w:p>
        </w:tc>
      </w:tr>
      <w:tr w:rsidR="007E2E9E" w:rsidRPr="0039767B" w:rsidTr="00612322">
        <w:trPr>
          <w:trHeight w:val="117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Time </w:t>
            </w:r>
            <w:r w:rsidRPr="006A067F">
              <w:t>employed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0.52***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10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(0.35, 0.76)</w:t>
            </w:r>
          </w:p>
        </w:tc>
      </w:tr>
      <w:tr w:rsidR="007E2E9E" w:rsidRPr="0039767B" w:rsidTr="00612322">
        <w:trPr>
          <w:trHeight w:val="117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Certainty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0.95***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01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(0.92, 0.98)</w:t>
            </w:r>
          </w:p>
        </w:tc>
      </w:tr>
      <w:tr w:rsidR="007E2E9E" w:rsidRPr="0039767B" w:rsidTr="00612322">
        <w:trPr>
          <w:trHeight w:val="117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Social </w:t>
            </w:r>
            <w:r w:rsidRPr="006A067F">
              <w:t>cost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1.07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05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(0.97, 1.17)</w:t>
            </w:r>
          </w:p>
        </w:tc>
      </w:tr>
      <w:tr w:rsidR="007E2E9E" w:rsidRPr="0039767B" w:rsidTr="00612322">
        <w:trPr>
          <w:trHeight w:val="45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Personal </w:t>
            </w:r>
            <w:r w:rsidRPr="006A067F">
              <w:t>rewards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1.10***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02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(1.06, 1.15)</w:t>
            </w:r>
          </w:p>
        </w:tc>
      </w:tr>
      <w:tr w:rsidR="007E2E9E" w:rsidRPr="0039767B" w:rsidTr="00612322">
        <w:trPr>
          <w:trHeight w:val="30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Social </w:t>
            </w:r>
            <w:r w:rsidRPr="006A067F">
              <w:t>rewards</w:t>
            </w:r>
          </w:p>
        </w:tc>
        <w:tc>
          <w:tcPr>
            <w:tcW w:w="636" w:type="pct"/>
          </w:tcPr>
          <w:p w:rsidR="007E2E9E" w:rsidRPr="001F28C6" w:rsidRDefault="007E2E9E" w:rsidP="00612322">
            <w:pPr>
              <w:pStyle w:val="TT"/>
            </w:pPr>
            <w:r w:rsidRPr="00612322">
              <w:t xml:space="preserve"> 1.86***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18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(1.54, 2.24)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Illegal </w:t>
            </w:r>
            <w:r w:rsidRPr="004A3F7A">
              <w:t xml:space="preserve">earnings </w:t>
            </w:r>
            <w:r w:rsidRPr="00612322">
              <w:t>(</w:t>
            </w:r>
            <w:r w:rsidRPr="00612322">
              <w:rPr>
                <w:color w:val="000000"/>
              </w:rPr>
              <w:t>US</w:t>
            </w:r>
            <w:r w:rsidRPr="00612322">
              <w:t>$10,000/yr)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1.03**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01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(1.01, 1.05)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Other </w:t>
            </w:r>
            <w:r w:rsidRPr="006A067F">
              <w:t>income sources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0.97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06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(0.86, 1.10)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Work </w:t>
            </w:r>
            <w:r w:rsidRPr="006A067F">
              <w:t>opportunities</w:t>
            </w:r>
          </w:p>
        </w:tc>
        <w:tc>
          <w:tcPr>
            <w:tcW w:w="636" w:type="pct"/>
          </w:tcPr>
          <w:p w:rsidR="007E2E9E" w:rsidRPr="001F28C6" w:rsidRDefault="007E2E9E" w:rsidP="00612322">
            <w:pPr>
              <w:pStyle w:val="TT"/>
            </w:pPr>
            <w:r w:rsidRPr="00612322">
              <w:t xml:space="preserve"> 1.31***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06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(1.19, 1.44)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Financial </w:t>
            </w:r>
            <w:r w:rsidRPr="006A067F">
              <w:t>responsibility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1.01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02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(0.98, 1.05)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Romantic </w:t>
            </w:r>
            <w:r w:rsidRPr="006A067F">
              <w:t>relationship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1.54*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29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(1.06, 2.23)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lastRenderedPageBreak/>
              <w:t xml:space="preserve">Relationship </w:t>
            </w:r>
            <w:r w:rsidRPr="006A067F">
              <w:t>quality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0.95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06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(0.84, 1.07)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Expecting a </w:t>
            </w:r>
            <w:r w:rsidRPr="006A067F">
              <w:t>child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1.10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13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(0.87, 1.38)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Number of </w:t>
            </w:r>
            <w:r w:rsidRPr="006A067F">
              <w:t>children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1.05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08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(0.92, 1.21)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Education </w:t>
            </w:r>
            <w:r w:rsidRPr="006A067F">
              <w:t>level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0.84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14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(0.61, 1.15)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1F28C6" w:rsidRDefault="007E2E9E" w:rsidP="00612322">
            <w:pPr>
              <w:pStyle w:val="TT"/>
            </w:pPr>
            <w:r w:rsidRPr="00612322">
              <w:t xml:space="preserve">Enrolled in </w:t>
            </w:r>
            <w:r w:rsidRPr="006A067F">
              <w:t>school</w:t>
            </w:r>
          </w:p>
        </w:tc>
        <w:tc>
          <w:tcPr>
            <w:tcW w:w="636" w:type="pct"/>
          </w:tcPr>
          <w:p w:rsidR="007E2E9E" w:rsidRPr="0001259A" w:rsidRDefault="007E2E9E" w:rsidP="00612322">
            <w:pPr>
              <w:pStyle w:val="TT"/>
            </w:pPr>
            <w:r w:rsidRPr="0001259A">
              <w:t>1.08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09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(0.91, 1.28)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Priors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0.92**</w:t>
            </w:r>
          </w:p>
        </w:tc>
        <w:tc>
          <w:tcPr>
            <w:tcW w:w="471" w:type="pct"/>
          </w:tcPr>
          <w:p w:rsidR="007E2E9E" w:rsidRPr="0039767B" w:rsidRDefault="007E2E9E" w:rsidP="00612322">
            <w:pPr>
              <w:pStyle w:val="TT"/>
            </w:pPr>
            <w:r>
              <w:t>.</w:t>
            </w:r>
            <w:r w:rsidRPr="00612322">
              <w:t>03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(0.86, 0.98)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Criminal </w:t>
            </w:r>
            <w:r w:rsidRPr="006A067F">
              <w:t>record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1.01</w:t>
            </w:r>
          </w:p>
        </w:tc>
        <w:tc>
          <w:tcPr>
            <w:tcW w:w="471" w:type="pct"/>
          </w:tcPr>
          <w:p w:rsidR="007E2E9E" w:rsidRPr="0039767B" w:rsidRDefault="007E2E9E" w:rsidP="00612322">
            <w:pPr>
              <w:pStyle w:val="TT"/>
            </w:pPr>
            <w:r>
              <w:t>.</w:t>
            </w:r>
            <w:r w:rsidRPr="00612322">
              <w:t>09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(0.84, 1.21)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 xml:space="preserve">Time </w:t>
            </w:r>
            <w:r w:rsidRPr="006A067F">
              <w:t>spent incarcerated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0.86</w:t>
            </w:r>
          </w:p>
        </w:tc>
        <w:tc>
          <w:tcPr>
            <w:tcW w:w="471" w:type="pct"/>
          </w:tcPr>
          <w:p w:rsidR="007E2E9E" w:rsidRPr="0039767B" w:rsidRDefault="007E2E9E" w:rsidP="00612322">
            <w:pPr>
              <w:pStyle w:val="TT"/>
            </w:pPr>
            <w:r>
              <w:t>.</w:t>
            </w:r>
            <w:r w:rsidRPr="00612322">
              <w:t>14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(0.63, 1.18)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Supervision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1.10</w:t>
            </w:r>
          </w:p>
        </w:tc>
        <w:tc>
          <w:tcPr>
            <w:tcW w:w="471" w:type="pct"/>
          </w:tcPr>
          <w:p w:rsidR="007E2E9E" w:rsidRPr="0039767B" w:rsidRDefault="007E2E9E" w:rsidP="00612322">
            <w:pPr>
              <w:pStyle w:val="TT"/>
            </w:pPr>
            <w:r>
              <w:t>.</w:t>
            </w:r>
            <w:r w:rsidRPr="00612322">
              <w:t>10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(0.92, 1.30)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</w:pPr>
            <w:r w:rsidRPr="00612322">
              <w:t>Age</w:t>
            </w:r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0.90*</w:t>
            </w:r>
          </w:p>
        </w:tc>
        <w:tc>
          <w:tcPr>
            <w:tcW w:w="471" w:type="pct"/>
          </w:tcPr>
          <w:p w:rsidR="007E2E9E" w:rsidRPr="0039767B" w:rsidRDefault="007E2E9E" w:rsidP="00612322">
            <w:pPr>
              <w:pStyle w:val="TT"/>
            </w:pPr>
            <w:r>
              <w:t>.</w:t>
            </w:r>
            <w:r w:rsidRPr="00612322">
              <w:t>04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(0.84, 0.98)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612322">
              <w:t>Black</w:t>
            </w:r>
            <w:r w:rsidRPr="006A067F">
              <w:t xml:space="preserve"> </w:t>
            </w:r>
            <w:hyperlink w:anchor="HueD_note1" w:history="1">
              <w:r w:rsidRPr="00612322">
                <w:rPr>
                  <w:szCs w:val="22"/>
                </w:rPr>
                <w:t>a</w:t>
              </w:r>
            </w:hyperlink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0.69***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08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(0.55, 0.86)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612322">
              <w:t>Male</w:t>
            </w:r>
            <w:r w:rsidRPr="0045277D">
              <w:t xml:space="preserve"> </w:t>
            </w:r>
            <w:hyperlink w:anchor="HueD_note1" w:history="1">
              <w:r w:rsidRPr="0045277D">
                <w:rPr>
                  <w:vertAlign w:val="superscript"/>
                </w:rPr>
                <w:t>a</w:t>
              </w:r>
            </w:hyperlink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 xml:space="preserve"> 1.48*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25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(1.06, 2.05)</w:t>
            </w:r>
          </w:p>
        </w:tc>
      </w:tr>
      <w:tr w:rsidR="007E2E9E" w:rsidRPr="0039767B" w:rsidTr="00612322">
        <w:trPr>
          <w:trHeight w:val="33"/>
        </w:trPr>
        <w:tc>
          <w:tcPr>
            <w:tcW w:w="1586" w:type="pct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612322">
              <w:t>Philadelphia</w:t>
            </w:r>
            <w:r w:rsidRPr="0045277D">
              <w:t xml:space="preserve"> </w:t>
            </w:r>
            <w:hyperlink w:anchor="HueD_note1" w:history="1">
              <w:r w:rsidRPr="0045277D">
                <w:rPr>
                  <w:vertAlign w:val="superscript"/>
                </w:rPr>
                <w:t>a</w:t>
              </w:r>
            </w:hyperlink>
          </w:p>
        </w:tc>
        <w:tc>
          <w:tcPr>
            <w:tcW w:w="636" w:type="pct"/>
          </w:tcPr>
          <w:p w:rsidR="007E2E9E" w:rsidRPr="0039767B" w:rsidRDefault="007E2E9E" w:rsidP="00612322">
            <w:pPr>
              <w:pStyle w:val="TT"/>
            </w:pPr>
            <w:r w:rsidRPr="00612322">
              <w:t>0.81</w:t>
            </w:r>
          </w:p>
        </w:tc>
        <w:tc>
          <w:tcPr>
            <w:tcW w:w="471" w:type="pct"/>
          </w:tcPr>
          <w:p w:rsidR="007E2E9E" w:rsidRPr="001F28C6" w:rsidRDefault="007E2E9E" w:rsidP="00612322">
            <w:pPr>
              <w:pStyle w:val="TT"/>
            </w:pPr>
            <w:r>
              <w:t>.</w:t>
            </w:r>
            <w:r w:rsidRPr="00612322">
              <w:t>17</w:t>
            </w:r>
          </w:p>
        </w:tc>
        <w:tc>
          <w:tcPr>
            <w:tcW w:w="1165" w:type="pct"/>
          </w:tcPr>
          <w:p w:rsidR="007E2E9E" w:rsidRPr="001F28C6" w:rsidRDefault="007E2E9E" w:rsidP="00612322">
            <w:pPr>
              <w:pStyle w:val="TT"/>
            </w:pPr>
            <w:r w:rsidRPr="00612322">
              <w:t>(0.55, 1.21)</w:t>
            </w:r>
          </w:p>
        </w:tc>
      </w:tr>
    </w:tbl>
    <w:p w:rsidR="007E2E9E" w:rsidRDefault="007E2E9E" w:rsidP="007E2E9E">
      <w:pPr>
        <w:pStyle w:val="CPSO"/>
      </w:pPr>
      <w:r w:rsidRPr="00612322">
        <w:rPr>
          <w:i/>
        </w:rPr>
        <w:t>Note</w:t>
      </w:r>
      <w:r>
        <w:t>.</w:t>
      </w:r>
      <w:r w:rsidRPr="006A067F">
        <w:rPr>
          <w:color w:val="365F91"/>
        </w:rPr>
        <w:t xml:space="preserve"> </w:t>
      </w:r>
      <w:r w:rsidRPr="00612322">
        <w:rPr>
          <w:i/>
          <w:color w:val="365F91"/>
        </w:rPr>
        <w:t>N</w:t>
      </w:r>
      <w:r>
        <w:rPr>
          <w:color w:val="365F91"/>
        </w:rPr>
        <w:t xml:space="preserve"> </w:t>
      </w:r>
      <w:r w:rsidRPr="0045277D">
        <w:rPr>
          <w:color w:val="365F91"/>
        </w:rPr>
        <w:t>=</w:t>
      </w:r>
      <w:r>
        <w:rPr>
          <w:color w:val="365F91"/>
        </w:rPr>
        <w:t xml:space="preserve"> </w:t>
      </w:r>
      <w:r w:rsidRPr="0045277D">
        <w:rPr>
          <w:color w:val="365F91"/>
        </w:rPr>
        <w:t>1,195</w:t>
      </w:r>
      <w:r>
        <w:rPr>
          <w:color w:val="365F91"/>
        </w:rPr>
        <w:t xml:space="preserve">; </w:t>
      </w:r>
      <w:r w:rsidRPr="0045277D">
        <w:rPr>
          <w:color w:val="365F91"/>
        </w:rPr>
        <w:t>NT</w:t>
      </w:r>
      <w:r>
        <w:rPr>
          <w:color w:val="365F91"/>
        </w:rPr>
        <w:t xml:space="preserve"> </w:t>
      </w:r>
      <w:r w:rsidRPr="0045277D">
        <w:rPr>
          <w:color w:val="365F91"/>
        </w:rPr>
        <w:t>=</w:t>
      </w:r>
      <w:r>
        <w:rPr>
          <w:color w:val="365F91"/>
        </w:rPr>
        <w:t xml:space="preserve"> </w:t>
      </w:r>
      <w:r w:rsidRPr="0045277D">
        <w:rPr>
          <w:color w:val="365F91"/>
        </w:rPr>
        <w:t>4,066</w:t>
      </w:r>
      <w:r>
        <w:rPr>
          <w:color w:val="365F91"/>
        </w:rPr>
        <w:t>.</w:t>
      </w:r>
    </w:p>
    <w:p w:rsidR="007E2E9E" w:rsidRDefault="007E2E9E" w:rsidP="007E2E9E">
      <w:pPr>
        <w:pStyle w:val="CPSO"/>
      </w:pPr>
      <w:r w:rsidRPr="0039767B">
        <w:rPr>
          <w:rFonts w:eastAsiaTheme="minorEastAsia"/>
        </w:rPr>
        <w:t xml:space="preserve">All hypothesis tests are two-tailed; </w:t>
      </w:r>
      <w:r w:rsidRPr="0039767B">
        <w:t>Coefficients are incident rate ratios (IRR) computed (</w:t>
      </w:r>
      <w:r w:rsidRPr="00612322">
        <w:rPr>
          <w:i/>
        </w:rPr>
        <w:t>e</w:t>
      </w:r>
      <w:r w:rsidRPr="00612322">
        <w:rPr>
          <w:i/>
          <w:vertAlign w:val="superscript"/>
        </w:rPr>
        <w:t>B</w:t>
      </w:r>
      <w:r w:rsidRPr="00733F39">
        <w:t>); Year indicators are included but omitted from output; Estimates rely on only within-individual variation unless otherwise noted.</w:t>
      </w:r>
    </w:p>
    <w:p w:rsidR="007E2E9E" w:rsidRDefault="007E2E9E" w:rsidP="007E2E9E">
      <w:pPr>
        <w:pStyle w:val="CPSO"/>
      </w:pPr>
      <w:proofErr w:type="gramStart"/>
      <w:r w:rsidRPr="00612322">
        <w:rPr>
          <w:vertAlign w:val="superscript"/>
        </w:rPr>
        <w:t>a</w:t>
      </w:r>
      <w:proofErr w:type="gramEnd"/>
      <w:r>
        <w:t xml:space="preserve"> </w:t>
      </w:r>
      <w:r w:rsidRPr="00733F39">
        <w:t>Estimates rely on only between-i</w:t>
      </w:r>
      <w:r w:rsidRPr="006A067F">
        <w:t>nd</w:t>
      </w:r>
      <w:r w:rsidRPr="00733F39">
        <w:t>ividual variation.</w:t>
      </w:r>
    </w:p>
    <w:p w:rsidR="007E2E9E" w:rsidRDefault="007E2E9E" w:rsidP="007E2E9E">
      <w:pPr>
        <w:pStyle w:val="CPSO"/>
      </w:pPr>
      <w:proofErr w:type="gramStart"/>
      <w:r w:rsidRPr="0045277D">
        <w:rPr>
          <w:color w:val="545454"/>
          <w:shd w:val="clear" w:color="auto" w:fill="FFFFFF"/>
          <w:vertAlign w:val="superscript"/>
        </w:rPr>
        <w:t>†</w:t>
      </w:r>
      <w:r w:rsidRPr="0045277D">
        <w:rPr>
          <w:i/>
        </w:rPr>
        <w:t>p</w:t>
      </w:r>
      <w:r w:rsidRPr="0081631B">
        <w:t xml:space="preserve"> ≤ .</w:t>
      </w:r>
      <w:r>
        <w:t>10.</w:t>
      </w:r>
      <w:proofErr w:type="gramEnd"/>
      <w:r>
        <w:t xml:space="preserve"> </w:t>
      </w:r>
      <w:proofErr w:type="gramStart"/>
      <w:r w:rsidRPr="0045277D">
        <w:t>*</w:t>
      </w:r>
      <w:r w:rsidRPr="0045277D">
        <w:rPr>
          <w:i/>
        </w:rPr>
        <w:t>p</w:t>
      </w:r>
      <w:r w:rsidRPr="0081631B">
        <w:t xml:space="preserve"> </w:t>
      </w:r>
      <w:r w:rsidRPr="0045277D">
        <w:t>≤ .</w:t>
      </w:r>
      <w:r>
        <w:t>05.</w:t>
      </w:r>
      <w:proofErr w:type="gramEnd"/>
      <w:r>
        <w:t xml:space="preserve"> </w:t>
      </w:r>
      <w:proofErr w:type="gramStart"/>
      <w:r>
        <w:t>**</w:t>
      </w:r>
      <w:r w:rsidRPr="0045277D">
        <w:rPr>
          <w:i/>
        </w:rPr>
        <w:t>p</w:t>
      </w:r>
      <w:r w:rsidRPr="0081631B">
        <w:t xml:space="preserve"> </w:t>
      </w:r>
      <w:r w:rsidRPr="0045277D">
        <w:t>≤ .</w:t>
      </w:r>
      <w:r>
        <w:t>01.</w:t>
      </w:r>
      <w:proofErr w:type="gramEnd"/>
      <w:r>
        <w:t xml:space="preserve"> </w:t>
      </w:r>
      <w:proofErr w:type="gramStart"/>
      <w:r>
        <w:t>***</w:t>
      </w:r>
      <w:r w:rsidRPr="0045277D">
        <w:rPr>
          <w:i/>
        </w:rPr>
        <w:t>p</w:t>
      </w:r>
      <w:r w:rsidRPr="0081631B">
        <w:t xml:space="preserve"> </w:t>
      </w:r>
      <w:r w:rsidRPr="0045277D">
        <w:t>≤</w:t>
      </w:r>
      <w:r>
        <w:t xml:space="preserve"> .001.</w:t>
      </w:r>
      <w:proofErr w:type="gramEnd"/>
    </w:p>
    <w:p w:rsidR="007E2E9E" w:rsidRPr="0039767B" w:rsidRDefault="007E2E9E" w:rsidP="007E2E9E">
      <w:pPr>
        <w:pStyle w:val="CP"/>
      </w:pPr>
      <w:r w:rsidRPr="003952FA">
        <w:rPr>
          <w:rStyle w:val="CPBChar"/>
          <w:rFonts w:ascii="Times New Roman" w:hAnsi="Times New Roman"/>
        </w:rPr>
        <w:t>Table A4.</w:t>
      </w:r>
      <w:r w:rsidRPr="00612322">
        <w:t xml:space="preserve"> Descriptive Statistics and Variable Descriptions for Covariates Added in Table A2.</w:t>
      </w:r>
    </w:p>
    <w:tbl>
      <w:tblPr>
        <w:tblStyle w:val="TableGrid"/>
        <w:tblpPr w:leftFromText="180" w:rightFromText="180" w:vertAnchor="page" w:horzAnchor="margin" w:tblpY="1561"/>
        <w:tblW w:w="27318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  <w:gridCol w:w="7849"/>
        <w:gridCol w:w="3821"/>
      </w:tblGrid>
      <w:tr w:rsidR="007E2E9E" w:rsidRPr="0039767B" w:rsidTr="00612322">
        <w:trPr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  <w:r w:rsidRPr="00612322">
              <w:rPr>
                <w:bCs/>
              </w:rPr>
              <w:t>Variable</w:t>
            </w:r>
          </w:p>
        </w:tc>
        <w:tc>
          <w:tcPr>
            <w:tcW w:w="2608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Mean</w:t>
            </w:r>
          </w:p>
        </w:tc>
        <w:tc>
          <w:tcPr>
            <w:tcW w:w="2608" w:type="dxa"/>
          </w:tcPr>
          <w:p w:rsidR="007E2E9E" w:rsidRPr="00612322" w:rsidRDefault="007E2E9E" w:rsidP="00612322">
            <w:pPr>
              <w:pStyle w:val="TCH"/>
              <w:rPr>
                <w:bCs/>
                <w:i/>
              </w:rPr>
            </w:pPr>
            <w:r w:rsidRPr="00612322">
              <w:rPr>
                <w:bCs/>
                <w:i/>
              </w:rPr>
              <w:t>SD</w:t>
            </w:r>
          </w:p>
        </w:tc>
        <w:tc>
          <w:tcPr>
            <w:tcW w:w="2608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Med</w:t>
            </w:r>
          </w:p>
        </w:tc>
        <w:tc>
          <w:tcPr>
            <w:tcW w:w="2608" w:type="dxa"/>
          </w:tcPr>
          <w:p w:rsidR="007E2E9E" w:rsidRPr="00612322" w:rsidRDefault="007E2E9E" w:rsidP="00612322">
            <w:pPr>
              <w:pStyle w:val="TCH"/>
              <w:rPr>
                <w:szCs w:val="22"/>
              </w:rPr>
            </w:pPr>
            <w:r w:rsidRPr="00612322">
              <w:rPr>
                <w:bCs/>
              </w:rPr>
              <w:t>Min</w:t>
            </w:r>
          </w:p>
        </w:tc>
        <w:tc>
          <w:tcPr>
            <w:tcW w:w="2608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Max</w:t>
            </w:r>
          </w:p>
        </w:tc>
        <w:tc>
          <w:tcPr>
            <w:tcW w:w="11670" w:type="dxa"/>
            <w:gridSpan w:val="2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Measure Details</w:t>
            </w:r>
          </w:p>
        </w:tc>
      </w:tr>
      <w:tr w:rsidR="007E2E9E" w:rsidRPr="0039767B" w:rsidTr="00612322">
        <w:trPr>
          <w:trHeight w:val="368"/>
        </w:trPr>
        <w:tc>
          <w:tcPr>
            <w:tcW w:w="27318" w:type="dxa"/>
            <w:gridSpan w:val="8"/>
          </w:tcPr>
          <w:p w:rsidR="007E2E9E" w:rsidRPr="009C48FC" w:rsidRDefault="007E2E9E" w:rsidP="00612322">
            <w:pPr>
              <w:pStyle w:val="TCH"/>
              <w:rPr>
                <w:b/>
                <w:bCs/>
              </w:rPr>
            </w:pPr>
            <w:r w:rsidRPr="0039767B">
              <w:t>Alternative measures of job satisfaction</w:t>
            </w:r>
            <w:hyperlink w:anchor="HueD_note1" w:history="1"/>
            <w:r w:rsidRPr="00612322">
              <w:rPr>
                <w:szCs w:val="22"/>
              </w:rPr>
              <w:t xml:space="preserve"> </w:t>
            </w:r>
            <w:r>
              <w:rPr>
                <w:color w:val="0000FF"/>
                <w:vertAlign w:val="superscript"/>
              </w:rPr>
              <w:t>a</w:t>
            </w: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>
              <w:tab/>
            </w:r>
            <w:r w:rsidRPr="0039767B">
              <w:t>Job satisfaction (monthly level)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2.00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1.41</w:t>
            </w:r>
          </w:p>
        </w:tc>
        <w:tc>
          <w:tcPr>
            <w:tcW w:w="2608" w:type="dxa"/>
          </w:tcPr>
          <w:p w:rsidR="007E2E9E" w:rsidRPr="005742B2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2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4</w:t>
            </w:r>
          </w:p>
        </w:tc>
        <w:tc>
          <w:tcPr>
            <w:tcW w:w="7849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>
              <w:t>α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.87; created from weighted average</w:t>
            </w: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lastRenderedPageBreak/>
              <w:tab/>
            </w:r>
            <w:r w:rsidRPr="0039767B">
              <w:t>Job satisfaction (continuous)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0.00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0.94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0.14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-4.05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1.93</w:t>
            </w:r>
          </w:p>
        </w:tc>
        <w:tc>
          <w:tcPr>
            <w:tcW w:w="7849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Job satisfaction (decile)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4.46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2.92</w:t>
            </w:r>
          </w:p>
        </w:tc>
        <w:tc>
          <w:tcPr>
            <w:tcW w:w="2608" w:type="dxa"/>
          </w:tcPr>
          <w:p w:rsidR="007E2E9E" w:rsidRPr="005742B2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5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9</w:t>
            </w:r>
          </w:p>
        </w:tc>
        <w:tc>
          <w:tcPr>
            <w:tcW w:w="7849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Job satisfaction (each quintile indicators)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0.20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</w:t>
            </w:r>
          </w:p>
        </w:tc>
        <w:tc>
          <w:tcPr>
            <w:tcW w:w="7849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3497" w:type="dxa"/>
            <w:gridSpan w:val="7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39767B">
              <w:t>Alternative dependent variables</w:t>
            </w: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Self-reported crime (frequency)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26.71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89.42</w:t>
            </w:r>
          </w:p>
        </w:tc>
        <w:tc>
          <w:tcPr>
            <w:tcW w:w="2608" w:type="dxa"/>
          </w:tcPr>
          <w:p w:rsidR="007E2E9E" w:rsidRPr="005742B2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500</w:t>
            </w:r>
          </w:p>
        </w:tc>
        <w:tc>
          <w:tcPr>
            <w:tcW w:w="7849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Top</w:t>
            </w:r>
            <w:r>
              <w:rPr>
                <w:color w:val="000000"/>
              </w:rPr>
              <w:t xml:space="preserve"> </w:t>
            </w:r>
            <w:r w:rsidRPr="009C48FC">
              <w:rPr>
                <w:color w:val="000000"/>
              </w:rPr>
              <w:t>coded at 500</w:t>
            </w: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Property crime (variety)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0.25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0.76</w:t>
            </w:r>
          </w:p>
        </w:tc>
        <w:tc>
          <w:tcPr>
            <w:tcW w:w="2608" w:type="dxa"/>
          </w:tcPr>
          <w:p w:rsidR="007E2E9E" w:rsidRPr="005742B2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7</w:t>
            </w:r>
          </w:p>
        </w:tc>
        <w:tc>
          <w:tcPr>
            <w:tcW w:w="7849" w:type="dxa"/>
            <w:vMerge w:val="restart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Count by crime type is disaggregated based on categories noted in the Self-Reported Offending variable description within the Measures section.</w:t>
            </w: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Violent crime (variety)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0.11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0.38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3</w:t>
            </w:r>
          </w:p>
        </w:tc>
        <w:tc>
          <w:tcPr>
            <w:tcW w:w="7849" w:type="dxa"/>
            <w:vMerge/>
          </w:tcPr>
          <w:p w:rsidR="007E2E9E" w:rsidRPr="00612322" w:rsidRDefault="007E2E9E" w:rsidP="00612322">
            <w:pPr>
              <w:pStyle w:val="TT"/>
              <w:rPr>
                <w:color w:val="000000"/>
              </w:rPr>
            </w:pPr>
          </w:p>
        </w:tc>
      </w:tr>
      <w:tr w:rsidR="007E2E9E" w:rsidRPr="0039767B" w:rsidTr="00612322">
        <w:trPr>
          <w:gridAfter w:val="1"/>
          <w:wAfter w:w="3821" w:type="dxa"/>
          <w:trHeight w:val="368"/>
        </w:trPr>
        <w:tc>
          <w:tcPr>
            <w:tcW w:w="2608" w:type="dxa"/>
          </w:tcPr>
          <w:p w:rsidR="007E2E9E" w:rsidRPr="00612322" w:rsidRDefault="007E2E9E" w:rsidP="00612322">
            <w:pPr>
              <w:pStyle w:val="TT"/>
              <w:spacing w:after="200"/>
            </w:pPr>
            <w:r>
              <w:tab/>
            </w:r>
            <w:r w:rsidRPr="0039767B">
              <w:t>Drug crime (variety)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0.21</w:t>
            </w:r>
          </w:p>
        </w:tc>
        <w:tc>
          <w:tcPr>
            <w:tcW w:w="2608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0.54</w:t>
            </w:r>
          </w:p>
        </w:tc>
        <w:tc>
          <w:tcPr>
            <w:tcW w:w="2608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260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2</w:t>
            </w:r>
          </w:p>
        </w:tc>
        <w:tc>
          <w:tcPr>
            <w:tcW w:w="7849" w:type="dxa"/>
            <w:vMerge/>
          </w:tcPr>
          <w:p w:rsidR="007E2E9E" w:rsidRPr="00612322" w:rsidRDefault="007E2E9E" w:rsidP="00612322">
            <w:pPr>
              <w:pStyle w:val="TT"/>
              <w:rPr>
                <w:color w:val="000000"/>
              </w:rPr>
            </w:pPr>
          </w:p>
        </w:tc>
      </w:tr>
    </w:tbl>
    <w:p w:rsidR="007E2E9E" w:rsidRPr="0039767B" w:rsidRDefault="007E2E9E" w:rsidP="007E2E9E">
      <w:pPr>
        <w:pStyle w:val="CPSO"/>
      </w:pPr>
      <w:proofErr w:type="gramStart"/>
      <w:r w:rsidRPr="00612322">
        <w:rPr>
          <w:vertAlign w:val="superscript"/>
        </w:rPr>
        <w:t>a</w:t>
      </w:r>
      <w:proofErr w:type="gramEnd"/>
      <w:r>
        <w:t xml:space="preserve"> </w:t>
      </w:r>
      <w:r w:rsidRPr="00612322">
        <w:t>Descriptives provided for only working recall periods.</w:t>
      </w:r>
    </w:p>
    <w:p w:rsidR="007E2E9E" w:rsidRPr="0039767B" w:rsidRDefault="007E2E9E" w:rsidP="007E2E9E">
      <w:pPr>
        <w:pStyle w:val="CP"/>
      </w:pPr>
      <w:r w:rsidRPr="0039767B">
        <w:rPr>
          <w:rStyle w:val="CPBChar"/>
          <w:rFonts w:ascii="Times New Roman" w:hAnsi="Times New Roman"/>
        </w:rPr>
        <w:t>Table A5.</w:t>
      </w:r>
      <w:r w:rsidRPr="00612322">
        <w:t xml:space="preserve"> Descriptive Statistics and Variable Descriptions for Covariates Added in Table A3.</w:t>
      </w:r>
    </w:p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621"/>
        <w:gridCol w:w="917"/>
        <w:gridCol w:w="795"/>
        <w:gridCol w:w="781"/>
        <w:gridCol w:w="817"/>
        <w:gridCol w:w="4645"/>
      </w:tblGrid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CH"/>
              <w:spacing w:after="200"/>
              <w:rPr>
                <w:bCs/>
              </w:rPr>
            </w:pPr>
            <w:r w:rsidRPr="00612322">
              <w:rPr>
                <w:bCs/>
              </w:rPr>
              <w:t>Variable</w:t>
            </w:r>
          </w:p>
        </w:tc>
        <w:tc>
          <w:tcPr>
            <w:tcW w:w="1460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Mean</w:t>
            </w:r>
          </w:p>
        </w:tc>
        <w:tc>
          <w:tcPr>
            <w:tcW w:w="1353" w:type="dxa"/>
          </w:tcPr>
          <w:p w:rsidR="007E2E9E" w:rsidRPr="00612322" w:rsidRDefault="007E2E9E" w:rsidP="00612322">
            <w:pPr>
              <w:pStyle w:val="TCH"/>
              <w:rPr>
                <w:bCs/>
                <w:i/>
              </w:rPr>
            </w:pPr>
            <w:r w:rsidRPr="00612322">
              <w:rPr>
                <w:bCs/>
                <w:i/>
              </w:rPr>
              <w:t>SD</w:t>
            </w:r>
          </w:p>
        </w:tc>
        <w:tc>
          <w:tcPr>
            <w:tcW w:w="1358" w:type="dxa"/>
          </w:tcPr>
          <w:p w:rsidR="007E2E9E" w:rsidRPr="00612322" w:rsidRDefault="007E2E9E" w:rsidP="00612322">
            <w:pPr>
              <w:pStyle w:val="TCH"/>
              <w:rPr>
                <w:bCs/>
                <w:vertAlign w:val="superscript"/>
              </w:rPr>
            </w:pPr>
            <w:r w:rsidRPr="00612322">
              <w:rPr>
                <w:bCs/>
              </w:rPr>
              <w:t>Min</w:t>
            </w:r>
          </w:p>
        </w:tc>
        <w:tc>
          <w:tcPr>
            <w:tcW w:w="1383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Max</w:t>
            </w:r>
          </w:p>
        </w:tc>
        <w:tc>
          <w:tcPr>
            <w:tcW w:w="13807" w:type="dxa"/>
          </w:tcPr>
          <w:p w:rsidR="007E2E9E" w:rsidRPr="00612322" w:rsidRDefault="007E2E9E" w:rsidP="00612322">
            <w:pPr>
              <w:pStyle w:val="TCH"/>
              <w:rPr>
                <w:bCs/>
              </w:rPr>
            </w:pPr>
            <w:r w:rsidRPr="00612322">
              <w:rPr>
                <w:bCs/>
              </w:rPr>
              <w:t>Measure Details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</w:pPr>
            <w:r w:rsidRPr="0039767B">
              <w:t>Certainty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</w:pPr>
            <w:r w:rsidRPr="0039767B">
              <w:rPr>
                <w:color w:val="000000"/>
              </w:rPr>
              <w:t>5.84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</w:pPr>
            <w:r w:rsidRPr="00733F39">
              <w:rPr>
                <w:color w:val="000000"/>
              </w:rPr>
              <w:t>2.97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10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 xml:space="preserve">Scale from 0 (no chance) to 10 (absolutely certain), how likely it is that respondents would be caught and arrested for committing seven crimes. A </w:t>
            </w:r>
            <w:r>
              <w:rPr>
                <w:color w:val="000000"/>
              </w:rPr>
              <w:t>seven</w:t>
            </w:r>
            <w:r w:rsidRPr="000441F6">
              <w:rPr>
                <w:color w:val="000000"/>
              </w:rPr>
              <w:t>-item mean (</w:t>
            </w:r>
            <w:r>
              <w:t>α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.89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 xml:space="preserve">at BL). 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Social costs</w:t>
            </w:r>
          </w:p>
        </w:tc>
        <w:tc>
          <w:tcPr>
            <w:tcW w:w="1460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3.33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3.33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5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 xml:space="preserve">Scale from 1 (very unlikely) to 5 (very likely), if the police were to catch respondents breaking the law, how likely it </w:t>
            </w:r>
            <w:r w:rsidRPr="000441F6">
              <w:rPr>
                <w:color w:val="000000"/>
              </w:rPr>
              <w:lastRenderedPageBreak/>
              <w:t xml:space="preserve">would be that they would </w:t>
            </w:r>
            <w:r w:rsidRPr="004A3F7A">
              <w:rPr>
                <w:color w:val="000000"/>
              </w:rPr>
              <w:t>suffer six social costs (</w:t>
            </w:r>
            <w:r w:rsidRPr="006522D0">
              <w:rPr>
                <w:color w:val="000000"/>
              </w:rPr>
              <w:t>Nagin 1998). Six-item mean (</w:t>
            </w:r>
            <w:r w:rsidRPr="006522D0">
              <w:t>α</w:t>
            </w:r>
            <w:r w:rsidRPr="006522D0">
              <w:rPr>
                <w:color w:val="000000"/>
              </w:rPr>
              <w:t xml:space="preserve"> = .76 at BL).</w:t>
            </w:r>
            <w:r w:rsidRPr="006522D0">
              <w:t>)</w:t>
            </w:r>
            <w:r w:rsidRPr="006522D0">
              <w:rPr>
                <w:rStyle w:val="AQ"/>
              </w:rPr>
              <w:t>[AQ: Please insert complete reference details for</w:t>
            </w:r>
            <w:r w:rsidRPr="00612322">
              <w:rPr>
                <w:color w:val="000000"/>
              </w:rPr>
              <w:t xml:space="preserve"> Nagin 1998</w:t>
            </w:r>
            <w:r w:rsidRPr="004A3F7A">
              <w:rPr>
                <w:rStyle w:val="AQ"/>
              </w:rPr>
              <w:t>.]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lastRenderedPageBreak/>
              <w:t>Personal rewards</w:t>
            </w:r>
          </w:p>
        </w:tc>
        <w:tc>
          <w:tcPr>
            <w:tcW w:w="1460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1.48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2.22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10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Scale from 1 (</w:t>
            </w:r>
            <w:r w:rsidRPr="000441F6">
              <w:rPr>
                <w:iCs/>
                <w:color w:val="000000"/>
              </w:rPr>
              <w:t>strongly disagree</w:t>
            </w:r>
            <w:r w:rsidRPr="000441F6">
              <w:rPr>
                <w:color w:val="000000"/>
              </w:rPr>
              <w:t>) to 4 (</w:t>
            </w:r>
            <w:r w:rsidRPr="000441F6">
              <w:rPr>
                <w:iCs/>
                <w:color w:val="000000"/>
              </w:rPr>
              <w:t>strongly agree</w:t>
            </w:r>
            <w:r w:rsidRPr="000441F6">
              <w:rPr>
                <w:color w:val="000000"/>
              </w:rPr>
              <w:t xml:space="preserve">), how much respondents agreed with statements regarding how others would react to three crimes. A </w:t>
            </w:r>
            <w:r>
              <w:rPr>
                <w:color w:val="000000"/>
              </w:rPr>
              <w:t>three</w:t>
            </w:r>
            <w:r w:rsidRPr="000441F6">
              <w:rPr>
                <w:color w:val="000000"/>
              </w:rPr>
              <w:t>-item mean (</w:t>
            </w:r>
            <w:r>
              <w:t xml:space="preserve">α </w:t>
            </w:r>
            <w:r w:rsidRPr="000441F6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.82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at BL).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Social rewards</w:t>
            </w:r>
          </w:p>
        </w:tc>
        <w:tc>
          <w:tcPr>
            <w:tcW w:w="1460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1.85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0.52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4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 xml:space="preserve">Scale from 0 (no fun or kick at all) to 10 (a great deal of fun or kick), how much “thrill” or “rush” is it to commit </w:t>
            </w:r>
            <w:r>
              <w:rPr>
                <w:color w:val="000000"/>
              </w:rPr>
              <w:t>seven</w:t>
            </w:r>
            <w:r w:rsidRPr="000441F6">
              <w:rPr>
                <w:color w:val="000000"/>
              </w:rPr>
              <w:t xml:space="preserve"> crimes. </w:t>
            </w:r>
            <w:r>
              <w:rPr>
                <w:color w:val="000000"/>
              </w:rPr>
              <w:t>Seven</w:t>
            </w:r>
            <w:r w:rsidRPr="000441F6">
              <w:rPr>
                <w:color w:val="000000"/>
              </w:rPr>
              <w:t>-item mean (</w:t>
            </w:r>
            <w:r>
              <w:t xml:space="preserve">α </w:t>
            </w:r>
            <w:r w:rsidRPr="000441F6">
              <w:rPr>
                <w:color w:val="000000"/>
              </w:rPr>
              <w:t>=.88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at baseline).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  <w:rPr>
                <w:vertAlign w:val="superscript"/>
              </w:rPr>
            </w:pPr>
            <w:r w:rsidRPr="000441F6">
              <w:rPr>
                <w:color w:val="000000"/>
              </w:rPr>
              <w:t xml:space="preserve">Illegal earnings 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0.29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1.53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15</w:t>
            </w:r>
          </w:p>
        </w:tc>
        <w:tc>
          <w:tcPr>
            <w:tcW w:w="13807" w:type="dxa"/>
          </w:tcPr>
          <w:p w:rsidR="007E2E9E" w:rsidRPr="004A3F7A" w:rsidRDefault="007E2E9E" w:rsidP="00612322">
            <w:pPr>
              <w:pStyle w:val="TT"/>
              <w:rPr>
                <w:color w:val="000000"/>
              </w:rPr>
            </w:pPr>
            <w:r w:rsidRPr="004A3F7A">
              <w:rPr>
                <w:iCs/>
                <w:color w:val="000000"/>
              </w:rPr>
              <w:t>The total</w:t>
            </w:r>
            <w:r w:rsidRPr="000E1E40">
              <w:rPr>
                <w:color w:val="000000"/>
              </w:rPr>
              <w:t xml:space="preserve"> illicit earnings an individual reported within the previous recall period (top coded </w:t>
            </w:r>
            <w:proofErr w:type="gramStart"/>
            <w:r w:rsidRPr="000E1E40">
              <w:rPr>
                <w:color w:val="000000"/>
              </w:rPr>
              <w:t xml:space="preserve">at </w:t>
            </w:r>
            <w:r w:rsidRPr="00612322">
              <w:rPr>
                <w:color w:val="000000"/>
              </w:rPr>
              <w:t xml:space="preserve"> US</w:t>
            </w:r>
            <w:proofErr w:type="gramEnd"/>
            <w:r w:rsidRPr="004A3F7A">
              <w:rPr>
                <w:color w:val="000000"/>
              </w:rPr>
              <w:t xml:space="preserve">$150,000/year). Scaled per </w:t>
            </w:r>
            <w:r w:rsidRPr="00612322">
              <w:rPr>
                <w:color w:val="000000"/>
              </w:rPr>
              <w:t>US</w:t>
            </w:r>
            <w:r w:rsidRPr="004A3F7A">
              <w:rPr>
                <w:color w:val="000000"/>
              </w:rPr>
              <w:t>$10,000.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  <w:rPr>
                <w:vertAlign w:val="superscript"/>
              </w:rPr>
            </w:pPr>
            <w:r w:rsidRPr="000441F6">
              <w:t xml:space="preserve">Other income </w:t>
            </w:r>
          </w:p>
        </w:tc>
        <w:tc>
          <w:tcPr>
            <w:tcW w:w="1460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0.38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0.64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733F39" w:rsidRDefault="007E2E9E" w:rsidP="00612322">
            <w:pPr>
              <w:pStyle w:val="TT"/>
            </w:pPr>
            <w:r w:rsidRPr="00733F39">
              <w:rPr>
                <w:color w:val="000000"/>
              </w:rPr>
              <w:t>4</w:t>
            </w:r>
          </w:p>
        </w:tc>
        <w:tc>
          <w:tcPr>
            <w:tcW w:w="13807" w:type="dxa"/>
          </w:tcPr>
          <w:p w:rsidR="007E2E9E" w:rsidRPr="000E1E40" w:rsidRDefault="007E2E9E" w:rsidP="00612322">
            <w:pPr>
              <w:pStyle w:val="TT"/>
              <w:rPr>
                <w:color w:val="000000"/>
              </w:rPr>
            </w:pPr>
            <w:r w:rsidRPr="004A3F7A">
              <w:rPr>
                <w:color w:val="000000"/>
              </w:rPr>
              <w:t xml:space="preserve">Variety score count of the number of additional sources of income a respondent had including </w:t>
            </w:r>
            <w:r w:rsidRPr="000E1E40">
              <w:rPr>
                <w:color w:val="000000"/>
              </w:rPr>
              <w:t>(1) welfare, (2) social security, (3) money from parents or other relatives, (5) s</w:t>
            </w:r>
            <w:r w:rsidRPr="004A3F7A">
              <w:rPr>
                <w:color w:val="000000"/>
              </w:rPr>
              <w:t>urvivor benefits</w:t>
            </w:r>
            <w:r w:rsidRPr="000E1E40">
              <w:rPr>
                <w:color w:val="000000"/>
              </w:rPr>
              <w:t>, and (6) money from a current or former spouse/partner.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</w:pPr>
            <w:r w:rsidRPr="0039767B">
              <w:rPr>
                <w:color w:val="000000"/>
              </w:rPr>
              <w:t>Work opportunities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</w:pPr>
            <w:r w:rsidRPr="0039767B">
              <w:rPr>
                <w:color w:val="000000"/>
              </w:rPr>
              <w:t>3.17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</w:pPr>
            <w:r w:rsidRPr="00733F39">
              <w:rPr>
                <w:color w:val="000000"/>
              </w:rPr>
              <w:t>1.17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</w:pPr>
            <w:r w:rsidRPr="009C48FC">
              <w:rPr>
                <w:color w:val="000000"/>
              </w:rPr>
              <w:t>1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5</w:t>
            </w:r>
          </w:p>
        </w:tc>
        <w:tc>
          <w:tcPr>
            <w:tcW w:w="13807" w:type="dxa"/>
          </w:tcPr>
          <w:p w:rsidR="007E2E9E" w:rsidRPr="000E1E40" w:rsidRDefault="007E2E9E" w:rsidP="00612322">
            <w:pPr>
              <w:pStyle w:val="TT"/>
              <w:rPr>
                <w:color w:val="000000"/>
              </w:rPr>
            </w:pPr>
            <w:r w:rsidRPr="004A3F7A">
              <w:rPr>
                <w:color w:val="000000"/>
              </w:rPr>
              <w:t xml:space="preserve">Scale from 1 (strongly disagree) to 5 (strongly agree). </w:t>
            </w:r>
            <w:r w:rsidRPr="000E1E40">
              <w:rPr>
                <w:iCs/>
                <w:color w:val="000000"/>
              </w:rPr>
              <w:t>I</w:t>
            </w:r>
            <w:r w:rsidRPr="000E1E40">
              <w:rPr>
                <w:color w:val="000000"/>
              </w:rPr>
              <w:t>ndividuals asked to consider five items such as “employers around here often hire young people from this neighborhood.” Five-item mean (</w:t>
            </w:r>
            <w:r w:rsidRPr="000E1E40">
              <w:t>α</w:t>
            </w:r>
            <w:r w:rsidRPr="000E1E40">
              <w:rPr>
                <w:color w:val="000000"/>
              </w:rPr>
              <w:t xml:space="preserve"> = .76 at BL). 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0441F6" w:rsidRDefault="007E2E9E" w:rsidP="00612322">
            <w:pPr>
              <w:pStyle w:val="TT"/>
            </w:pPr>
            <w:r w:rsidRPr="000441F6">
              <w:rPr>
                <w:color w:val="000000"/>
              </w:rPr>
              <w:t>Financial responsibility</w:t>
            </w:r>
          </w:p>
        </w:tc>
        <w:tc>
          <w:tcPr>
            <w:tcW w:w="1460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3.82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t>3.01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10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iCs/>
                <w:color w:val="000000"/>
              </w:rPr>
              <w:t>Add</w:t>
            </w:r>
            <w:r w:rsidRPr="000441F6">
              <w:rPr>
                <w:color w:val="000000"/>
              </w:rPr>
              <w:t xml:space="preserve">itive </w:t>
            </w:r>
            <w:r>
              <w:rPr>
                <w:color w:val="000000"/>
              </w:rPr>
              <w:t>five</w:t>
            </w:r>
            <w:r w:rsidRPr="000441F6">
              <w:rPr>
                <w:color w:val="000000"/>
              </w:rPr>
              <w:t xml:space="preserve">-item scale in which an individual was asked to state whether they </w:t>
            </w:r>
            <w:r w:rsidRPr="000441F6">
              <w:rPr>
                <w:color w:val="000000"/>
              </w:rPr>
              <w:lastRenderedPageBreak/>
              <w:t xml:space="preserve">had 0 (no), 1 (partial), or 2 (full) financial responsibility for the following: </w:t>
            </w:r>
            <w:r>
              <w:rPr>
                <w:color w:val="000000"/>
              </w:rPr>
              <w:t>(</w:t>
            </w:r>
            <w:r w:rsidRPr="000441F6">
              <w:rPr>
                <w:color w:val="000000"/>
              </w:rPr>
              <w:t xml:space="preserve">1) paying bills, </w:t>
            </w:r>
            <w:r>
              <w:rPr>
                <w:color w:val="000000"/>
              </w:rPr>
              <w:t>(</w:t>
            </w:r>
            <w:r w:rsidRPr="000441F6">
              <w:rPr>
                <w:color w:val="000000"/>
              </w:rPr>
              <w:t xml:space="preserve">2) paying rent, </w:t>
            </w:r>
            <w:r>
              <w:rPr>
                <w:color w:val="000000"/>
              </w:rPr>
              <w:t>(</w:t>
            </w:r>
            <w:r w:rsidRPr="000441F6">
              <w:rPr>
                <w:color w:val="000000"/>
              </w:rPr>
              <w:t xml:space="preserve">3) supporting family financially, </w:t>
            </w:r>
            <w:r>
              <w:rPr>
                <w:color w:val="000000"/>
              </w:rPr>
              <w:t>(</w:t>
            </w:r>
            <w:r w:rsidRPr="000441F6">
              <w:rPr>
                <w:color w:val="000000"/>
              </w:rPr>
              <w:t xml:space="preserve">4) supporting themselves, and </w:t>
            </w:r>
            <w:r>
              <w:rPr>
                <w:color w:val="000000"/>
              </w:rPr>
              <w:t>(</w:t>
            </w:r>
            <w:r w:rsidRPr="000441F6">
              <w:rPr>
                <w:color w:val="000000"/>
              </w:rPr>
              <w:t>5) buying groceries (</w:t>
            </w:r>
            <w:r>
              <w:t>α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.63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 xml:space="preserve">at W7, </w:t>
            </w:r>
            <w:r>
              <w:t>α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.80</w:t>
            </w:r>
            <w:r>
              <w:rPr>
                <w:color w:val="000000"/>
              </w:rPr>
              <w:t xml:space="preserve"> </w:t>
            </w:r>
            <w:r w:rsidRPr="000441F6">
              <w:rPr>
                <w:color w:val="000000"/>
              </w:rPr>
              <w:t>at W8</w:t>
            </w:r>
            <w:r>
              <w:rPr>
                <w:color w:val="000000"/>
              </w:rPr>
              <w:t>–</w:t>
            </w:r>
            <w:r w:rsidRPr="000441F6">
              <w:rPr>
                <w:color w:val="000000"/>
              </w:rPr>
              <w:t>10).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  <w:rPr>
                <w:vertAlign w:val="superscript"/>
              </w:rPr>
            </w:pPr>
            <w:r w:rsidRPr="000441F6">
              <w:rPr>
                <w:color w:val="000000"/>
              </w:rPr>
              <w:lastRenderedPageBreak/>
              <w:t>Romantic relationship</w:t>
            </w:r>
          </w:p>
        </w:tc>
        <w:tc>
          <w:tcPr>
            <w:tcW w:w="1460" w:type="dxa"/>
          </w:tcPr>
          <w:p w:rsidR="007E2E9E" w:rsidRPr="00775C32" w:rsidRDefault="007E2E9E" w:rsidP="00612322">
            <w:pPr>
              <w:pStyle w:val="TT"/>
              <w:rPr>
                <w:color w:val="000000"/>
              </w:rPr>
            </w:pPr>
            <w:r w:rsidRPr="001F28C6">
              <w:rPr>
                <w:color w:val="000000"/>
              </w:rPr>
              <w:t>0.61</w:t>
            </w:r>
          </w:p>
        </w:tc>
        <w:tc>
          <w:tcPr>
            <w:tcW w:w="135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1358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>1</w:t>
            </w:r>
          </w:p>
        </w:tc>
        <w:tc>
          <w:tcPr>
            <w:tcW w:w="13807" w:type="dxa"/>
          </w:tcPr>
          <w:p w:rsidR="007E2E9E" w:rsidRPr="000441F6" w:rsidRDefault="007E2E9E" w:rsidP="00612322">
            <w:pPr>
              <w:pStyle w:val="TT"/>
              <w:rPr>
                <w:color w:val="000000"/>
              </w:rPr>
            </w:pPr>
            <w:r w:rsidRPr="000441F6">
              <w:rPr>
                <w:color w:val="000000"/>
              </w:rPr>
              <w:t xml:space="preserve">Dichotomous indicator of whether respondent was in a relationship 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</w:pPr>
            <w:r w:rsidRPr="0039767B">
              <w:rPr>
                <w:color w:val="000000"/>
              </w:rPr>
              <w:t>Relationship quality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</w:pPr>
            <w:r w:rsidRPr="0039767B">
              <w:rPr>
                <w:color w:val="000000"/>
              </w:rPr>
              <w:t>1.84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</w:pPr>
            <w:r w:rsidRPr="00733F39">
              <w:rPr>
                <w:color w:val="000000"/>
              </w:rPr>
              <w:t>1.60</w:t>
            </w:r>
          </w:p>
        </w:tc>
        <w:tc>
          <w:tcPr>
            <w:tcW w:w="1358" w:type="dxa"/>
          </w:tcPr>
          <w:p w:rsidR="007E2E9E" w:rsidRPr="003952FA" w:rsidRDefault="007E2E9E" w:rsidP="00612322">
            <w:pPr>
              <w:pStyle w:val="TT"/>
              <w:rPr>
                <w:color w:val="000000"/>
              </w:rPr>
            </w:pPr>
            <w:r w:rsidRPr="00733F39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9C48FC" w:rsidRDefault="007E2E9E" w:rsidP="00612322">
            <w:pPr>
              <w:pStyle w:val="TT"/>
            </w:pPr>
            <w:r w:rsidRPr="009C48FC">
              <w:rPr>
                <w:color w:val="000000"/>
              </w:rPr>
              <w:t>4</w:t>
            </w:r>
          </w:p>
        </w:tc>
        <w:tc>
          <w:tcPr>
            <w:tcW w:w="13807" w:type="dxa"/>
          </w:tcPr>
          <w:p w:rsidR="007E2E9E" w:rsidRPr="009C48FC" w:rsidRDefault="007E2E9E" w:rsidP="00612322">
            <w:pPr>
              <w:pStyle w:val="TT"/>
              <w:rPr>
                <w:color w:val="000000" w:themeColor="text1"/>
              </w:rPr>
            </w:pPr>
            <w:r w:rsidRPr="009C48FC">
              <w:rPr>
                <w:iCs/>
                <w:color w:val="000000"/>
              </w:rPr>
              <w:t>Originally</w:t>
            </w:r>
            <w:r>
              <w:rPr>
                <w:iCs/>
                <w:color w:val="000000"/>
              </w:rPr>
              <w:t>,</w:t>
            </w:r>
            <w:r w:rsidRPr="009C48FC">
              <w:rPr>
                <w:iCs/>
                <w:color w:val="000000"/>
              </w:rPr>
              <w:t xml:space="preserve"> a</w:t>
            </w:r>
            <w:r w:rsidRPr="009C48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seven</w:t>
            </w:r>
            <w:r w:rsidRPr="009C48FC">
              <w:rPr>
                <w:color w:val="000000"/>
              </w:rPr>
              <w:t>-item mean ranging from 1</w:t>
            </w:r>
            <w:r>
              <w:rPr>
                <w:color w:val="000000"/>
              </w:rPr>
              <w:t xml:space="preserve"> to </w:t>
            </w:r>
            <w:r w:rsidRPr="009C48FC">
              <w:rPr>
                <w:color w:val="000000"/>
              </w:rPr>
              <w:t>5 (Pierce 1994; Pierce, Sarason, Solky-Butzel, and Nagle 1997). Then</w:t>
            </w:r>
            <w:r>
              <w:rPr>
                <w:color w:val="000000"/>
              </w:rPr>
              <w:t>,</w:t>
            </w:r>
            <w:r w:rsidRPr="009C48FC">
              <w:rPr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 xml:space="preserve">1 was subtracted and variable and it was recoded into </w:t>
            </w:r>
            <w:r>
              <w:rPr>
                <w:rFonts w:eastAsiaTheme="majorEastAsia"/>
                <w:color w:val="000000"/>
              </w:rPr>
              <w:t>five</w:t>
            </w:r>
            <w:r w:rsidRPr="009C48FC">
              <w:rPr>
                <w:rFonts w:eastAsiaTheme="majorEastAsia"/>
                <w:color w:val="000000"/>
              </w:rPr>
              <w:t xml:space="preserve"> categories: 0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=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[0,</w:t>
            </w:r>
            <w:r>
              <w:rPr>
                <w:rFonts w:eastAsiaTheme="majorEastAsia"/>
                <w:color w:val="000000"/>
              </w:rPr>
              <w:t xml:space="preserve"> 0</w:t>
            </w:r>
            <w:r w:rsidRPr="009C48FC">
              <w:rPr>
                <w:rFonts w:eastAsiaTheme="majorEastAsia"/>
                <w:color w:val="000000"/>
              </w:rPr>
              <w:t>.5), 1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=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[.5,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1.5), 2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=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[1.5, 2.5), 3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=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[2.5, 3.5)</w:t>
            </w:r>
            <w:r>
              <w:rPr>
                <w:rFonts w:eastAsiaTheme="majorEastAsia"/>
                <w:color w:val="000000"/>
              </w:rPr>
              <w:t>,</w:t>
            </w:r>
            <w:r w:rsidRPr="009C48FC">
              <w:rPr>
                <w:rFonts w:eastAsiaTheme="majorEastAsia"/>
                <w:color w:val="000000"/>
              </w:rPr>
              <w:t xml:space="preserve"> and 4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=</w:t>
            </w:r>
            <w:r>
              <w:rPr>
                <w:rFonts w:eastAsiaTheme="majorEastAsia"/>
                <w:color w:val="000000"/>
              </w:rPr>
              <w:t xml:space="preserve"> </w:t>
            </w:r>
            <w:r w:rsidRPr="009C48FC">
              <w:rPr>
                <w:rFonts w:eastAsiaTheme="majorEastAsia"/>
                <w:color w:val="000000"/>
              </w:rPr>
              <w:t>[3.5, 4].</w:t>
            </w:r>
            <w:r>
              <w:rPr>
                <w:rFonts w:eastAsiaTheme="majorEastAsia"/>
                <w:color w:val="000000"/>
              </w:rPr>
              <w:t xml:space="preserve"> 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  <w:rPr>
                <w:color w:val="000000"/>
              </w:rPr>
            </w:pPr>
            <w:r w:rsidRPr="0039767B">
              <w:rPr>
                <w:color w:val="000000"/>
              </w:rPr>
              <w:t>Expecting a child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0.09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</w:t>
            </w:r>
          </w:p>
        </w:tc>
        <w:tc>
          <w:tcPr>
            <w:tcW w:w="13807" w:type="dxa"/>
          </w:tcPr>
          <w:p w:rsidR="007E2E9E" w:rsidRPr="009C48FC" w:rsidRDefault="007E2E9E" w:rsidP="00612322">
            <w:pPr>
              <w:pStyle w:val="TT"/>
              <w:rPr>
                <w:color w:val="000000" w:themeColor="text1"/>
              </w:rPr>
            </w:pPr>
            <w:r w:rsidRPr="009C48FC">
              <w:rPr>
                <w:color w:val="000000" w:themeColor="text1"/>
              </w:rPr>
              <w:t>Dichotomous indicator of whether respondent or their partner were expecting a child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</w:pPr>
            <w:r w:rsidRPr="0039767B">
              <w:rPr>
                <w:color w:val="000000"/>
              </w:rPr>
              <w:t>Enrolled in school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0.25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</w:t>
            </w:r>
          </w:p>
        </w:tc>
        <w:tc>
          <w:tcPr>
            <w:tcW w:w="13807" w:type="dxa"/>
          </w:tcPr>
          <w:p w:rsidR="007E2E9E" w:rsidRPr="009C48FC" w:rsidRDefault="007E2E9E" w:rsidP="00612322">
            <w:pPr>
              <w:pStyle w:val="TT"/>
            </w:pPr>
            <w:r w:rsidRPr="009C48FC">
              <w:rPr>
                <w:color w:val="000000" w:themeColor="text1"/>
              </w:rPr>
              <w:t>Dichotomous indicator of school enrollment</w:t>
            </w:r>
          </w:p>
        </w:tc>
      </w:tr>
      <w:tr w:rsidR="007E2E9E" w:rsidRPr="0039767B" w:rsidTr="00612322">
        <w:trPr>
          <w:trHeight w:val="113"/>
        </w:trPr>
        <w:tc>
          <w:tcPr>
            <w:tcW w:w="1969" w:type="dxa"/>
          </w:tcPr>
          <w:p w:rsidR="007E2E9E" w:rsidRPr="00612322" w:rsidRDefault="007E2E9E" w:rsidP="00612322">
            <w:pPr>
              <w:pStyle w:val="TT"/>
              <w:spacing w:after="200"/>
              <w:rPr>
                <w:color w:val="000000"/>
              </w:rPr>
            </w:pPr>
            <w:r w:rsidRPr="0039767B">
              <w:rPr>
                <w:color w:val="000000"/>
              </w:rPr>
              <w:t>Supervision</w:t>
            </w:r>
          </w:p>
        </w:tc>
        <w:tc>
          <w:tcPr>
            <w:tcW w:w="1460" w:type="dxa"/>
          </w:tcPr>
          <w:p w:rsidR="007E2E9E" w:rsidRPr="0039767B" w:rsidRDefault="007E2E9E" w:rsidP="00612322">
            <w:pPr>
              <w:pStyle w:val="TT"/>
              <w:rPr>
                <w:color w:val="000000"/>
              </w:rPr>
            </w:pPr>
            <w:r w:rsidRPr="0039767B">
              <w:rPr>
                <w:color w:val="000000"/>
              </w:rPr>
              <w:t>0.25</w:t>
            </w:r>
          </w:p>
        </w:tc>
        <w:tc>
          <w:tcPr>
            <w:tcW w:w="1353" w:type="dxa"/>
          </w:tcPr>
          <w:p w:rsidR="007E2E9E" w:rsidRPr="00733F39" w:rsidRDefault="007E2E9E" w:rsidP="00612322">
            <w:pPr>
              <w:pStyle w:val="TT"/>
              <w:rPr>
                <w:color w:val="000000"/>
              </w:rPr>
            </w:pPr>
            <w:r>
              <w:t>—</w:t>
            </w:r>
          </w:p>
        </w:tc>
        <w:tc>
          <w:tcPr>
            <w:tcW w:w="1358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383" w:type="dxa"/>
          </w:tcPr>
          <w:p w:rsidR="007E2E9E" w:rsidRPr="009C48FC" w:rsidRDefault="007E2E9E" w:rsidP="00612322">
            <w:pPr>
              <w:pStyle w:val="TT"/>
              <w:rPr>
                <w:color w:val="000000"/>
              </w:rPr>
            </w:pPr>
            <w:r w:rsidRPr="009C48FC">
              <w:rPr>
                <w:color w:val="000000"/>
              </w:rPr>
              <w:t>1</w:t>
            </w:r>
          </w:p>
        </w:tc>
        <w:tc>
          <w:tcPr>
            <w:tcW w:w="13807" w:type="dxa"/>
          </w:tcPr>
          <w:p w:rsidR="007E2E9E" w:rsidRPr="009C48FC" w:rsidRDefault="007E2E9E" w:rsidP="00612322">
            <w:pPr>
              <w:pStyle w:val="TT"/>
              <w:rPr>
                <w:color w:val="000000" w:themeColor="text1"/>
              </w:rPr>
            </w:pPr>
            <w:r w:rsidRPr="009C48FC">
              <w:rPr>
                <w:color w:val="000000"/>
              </w:rPr>
              <w:t>Dichotomous indicator of criminal justice supervision (probation or parole)</w:t>
            </w:r>
          </w:p>
        </w:tc>
      </w:tr>
    </w:tbl>
    <w:p w:rsidR="007E2E9E" w:rsidRPr="000E1E40" w:rsidRDefault="007E2E9E" w:rsidP="007E2E9E">
      <w:pPr>
        <w:pStyle w:val="CPSO"/>
        <w:framePr w:hSpace="180" w:wrap="around" w:vAnchor="page" w:hAnchor="margin" w:y="1561"/>
      </w:pPr>
      <w:r w:rsidRPr="00612322">
        <w:rPr>
          <w:i/>
        </w:rPr>
        <w:t>Note</w:t>
      </w:r>
      <w:r>
        <w:t xml:space="preserve">. </w:t>
      </w:r>
      <w:proofErr w:type="gramStart"/>
      <w:r w:rsidRPr="00612322">
        <w:t>Additional details available online</w:t>
      </w:r>
      <w:r w:rsidRPr="004A3F7A">
        <w:t xml:space="preserve"> at </w:t>
      </w:r>
      <w:hyperlink r:id="rId6" w:history="1">
        <w:r w:rsidRPr="00612322">
          <w:t>http://www.pathwaysstudy.pitt.edu/codebook/measures.html</w:t>
        </w:r>
      </w:hyperlink>
      <w:r w:rsidRPr="00612322">
        <w:t>.</w:t>
      </w:r>
      <w:proofErr w:type="gramEnd"/>
      <w:r w:rsidRPr="004A3F7A">
        <w:t xml:space="preserve"> </w:t>
      </w:r>
      <w:r w:rsidRPr="00612322">
        <w:t>BL = baseline; W = wave.</w:t>
      </w:r>
    </w:p>
    <w:p w:rsidR="007E2E9E" w:rsidRPr="000E1E40" w:rsidRDefault="007E2E9E" w:rsidP="007E2E9E">
      <w:pPr>
        <w:pStyle w:val="CPSO"/>
        <w:framePr w:hSpace="180" w:wrap="around" w:vAnchor="page" w:hAnchor="margin" w:y="1561"/>
      </w:pPr>
      <w:proofErr w:type="gramStart"/>
      <w:r w:rsidRPr="00612322">
        <w:rPr>
          <w:vertAlign w:val="superscript"/>
        </w:rPr>
        <w:t>a</w:t>
      </w:r>
      <w:proofErr w:type="gramEnd"/>
      <w:r w:rsidRPr="00612322">
        <w:t xml:space="preserve"> Descriptives provided for only working recall periods.</w:t>
      </w:r>
    </w:p>
    <w:p w:rsidR="00DD150E" w:rsidRDefault="00DD150E"/>
    <w:sectPr w:rsidR="00DD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B0E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1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4CD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BA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896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A6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6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391502"/>
    <w:multiLevelType w:val="hybridMultilevel"/>
    <w:tmpl w:val="4766AA9A"/>
    <w:lvl w:ilvl="0" w:tplc="012C6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2847"/>
    <w:multiLevelType w:val="hybridMultilevel"/>
    <w:tmpl w:val="50E247A8"/>
    <w:lvl w:ilvl="0" w:tplc="012C6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7220"/>
    <w:multiLevelType w:val="hybridMultilevel"/>
    <w:tmpl w:val="0682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2819"/>
    <w:multiLevelType w:val="hybridMultilevel"/>
    <w:tmpl w:val="29B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E"/>
    <w:rsid w:val="00012E13"/>
    <w:rsid w:val="0018178B"/>
    <w:rsid w:val="001E13AB"/>
    <w:rsid w:val="0038695C"/>
    <w:rsid w:val="00456F28"/>
    <w:rsid w:val="007859F5"/>
    <w:rsid w:val="007E2E9E"/>
    <w:rsid w:val="009A3D8D"/>
    <w:rsid w:val="00AC7696"/>
    <w:rsid w:val="00BF7C29"/>
    <w:rsid w:val="00D50C40"/>
    <w:rsid w:val="00D62F56"/>
    <w:rsid w:val="00DD150E"/>
    <w:rsid w:val="00E6386B"/>
    <w:rsid w:val="00EA232A"/>
    <w:rsid w:val="00EA361B"/>
    <w:rsid w:val="00EE6E57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E"/>
    <w:rPr>
      <w:rFonts w:ascii="Calibri" w:eastAsia="Calibri" w:hAnsi="Calibri" w:cs="Times New Roman"/>
    </w:rPr>
  </w:style>
  <w:style w:type="paragraph" w:styleId="Heading1">
    <w:name w:val="heading 1"/>
    <w:aliases w:val="HEADING 1"/>
    <w:basedOn w:val="Normal"/>
    <w:next w:val="Normal"/>
    <w:link w:val="Heading1Char"/>
    <w:autoRedefine/>
    <w:uiPriority w:val="9"/>
    <w:qFormat/>
    <w:rsid w:val="007E2E9E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E9E"/>
    <w:pPr>
      <w:framePr w:hSpace="180" w:wrap="around" w:vAnchor="page" w:hAnchor="margin" w:y="1561"/>
      <w:contextualSpacing/>
      <w:outlineLvl w:val="1"/>
    </w:pPr>
    <w:rPr>
      <w:rFonts w:eastAsiaTheme="minorHAns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E9E"/>
    <w:pPr>
      <w:spacing w:line="480" w:lineRule="auto"/>
      <w:outlineLvl w:val="2"/>
    </w:pPr>
    <w:rPr>
      <w:rFonts w:eastAsia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7E2E9E"/>
    <w:rPr>
      <w:rFonts w:ascii="Calibri" w:eastAsiaTheme="majorEastAsia" w:hAnsi="Calibri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E2E9E"/>
    <w:rPr>
      <w:rFonts w:ascii="Calibri" w:hAnsi="Calibri" w:cs="Times New Roman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E2E9E"/>
    <w:rPr>
      <w:rFonts w:ascii="Calibri" w:hAnsi="Calibri" w:cs="Times New Roman"/>
      <w:i/>
    </w:rPr>
  </w:style>
  <w:style w:type="paragraph" w:styleId="ListParagraph">
    <w:name w:val="List Paragraph"/>
    <w:basedOn w:val="Normal"/>
    <w:uiPriority w:val="34"/>
    <w:qFormat/>
    <w:rsid w:val="007E2E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Spacing"/>
    <w:link w:val="FootnoteTextChar"/>
    <w:autoRedefine/>
    <w:uiPriority w:val="99"/>
    <w:unhideWhenUsed/>
    <w:qFormat/>
    <w:rsid w:val="007E2E9E"/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E9E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E2E9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2E9E"/>
    <w:rPr>
      <w:sz w:val="16"/>
      <w:szCs w:val="16"/>
    </w:rPr>
  </w:style>
  <w:style w:type="paragraph" w:styleId="NoSpacing">
    <w:name w:val="No Spacing"/>
    <w:uiPriority w:val="1"/>
    <w:qFormat/>
    <w:rsid w:val="007E2E9E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2E9E"/>
  </w:style>
  <w:style w:type="character" w:styleId="PageNumber">
    <w:name w:val="page number"/>
    <w:basedOn w:val="DefaultParagraphFont"/>
    <w:uiPriority w:val="99"/>
    <w:semiHidden/>
    <w:unhideWhenUsed/>
    <w:rsid w:val="007E2E9E"/>
  </w:style>
  <w:style w:type="paragraph" w:styleId="Header">
    <w:name w:val="header"/>
    <w:basedOn w:val="Normal"/>
    <w:link w:val="HeaderChar"/>
    <w:uiPriority w:val="99"/>
    <w:unhideWhenUsed/>
    <w:rsid w:val="007E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2E9E"/>
  </w:style>
  <w:style w:type="paragraph" w:styleId="CommentText">
    <w:name w:val="annotation text"/>
    <w:basedOn w:val="Normal"/>
    <w:link w:val="CommentTextChar"/>
    <w:uiPriority w:val="99"/>
    <w:semiHidden/>
    <w:unhideWhenUsed/>
    <w:rsid w:val="007E2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9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9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E9E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HING">
    <w:name w:val="NOTHING"/>
    <w:qFormat/>
    <w:rsid w:val="007E2E9E"/>
    <w:pPr>
      <w:spacing w:after="0" w:line="240" w:lineRule="auto"/>
      <w:ind w:left="3600" w:hanging="360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2E9E"/>
  </w:style>
  <w:style w:type="character" w:styleId="PlaceholderText">
    <w:name w:val="Placeholder Text"/>
    <w:basedOn w:val="DefaultParagraphFont"/>
    <w:uiPriority w:val="99"/>
    <w:semiHidden/>
    <w:rsid w:val="007E2E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2E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E9E"/>
  </w:style>
  <w:style w:type="paragraph" w:customStyle="1" w:styleId="Style1">
    <w:name w:val="Style1"/>
    <w:basedOn w:val="Heading2"/>
    <w:autoRedefine/>
    <w:qFormat/>
    <w:rsid w:val="007E2E9E"/>
    <w:pPr>
      <w:keepNext/>
      <w:keepLines/>
      <w:framePr w:wrap="around" w:vAnchor="margin" w:hAnchor="text"/>
      <w:spacing w:before="40"/>
      <w:contextualSpacing w:val="0"/>
    </w:pPr>
    <w:rPr>
      <w:rFonts w:eastAsiaTheme="majorEastAsia"/>
      <w:b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E9E"/>
    <w:rPr>
      <w:color w:val="605E5C"/>
      <w:shd w:val="clear" w:color="auto" w:fill="E1DFDD"/>
    </w:rPr>
  </w:style>
  <w:style w:type="paragraph" w:customStyle="1" w:styleId="Body">
    <w:name w:val="Body"/>
    <w:rsid w:val="007E2E9E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ABKW">
    <w:name w:val="ABKW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BKWH">
    <w:name w:val="ABKWH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ABT">
    <w:name w:val="AB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F">
    <w:name w:val="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N">
    <w:name w:val="A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S">
    <w:name w:val="AS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T">
    <w:name w:val="AT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U">
    <w:name w:val="AU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BL">
    <w:name w:val="BL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666633"/>
      <w:sz w:val="24"/>
      <w:szCs w:val="24"/>
    </w:rPr>
  </w:style>
  <w:style w:type="paragraph" w:customStyle="1" w:styleId="BRA">
    <w:name w:val="BRA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AF">
    <w:name w:val="BR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D">
    <w:name w:val="BRD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E">
    <w:name w:val="BR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REF">
    <w:name w:val="BRRE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">
    <w:name w:val="BR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I">
    <w:name w:val="BRT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CL">
    <w:name w:val="CL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CP">
    <w:name w:val="CP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</w:rPr>
  </w:style>
  <w:style w:type="paragraph" w:customStyle="1" w:styleId="CPB">
    <w:name w:val="CPB"/>
    <w:basedOn w:val="Normal"/>
    <w:link w:val="CPBChar"/>
    <w:autoRedefine/>
    <w:qFormat/>
    <w:rsid w:val="007E2E9E"/>
    <w:rPr>
      <w:color w:val="E36C0A"/>
    </w:rPr>
  </w:style>
  <w:style w:type="paragraph" w:customStyle="1" w:styleId="CPSO">
    <w:name w:val="CPSO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DI">
    <w:name w:val="D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DR">
    <w:name w:val="DR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H">
    <w:name w:val="EH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76923C"/>
      <w:sz w:val="24"/>
      <w:szCs w:val="24"/>
    </w:rPr>
  </w:style>
  <w:style w:type="paragraph" w:customStyle="1" w:styleId="EN">
    <w:name w:val="E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Q">
    <w:name w:val="EQ"/>
    <w:link w:val="EQChar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X">
    <w:name w:val="EX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70C0"/>
      <w:sz w:val="24"/>
      <w:szCs w:val="24"/>
    </w:rPr>
  </w:style>
  <w:style w:type="paragraph" w:customStyle="1" w:styleId="H1">
    <w:name w:val="H1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</w:rPr>
  </w:style>
  <w:style w:type="paragraph" w:customStyle="1" w:styleId="H2">
    <w:name w:val="H2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H3">
    <w:name w:val="H3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H4">
    <w:name w:val="H4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6600CC"/>
      <w:sz w:val="24"/>
      <w:szCs w:val="24"/>
    </w:rPr>
  </w:style>
  <w:style w:type="paragraph" w:customStyle="1" w:styleId="H4IN">
    <w:name w:val="H4 IN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IN">
    <w:name w:val="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INFL">
    <w:name w:val="IN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ML">
    <w:name w:val="M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L">
    <w:name w:val="N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NUM">
    <w:name w:val="NNUM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PIN">
    <w:name w:val="OP 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Q">
    <w:name w:val="OQ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">
    <w:name w:val="OU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FL">
    <w:name w:val="OUT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">
    <w:name w:val="OUT 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FL">
    <w:name w:val="OUT IN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O">
    <w:name w:val="PO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X">
    <w:name w:val="PX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QS">
    <w:name w:val="QS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">
    <w:name w:val="RE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Double">
    <w:name w:val="Ref Num Doubl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Single">
    <w:name w:val="Ref Num Singl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">
    <w:name w:val="S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AF">
    <w:name w:val="SI 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BL">
    <w:name w:val="TB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CH">
    <w:name w:val="TCH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">
    <w:name w:val="TEX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IND">
    <w:name w:val="TEXT IND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NL">
    <w:name w:val="TN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T">
    <w:name w:val="T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Y">
    <w:name w:val="TY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UL">
    <w:name w:val="U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B">
    <w:name w:val="ULB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T">
    <w:name w:val="UL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AQ">
    <w:name w:val="AQ"/>
    <w:basedOn w:val="DefaultParagraphFont"/>
    <w:uiPriority w:val="1"/>
    <w:qFormat/>
    <w:rsid w:val="007E2E9E"/>
  </w:style>
  <w:style w:type="character" w:customStyle="1" w:styleId="CPBChar">
    <w:name w:val="CPB Char"/>
    <w:link w:val="CPB"/>
    <w:rsid w:val="007E2E9E"/>
    <w:rPr>
      <w:rFonts w:ascii="Calibri" w:eastAsia="Calibri" w:hAnsi="Calibri" w:cs="Times New Roman"/>
      <w:color w:val="E36C0A"/>
    </w:rPr>
  </w:style>
  <w:style w:type="paragraph" w:styleId="EndnoteText">
    <w:name w:val="endnote text"/>
    <w:basedOn w:val="Normal"/>
    <w:link w:val="EndnoteTextChar"/>
    <w:semiHidden/>
    <w:rsid w:val="007E2E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E9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rsid w:val="007E2E9E"/>
    <w:rPr>
      <w:vertAlign w:val="superscript"/>
    </w:rPr>
  </w:style>
  <w:style w:type="paragraph" w:customStyle="1" w:styleId="SUBBL">
    <w:name w:val="SUB BL"/>
    <w:autoRedefine/>
    <w:qFormat/>
    <w:rsid w:val="007E2E9E"/>
    <w:pPr>
      <w:spacing w:after="0" w:line="240" w:lineRule="auto"/>
    </w:pPr>
    <w:rPr>
      <w:rFonts w:ascii="Calibri" w:eastAsia="Calibri" w:hAnsi="Calibri" w:cs="Times New Roman"/>
      <w:color w:val="31849B"/>
    </w:rPr>
  </w:style>
  <w:style w:type="paragraph" w:customStyle="1" w:styleId="SUBNL">
    <w:name w:val="SUB NL"/>
    <w:basedOn w:val="Normal"/>
    <w:autoRedefine/>
    <w:qFormat/>
    <w:rsid w:val="007E2E9E"/>
    <w:rPr>
      <w:color w:val="984806"/>
    </w:rPr>
  </w:style>
  <w:style w:type="paragraph" w:customStyle="1" w:styleId="CCODE">
    <w:name w:val="CCODE"/>
    <w:qFormat/>
    <w:rsid w:val="007E2E9E"/>
    <w:pPr>
      <w:spacing w:after="0" w:line="240" w:lineRule="auto"/>
    </w:pPr>
    <w:rPr>
      <w:rFonts w:ascii="Calibri" w:eastAsia="Calibri" w:hAnsi="Calibri" w:cs="Times New Roman"/>
      <w:color w:val="4F6228"/>
    </w:rPr>
  </w:style>
  <w:style w:type="character" w:styleId="Emphasis">
    <w:name w:val="Emphasis"/>
    <w:uiPriority w:val="20"/>
    <w:qFormat/>
    <w:rsid w:val="007E2E9E"/>
    <w:rPr>
      <w:i/>
      <w:iCs/>
    </w:rPr>
  </w:style>
  <w:style w:type="paragraph" w:customStyle="1" w:styleId="LL">
    <w:name w:val="LL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ORCID">
    <w:name w:val="ORCID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UBLL">
    <w:name w:val="SUB LL"/>
    <w:autoRedefine/>
    <w:rsid w:val="007E2E9E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BIO">
    <w:name w:val="BIO"/>
    <w:autoRedefine/>
    <w:rsid w:val="007E2E9E"/>
    <w:pPr>
      <w:spacing w:after="0" w:line="240" w:lineRule="auto"/>
    </w:pPr>
    <w:rPr>
      <w:rFonts w:ascii="Calibri" w:eastAsia="Calibri" w:hAnsi="Calibri" w:cs="Times New Roman"/>
      <w:color w:val="0000FF"/>
    </w:rPr>
  </w:style>
  <w:style w:type="paragraph" w:customStyle="1" w:styleId="ATTRIB">
    <w:name w:val="ATTRIB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EX-BL">
    <w:name w:val="EX-B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NL">
    <w:name w:val="EX-NL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EX-UL">
    <w:name w:val="EX-U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80"/>
    </w:rPr>
  </w:style>
  <w:style w:type="paragraph" w:customStyle="1" w:styleId="EX-LL">
    <w:name w:val="EX-LL"/>
    <w:autoRedefine/>
    <w:rsid w:val="007E2E9E"/>
    <w:pPr>
      <w:spacing w:after="0" w:line="240" w:lineRule="auto"/>
    </w:pPr>
    <w:rPr>
      <w:rFonts w:ascii="Calibri" w:eastAsia="Calibri" w:hAnsi="Calibri" w:cs="Times New Roman"/>
      <w:color w:val="6666FF"/>
    </w:rPr>
  </w:style>
  <w:style w:type="paragraph" w:customStyle="1" w:styleId="EX-SUBBL">
    <w:name w:val="EX-SUBB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SUBNL">
    <w:name w:val="EX-SUBNL"/>
    <w:autoRedefine/>
    <w:rsid w:val="007E2E9E"/>
    <w:pPr>
      <w:spacing w:after="0" w:line="240" w:lineRule="auto"/>
    </w:pPr>
    <w:rPr>
      <w:rFonts w:ascii="Calibri" w:eastAsia="Calibri" w:hAnsi="Calibri" w:cs="Times New Roman"/>
      <w:color w:val="FF66FF"/>
    </w:rPr>
  </w:style>
  <w:style w:type="paragraph" w:customStyle="1" w:styleId="EX-SUBUL">
    <w:name w:val="EX-SUBUL"/>
    <w:autoRedefine/>
    <w:rsid w:val="007E2E9E"/>
    <w:pPr>
      <w:spacing w:after="0" w:line="240" w:lineRule="auto"/>
    </w:pPr>
    <w:rPr>
      <w:rFonts w:ascii="Calibri" w:eastAsia="Calibri" w:hAnsi="Calibri" w:cs="Times New Roman"/>
      <w:color w:val="CC6600"/>
    </w:rPr>
  </w:style>
  <w:style w:type="paragraph" w:customStyle="1" w:styleId="EX-SUBLL">
    <w:name w:val="EX-SUBLL"/>
    <w:autoRedefine/>
    <w:rsid w:val="007E2E9E"/>
    <w:pPr>
      <w:spacing w:after="0" w:line="240" w:lineRule="auto"/>
    </w:pPr>
    <w:rPr>
      <w:rFonts w:ascii="Calibri" w:eastAsia="Calibri" w:hAnsi="Calibri" w:cs="Times New Roman"/>
      <w:color w:val="009900"/>
    </w:rPr>
  </w:style>
  <w:style w:type="paragraph" w:customStyle="1" w:styleId="LI-TXT">
    <w:name w:val="LI-TXT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00"/>
    </w:rPr>
  </w:style>
  <w:style w:type="paragraph" w:customStyle="1" w:styleId="BOX-ST">
    <w:name w:val="BOX-ST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END">
    <w:name w:val="BOX-END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TT">
    <w:name w:val="BOX-TT"/>
    <w:autoRedefine/>
    <w:rsid w:val="007E2E9E"/>
    <w:pPr>
      <w:spacing w:after="0" w:line="240" w:lineRule="auto"/>
    </w:pPr>
    <w:rPr>
      <w:rFonts w:ascii="Calibri" w:eastAsia="Calibri" w:hAnsi="Calibri" w:cs="Times New Roman"/>
      <w:color w:val="FF6699"/>
    </w:rPr>
  </w:style>
  <w:style w:type="paragraph" w:customStyle="1" w:styleId="EXT-LINK">
    <w:name w:val="EXT-LINK"/>
    <w:autoRedefine/>
    <w:rsid w:val="007E2E9E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ALT-TEXT">
    <w:name w:val="ALT-TEXT"/>
    <w:autoRedefine/>
    <w:rsid w:val="007E2E9E"/>
    <w:pPr>
      <w:spacing w:after="0" w:line="240" w:lineRule="auto"/>
    </w:pPr>
    <w:rPr>
      <w:rFonts w:ascii="Calibri" w:eastAsia="Calibri" w:hAnsi="Calibri" w:cs="Times New Roman"/>
      <w:color w:val="FF3300"/>
    </w:rPr>
  </w:style>
  <w:style w:type="paragraph" w:customStyle="1" w:styleId="LONG-DESC">
    <w:name w:val="LONG-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FF"/>
    </w:rPr>
  </w:style>
  <w:style w:type="paragraph" w:customStyle="1" w:styleId="IMG">
    <w:name w:val="IMG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TLINK">
    <w:name w:val="TLINK"/>
    <w:autoRedefine/>
    <w:rsid w:val="007E2E9E"/>
    <w:pPr>
      <w:spacing w:after="0" w:line="240" w:lineRule="auto"/>
    </w:pPr>
    <w:rPr>
      <w:rFonts w:ascii="Calibri" w:eastAsia="Calibri" w:hAnsi="Calibri" w:cs="Times New Roman"/>
      <w:color w:val="CC0000"/>
    </w:rPr>
  </w:style>
  <w:style w:type="paragraph" w:customStyle="1" w:styleId="ALT">
    <w:name w:val="ALT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LDESC">
    <w:name w:val="L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CC0066"/>
    </w:rPr>
  </w:style>
  <w:style w:type="paragraph" w:customStyle="1" w:styleId="SIDEBAR">
    <w:name w:val="SIDEBAR"/>
    <w:autoRedefine/>
    <w:rsid w:val="007E2E9E"/>
    <w:pPr>
      <w:spacing w:after="0" w:line="240" w:lineRule="auto"/>
    </w:pPr>
    <w:rPr>
      <w:rFonts w:ascii="Calibri" w:eastAsia="Calibri" w:hAnsi="Calibri" w:cs="Times New Roman"/>
      <w:color w:val="6600FF"/>
    </w:rPr>
  </w:style>
  <w:style w:type="paragraph" w:customStyle="1" w:styleId="STITLE">
    <w:name w:val="STITLE"/>
    <w:autoRedefine/>
    <w:rsid w:val="007E2E9E"/>
    <w:pPr>
      <w:spacing w:after="0" w:line="240" w:lineRule="auto"/>
    </w:pPr>
    <w:rPr>
      <w:rFonts w:ascii="Calibri" w:eastAsia="Calibri" w:hAnsi="Calibri" w:cs="Times New Roman"/>
      <w:color w:val="FF00FF"/>
    </w:rPr>
  </w:style>
  <w:style w:type="paragraph" w:customStyle="1" w:styleId="ADDR">
    <w:name w:val="ADDR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REFDESC">
    <w:name w:val="REF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BEND">
    <w:name w:val="SBEND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character" w:styleId="Strong">
    <w:name w:val="Strong"/>
    <w:basedOn w:val="DefaultParagraphFont"/>
    <w:uiPriority w:val="22"/>
    <w:qFormat/>
    <w:rsid w:val="007E2E9E"/>
    <w:rPr>
      <w:b/>
      <w:bCs/>
    </w:rPr>
  </w:style>
  <w:style w:type="paragraph" w:customStyle="1" w:styleId="Doi">
    <w:name w:val="Doi"/>
    <w:basedOn w:val="CL"/>
    <w:qFormat/>
    <w:rsid w:val="007E2E9E"/>
  </w:style>
  <w:style w:type="paragraph" w:customStyle="1" w:styleId="Lrh">
    <w:name w:val="Lrh"/>
    <w:basedOn w:val="CL"/>
    <w:qFormat/>
    <w:rsid w:val="007E2E9E"/>
    <w:rPr>
      <w:i/>
    </w:rPr>
  </w:style>
  <w:style w:type="paragraph" w:customStyle="1" w:styleId="Rrh">
    <w:name w:val="Rrh"/>
    <w:basedOn w:val="CL"/>
    <w:qFormat/>
    <w:rsid w:val="007E2E9E"/>
    <w:rPr>
      <w:i/>
    </w:rPr>
  </w:style>
  <w:style w:type="paragraph" w:customStyle="1" w:styleId="Txy">
    <w:name w:val="Txy"/>
    <w:basedOn w:val="Normal"/>
    <w:qFormat/>
    <w:rsid w:val="007E2E9E"/>
    <w:pPr>
      <w:spacing w:line="480" w:lineRule="auto"/>
      <w:ind w:firstLine="720"/>
      <w:outlineLvl w:val="0"/>
    </w:pPr>
  </w:style>
  <w:style w:type="paragraph" w:customStyle="1" w:styleId="2">
    <w:name w:val="2"/>
    <w:basedOn w:val="Normal"/>
    <w:qFormat/>
    <w:rsid w:val="007E2E9E"/>
    <w:pPr>
      <w:autoSpaceDE w:val="0"/>
      <w:autoSpaceDN w:val="0"/>
      <w:adjustRightInd w:val="0"/>
      <w:spacing w:line="480" w:lineRule="auto"/>
    </w:pPr>
  </w:style>
  <w:style w:type="paragraph" w:customStyle="1" w:styleId="CCp">
    <w:name w:val="CCp"/>
    <w:basedOn w:val="REF"/>
    <w:qFormat/>
    <w:rsid w:val="007E2E9E"/>
    <w:pPr>
      <w:framePr w:hSpace="180" w:wrap="around" w:vAnchor="page" w:hAnchor="margin" w:y="1795"/>
    </w:pPr>
  </w:style>
  <w:style w:type="character" w:customStyle="1" w:styleId="UnresolvedMention">
    <w:name w:val="Unresolved Mention"/>
    <w:basedOn w:val="DefaultParagraphFont"/>
    <w:uiPriority w:val="99"/>
    <w:rsid w:val="007E2E9E"/>
    <w:rPr>
      <w:color w:val="605E5C"/>
      <w:shd w:val="clear" w:color="auto" w:fill="E1DFDD"/>
    </w:rPr>
  </w:style>
  <w:style w:type="paragraph" w:customStyle="1" w:styleId="Cspo">
    <w:name w:val="Cspo"/>
    <w:basedOn w:val="REF"/>
    <w:qFormat/>
    <w:rsid w:val="007E2E9E"/>
    <w:pPr>
      <w:framePr w:hSpace="180" w:wrap="around" w:vAnchor="text" w:hAnchor="margin" w:y="81"/>
    </w:pPr>
  </w:style>
  <w:style w:type="character" w:customStyle="1" w:styleId="MTConvertedEquation">
    <w:name w:val="MTConvertedEquation"/>
    <w:basedOn w:val="DefaultParagraphFont"/>
    <w:rsid w:val="007E2E9E"/>
    <w:rPr>
      <w:szCs w:val="24"/>
    </w:rPr>
  </w:style>
  <w:style w:type="paragraph" w:customStyle="1" w:styleId="MTDisplayEquation">
    <w:name w:val="MTDisplayEquation"/>
    <w:basedOn w:val="EQ"/>
    <w:next w:val="Normal"/>
    <w:link w:val="MTDisplayEquationChar"/>
    <w:rsid w:val="007E2E9E"/>
    <w:pPr>
      <w:tabs>
        <w:tab w:val="center" w:pos="6480"/>
        <w:tab w:val="right" w:pos="12960"/>
      </w:tabs>
    </w:pPr>
  </w:style>
  <w:style w:type="character" w:customStyle="1" w:styleId="EQChar">
    <w:name w:val="EQ Char"/>
    <w:basedOn w:val="DefaultParagraphFont"/>
    <w:link w:val="EQ"/>
    <w:rsid w:val="007E2E9E"/>
    <w:rPr>
      <w:rFonts w:ascii="Times New Roman" w:eastAsia="Calibri" w:hAnsi="Times New Roman" w:cs="Times New Roman"/>
      <w:sz w:val="24"/>
    </w:rPr>
  </w:style>
  <w:style w:type="character" w:customStyle="1" w:styleId="MTDisplayEquationChar">
    <w:name w:val="MTDisplayEquation Char"/>
    <w:basedOn w:val="EQChar"/>
    <w:link w:val="MTDisplayEquation"/>
    <w:rsid w:val="007E2E9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E"/>
    <w:rPr>
      <w:rFonts w:ascii="Calibri" w:eastAsia="Calibri" w:hAnsi="Calibri" w:cs="Times New Roman"/>
    </w:rPr>
  </w:style>
  <w:style w:type="paragraph" w:styleId="Heading1">
    <w:name w:val="heading 1"/>
    <w:aliases w:val="HEADING 1"/>
    <w:basedOn w:val="Normal"/>
    <w:next w:val="Normal"/>
    <w:link w:val="Heading1Char"/>
    <w:autoRedefine/>
    <w:uiPriority w:val="9"/>
    <w:qFormat/>
    <w:rsid w:val="007E2E9E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E9E"/>
    <w:pPr>
      <w:framePr w:hSpace="180" w:wrap="around" w:vAnchor="page" w:hAnchor="margin" w:y="1561"/>
      <w:contextualSpacing/>
      <w:outlineLvl w:val="1"/>
    </w:pPr>
    <w:rPr>
      <w:rFonts w:eastAsiaTheme="minorHAns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E9E"/>
    <w:pPr>
      <w:spacing w:line="480" w:lineRule="auto"/>
      <w:outlineLvl w:val="2"/>
    </w:pPr>
    <w:rPr>
      <w:rFonts w:eastAsia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7E2E9E"/>
    <w:rPr>
      <w:rFonts w:ascii="Calibri" w:eastAsiaTheme="majorEastAsia" w:hAnsi="Calibri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E2E9E"/>
    <w:rPr>
      <w:rFonts w:ascii="Calibri" w:hAnsi="Calibri" w:cs="Times New Roman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E2E9E"/>
    <w:rPr>
      <w:rFonts w:ascii="Calibri" w:hAnsi="Calibri" w:cs="Times New Roman"/>
      <w:i/>
    </w:rPr>
  </w:style>
  <w:style w:type="paragraph" w:styleId="ListParagraph">
    <w:name w:val="List Paragraph"/>
    <w:basedOn w:val="Normal"/>
    <w:uiPriority w:val="34"/>
    <w:qFormat/>
    <w:rsid w:val="007E2E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Spacing"/>
    <w:link w:val="FootnoteTextChar"/>
    <w:autoRedefine/>
    <w:uiPriority w:val="99"/>
    <w:unhideWhenUsed/>
    <w:qFormat/>
    <w:rsid w:val="007E2E9E"/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E9E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E2E9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2E9E"/>
    <w:rPr>
      <w:sz w:val="16"/>
      <w:szCs w:val="16"/>
    </w:rPr>
  </w:style>
  <w:style w:type="paragraph" w:styleId="NoSpacing">
    <w:name w:val="No Spacing"/>
    <w:uiPriority w:val="1"/>
    <w:qFormat/>
    <w:rsid w:val="007E2E9E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2E9E"/>
  </w:style>
  <w:style w:type="character" w:styleId="PageNumber">
    <w:name w:val="page number"/>
    <w:basedOn w:val="DefaultParagraphFont"/>
    <w:uiPriority w:val="99"/>
    <w:semiHidden/>
    <w:unhideWhenUsed/>
    <w:rsid w:val="007E2E9E"/>
  </w:style>
  <w:style w:type="paragraph" w:styleId="Header">
    <w:name w:val="header"/>
    <w:basedOn w:val="Normal"/>
    <w:link w:val="HeaderChar"/>
    <w:uiPriority w:val="99"/>
    <w:unhideWhenUsed/>
    <w:rsid w:val="007E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2E9E"/>
  </w:style>
  <w:style w:type="paragraph" w:styleId="CommentText">
    <w:name w:val="annotation text"/>
    <w:basedOn w:val="Normal"/>
    <w:link w:val="CommentTextChar"/>
    <w:uiPriority w:val="99"/>
    <w:semiHidden/>
    <w:unhideWhenUsed/>
    <w:rsid w:val="007E2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9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9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E9E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HING">
    <w:name w:val="NOTHING"/>
    <w:qFormat/>
    <w:rsid w:val="007E2E9E"/>
    <w:pPr>
      <w:spacing w:after="0" w:line="240" w:lineRule="auto"/>
      <w:ind w:left="3600" w:hanging="360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2E9E"/>
  </w:style>
  <w:style w:type="character" w:styleId="PlaceholderText">
    <w:name w:val="Placeholder Text"/>
    <w:basedOn w:val="DefaultParagraphFont"/>
    <w:uiPriority w:val="99"/>
    <w:semiHidden/>
    <w:rsid w:val="007E2E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2E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E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E9E"/>
  </w:style>
  <w:style w:type="paragraph" w:customStyle="1" w:styleId="Style1">
    <w:name w:val="Style1"/>
    <w:basedOn w:val="Heading2"/>
    <w:autoRedefine/>
    <w:qFormat/>
    <w:rsid w:val="007E2E9E"/>
    <w:pPr>
      <w:keepNext/>
      <w:keepLines/>
      <w:framePr w:wrap="around" w:vAnchor="margin" w:hAnchor="text"/>
      <w:spacing w:before="40"/>
      <w:contextualSpacing w:val="0"/>
    </w:pPr>
    <w:rPr>
      <w:rFonts w:eastAsiaTheme="majorEastAsia"/>
      <w:b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E9E"/>
    <w:rPr>
      <w:color w:val="605E5C"/>
      <w:shd w:val="clear" w:color="auto" w:fill="E1DFDD"/>
    </w:rPr>
  </w:style>
  <w:style w:type="paragraph" w:customStyle="1" w:styleId="Body">
    <w:name w:val="Body"/>
    <w:rsid w:val="007E2E9E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ABKW">
    <w:name w:val="ABKW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BKWH">
    <w:name w:val="ABKWH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ABT">
    <w:name w:val="AB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F">
    <w:name w:val="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N">
    <w:name w:val="A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S">
    <w:name w:val="AS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T">
    <w:name w:val="AT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U">
    <w:name w:val="AU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BL">
    <w:name w:val="BL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666633"/>
      <w:sz w:val="24"/>
      <w:szCs w:val="24"/>
    </w:rPr>
  </w:style>
  <w:style w:type="paragraph" w:customStyle="1" w:styleId="BRA">
    <w:name w:val="BRA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AF">
    <w:name w:val="BR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D">
    <w:name w:val="BRD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E">
    <w:name w:val="BR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REF">
    <w:name w:val="BRRE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">
    <w:name w:val="BR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I">
    <w:name w:val="BRT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CL">
    <w:name w:val="CL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CP">
    <w:name w:val="CP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</w:rPr>
  </w:style>
  <w:style w:type="paragraph" w:customStyle="1" w:styleId="CPB">
    <w:name w:val="CPB"/>
    <w:basedOn w:val="Normal"/>
    <w:link w:val="CPBChar"/>
    <w:autoRedefine/>
    <w:qFormat/>
    <w:rsid w:val="007E2E9E"/>
    <w:rPr>
      <w:color w:val="E36C0A"/>
    </w:rPr>
  </w:style>
  <w:style w:type="paragraph" w:customStyle="1" w:styleId="CPSO">
    <w:name w:val="CPSO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DI">
    <w:name w:val="D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DR">
    <w:name w:val="DR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H">
    <w:name w:val="EH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76923C"/>
      <w:sz w:val="24"/>
      <w:szCs w:val="24"/>
    </w:rPr>
  </w:style>
  <w:style w:type="paragraph" w:customStyle="1" w:styleId="EN">
    <w:name w:val="E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Q">
    <w:name w:val="EQ"/>
    <w:link w:val="EQChar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X">
    <w:name w:val="EX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70C0"/>
      <w:sz w:val="24"/>
      <w:szCs w:val="24"/>
    </w:rPr>
  </w:style>
  <w:style w:type="paragraph" w:customStyle="1" w:styleId="H1">
    <w:name w:val="H1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</w:rPr>
  </w:style>
  <w:style w:type="paragraph" w:customStyle="1" w:styleId="H2">
    <w:name w:val="H2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H3">
    <w:name w:val="H3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H4">
    <w:name w:val="H4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6600CC"/>
      <w:sz w:val="24"/>
      <w:szCs w:val="24"/>
    </w:rPr>
  </w:style>
  <w:style w:type="paragraph" w:customStyle="1" w:styleId="H4IN">
    <w:name w:val="H4 IN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IN">
    <w:name w:val="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INFL">
    <w:name w:val="IN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ML">
    <w:name w:val="M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L">
    <w:name w:val="N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NUM">
    <w:name w:val="NNUM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PIN">
    <w:name w:val="OP 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Q">
    <w:name w:val="OQ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">
    <w:name w:val="OU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FL">
    <w:name w:val="OUT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">
    <w:name w:val="OUT IN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FL">
    <w:name w:val="OUT IN F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O">
    <w:name w:val="PO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X">
    <w:name w:val="PX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QS">
    <w:name w:val="QS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">
    <w:name w:val="RE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Double">
    <w:name w:val="Ref Num Doubl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Single">
    <w:name w:val="Ref Num Single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">
    <w:name w:val="SI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AF">
    <w:name w:val="SI AF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BL">
    <w:name w:val="TB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CH">
    <w:name w:val="TCH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">
    <w:name w:val="TEX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IND">
    <w:name w:val="TEXT IND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NL">
    <w:name w:val="TN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T">
    <w:name w:val="T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Y">
    <w:name w:val="TY"/>
    <w:autoRedefine/>
    <w:rsid w:val="007E2E9E"/>
    <w:pPr>
      <w:spacing w:after="0" w:line="360" w:lineRule="auto"/>
    </w:pPr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UL">
    <w:name w:val="UL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B">
    <w:name w:val="ULB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T">
    <w:name w:val="ULT"/>
    <w:rsid w:val="007E2E9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AQ">
    <w:name w:val="AQ"/>
    <w:basedOn w:val="DefaultParagraphFont"/>
    <w:uiPriority w:val="1"/>
    <w:qFormat/>
    <w:rsid w:val="007E2E9E"/>
  </w:style>
  <w:style w:type="character" w:customStyle="1" w:styleId="CPBChar">
    <w:name w:val="CPB Char"/>
    <w:link w:val="CPB"/>
    <w:rsid w:val="007E2E9E"/>
    <w:rPr>
      <w:rFonts w:ascii="Calibri" w:eastAsia="Calibri" w:hAnsi="Calibri" w:cs="Times New Roman"/>
      <w:color w:val="E36C0A"/>
    </w:rPr>
  </w:style>
  <w:style w:type="paragraph" w:styleId="EndnoteText">
    <w:name w:val="endnote text"/>
    <w:basedOn w:val="Normal"/>
    <w:link w:val="EndnoteTextChar"/>
    <w:semiHidden/>
    <w:rsid w:val="007E2E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E9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rsid w:val="007E2E9E"/>
    <w:rPr>
      <w:vertAlign w:val="superscript"/>
    </w:rPr>
  </w:style>
  <w:style w:type="paragraph" w:customStyle="1" w:styleId="SUBBL">
    <w:name w:val="SUB BL"/>
    <w:autoRedefine/>
    <w:qFormat/>
    <w:rsid w:val="007E2E9E"/>
    <w:pPr>
      <w:spacing w:after="0" w:line="240" w:lineRule="auto"/>
    </w:pPr>
    <w:rPr>
      <w:rFonts w:ascii="Calibri" w:eastAsia="Calibri" w:hAnsi="Calibri" w:cs="Times New Roman"/>
      <w:color w:val="31849B"/>
    </w:rPr>
  </w:style>
  <w:style w:type="paragraph" w:customStyle="1" w:styleId="SUBNL">
    <w:name w:val="SUB NL"/>
    <w:basedOn w:val="Normal"/>
    <w:autoRedefine/>
    <w:qFormat/>
    <w:rsid w:val="007E2E9E"/>
    <w:rPr>
      <w:color w:val="984806"/>
    </w:rPr>
  </w:style>
  <w:style w:type="paragraph" w:customStyle="1" w:styleId="CCODE">
    <w:name w:val="CCODE"/>
    <w:qFormat/>
    <w:rsid w:val="007E2E9E"/>
    <w:pPr>
      <w:spacing w:after="0" w:line="240" w:lineRule="auto"/>
    </w:pPr>
    <w:rPr>
      <w:rFonts w:ascii="Calibri" w:eastAsia="Calibri" w:hAnsi="Calibri" w:cs="Times New Roman"/>
      <w:color w:val="4F6228"/>
    </w:rPr>
  </w:style>
  <w:style w:type="character" w:styleId="Emphasis">
    <w:name w:val="Emphasis"/>
    <w:uiPriority w:val="20"/>
    <w:qFormat/>
    <w:rsid w:val="007E2E9E"/>
    <w:rPr>
      <w:i/>
      <w:iCs/>
    </w:rPr>
  </w:style>
  <w:style w:type="paragraph" w:customStyle="1" w:styleId="LL">
    <w:name w:val="LL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ORCID">
    <w:name w:val="ORCID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UBLL">
    <w:name w:val="SUB LL"/>
    <w:autoRedefine/>
    <w:rsid w:val="007E2E9E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BIO">
    <w:name w:val="BIO"/>
    <w:autoRedefine/>
    <w:rsid w:val="007E2E9E"/>
    <w:pPr>
      <w:spacing w:after="0" w:line="240" w:lineRule="auto"/>
    </w:pPr>
    <w:rPr>
      <w:rFonts w:ascii="Calibri" w:eastAsia="Calibri" w:hAnsi="Calibri" w:cs="Times New Roman"/>
      <w:color w:val="0000FF"/>
    </w:rPr>
  </w:style>
  <w:style w:type="paragraph" w:customStyle="1" w:styleId="ATTRIB">
    <w:name w:val="ATTRIB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EX-BL">
    <w:name w:val="EX-B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NL">
    <w:name w:val="EX-NL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EX-UL">
    <w:name w:val="EX-U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80"/>
    </w:rPr>
  </w:style>
  <w:style w:type="paragraph" w:customStyle="1" w:styleId="EX-LL">
    <w:name w:val="EX-LL"/>
    <w:autoRedefine/>
    <w:rsid w:val="007E2E9E"/>
    <w:pPr>
      <w:spacing w:after="0" w:line="240" w:lineRule="auto"/>
    </w:pPr>
    <w:rPr>
      <w:rFonts w:ascii="Calibri" w:eastAsia="Calibri" w:hAnsi="Calibri" w:cs="Times New Roman"/>
      <w:color w:val="6666FF"/>
    </w:rPr>
  </w:style>
  <w:style w:type="paragraph" w:customStyle="1" w:styleId="EX-SUBBL">
    <w:name w:val="EX-SUBBL"/>
    <w:autoRedefine/>
    <w:rsid w:val="007E2E9E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SUBNL">
    <w:name w:val="EX-SUBNL"/>
    <w:autoRedefine/>
    <w:rsid w:val="007E2E9E"/>
    <w:pPr>
      <w:spacing w:after="0" w:line="240" w:lineRule="auto"/>
    </w:pPr>
    <w:rPr>
      <w:rFonts w:ascii="Calibri" w:eastAsia="Calibri" w:hAnsi="Calibri" w:cs="Times New Roman"/>
      <w:color w:val="FF66FF"/>
    </w:rPr>
  </w:style>
  <w:style w:type="paragraph" w:customStyle="1" w:styleId="EX-SUBUL">
    <w:name w:val="EX-SUBUL"/>
    <w:autoRedefine/>
    <w:rsid w:val="007E2E9E"/>
    <w:pPr>
      <w:spacing w:after="0" w:line="240" w:lineRule="auto"/>
    </w:pPr>
    <w:rPr>
      <w:rFonts w:ascii="Calibri" w:eastAsia="Calibri" w:hAnsi="Calibri" w:cs="Times New Roman"/>
      <w:color w:val="CC6600"/>
    </w:rPr>
  </w:style>
  <w:style w:type="paragraph" w:customStyle="1" w:styleId="EX-SUBLL">
    <w:name w:val="EX-SUBLL"/>
    <w:autoRedefine/>
    <w:rsid w:val="007E2E9E"/>
    <w:pPr>
      <w:spacing w:after="0" w:line="240" w:lineRule="auto"/>
    </w:pPr>
    <w:rPr>
      <w:rFonts w:ascii="Calibri" w:eastAsia="Calibri" w:hAnsi="Calibri" w:cs="Times New Roman"/>
      <w:color w:val="009900"/>
    </w:rPr>
  </w:style>
  <w:style w:type="paragraph" w:customStyle="1" w:styleId="LI-TXT">
    <w:name w:val="LI-TXT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00"/>
    </w:rPr>
  </w:style>
  <w:style w:type="paragraph" w:customStyle="1" w:styleId="BOX-ST">
    <w:name w:val="BOX-ST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END">
    <w:name w:val="BOX-END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TT">
    <w:name w:val="BOX-TT"/>
    <w:autoRedefine/>
    <w:rsid w:val="007E2E9E"/>
    <w:pPr>
      <w:spacing w:after="0" w:line="240" w:lineRule="auto"/>
    </w:pPr>
    <w:rPr>
      <w:rFonts w:ascii="Calibri" w:eastAsia="Calibri" w:hAnsi="Calibri" w:cs="Times New Roman"/>
      <w:color w:val="FF6699"/>
    </w:rPr>
  </w:style>
  <w:style w:type="paragraph" w:customStyle="1" w:styleId="EXT-LINK">
    <w:name w:val="EXT-LINK"/>
    <w:autoRedefine/>
    <w:rsid w:val="007E2E9E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ALT-TEXT">
    <w:name w:val="ALT-TEXT"/>
    <w:autoRedefine/>
    <w:rsid w:val="007E2E9E"/>
    <w:pPr>
      <w:spacing w:after="0" w:line="240" w:lineRule="auto"/>
    </w:pPr>
    <w:rPr>
      <w:rFonts w:ascii="Calibri" w:eastAsia="Calibri" w:hAnsi="Calibri" w:cs="Times New Roman"/>
      <w:color w:val="FF3300"/>
    </w:rPr>
  </w:style>
  <w:style w:type="paragraph" w:customStyle="1" w:styleId="LONG-DESC">
    <w:name w:val="LONG-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FF"/>
    </w:rPr>
  </w:style>
  <w:style w:type="paragraph" w:customStyle="1" w:styleId="IMG">
    <w:name w:val="IMG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TLINK">
    <w:name w:val="TLINK"/>
    <w:autoRedefine/>
    <w:rsid w:val="007E2E9E"/>
    <w:pPr>
      <w:spacing w:after="0" w:line="240" w:lineRule="auto"/>
    </w:pPr>
    <w:rPr>
      <w:rFonts w:ascii="Calibri" w:eastAsia="Calibri" w:hAnsi="Calibri" w:cs="Times New Roman"/>
      <w:color w:val="CC0000"/>
    </w:rPr>
  </w:style>
  <w:style w:type="paragraph" w:customStyle="1" w:styleId="ALT">
    <w:name w:val="ALT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LDESC">
    <w:name w:val="L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CC0066"/>
    </w:rPr>
  </w:style>
  <w:style w:type="paragraph" w:customStyle="1" w:styleId="SIDEBAR">
    <w:name w:val="SIDEBAR"/>
    <w:autoRedefine/>
    <w:rsid w:val="007E2E9E"/>
    <w:pPr>
      <w:spacing w:after="0" w:line="240" w:lineRule="auto"/>
    </w:pPr>
    <w:rPr>
      <w:rFonts w:ascii="Calibri" w:eastAsia="Calibri" w:hAnsi="Calibri" w:cs="Times New Roman"/>
      <w:color w:val="6600FF"/>
    </w:rPr>
  </w:style>
  <w:style w:type="paragraph" w:customStyle="1" w:styleId="STITLE">
    <w:name w:val="STITLE"/>
    <w:autoRedefine/>
    <w:rsid w:val="007E2E9E"/>
    <w:pPr>
      <w:spacing w:after="0" w:line="240" w:lineRule="auto"/>
    </w:pPr>
    <w:rPr>
      <w:rFonts w:ascii="Calibri" w:eastAsia="Calibri" w:hAnsi="Calibri" w:cs="Times New Roman"/>
      <w:color w:val="FF00FF"/>
    </w:rPr>
  </w:style>
  <w:style w:type="paragraph" w:customStyle="1" w:styleId="ADDR">
    <w:name w:val="ADDR"/>
    <w:autoRedefine/>
    <w:rsid w:val="007E2E9E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REFDESC">
    <w:name w:val="REFDESC"/>
    <w:autoRedefine/>
    <w:rsid w:val="007E2E9E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BEND">
    <w:name w:val="SBEND"/>
    <w:autoRedefine/>
    <w:rsid w:val="007E2E9E"/>
    <w:pPr>
      <w:spacing w:after="0" w:line="240" w:lineRule="auto"/>
    </w:pPr>
    <w:rPr>
      <w:rFonts w:ascii="Calibri" w:eastAsia="Calibri" w:hAnsi="Calibri" w:cs="Times New Roman"/>
      <w:color w:val="339966"/>
    </w:rPr>
  </w:style>
  <w:style w:type="character" w:styleId="Strong">
    <w:name w:val="Strong"/>
    <w:basedOn w:val="DefaultParagraphFont"/>
    <w:uiPriority w:val="22"/>
    <w:qFormat/>
    <w:rsid w:val="007E2E9E"/>
    <w:rPr>
      <w:b/>
      <w:bCs/>
    </w:rPr>
  </w:style>
  <w:style w:type="paragraph" w:customStyle="1" w:styleId="Doi">
    <w:name w:val="Doi"/>
    <w:basedOn w:val="CL"/>
    <w:qFormat/>
    <w:rsid w:val="007E2E9E"/>
  </w:style>
  <w:style w:type="paragraph" w:customStyle="1" w:styleId="Lrh">
    <w:name w:val="Lrh"/>
    <w:basedOn w:val="CL"/>
    <w:qFormat/>
    <w:rsid w:val="007E2E9E"/>
    <w:rPr>
      <w:i/>
    </w:rPr>
  </w:style>
  <w:style w:type="paragraph" w:customStyle="1" w:styleId="Rrh">
    <w:name w:val="Rrh"/>
    <w:basedOn w:val="CL"/>
    <w:qFormat/>
    <w:rsid w:val="007E2E9E"/>
    <w:rPr>
      <w:i/>
    </w:rPr>
  </w:style>
  <w:style w:type="paragraph" w:customStyle="1" w:styleId="Txy">
    <w:name w:val="Txy"/>
    <w:basedOn w:val="Normal"/>
    <w:qFormat/>
    <w:rsid w:val="007E2E9E"/>
    <w:pPr>
      <w:spacing w:line="480" w:lineRule="auto"/>
      <w:ind w:firstLine="720"/>
      <w:outlineLvl w:val="0"/>
    </w:pPr>
  </w:style>
  <w:style w:type="paragraph" w:customStyle="1" w:styleId="2">
    <w:name w:val="2"/>
    <w:basedOn w:val="Normal"/>
    <w:qFormat/>
    <w:rsid w:val="007E2E9E"/>
    <w:pPr>
      <w:autoSpaceDE w:val="0"/>
      <w:autoSpaceDN w:val="0"/>
      <w:adjustRightInd w:val="0"/>
      <w:spacing w:line="480" w:lineRule="auto"/>
    </w:pPr>
  </w:style>
  <w:style w:type="paragraph" w:customStyle="1" w:styleId="CCp">
    <w:name w:val="CCp"/>
    <w:basedOn w:val="REF"/>
    <w:qFormat/>
    <w:rsid w:val="007E2E9E"/>
    <w:pPr>
      <w:framePr w:hSpace="180" w:wrap="around" w:vAnchor="page" w:hAnchor="margin" w:y="1795"/>
    </w:pPr>
  </w:style>
  <w:style w:type="character" w:customStyle="1" w:styleId="UnresolvedMention">
    <w:name w:val="Unresolved Mention"/>
    <w:basedOn w:val="DefaultParagraphFont"/>
    <w:uiPriority w:val="99"/>
    <w:rsid w:val="007E2E9E"/>
    <w:rPr>
      <w:color w:val="605E5C"/>
      <w:shd w:val="clear" w:color="auto" w:fill="E1DFDD"/>
    </w:rPr>
  </w:style>
  <w:style w:type="paragraph" w:customStyle="1" w:styleId="Cspo">
    <w:name w:val="Cspo"/>
    <w:basedOn w:val="REF"/>
    <w:qFormat/>
    <w:rsid w:val="007E2E9E"/>
    <w:pPr>
      <w:framePr w:hSpace="180" w:wrap="around" w:vAnchor="text" w:hAnchor="margin" w:y="81"/>
    </w:pPr>
  </w:style>
  <w:style w:type="character" w:customStyle="1" w:styleId="MTConvertedEquation">
    <w:name w:val="MTConvertedEquation"/>
    <w:basedOn w:val="DefaultParagraphFont"/>
    <w:rsid w:val="007E2E9E"/>
    <w:rPr>
      <w:szCs w:val="24"/>
    </w:rPr>
  </w:style>
  <w:style w:type="paragraph" w:customStyle="1" w:styleId="MTDisplayEquation">
    <w:name w:val="MTDisplayEquation"/>
    <w:basedOn w:val="EQ"/>
    <w:next w:val="Normal"/>
    <w:link w:val="MTDisplayEquationChar"/>
    <w:rsid w:val="007E2E9E"/>
    <w:pPr>
      <w:tabs>
        <w:tab w:val="center" w:pos="6480"/>
        <w:tab w:val="right" w:pos="12960"/>
      </w:tabs>
    </w:pPr>
  </w:style>
  <w:style w:type="character" w:customStyle="1" w:styleId="EQChar">
    <w:name w:val="EQ Char"/>
    <w:basedOn w:val="DefaultParagraphFont"/>
    <w:link w:val="EQ"/>
    <w:rsid w:val="007E2E9E"/>
    <w:rPr>
      <w:rFonts w:ascii="Times New Roman" w:eastAsia="Calibri" w:hAnsi="Times New Roman" w:cs="Times New Roman"/>
      <w:sz w:val="24"/>
    </w:rPr>
  </w:style>
  <w:style w:type="character" w:customStyle="1" w:styleId="MTDisplayEquationChar">
    <w:name w:val="MTDisplayEquation Char"/>
    <w:basedOn w:val="EQChar"/>
    <w:link w:val="MTDisplayEquation"/>
    <w:rsid w:val="007E2E9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hwaysstudy.pitt.edu/codebook/measur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7318</Characters>
  <Application>Microsoft Office Word</Application>
  <DocSecurity>0</DocSecurity>
  <Lines>60</Lines>
  <Paragraphs>17</Paragraphs>
  <ScaleCrop>false</ScaleCrop>
  <Company>HP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Suguna</dc:creator>
  <cp:lastModifiedBy>Suguna</cp:lastModifiedBy>
  <cp:revision>1</cp:revision>
  <dcterms:created xsi:type="dcterms:W3CDTF">2020-04-02T00:21:00Z</dcterms:created>
  <dcterms:modified xsi:type="dcterms:W3CDTF">2020-04-02T00:21:00Z</dcterms:modified>
</cp:coreProperties>
</file>