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A5" w:rsidRDefault="005C6FA5" w:rsidP="005C6FA5">
      <w:pPr>
        <w:pStyle w:val="Heading1"/>
        <w:jc w:val="center"/>
        <w:rPr>
          <w:rFonts w:asciiTheme="minorHAnsi" w:hAnsiTheme="minorHAnsi"/>
          <w:color w:val="000000" w:themeColor="text1"/>
          <w:sz w:val="22"/>
          <w:szCs w:val="22"/>
        </w:rPr>
      </w:pPr>
      <w:r>
        <w:rPr>
          <w:rFonts w:asciiTheme="minorHAnsi" w:hAnsiTheme="minorHAnsi"/>
          <w:color w:val="000000" w:themeColor="text1"/>
          <w:sz w:val="22"/>
          <w:szCs w:val="22"/>
        </w:rPr>
        <w:t>Supplementary Material for</w:t>
      </w:r>
    </w:p>
    <w:p w:rsidR="005C6FA5" w:rsidRPr="005C6FA5" w:rsidRDefault="005C6FA5" w:rsidP="005C6FA5"/>
    <w:p w:rsidR="005C6FA5" w:rsidRPr="005C6FA5" w:rsidRDefault="005C6FA5" w:rsidP="005C6FA5">
      <w:pPr>
        <w:spacing w:line="360" w:lineRule="auto"/>
        <w:jc w:val="center"/>
        <w:rPr>
          <w:rFonts w:asciiTheme="minorHAnsi" w:hAnsiTheme="minorHAnsi"/>
          <w:b/>
          <w:color w:val="000000" w:themeColor="text1"/>
          <w:sz w:val="22"/>
          <w:szCs w:val="22"/>
        </w:rPr>
      </w:pPr>
      <w:r w:rsidRPr="005C6FA5">
        <w:rPr>
          <w:rFonts w:asciiTheme="minorHAnsi" w:hAnsiTheme="minorHAnsi"/>
          <w:b/>
          <w:color w:val="000000" w:themeColor="text1"/>
          <w:sz w:val="22"/>
          <w:szCs w:val="22"/>
        </w:rPr>
        <w:t xml:space="preserve">Investigating the role of attention in the identification of associativity shortcuts using a </w:t>
      </w:r>
      <w:proofErr w:type="spellStart"/>
      <w:r w:rsidRPr="005C6FA5">
        <w:rPr>
          <w:rFonts w:asciiTheme="minorHAnsi" w:hAnsiTheme="minorHAnsi"/>
          <w:b/>
          <w:color w:val="000000" w:themeColor="text1"/>
          <w:sz w:val="22"/>
          <w:szCs w:val="22"/>
        </w:rPr>
        <w:t>microgenetic</w:t>
      </w:r>
      <w:proofErr w:type="spellEnd"/>
      <w:r w:rsidRPr="005C6FA5">
        <w:rPr>
          <w:rFonts w:asciiTheme="minorHAnsi" w:hAnsiTheme="minorHAnsi"/>
          <w:b/>
          <w:color w:val="000000" w:themeColor="text1"/>
          <w:sz w:val="22"/>
          <w:szCs w:val="22"/>
        </w:rPr>
        <w:t xml:space="preserve"> measure of implicit shortcut use</w:t>
      </w:r>
    </w:p>
    <w:p w:rsidR="005C6FA5" w:rsidRDefault="005C6FA5" w:rsidP="005C6FA5">
      <w:pPr>
        <w:spacing w:line="360" w:lineRule="auto"/>
        <w:jc w:val="center"/>
        <w:rPr>
          <w:rFonts w:asciiTheme="minorHAnsi" w:hAnsiTheme="minorHAnsi"/>
          <w:sz w:val="22"/>
          <w:szCs w:val="22"/>
        </w:rPr>
      </w:pPr>
      <w:r>
        <w:rPr>
          <w:rFonts w:asciiTheme="minorHAnsi" w:hAnsiTheme="minorHAnsi"/>
          <w:sz w:val="22"/>
          <w:szCs w:val="22"/>
        </w:rPr>
        <w:t xml:space="preserve">Joanne Eaves, Camilla Gilmore, Nina </w:t>
      </w:r>
      <w:proofErr w:type="spellStart"/>
      <w:r>
        <w:rPr>
          <w:rFonts w:asciiTheme="minorHAnsi" w:hAnsiTheme="minorHAnsi"/>
          <w:sz w:val="22"/>
          <w:szCs w:val="22"/>
        </w:rPr>
        <w:t>Attridge</w:t>
      </w:r>
      <w:proofErr w:type="spellEnd"/>
    </w:p>
    <w:p w:rsidR="005C6FA5" w:rsidRPr="005C6FA5" w:rsidRDefault="005C6FA5" w:rsidP="005C6FA5"/>
    <w:p w:rsidR="005C6FA5" w:rsidRPr="004A3584" w:rsidRDefault="005C6FA5" w:rsidP="005C6FA5">
      <w:pPr>
        <w:rPr>
          <w:rFonts w:asciiTheme="minorHAnsi" w:hAnsiTheme="minorHAnsi"/>
          <w:sz w:val="22"/>
          <w:szCs w:val="22"/>
        </w:rPr>
      </w:pPr>
    </w:p>
    <w:p w:rsidR="005C6FA5" w:rsidRDefault="005C6FA5" w:rsidP="005C6FA5">
      <w:pPr>
        <w:spacing w:line="480" w:lineRule="auto"/>
        <w:rPr>
          <w:rFonts w:asciiTheme="minorHAnsi" w:eastAsia="Calibri" w:hAnsiTheme="minorHAnsi"/>
          <w:color w:val="000000"/>
          <w:sz w:val="22"/>
          <w:szCs w:val="22"/>
        </w:rPr>
      </w:pPr>
      <w:r w:rsidRPr="004A3584">
        <w:rPr>
          <w:rFonts w:asciiTheme="minorHAnsi" w:eastAsia="Calibri" w:hAnsiTheme="minorHAnsi"/>
          <w:color w:val="000000"/>
          <w:sz w:val="22"/>
          <w:szCs w:val="22"/>
        </w:rPr>
        <w:t xml:space="preserve">Table </w:t>
      </w:r>
      <w:r>
        <w:rPr>
          <w:rFonts w:asciiTheme="minorHAnsi" w:eastAsia="Calibri" w:hAnsiTheme="minorHAnsi"/>
          <w:color w:val="000000"/>
          <w:sz w:val="22"/>
          <w:szCs w:val="22"/>
        </w:rPr>
        <w:t>A1</w:t>
      </w:r>
    </w:p>
    <w:p w:rsidR="005C6FA5" w:rsidRPr="004A3584" w:rsidRDefault="005C6FA5" w:rsidP="005C6FA5">
      <w:pPr>
        <w:spacing w:line="480" w:lineRule="auto"/>
        <w:rPr>
          <w:rFonts w:asciiTheme="minorHAnsi" w:eastAsia="Calibri" w:hAnsiTheme="minorHAnsi"/>
          <w:color w:val="000000"/>
          <w:sz w:val="22"/>
          <w:szCs w:val="22"/>
        </w:rPr>
      </w:pPr>
      <w:proofErr w:type="gramStart"/>
      <w:r>
        <w:rPr>
          <w:rFonts w:asciiTheme="minorHAnsi" w:eastAsia="Calibri" w:hAnsiTheme="minorHAnsi"/>
          <w:color w:val="000000"/>
          <w:sz w:val="22"/>
          <w:szCs w:val="22"/>
        </w:rPr>
        <w:t>Outcome of the equivalence tests and tests of statistical difference</w:t>
      </w:r>
      <w:r w:rsidRPr="004A3584">
        <w:rPr>
          <w:rFonts w:asciiTheme="minorHAnsi" w:eastAsia="Calibri" w:hAnsiTheme="minorHAnsi"/>
          <w:color w:val="000000"/>
          <w:sz w:val="22"/>
          <w:szCs w:val="22"/>
        </w:rPr>
        <w:t xml:space="preserve"> </w:t>
      </w:r>
      <w:r>
        <w:rPr>
          <w:rFonts w:asciiTheme="minorHAnsi" w:eastAsia="Calibri" w:hAnsiTheme="minorHAnsi"/>
          <w:color w:val="000000"/>
          <w:sz w:val="22"/>
          <w:szCs w:val="22"/>
        </w:rPr>
        <w:t xml:space="preserve">for </w:t>
      </w:r>
      <w:r w:rsidRPr="004A3584">
        <w:rPr>
          <w:rFonts w:asciiTheme="minorHAnsi" w:eastAsia="Calibri" w:hAnsiTheme="minorHAnsi"/>
          <w:color w:val="000000"/>
          <w:sz w:val="22"/>
          <w:szCs w:val="22"/>
        </w:rPr>
        <w:t>median RT (s) after the IP.</w:t>
      </w:r>
      <w:proofErr w:type="gramEnd"/>
      <w:r w:rsidRPr="004A3584">
        <w:rPr>
          <w:rFonts w:asciiTheme="minorHAnsi" w:eastAsia="Calibri" w:hAnsiTheme="minorHAnsi"/>
          <w:color w:val="000000"/>
          <w:sz w:val="22"/>
          <w:szCs w:val="22"/>
        </w:rPr>
        <w:t xml:space="preserve"> The data are from the 17, 19 and 25 identifiers in the control, left-prime and right-prime conditions respectively</w:t>
      </w:r>
      <w:r>
        <w:rPr>
          <w:rStyle w:val="FootnoteReference"/>
          <w:rFonts w:asciiTheme="minorHAnsi" w:eastAsia="Calibri" w:hAnsiTheme="minorHAnsi"/>
          <w:color w:val="000000"/>
          <w:sz w:val="22"/>
          <w:szCs w:val="22"/>
        </w:rPr>
        <w:footnoteReference w:id="1"/>
      </w:r>
      <w:r w:rsidRPr="004A3584">
        <w:rPr>
          <w:rFonts w:asciiTheme="minorHAnsi" w:eastAsia="Calibri" w:hAnsiTheme="minorHAnsi"/>
          <w:color w:val="000000"/>
          <w:sz w:val="22"/>
          <w:szCs w:val="22"/>
        </w:rPr>
        <w:t>.</w:t>
      </w:r>
    </w:p>
    <w:tbl>
      <w:tblPr>
        <w:tblW w:w="14332" w:type="dxa"/>
        <w:tblInd w:w="93" w:type="dxa"/>
        <w:tblLook w:val="04A0" w:firstRow="1" w:lastRow="0" w:firstColumn="1" w:lastColumn="0" w:noHBand="0" w:noVBand="1"/>
      </w:tblPr>
      <w:tblGrid>
        <w:gridCol w:w="1149"/>
        <w:gridCol w:w="2623"/>
        <w:gridCol w:w="2906"/>
        <w:gridCol w:w="2551"/>
        <w:gridCol w:w="2410"/>
        <w:gridCol w:w="2693"/>
      </w:tblGrid>
      <w:tr w:rsidR="005C6FA5" w:rsidRPr="004A3584" w:rsidTr="00D76715">
        <w:trPr>
          <w:trHeight w:val="285"/>
        </w:trPr>
        <w:tc>
          <w:tcPr>
            <w:tcW w:w="1149" w:type="dxa"/>
            <w:tcBorders>
              <w:top w:val="nil"/>
              <w:left w:val="nil"/>
              <w:bottom w:val="single" w:sz="4" w:space="0" w:color="auto"/>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Problem type</w:t>
            </w:r>
          </w:p>
        </w:tc>
        <w:tc>
          <w:tcPr>
            <w:tcW w:w="2623" w:type="dxa"/>
            <w:tcBorders>
              <w:top w:val="nil"/>
              <w:left w:val="nil"/>
              <w:bottom w:val="single" w:sz="4" w:space="0" w:color="auto"/>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Comparison</w:t>
            </w:r>
          </w:p>
        </w:tc>
        <w:tc>
          <w:tcPr>
            <w:tcW w:w="2906" w:type="dxa"/>
            <w:tcBorders>
              <w:top w:val="nil"/>
              <w:left w:val="nil"/>
              <w:bottom w:val="single" w:sz="4" w:space="0" w:color="auto"/>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Mean (SD)</w:t>
            </w:r>
          </w:p>
        </w:tc>
        <w:tc>
          <w:tcPr>
            <w:tcW w:w="2551" w:type="dxa"/>
            <w:tcBorders>
              <w:top w:val="nil"/>
              <w:left w:val="nil"/>
              <w:bottom w:val="single" w:sz="4" w:space="0" w:color="auto"/>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Equivalence test result</w:t>
            </w:r>
          </w:p>
        </w:tc>
        <w:tc>
          <w:tcPr>
            <w:tcW w:w="2410" w:type="dxa"/>
            <w:tcBorders>
              <w:top w:val="nil"/>
              <w:left w:val="nil"/>
              <w:bottom w:val="single" w:sz="4" w:space="0" w:color="auto"/>
              <w:right w:val="nil"/>
            </w:tcBorders>
          </w:tcPr>
          <w:p w:rsidR="005C6FA5" w:rsidRPr="004A3584" w:rsidRDefault="005C6FA5" w:rsidP="00D76715">
            <w:pPr>
              <w:spacing w:after="0" w:line="240" w:lineRule="auto"/>
              <w:jc w:val="center"/>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Statistical difference result</w:t>
            </w:r>
          </w:p>
        </w:tc>
        <w:tc>
          <w:tcPr>
            <w:tcW w:w="2693" w:type="dxa"/>
            <w:tcBorders>
              <w:top w:val="nil"/>
              <w:left w:val="nil"/>
              <w:bottom w:val="single" w:sz="4" w:space="0" w:color="auto"/>
              <w:right w:val="nil"/>
            </w:tcBorders>
            <w:shd w:val="clear" w:color="auto" w:fill="auto"/>
            <w:vAlign w:val="center"/>
            <w:hideMark/>
          </w:tcPr>
          <w:p w:rsidR="005C6FA5" w:rsidRPr="004A3584" w:rsidRDefault="005C6FA5" w:rsidP="00D76715">
            <w:pPr>
              <w:spacing w:after="0" w:line="240" w:lineRule="auto"/>
              <w:jc w:val="center"/>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 xml:space="preserve">Interpretation (with alpha adjusted to </w:t>
            </w:r>
            <w:r w:rsidRPr="004A3584">
              <w:rPr>
                <w:rFonts w:asciiTheme="minorHAnsi" w:eastAsia="Times New Roman" w:hAnsiTheme="minorHAnsi"/>
                <w:i/>
                <w:color w:val="000000"/>
                <w:sz w:val="22"/>
                <w:szCs w:val="22"/>
                <w:lang w:eastAsia="en-GB"/>
              </w:rPr>
              <w:t>p</w:t>
            </w:r>
            <w:r w:rsidRPr="004A3584">
              <w:rPr>
                <w:rFonts w:asciiTheme="minorHAnsi" w:eastAsia="Times New Roman" w:hAnsiTheme="minorHAnsi"/>
                <w:color w:val="000000"/>
                <w:sz w:val="22"/>
                <w:szCs w:val="22"/>
                <w:lang w:eastAsia="en-GB"/>
              </w:rPr>
              <w:t>&lt; 0.008)</w:t>
            </w:r>
          </w:p>
        </w:tc>
      </w:tr>
      <w:tr w:rsidR="005C6FA5" w:rsidRPr="004A3584" w:rsidTr="00D76715">
        <w:trPr>
          <w:trHeight w:val="510"/>
        </w:trPr>
        <w:tc>
          <w:tcPr>
            <w:tcW w:w="1149" w:type="dxa"/>
            <w:vMerge w:val="restart"/>
            <w:tcBorders>
              <w:top w:val="nil"/>
              <w:left w:val="nil"/>
              <w:bottom w:val="nil"/>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Conducive</w:t>
            </w:r>
          </w:p>
        </w:tc>
        <w:tc>
          <w:tcPr>
            <w:tcW w:w="2623" w:type="dxa"/>
            <w:tcBorders>
              <w:top w:val="nil"/>
              <w:left w:val="nil"/>
              <w:bottom w:val="nil"/>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Control and left-prime</w:t>
            </w:r>
          </w:p>
        </w:tc>
        <w:tc>
          <w:tcPr>
            <w:tcW w:w="2906" w:type="dxa"/>
            <w:tcBorders>
              <w:top w:val="nil"/>
              <w:left w:val="nil"/>
              <w:bottom w:val="nil"/>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5.37 (2.36) and 4.10 (2.24)</w:t>
            </w:r>
          </w:p>
        </w:tc>
        <w:tc>
          <w:tcPr>
            <w:tcW w:w="2551" w:type="dxa"/>
            <w:tcBorders>
              <w:top w:val="nil"/>
              <w:left w:val="nil"/>
              <w:bottom w:val="nil"/>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i/>
                <w:color w:val="000000"/>
                <w:sz w:val="22"/>
                <w:szCs w:val="22"/>
                <w:lang w:eastAsia="en-GB"/>
              </w:rPr>
              <w:t>t</w:t>
            </w:r>
            <w:r w:rsidRPr="004A3584">
              <w:rPr>
                <w:rFonts w:asciiTheme="minorHAnsi" w:eastAsia="Times New Roman" w:hAnsiTheme="minorHAnsi"/>
                <w:color w:val="000000"/>
                <w:sz w:val="22"/>
                <w:szCs w:val="22"/>
                <w:lang w:eastAsia="en-GB"/>
              </w:rPr>
              <w:t xml:space="preserve">(34) = 0.74, </w:t>
            </w:r>
            <w:r w:rsidRPr="004A3584">
              <w:rPr>
                <w:rFonts w:asciiTheme="minorHAnsi" w:eastAsia="Times New Roman" w:hAnsiTheme="minorHAnsi"/>
                <w:i/>
                <w:color w:val="000000"/>
                <w:sz w:val="22"/>
                <w:szCs w:val="22"/>
                <w:lang w:eastAsia="en-GB"/>
              </w:rPr>
              <w:t>p</w:t>
            </w:r>
            <w:r w:rsidRPr="004A3584">
              <w:rPr>
                <w:rFonts w:asciiTheme="minorHAnsi" w:eastAsia="Times New Roman" w:hAnsiTheme="minorHAnsi"/>
                <w:color w:val="000000"/>
                <w:sz w:val="22"/>
                <w:szCs w:val="22"/>
                <w:lang w:eastAsia="en-GB"/>
              </w:rPr>
              <w:t xml:space="preserve"> = 0.232</w:t>
            </w:r>
          </w:p>
        </w:tc>
        <w:tc>
          <w:tcPr>
            <w:tcW w:w="2410" w:type="dxa"/>
            <w:tcBorders>
              <w:top w:val="nil"/>
              <w:left w:val="nil"/>
              <w:bottom w:val="nil"/>
              <w:right w:val="nil"/>
            </w:tcBorders>
            <w:shd w:val="clear" w:color="auto" w:fill="auto"/>
            <w:vAlign w:val="bottom"/>
          </w:tcPr>
          <w:p w:rsidR="005C6FA5" w:rsidRPr="00B60769" w:rsidRDefault="005C6FA5" w:rsidP="00D76715">
            <w:pPr>
              <w:spacing w:after="0" w:line="240" w:lineRule="auto"/>
              <w:rPr>
                <w:rFonts w:asciiTheme="minorHAnsi" w:eastAsia="Times New Roman" w:hAnsiTheme="minorHAnsi"/>
                <w:color w:val="000000"/>
                <w:sz w:val="22"/>
                <w:szCs w:val="22"/>
                <w:highlight w:val="yellow"/>
                <w:lang w:eastAsia="en-GB"/>
              </w:rPr>
            </w:pPr>
            <w:r w:rsidRPr="00B60769">
              <w:rPr>
                <w:rFonts w:asciiTheme="minorHAnsi" w:eastAsia="Times New Roman" w:hAnsiTheme="minorHAnsi"/>
                <w:i/>
                <w:color w:val="000000"/>
                <w:sz w:val="22"/>
                <w:szCs w:val="22"/>
                <w:lang w:eastAsia="en-GB"/>
              </w:rPr>
              <w:t>t</w:t>
            </w:r>
            <w:r w:rsidRPr="00B60769">
              <w:rPr>
                <w:rFonts w:asciiTheme="minorHAnsi" w:eastAsia="Times New Roman" w:hAnsiTheme="minorHAnsi"/>
                <w:color w:val="000000"/>
                <w:sz w:val="22"/>
                <w:szCs w:val="22"/>
                <w:lang w:eastAsia="en-GB"/>
              </w:rPr>
              <w:t>(34) = 1.6</w:t>
            </w:r>
            <w:r>
              <w:rPr>
                <w:rFonts w:asciiTheme="minorHAnsi" w:eastAsia="Times New Roman" w:hAnsiTheme="minorHAnsi"/>
                <w:color w:val="000000"/>
                <w:sz w:val="22"/>
                <w:szCs w:val="22"/>
                <w:lang w:eastAsia="en-GB"/>
              </w:rPr>
              <w:t>6</w:t>
            </w:r>
            <w:r w:rsidRPr="00B60769">
              <w:rPr>
                <w:rFonts w:asciiTheme="minorHAnsi" w:eastAsia="Times New Roman" w:hAnsiTheme="minorHAnsi"/>
                <w:color w:val="000000"/>
                <w:sz w:val="22"/>
                <w:szCs w:val="22"/>
                <w:lang w:eastAsia="en-GB"/>
              </w:rPr>
              <w:t xml:space="preserve">, </w:t>
            </w:r>
            <w:r w:rsidRPr="00B60769">
              <w:rPr>
                <w:rFonts w:asciiTheme="minorHAnsi" w:eastAsia="Times New Roman" w:hAnsiTheme="minorHAnsi"/>
                <w:i/>
                <w:color w:val="000000"/>
                <w:sz w:val="22"/>
                <w:szCs w:val="22"/>
                <w:lang w:eastAsia="en-GB"/>
              </w:rPr>
              <w:t>p</w:t>
            </w:r>
            <w:r w:rsidRPr="00B60769">
              <w:rPr>
                <w:rFonts w:asciiTheme="minorHAnsi" w:eastAsia="Times New Roman" w:hAnsiTheme="minorHAnsi"/>
                <w:color w:val="000000"/>
                <w:sz w:val="22"/>
                <w:szCs w:val="22"/>
                <w:lang w:eastAsia="en-GB"/>
              </w:rPr>
              <w:t xml:space="preserve"> = 0.10</w:t>
            </w:r>
            <w:r>
              <w:rPr>
                <w:rFonts w:asciiTheme="minorHAnsi" w:eastAsia="Times New Roman" w:hAnsiTheme="minorHAnsi"/>
                <w:color w:val="000000"/>
                <w:sz w:val="22"/>
                <w:szCs w:val="22"/>
                <w:lang w:eastAsia="en-GB"/>
              </w:rPr>
              <w:t>7</w:t>
            </w:r>
          </w:p>
        </w:tc>
        <w:tc>
          <w:tcPr>
            <w:tcW w:w="2693" w:type="dxa"/>
            <w:tcBorders>
              <w:top w:val="nil"/>
              <w:left w:val="nil"/>
              <w:bottom w:val="nil"/>
              <w:right w:val="nil"/>
            </w:tcBorders>
            <w:shd w:val="clear" w:color="auto" w:fill="auto"/>
            <w:vAlign w:val="center"/>
            <w:hideMark/>
          </w:tcPr>
          <w:p w:rsidR="005C6FA5" w:rsidRPr="004A3584" w:rsidRDefault="005C6FA5" w:rsidP="00D76715">
            <w:pPr>
              <w:spacing w:after="0" w:line="240" w:lineRule="auto"/>
              <w:jc w:val="center"/>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Not statistically equivalent</w:t>
            </w:r>
            <w:r>
              <w:rPr>
                <w:rFonts w:asciiTheme="minorHAnsi" w:eastAsia="Times New Roman" w:hAnsiTheme="minorHAnsi"/>
                <w:color w:val="000000"/>
                <w:sz w:val="22"/>
                <w:szCs w:val="22"/>
                <w:lang w:eastAsia="en-GB"/>
              </w:rPr>
              <w:t xml:space="preserve"> or statistically different</w:t>
            </w:r>
          </w:p>
        </w:tc>
      </w:tr>
      <w:tr w:rsidR="005C6FA5" w:rsidRPr="004A3584" w:rsidTr="00D76715">
        <w:trPr>
          <w:trHeight w:val="510"/>
        </w:trPr>
        <w:tc>
          <w:tcPr>
            <w:tcW w:w="1149" w:type="dxa"/>
            <w:vMerge/>
            <w:tcBorders>
              <w:top w:val="nil"/>
              <w:left w:val="nil"/>
              <w:bottom w:val="nil"/>
              <w:right w:val="nil"/>
            </w:tcBorders>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p>
        </w:tc>
        <w:tc>
          <w:tcPr>
            <w:tcW w:w="2623" w:type="dxa"/>
            <w:tcBorders>
              <w:top w:val="nil"/>
              <w:left w:val="nil"/>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 xml:space="preserve">Control and right-prime </w:t>
            </w:r>
          </w:p>
        </w:tc>
        <w:tc>
          <w:tcPr>
            <w:tcW w:w="2906" w:type="dxa"/>
            <w:tcBorders>
              <w:top w:val="nil"/>
              <w:left w:val="nil"/>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5.37 (2.36) and 5.88 (5.80)</w:t>
            </w:r>
          </w:p>
        </w:tc>
        <w:tc>
          <w:tcPr>
            <w:tcW w:w="2551" w:type="dxa"/>
            <w:tcBorders>
              <w:top w:val="nil"/>
              <w:left w:val="nil"/>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i/>
                <w:color w:val="000000"/>
                <w:sz w:val="22"/>
                <w:szCs w:val="22"/>
                <w:lang w:eastAsia="en-GB"/>
              </w:rPr>
              <w:t>t(</w:t>
            </w:r>
            <w:r w:rsidRPr="004A3584">
              <w:rPr>
                <w:rFonts w:asciiTheme="minorHAnsi" w:eastAsia="Times New Roman" w:hAnsiTheme="minorHAnsi"/>
                <w:color w:val="000000"/>
                <w:sz w:val="22"/>
                <w:szCs w:val="22"/>
                <w:lang w:eastAsia="en-GB"/>
              </w:rPr>
              <w:t>40) = 2.2</w:t>
            </w:r>
            <w:r>
              <w:rPr>
                <w:rFonts w:asciiTheme="minorHAnsi" w:eastAsia="Times New Roman" w:hAnsiTheme="minorHAnsi"/>
                <w:color w:val="000000"/>
                <w:sz w:val="22"/>
                <w:szCs w:val="22"/>
                <w:lang w:eastAsia="en-GB"/>
              </w:rPr>
              <w:t>0</w:t>
            </w:r>
            <w:r w:rsidRPr="004A3584">
              <w:rPr>
                <w:rFonts w:asciiTheme="minorHAnsi" w:eastAsia="Times New Roman" w:hAnsiTheme="minorHAnsi"/>
                <w:color w:val="000000"/>
                <w:sz w:val="22"/>
                <w:szCs w:val="22"/>
                <w:lang w:eastAsia="en-GB"/>
              </w:rPr>
              <w:t xml:space="preserve">, </w:t>
            </w:r>
            <w:r w:rsidRPr="004A3584">
              <w:rPr>
                <w:rFonts w:asciiTheme="minorHAnsi" w:eastAsia="Times New Roman" w:hAnsiTheme="minorHAnsi"/>
                <w:i/>
                <w:color w:val="000000"/>
                <w:sz w:val="22"/>
                <w:szCs w:val="22"/>
                <w:lang w:eastAsia="en-GB"/>
              </w:rPr>
              <w:t>p</w:t>
            </w:r>
            <w:r w:rsidRPr="004A3584">
              <w:rPr>
                <w:rFonts w:asciiTheme="minorHAnsi" w:eastAsia="Times New Roman" w:hAnsiTheme="minorHAnsi"/>
                <w:color w:val="000000"/>
                <w:sz w:val="22"/>
                <w:szCs w:val="22"/>
                <w:lang w:eastAsia="en-GB"/>
              </w:rPr>
              <w:t xml:space="preserve"> = 0.017</w:t>
            </w:r>
          </w:p>
        </w:tc>
        <w:tc>
          <w:tcPr>
            <w:tcW w:w="2410" w:type="dxa"/>
            <w:tcBorders>
              <w:top w:val="nil"/>
              <w:left w:val="nil"/>
              <w:right w:val="nil"/>
            </w:tcBorders>
            <w:shd w:val="clear" w:color="auto" w:fill="auto"/>
            <w:vAlign w:val="bottom"/>
          </w:tcPr>
          <w:p w:rsidR="005C6FA5" w:rsidRPr="00B60769" w:rsidRDefault="005C6FA5" w:rsidP="00D76715">
            <w:pPr>
              <w:spacing w:after="0" w:line="240" w:lineRule="auto"/>
              <w:rPr>
                <w:rFonts w:asciiTheme="minorHAnsi" w:eastAsia="Times New Roman" w:hAnsiTheme="minorHAnsi"/>
                <w:color w:val="000000"/>
                <w:sz w:val="22"/>
                <w:szCs w:val="22"/>
                <w:highlight w:val="yellow"/>
                <w:lang w:eastAsia="en-GB"/>
              </w:rPr>
            </w:pPr>
            <w:r w:rsidRPr="00197605">
              <w:rPr>
                <w:rFonts w:asciiTheme="minorHAnsi" w:eastAsia="Times New Roman" w:hAnsiTheme="minorHAnsi"/>
                <w:i/>
                <w:color w:val="000000"/>
                <w:sz w:val="22"/>
                <w:szCs w:val="22"/>
                <w:lang w:eastAsia="en-GB"/>
              </w:rPr>
              <w:t>t(</w:t>
            </w:r>
            <w:r w:rsidRPr="00197605">
              <w:rPr>
                <w:rFonts w:asciiTheme="minorHAnsi" w:eastAsia="Times New Roman" w:hAnsiTheme="minorHAnsi"/>
                <w:color w:val="000000"/>
                <w:sz w:val="22"/>
                <w:szCs w:val="22"/>
                <w:lang w:eastAsia="en-GB"/>
              </w:rPr>
              <w:t xml:space="preserve">40) = 0.34, </w:t>
            </w:r>
            <w:r w:rsidRPr="00197605">
              <w:rPr>
                <w:rFonts w:asciiTheme="minorHAnsi" w:eastAsia="Times New Roman" w:hAnsiTheme="minorHAnsi"/>
                <w:i/>
                <w:color w:val="000000"/>
                <w:sz w:val="22"/>
                <w:szCs w:val="22"/>
                <w:lang w:eastAsia="en-GB"/>
              </w:rPr>
              <w:t>p</w:t>
            </w:r>
            <w:r w:rsidRPr="00197605">
              <w:rPr>
                <w:rFonts w:asciiTheme="minorHAnsi" w:eastAsia="Times New Roman" w:hAnsiTheme="minorHAnsi"/>
                <w:color w:val="000000"/>
                <w:sz w:val="22"/>
                <w:szCs w:val="22"/>
                <w:lang w:eastAsia="en-GB"/>
              </w:rPr>
              <w:t xml:space="preserve"> = 0.734</w:t>
            </w:r>
          </w:p>
        </w:tc>
        <w:tc>
          <w:tcPr>
            <w:tcW w:w="2693" w:type="dxa"/>
            <w:tcBorders>
              <w:top w:val="nil"/>
              <w:left w:val="nil"/>
              <w:right w:val="nil"/>
            </w:tcBorders>
            <w:shd w:val="clear" w:color="auto" w:fill="auto"/>
            <w:vAlign w:val="center"/>
            <w:hideMark/>
          </w:tcPr>
          <w:p w:rsidR="005C6FA5" w:rsidRPr="004A3584" w:rsidRDefault="005C6FA5" w:rsidP="00D76715">
            <w:pPr>
              <w:spacing w:after="0" w:line="240" w:lineRule="auto"/>
              <w:jc w:val="center"/>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Not statistically equivalent</w:t>
            </w:r>
            <w:r>
              <w:rPr>
                <w:rFonts w:asciiTheme="minorHAnsi" w:eastAsia="Times New Roman" w:hAnsiTheme="minorHAnsi"/>
                <w:color w:val="000000"/>
                <w:sz w:val="22"/>
                <w:szCs w:val="22"/>
                <w:lang w:eastAsia="en-GB"/>
              </w:rPr>
              <w:t xml:space="preserve"> or statistically different</w:t>
            </w:r>
          </w:p>
        </w:tc>
      </w:tr>
      <w:tr w:rsidR="005C6FA5" w:rsidRPr="004A3584" w:rsidTr="00D76715">
        <w:trPr>
          <w:trHeight w:val="570"/>
        </w:trPr>
        <w:tc>
          <w:tcPr>
            <w:tcW w:w="1149" w:type="dxa"/>
            <w:vMerge/>
            <w:tcBorders>
              <w:top w:val="nil"/>
              <w:left w:val="nil"/>
              <w:bottom w:val="nil"/>
              <w:right w:val="nil"/>
            </w:tcBorders>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p>
        </w:tc>
        <w:tc>
          <w:tcPr>
            <w:tcW w:w="2623" w:type="dxa"/>
            <w:tcBorders>
              <w:top w:val="nil"/>
              <w:left w:val="nil"/>
              <w:bottom w:val="single" w:sz="4" w:space="0" w:color="auto"/>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 xml:space="preserve">Left-prime and right-prime </w:t>
            </w:r>
          </w:p>
        </w:tc>
        <w:tc>
          <w:tcPr>
            <w:tcW w:w="2906" w:type="dxa"/>
            <w:tcBorders>
              <w:top w:val="nil"/>
              <w:left w:val="nil"/>
              <w:bottom w:val="single" w:sz="4" w:space="0" w:color="auto"/>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4.10 (2.24) and 5.88 (5.80)</w:t>
            </w:r>
          </w:p>
        </w:tc>
        <w:tc>
          <w:tcPr>
            <w:tcW w:w="2551" w:type="dxa"/>
            <w:tcBorders>
              <w:top w:val="nil"/>
              <w:left w:val="nil"/>
              <w:bottom w:val="single" w:sz="4" w:space="0" w:color="auto"/>
              <w:right w:val="nil"/>
            </w:tcBorders>
            <w:shd w:val="clear" w:color="auto" w:fill="auto"/>
            <w:vAlign w:val="bottom"/>
            <w:hideMark/>
          </w:tcPr>
          <w:p w:rsidR="005C6FA5" w:rsidRPr="00AF00E1" w:rsidRDefault="005C6FA5" w:rsidP="00D76715">
            <w:pPr>
              <w:spacing w:after="0" w:line="240" w:lineRule="auto"/>
              <w:rPr>
                <w:rFonts w:asciiTheme="minorHAnsi" w:eastAsia="Times New Roman" w:hAnsiTheme="minorHAnsi"/>
                <w:color w:val="000000"/>
                <w:sz w:val="22"/>
                <w:szCs w:val="22"/>
                <w:lang w:eastAsia="en-GB"/>
              </w:rPr>
            </w:pPr>
            <w:r w:rsidRPr="00AF00E1">
              <w:rPr>
                <w:rFonts w:asciiTheme="minorHAnsi" w:eastAsia="Times New Roman" w:hAnsiTheme="minorHAnsi"/>
                <w:i/>
                <w:color w:val="000000"/>
                <w:sz w:val="22"/>
                <w:szCs w:val="22"/>
                <w:lang w:eastAsia="en-GB"/>
              </w:rPr>
              <w:t>t</w:t>
            </w:r>
            <w:r w:rsidRPr="00AF00E1">
              <w:rPr>
                <w:rFonts w:asciiTheme="minorHAnsi" w:eastAsia="Times New Roman" w:hAnsiTheme="minorHAnsi"/>
                <w:color w:val="000000"/>
                <w:sz w:val="22"/>
                <w:szCs w:val="22"/>
                <w:lang w:eastAsia="en-GB"/>
              </w:rPr>
              <w:t>(42) = 1.3</w:t>
            </w:r>
            <w:r>
              <w:rPr>
                <w:rFonts w:asciiTheme="minorHAnsi" w:eastAsia="Times New Roman" w:hAnsiTheme="minorHAnsi"/>
                <w:color w:val="000000"/>
                <w:sz w:val="22"/>
                <w:szCs w:val="22"/>
                <w:lang w:eastAsia="en-GB"/>
              </w:rPr>
              <w:t>6</w:t>
            </w:r>
            <w:r w:rsidRPr="00AF00E1">
              <w:rPr>
                <w:rFonts w:asciiTheme="minorHAnsi" w:eastAsia="Times New Roman" w:hAnsiTheme="minorHAnsi"/>
                <w:color w:val="000000"/>
                <w:sz w:val="22"/>
                <w:szCs w:val="22"/>
                <w:lang w:eastAsia="en-GB"/>
              </w:rPr>
              <w:t xml:space="preserve">, </w:t>
            </w:r>
            <w:r w:rsidRPr="00AF00E1">
              <w:rPr>
                <w:rFonts w:asciiTheme="minorHAnsi" w:eastAsia="Times New Roman" w:hAnsiTheme="minorHAnsi"/>
                <w:i/>
                <w:color w:val="000000"/>
                <w:sz w:val="22"/>
                <w:szCs w:val="22"/>
                <w:lang w:eastAsia="en-GB"/>
              </w:rPr>
              <w:t>p</w:t>
            </w:r>
            <w:r w:rsidRPr="00AF00E1">
              <w:rPr>
                <w:rFonts w:asciiTheme="minorHAnsi" w:eastAsia="Times New Roman" w:hAnsiTheme="minorHAnsi"/>
                <w:color w:val="000000"/>
                <w:sz w:val="22"/>
                <w:szCs w:val="22"/>
                <w:lang w:eastAsia="en-GB"/>
              </w:rPr>
              <w:t xml:space="preserve"> = 0.090</w:t>
            </w:r>
          </w:p>
        </w:tc>
        <w:tc>
          <w:tcPr>
            <w:tcW w:w="2410" w:type="dxa"/>
            <w:tcBorders>
              <w:top w:val="nil"/>
              <w:left w:val="nil"/>
              <w:bottom w:val="single" w:sz="4" w:space="0" w:color="auto"/>
              <w:right w:val="nil"/>
            </w:tcBorders>
            <w:shd w:val="clear" w:color="auto" w:fill="auto"/>
            <w:vAlign w:val="bottom"/>
          </w:tcPr>
          <w:p w:rsidR="005C6FA5" w:rsidRPr="00B60769" w:rsidRDefault="005C6FA5" w:rsidP="00D76715">
            <w:pPr>
              <w:spacing w:after="0" w:line="240" w:lineRule="auto"/>
              <w:rPr>
                <w:rFonts w:asciiTheme="minorHAnsi" w:eastAsia="Times New Roman" w:hAnsiTheme="minorHAnsi"/>
                <w:color w:val="000000"/>
                <w:sz w:val="22"/>
                <w:szCs w:val="22"/>
                <w:highlight w:val="yellow"/>
                <w:lang w:eastAsia="en-GB"/>
              </w:rPr>
            </w:pPr>
            <w:r w:rsidRPr="00197605">
              <w:rPr>
                <w:rFonts w:asciiTheme="minorHAnsi" w:eastAsia="Times New Roman" w:hAnsiTheme="minorHAnsi"/>
                <w:i/>
                <w:color w:val="000000"/>
                <w:sz w:val="22"/>
                <w:szCs w:val="22"/>
                <w:lang w:eastAsia="en-GB"/>
              </w:rPr>
              <w:t>t</w:t>
            </w:r>
            <w:r w:rsidRPr="00197605">
              <w:rPr>
                <w:rFonts w:asciiTheme="minorHAnsi" w:eastAsia="Times New Roman" w:hAnsiTheme="minorHAnsi"/>
                <w:color w:val="000000"/>
                <w:sz w:val="22"/>
                <w:szCs w:val="22"/>
                <w:lang w:eastAsia="en-GB"/>
              </w:rPr>
              <w:t>(42) = 1.2</w:t>
            </w:r>
            <w:r>
              <w:rPr>
                <w:rFonts w:asciiTheme="minorHAnsi" w:eastAsia="Times New Roman" w:hAnsiTheme="minorHAnsi"/>
                <w:color w:val="000000"/>
                <w:sz w:val="22"/>
                <w:szCs w:val="22"/>
                <w:lang w:eastAsia="en-GB"/>
              </w:rPr>
              <w:t>7</w:t>
            </w:r>
            <w:r w:rsidRPr="00197605">
              <w:rPr>
                <w:rFonts w:asciiTheme="minorHAnsi" w:eastAsia="Times New Roman" w:hAnsiTheme="minorHAnsi"/>
                <w:color w:val="000000"/>
                <w:sz w:val="22"/>
                <w:szCs w:val="22"/>
                <w:lang w:eastAsia="en-GB"/>
              </w:rPr>
              <w:t xml:space="preserve">, </w:t>
            </w:r>
            <w:r w:rsidRPr="00197605">
              <w:rPr>
                <w:rFonts w:asciiTheme="minorHAnsi" w:eastAsia="Times New Roman" w:hAnsiTheme="minorHAnsi"/>
                <w:i/>
                <w:color w:val="000000"/>
                <w:sz w:val="22"/>
                <w:szCs w:val="22"/>
                <w:lang w:eastAsia="en-GB"/>
              </w:rPr>
              <w:t>p</w:t>
            </w:r>
            <w:r w:rsidRPr="00197605">
              <w:rPr>
                <w:rFonts w:asciiTheme="minorHAnsi" w:eastAsia="Times New Roman" w:hAnsiTheme="minorHAnsi"/>
                <w:color w:val="000000"/>
                <w:sz w:val="22"/>
                <w:szCs w:val="22"/>
                <w:lang w:eastAsia="en-GB"/>
              </w:rPr>
              <w:t xml:space="preserve"> = 0.21</w:t>
            </w:r>
            <w:r>
              <w:rPr>
                <w:rFonts w:asciiTheme="minorHAnsi" w:eastAsia="Times New Roman" w:hAnsiTheme="minorHAnsi"/>
                <w:color w:val="000000"/>
                <w:sz w:val="22"/>
                <w:szCs w:val="22"/>
                <w:lang w:eastAsia="en-GB"/>
              </w:rPr>
              <w:t>3</w:t>
            </w:r>
          </w:p>
        </w:tc>
        <w:tc>
          <w:tcPr>
            <w:tcW w:w="2693" w:type="dxa"/>
            <w:tcBorders>
              <w:top w:val="nil"/>
              <w:left w:val="nil"/>
              <w:bottom w:val="single" w:sz="4" w:space="0" w:color="auto"/>
              <w:right w:val="nil"/>
            </w:tcBorders>
            <w:shd w:val="clear" w:color="auto" w:fill="auto"/>
            <w:vAlign w:val="center"/>
            <w:hideMark/>
          </w:tcPr>
          <w:p w:rsidR="005C6FA5" w:rsidRPr="004A3584" w:rsidRDefault="005C6FA5" w:rsidP="00D76715">
            <w:pPr>
              <w:spacing w:after="0" w:line="240" w:lineRule="auto"/>
              <w:jc w:val="center"/>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Not statistically equivalent</w:t>
            </w:r>
            <w:r>
              <w:rPr>
                <w:rFonts w:asciiTheme="minorHAnsi" w:eastAsia="Times New Roman" w:hAnsiTheme="minorHAnsi"/>
                <w:color w:val="000000"/>
                <w:sz w:val="22"/>
                <w:szCs w:val="22"/>
                <w:lang w:eastAsia="en-GB"/>
              </w:rPr>
              <w:t xml:space="preserve"> or statistically different</w:t>
            </w:r>
          </w:p>
        </w:tc>
      </w:tr>
      <w:tr w:rsidR="005C6FA5" w:rsidRPr="004A3584" w:rsidTr="00D76715">
        <w:trPr>
          <w:trHeight w:val="510"/>
        </w:trPr>
        <w:tc>
          <w:tcPr>
            <w:tcW w:w="1149" w:type="dxa"/>
            <w:vMerge w:val="restart"/>
            <w:tcBorders>
              <w:top w:val="nil"/>
              <w:left w:val="nil"/>
              <w:bottom w:val="single" w:sz="4" w:space="0" w:color="000000"/>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Non-conducive</w:t>
            </w:r>
          </w:p>
        </w:tc>
        <w:tc>
          <w:tcPr>
            <w:tcW w:w="2623" w:type="dxa"/>
            <w:tcBorders>
              <w:top w:val="single" w:sz="4" w:space="0" w:color="auto"/>
              <w:left w:val="nil"/>
              <w:bottom w:val="nil"/>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 xml:space="preserve">Control and left-prime </w:t>
            </w:r>
          </w:p>
        </w:tc>
        <w:tc>
          <w:tcPr>
            <w:tcW w:w="2906" w:type="dxa"/>
            <w:tcBorders>
              <w:top w:val="single" w:sz="4" w:space="0" w:color="auto"/>
              <w:left w:val="nil"/>
              <w:bottom w:val="nil"/>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14.28 (7.12) and 9.99 (4.07)</w:t>
            </w:r>
          </w:p>
        </w:tc>
        <w:tc>
          <w:tcPr>
            <w:tcW w:w="2551" w:type="dxa"/>
            <w:tcBorders>
              <w:top w:val="single" w:sz="4" w:space="0" w:color="auto"/>
              <w:left w:val="nil"/>
              <w:bottom w:val="nil"/>
              <w:right w:val="nil"/>
            </w:tcBorders>
            <w:shd w:val="clear" w:color="auto" w:fill="auto"/>
            <w:vAlign w:val="bottom"/>
            <w:hideMark/>
          </w:tcPr>
          <w:p w:rsidR="005C6FA5" w:rsidRPr="00AF00E1" w:rsidRDefault="005C6FA5" w:rsidP="00D76715">
            <w:pPr>
              <w:spacing w:after="0" w:line="240" w:lineRule="auto"/>
              <w:rPr>
                <w:rFonts w:asciiTheme="minorHAnsi" w:eastAsia="Times New Roman" w:hAnsiTheme="minorHAnsi"/>
                <w:color w:val="000000"/>
                <w:sz w:val="22"/>
                <w:szCs w:val="22"/>
                <w:lang w:eastAsia="en-GB"/>
              </w:rPr>
            </w:pPr>
            <w:r w:rsidRPr="00AF00E1">
              <w:rPr>
                <w:rFonts w:asciiTheme="minorHAnsi" w:eastAsia="Times New Roman" w:hAnsiTheme="minorHAnsi"/>
                <w:i/>
                <w:color w:val="000000"/>
                <w:sz w:val="22"/>
                <w:szCs w:val="22"/>
                <w:lang w:eastAsia="en-GB"/>
              </w:rPr>
              <w:t>t</w:t>
            </w:r>
            <w:r w:rsidRPr="00AF00E1">
              <w:rPr>
                <w:rFonts w:asciiTheme="minorHAnsi" w:eastAsia="Times New Roman" w:hAnsiTheme="minorHAnsi"/>
                <w:color w:val="000000"/>
                <w:sz w:val="22"/>
                <w:szCs w:val="22"/>
                <w:lang w:eastAsia="en-GB"/>
              </w:rPr>
              <w:t xml:space="preserve">(34) = 0.15, </w:t>
            </w:r>
            <w:r w:rsidRPr="00AF00E1">
              <w:rPr>
                <w:rFonts w:asciiTheme="minorHAnsi" w:eastAsia="Times New Roman" w:hAnsiTheme="minorHAnsi"/>
                <w:i/>
                <w:color w:val="000000"/>
                <w:sz w:val="22"/>
                <w:szCs w:val="22"/>
                <w:lang w:eastAsia="en-GB"/>
              </w:rPr>
              <w:t>p</w:t>
            </w:r>
            <w:r w:rsidRPr="00AF00E1">
              <w:rPr>
                <w:rFonts w:asciiTheme="minorHAnsi" w:eastAsia="Times New Roman" w:hAnsiTheme="minorHAnsi"/>
                <w:color w:val="000000"/>
                <w:sz w:val="22"/>
                <w:szCs w:val="22"/>
                <w:lang w:eastAsia="en-GB"/>
              </w:rPr>
              <w:t xml:space="preserve"> = 0.442</w:t>
            </w:r>
          </w:p>
        </w:tc>
        <w:tc>
          <w:tcPr>
            <w:tcW w:w="2410" w:type="dxa"/>
            <w:tcBorders>
              <w:top w:val="single" w:sz="4" w:space="0" w:color="auto"/>
              <w:left w:val="nil"/>
              <w:bottom w:val="nil"/>
              <w:right w:val="nil"/>
            </w:tcBorders>
            <w:shd w:val="clear" w:color="auto" w:fill="auto"/>
            <w:vAlign w:val="bottom"/>
          </w:tcPr>
          <w:p w:rsidR="005C6FA5" w:rsidRPr="00B60769" w:rsidRDefault="005C6FA5" w:rsidP="00D76715">
            <w:pPr>
              <w:spacing w:after="0" w:line="240" w:lineRule="auto"/>
              <w:rPr>
                <w:rFonts w:asciiTheme="minorHAnsi" w:eastAsia="Times New Roman" w:hAnsiTheme="minorHAnsi"/>
                <w:color w:val="000000"/>
                <w:sz w:val="22"/>
                <w:szCs w:val="22"/>
                <w:highlight w:val="yellow"/>
                <w:lang w:eastAsia="en-GB"/>
              </w:rPr>
            </w:pPr>
            <w:r w:rsidRPr="00B60769">
              <w:rPr>
                <w:rFonts w:asciiTheme="minorHAnsi" w:eastAsia="Times New Roman" w:hAnsiTheme="minorHAnsi"/>
                <w:i/>
                <w:color w:val="000000"/>
                <w:sz w:val="22"/>
                <w:szCs w:val="22"/>
                <w:lang w:eastAsia="en-GB"/>
              </w:rPr>
              <w:t>t</w:t>
            </w:r>
            <w:r w:rsidRPr="00B60769">
              <w:rPr>
                <w:rFonts w:asciiTheme="minorHAnsi" w:eastAsia="Times New Roman" w:hAnsiTheme="minorHAnsi"/>
                <w:color w:val="000000"/>
                <w:sz w:val="22"/>
                <w:szCs w:val="22"/>
                <w:lang w:eastAsia="en-GB"/>
              </w:rPr>
              <w:t xml:space="preserve">(34) = 2.25, </w:t>
            </w:r>
            <w:r w:rsidRPr="00B60769">
              <w:rPr>
                <w:rFonts w:asciiTheme="minorHAnsi" w:eastAsia="Times New Roman" w:hAnsiTheme="minorHAnsi"/>
                <w:i/>
                <w:color w:val="000000"/>
                <w:sz w:val="22"/>
                <w:szCs w:val="22"/>
                <w:lang w:eastAsia="en-GB"/>
              </w:rPr>
              <w:t>p</w:t>
            </w:r>
            <w:r w:rsidRPr="00B60769">
              <w:rPr>
                <w:rFonts w:asciiTheme="minorHAnsi" w:eastAsia="Times New Roman" w:hAnsiTheme="minorHAnsi"/>
                <w:color w:val="000000"/>
                <w:sz w:val="22"/>
                <w:szCs w:val="22"/>
                <w:lang w:eastAsia="en-GB"/>
              </w:rPr>
              <w:t xml:space="preserve"> = 0.031</w:t>
            </w:r>
          </w:p>
        </w:tc>
        <w:tc>
          <w:tcPr>
            <w:tcW w:w="2693" w:type="dxa"/>
            <w:tcBorders>
              <w:top w:val="single" w:sz="4" w:space="0" w:color="auto"/>
              <w:left w:val="nil"/>
              <w:bottom w:val="nil"/>
              <w:right w:val="nil"/>
            </w:tcBorders>
            <w:shd w:val="clear" w:color="auto" w:fill="auto"/>
            <w:vAlign w:val="center"/>
            <w:hideMark/>
          </w:tcPr>
          <w:p w:rsidR="005C6FA5" w:rsidRPr="004A3584" w:rsidRDefault="005C6FA5" w:rsidP="00D76715">
            <w:pPr>
              <w:spacing w:after="0" w:line="240" w:lineRule="auto"/>
              <w:jc w:val="center"/>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Not statistically equivalent</w:t>
            </w:r>
            <w:r>
              <w:rPr>
                <w:rFonts w:asciiTheme="minorHAnsi" w:eastAsia="Times New Roman" w:hAnsiTheme="minorHAnsi"/>
                <w:color w:val="000000"/>
                <w:sz w:val="22"/>
                <w:szCs w:val="22"/>
                <w:lang w:eastAsia="en-GB"/>
              </w:rPr>
              <w:t xml:space="preserve"> or statistically different</w:t>
            </w:r>
          </w:p>
        </w:tc>
      </w:tr>
      <w:tr w:rsidR="005C6FA5" w:rsidRPr="004A3584" w:rsidTr="00D76715">
        <w:trPr>
          <w:trHeight w:val="510"/>
        </w:trPr>
        <w:tc>
          <w:tcPr>
            <w:tcW w:w="1149" w:type="dxa"/>
            <w:vMerge/>
            <w:tcBorders>
              <w:top w:val="nil"/>
              <w:left w:val="nil"/>
              <w:bottom w:val="single" w:sz="4" w:space="0" w:color="000000"/>
              <w:right w:val="nil"/>
            </w:tcBorders>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p>
        </w:tc>
        <w:tc>
          <w:tcPr>
            <w:tcW w:w="2623" w:type="dxa"/>
            <w:tcBorders>
              <w:top w:val="nil"/>
              <w:left w:val="nil"/>
              <w:bottom w:val="nil"/>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Control and right-prime</w:t>
            </w:r>
          </w:p>
        </w:tc>
        <w:tc>
          <w:tcPr>
            <w:tcW w:w="2906" w:type="dxa"/>
            <w:tcBorders>
              <w:top w:val="nil"/>
              <w:left w:val="nil"/>
              <w:bottom w:val="nil"/>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14.28 (7.12) and 12.13 (5.80)</w:t>
            </w:r>
          </w:p>
        </w:tc>
        <w:tc>
          <w:tcPr>
            <w:tcW w:w="2551" w:type="dxa"/>
            <w:tcBorders>
              <w:top w:val="nil"/>
              <w:left w:val="nil"/>
              <w:bottom w:val="nil"/>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i/>
                <w:color w:val="000000"/>
                <w:sz w:val="22"/>
                <w:szCs w:val="22"/>
                <w:lang w:eastAsia="en-GB"/>
              </w:rPr>
              <w:t>t</w:t>
            </w:r>
            <w:r w:rsidRPr="004A3584">
              <w:rPr>
                <w:rFonts w:asciiTheme="minorHAnsi" w:eastAsia="Times New Roman" w:hAnsiTheme="minorHAnsi"/>
                <w:color w:val="000000"/>
                <w:sz w:val="22"/>
                <w:szCs w:val="22"/>
                <w:lang w:eastAsia="en-GB"/>
              </w:rPr>
              <w:t xml:space="preserve">(40) = 1.47, </w:t>
            </w:r>
            <w:r w:rsidRPr="004A3584">
              <w:rPr>
                <w:rFonts w:asciiTheme="minorHAnsi" w:eastAsia="Times New Roman" w:hAnsiTheme="minorHAnsi"/>
                <w:i/>
                <w:color w:val="000000"/>
                <w:sz w:val="22"/>
                <w:szCs w:val="22"/>
                <w:lang w:eastAsia="en-GB"/>
              </w:rPr>
              <w:t>p</w:t>
            </w:r>
            <w:r w:rsidRPr="004A3584">
              <w:rPr>
                <w:rFonts w:asciiTheme="minorHAnsi" w:eastAsia="Times New Roman" w:hAnsiTheme="minorHAnsi"/>
                <w:color w:val="000000"/>
                <w:sz w:val="22"/>
                <w:szCs w:val="22"/>
                <w:lang w:eastAsia="en-GB"/>
              </w:rPr>
              <w:t xml:space="preserve"> = 0.075</w:t>
            </w:r>
          </w:p>
        </w:tc>
        <w:tc>
          <w:tcPr>
            <w:tcW w:w="2410" w:type="dxa"/>
            <w:tcBorders>
              <w:top w:val="nil"/>
              <w:left w:val="nil"/>
              <w:bottom w:val="nil"/>
              <w:right w:val="nil"/>
            </w:tcBorders>
            <w:shd w:val="clear" w:color="auto" w:fill="auto"/>
            <w:vAlign w:val="bottom"/>
          </w:tcPr>
          <w:p w:rsidR="005C6FA5" w:rsidRPr="00B60769" w:rsidRDefault="005C6FA5" w:rsidP="00D76715">
            <w:pPr>
              <w:spacing w:after="0" w:line="240" w:lineRule="auto"/>
              <w:rPr>
                <w:rFonts w:asciiTheme="minorHAnsi" w:eastAsia="Times New Roman" w:hAnsiTheme="minorHAnsi"/>
                <w:color w:val="000000"/>
                <w:sz w:val="22"/>
                <w:szCs w:val="22"/>
                <w:highlight w:val="yellow"/>
                <w:lang w:eastAsia="en-GB"/>
              </w:rPr>
            </w:pPr>
            <w:r w:rsidRPr="00CD2727">
              <w:rPr>
                <w:rFonts w:asciiTheme="minorHAnsi" w:eastAsia="Times New Roman" w:hAnsiTheme="minorHAnsi"/>
                <w:i/>
                <w:color w:val="000000"/>
                <w:sz w:val="22"/>
                <w:szCs w:val="22"/>
                <w:lang w:eastAsia="en-GB"/>
              </w:rPr>
              <w:t>t</w:t>
            </w:r>
            <w:r w:rsidRPr="00CD2727">
              <w:rPr>
                <w:rFonts w:asciiTheme="minorHAnsi" w:eastAsia="Times New Roman" w:hAnsiTheme="minorHAnsi"/>
                <w:color w:val="000000"/>
                <w:sz w:val="22"/>
                <w:szCs w:val="22"/>
                <w:lang w:eastAsia="en-GB"/>
              </w:rPr>
              <w:t xml:space="preserve">(40) = 1.08, </w:t>
            </w:r>
            <w:r w:rsidRPr="00CD2727">
              <w:rPr>
                <w:rFonts w:asciiTheme="minorHAnsi" w:eastAsia="Times New Roman" w:hAnsiTheme="minorHAnsi"/>
                <w:i/>
                <w:color w:val="000000"/>
                <w:sz w:val="22"/>
                <w:szCs w:val="22"/>
                <w:lang w:eastAsia="en-GB"/>
              </w:rPr>
              <w:t>p</w:t>
            </w:r>
            <w:r w:rsidRPr="00CD2727">
              <w:rPr>
                <w:rFonts w:asciiTheme="minorHAnsi" w:eastAsia="Times New Roman" w:hAnsiTheme="minorHAnsi"/>
                <w:color w:val="000000"/>
                <w:sz w:val="22"/>
                <w:szCs w:val="22"/>
                <w:lang w:eastAsia="en-GB"/>
              </w:rPr>
              <w:t xml:space="preserve"> = 0.289</w:t>
            </w:r>
          </w:p>
        </w:tc>
        <w:tc>
          <w:tcPr>
            <w:tcW w:w="2693" w:type="dxa"/>
            <w:tcBorders>
              <w:top w:val="nil"/>
              <w:left w:val="nil"/>
              <w:bottom w:val="nil"/>
              <w:right w:val="nil"/>
            </w:tcBorders>
            <w:shd w:val="clear" w:color="auto" w:fill="auto"/>
            <w:vAlign w:val="center"/>
            <w:hideMark/>
          </w:tcPr>
          <w:p w:rsidR="005C6FA5" w:rsidRPr="004A3584" w:rsidRDefault="005C6FA5" w:rsidP="00D76715">
            <w:pPr>
              <w:spacing w:after="0" w:line="240" w:lineRule="auto"/>
              <w:jc w:val="center"/>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Not statistically equivalent</w:t>
            </w:r>
            <w:r>
              <w:rPr>
                <w:rFonts w:asciiTheme="minorHAnsi" w:eastAsia="Times New Roman" w:hAnsiTheme="minorHAnsi"/>
                <w:color w:val="000000"/>
                <w:sz w:val="22"/>
                <w:szCs w:val="22"/>
                <w:lang w:eastAsia="en-GB"/>
              </w:rPr>
              <w:t xml:space="preserve"> or statistically different</w:t>
            </w:r>
          </w:p>
        </w:tc>
      </w:tr>
      <w:tr w:rsidR="005C6FA5" w:rsidRPr="004A3584" w:rsidTr="00D76715">
        <w:trPr>
          <w:trHeight w:val="525"/>
        </w:trPr>
        <w:tc>
          <w:tcPr>
            <w:tcW w:w="1149" w:type="dxa"/>
            <w:vMerge/>
            <w:tcBorders>
              <w:top w:val="nil"/>
              <w:left w:val="nil"/>
              <w:bottom w:val="single" w:sz="4" w:space="0" w:color="000000"/>
              <w:right w:val="nil"/>
            </w:tcBorders>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p>
        </w:tc>
        <w:tc>
          <w:tcPr>
            <w:tcW w:w="2623" w:type="dxa"/>
            <w:tcBorders>
              <w:top w:val="nil"/>
              <w:left w:val="nil"/>
              <w:bottom w:val="single" w:sz="4" w:space="0" w:color="auto"/>
              <w:right w:val="nil"/>
            </w:tcBorders>
            <w:shd w:val="clear" w:color="auto" w:fill="auto"/>
            <w:vAlign w:val="bottom"/>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 xml:space="preserve">Left-prime and right-prime </w:t>
            </w:r>
          </w:p>
        </w:tc>
        <w:tc>
          <w:tcPr>
            <w:tcW w:w="2906" w:type="dxa"/>
            <w:tcBorders>
              <w:top w:val="nil"/>
              <w:left w:val="nil"/>
              <w:bottom w:val="single" w:sz="4" w:space="0" w:color="auto"/>
              <w:right w:val="nil"/>
            </w:tcBorders>
            <w:shd w:val="clear" w:color="auto" w:fill="auto"/>
            <w:vAlign w:val="bottom"/>
            <w:hideMark/>
          </w:tcPr>
          <w:p w:rsidR="005C6FA5" w:rsidRPr="009B7B80" w:rsidRDefault="005C6FA5" w:rsidP="00D76715">
            <w:pPr>
              <w:spacing w:after="0" w:line="240" w:lineRule="auto"/>
              <w:rPr>
                <w:rFonts w:asciiTheme="minorHAnsi" w:eastAsia="Times New Roman" w:hAnsiTheme="minorHAnsi"/>
                <w:color w:val="000000"/>
                <w:sz w:val="22"/>
                <w:szCs w:val="22"/>
                <w:lang w:eastAsia="en-GB"/>
              </w:rPr>
            </w:pPr>
            <w:r w:rsidRPr="009B7B80">
              <w:rPr>
                <w:rFonts w:asciiTheme="minorHAnsi" w:eastAsia="Times New Roman" w:hAnsiTheme="minorHAnsi"/>
                <w:color w:val="000000"/>
                <w:sz w:val="22"/>
                <w:szCs w:val="22"/>
                <w:lang w:eastAsia="en-GB"/>
              </w:rPr>
              <w:t>9.99 (4.07) and 12.13 (5.80)</w:t>
            </w:r>
          </w:p>
        </w:tc>
        <w:tc>
          <w:tcPr>
            <w:tcW w:w="2551" w:type="dxa"/>
            <w:tcBorders>
              <w:top w:val="nil"/>
              <w:left w:val="nil"/>
              <w:bottom w:val="single" w:sz="4" w:space="0" w:color="auto"/>
              <w:right w:val="nil"/>
            </w:tcBorders>
            <w:shd w:val="clear" w:color="auto" w:fill="auto"/>
            <w:vAlign w:val="bottom"/>
            <w:hideMark/>
          </w:tcPr>
          <w:p w:rsidR="005C6FA5" w:rsidRPr="009B7B80" w:rsidRDefault="005C6FA5" w:rsidP="00D76715">
            <w:pPr>
              <w:spacing w:after="0" w:line="240" w:lineRule="auto"/>
              <w:rPr>
                <w:rFonts w:asciiTheme="minorHAnsi" w:eastAsia="Times New Roman" w:hAnsiTheme="minorHAnsi"/>
                <w:color w:val="000000"/>
                <w:sz w:val="22"/>
                <w:szCs w:val="22"/>
                <w:lang w:eastAsia="en-GB"/>
              </w:rPr>
            </w:pPr>
            <w:r w:rsidRPr="009B7B80">
              <w:rPr>
                <w:rFonts w:asciiTheme="minorHAnsi" w:eastAsia="Times New Roman" w:hAnsiTheme="minorHAnsi"/>
                <w:i/>
                <w:color w:val="000000"/>
                <w:sz w:val="22"/>
                <w:szCs w:val="22"/>
                <w:lang w:eastAsia="en-GB"/>
              </w:rPr>
              <w:t>t</w:t>
            </w:r>
            <w:r w:rsidRPr="009B7B80">
              <w:rPr>
                <w:rFonts w:asciiTheme="minorHAnsi" w:eastAsia="Times New Roman" w:hAnsiTheme="minorHAnsi"/>
                <w:color w:val="000000"/>
                <w:sz w:val="22"/>
                <w:szCs w:val="22"/>
                <w:lang w:eastAsia="en-GB"/>
              </w:rPr>
              <w:t xml:space="preserve">(42) = 1.26, </w:t>
            </w:r>
            <w:r w:rsidRPr="009B7B80">
              <w:rPr>
                <w:rFonts w:asciiTheme="minorHAnsi" w:eastAsia="Times New Roman" w:hAnsiTheme="minorHAnsi"/>
                <w:i/>
                <w:color w:val="000000"/>
                <w:sz w:val="22"/>
                <w:szCs w:val="22"/>
                <w:lang w:eastAsia="en-GB"/>
              </w:rPr>
              <w:t>p</w:t>
            </w:r>
            <w:r w:rsidRPr="009B7B80">
              <w:rPr>
                <w:rFonts w:asciiTheme="minorHAnsi" w:eastAsia="Times New Roman" w:hAnsiTheme="minorHAnsi"/>
                <w:color w:val="000000"/>
                <w:sz w:val="22"/>
                <w:szCs w:val="22"/>
                <w:lang w:eastAsia="en-GB"/>
              </w:rPr>
              <w:t xml:space="preserve"> = 0.108</w:t>
            </w:r>
          </w:p>
        </w:tc>
        <w:tc>
          <w:tcPr>
            <w:tcW w:w="2410" w:type="dxa"/>
            <w:tcBorders>
              <w:top w:val="nil"/>
              <w:left w:val="nil"/>
              <w:bottom w:val="single" w:sz="4" w:space="0" w:color="auto"/>
              <w:right w:val="nil"/>
            </w:tcBorders>
            <w:shd w:val="clear" w:color="auto" w:fill="auto"/>
            <w:vAlign w:val="bottom"/>
          </w:tcPr>
          <w:p w:rsidR="005C6FA5" w:rsidRPr="00B60769" w:rsidRDefault="005C6FA5" w:rsidP="00D76715">
            <w:pPr>
              <w:spacing w:after="0" w:line="240" w:lineRule="auto"/>
              <w:rPr>
                <w:rFonts w:asciiTheme="minorHAnsi" w:eastAsia="Times New Roman" w:hAnsiTheme="minorHAnsi"/>
                <w:color w:val="000000"/>
                <w:sz w:val="22"/>
                <w:szCs w:val="22"/>
                <w:highlight w:val="yellow"/>
                <w:lang w:eastAsia="en-GB"/>
              </w:rPr>
            </w:pPr>
            <w:r w:rsidRPr="00B60769">
              <w:rPr>
                <w:rFonts w:asciiTheme="minorHAnsi" w:eastAsia="Times New Roman" w:hAnsiTheme="minorHAnsi"/>
                <w:i/>
                <w:color w:val="000000"/>
                <w:sz w:val="22"/>
                <w:szCs w:val="22"/>
                <w:lang w:eastAsia="en-GB"/>
              </w:rPr>
              <w:t>t</w:t>
            </w:r>
            <w:r w:rsidRPr="00B60769">
              <w:rPr>
                <w:rFonts w:asciiTheme="minorHAnsi" w:eastAsia="Times New Roman" w:hAnsiTheme="minorHAnsi"/>
                <w:color w:val="000000"/>
                <w:sz w:val="22"/>
                <w:szCs w:val="22"/>
                <w:lang w:eastAsia="en-GB"/>
              </w:rPr>
              <w:t xml:space="preserve">(42) = 1.37, </w:t>
            </w:r>
            <w:r w:rsidRPr="00B60769">
              <w:rPr>
                <w:rFonts w:asciiTheme="minorHAnsi" w:eastAsia="Times New Roman" w:hAnsiTheme="minorHAnsi"/>
                <w:i/>
                <w:color w:val="000000"/>
                <w:sz w:val="22"/>
                <w:szCs w:val="22"/>
                <w:lang w:eastAsia="en-GB"/>
              </w:rPr>
              <w:t>p</w:t>
            </w:r>
            <w:r w:rsidRPr="00B60769">
              <w:rPr>
                <w:rFonts w:asciiTheme="minorHAnsi" w:eastAsia="Times New Roman" w:hAnsiTheme="minorHAnsi"/>
                <w:color w:val="000000"/>
                <w:sz w:val="22"/>
                <w:szCs w:val="22"/>
                <w:lang w:eastAsia="en-GB"/>
              </w:rPr>
              <w:t xml:space="preserve"> = 0.17</w:t>
            </w:r>
            <w:r>
              <w:rPr>
                <w:rFonts w:asciiTheme="minorHAnsi" w:eastAsia="Times New Roman" w:hAnsiTheme="minorHAnsi"/>
                <w:color w:val="000000"/>
                <w:sz w:val="22"/>
                <w:szCs w:val="22"/>
                <w:lang w:eastAsia="en-GB"/>
              </w:rPr>
              <w:t>8</w:t>
            </w:r>
          </w:p>
        </w:tc>
        <w:tc>
          <w:tcPr>
            <w:tcW w:w="2693" w:type="dxa"/>
            <w:tcBorders>
              <w:top w:val="nil"/>
              <w:left w:val="nil"/>
              <w:bottom w:val="single" w:sz="4" w:space="0" w:color="auto"/>
              <w:right w:val="nil"/>
            </w:tcBorders>
            <w:shd w:val="clear" w:color="auto" w:fill="auto"/>
            <w:vAlign w:val="center"/>
            <w:hideMark/>
          </w:tcPr>
          <w:p w:rsidR="005C6FA5" w:rsidRPr="004A3584" w:rsidRDefault="005C6FA5" w:rsidP="00D76715">
            <w:pPr>
              <w:spacing w:after="0" w:line="240" w:lineRule="auto"/>
              <w:jc w:val="center"/>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Not statistically equivalent</w:t>
            </w:r>
            <w:r>
              <w:rPr>
                <w:rFonts w:asciiTheme="minorHAnsi" w:eastAsia="Times New Roman" w:hAnsiTheme="minorHAnsi"/>
                <w:color w:val="000000"/>
                <w:sz w:val="22"/>
                <w:szCs w:val="22"/>
                <w:lang w:eastAsia="en-GB"/>
              </w:rPr>
              <w:t xml:space="preserve"> or statistically different</w:t>
            </w:r>
          </w:p>
        </w:tc>
      </w:tr>
    </w:tbl>
    <w:p w:rsidR="005C6FA5" w:rsidRPr="004A3584" w:rsidRDefault="005C6FA5" w:rsidP="005C6FA5">
      <w:pPr>
        <w:rPr>
          <w:rFonts w:asciiTheme="minorHAnsi" w:hAnsiTheme="minorHAnsi"/>
          <w:sz w:val="22"/>
          <w:szCs w:val="22"/>
        </w:rPr>
      </w:pPr>
    </w:p>
    <w:p w:rsidR="005C6FA5" w:rsidRDefault="005C6FA5" w:rsidP="005C6FA5">
      <w:pPr>
        <w:spacing w:line="480" w:lineRule="auto"/>
        <w:rPr>
          <w:rFonts w:asciiTheme="minorHAnsi" w:eastAsia="Calibri" w:hAnsiTheme="minorHAnsi"/>
          <w:color w:val="000000"/>
          <w:sz w:val="22"/>
          <w:szCs w:val="22"/>
        </w:rPr>
      </w:pPr>
    </w:p>
    <w:p w:rsidR="005C6FA5" w:rsidRDefault="005C6FA5" w:rsidP="005C6FA5">
      <w:pPr>
        <w:spacing w:line="480" w:lineRule="auto"/>
        <w:rPr>
          <w:rFonts w:asciiTheme="minorHAnsi" w:eastAsia="Calibri" w:hAnsiTheme="minorHAnsi"/>
          <w:color w:val="000000"/>
          <w:sz w:val="22"/>
          <w:szCs w:val="22"/>
        </w:rPr>
      </w:pPr>
    </w:p>
    <w:p w:rsidR="005C6FA5" w:rsidRDefault="005C6FA5" w:rsidP="005C6FA5">
      <w:pPr>
        <w:spacing w:line="480" w:lineRule="auto"/>
        <w:rPr>
          <w:rFonts w:asciiTheme="minorHAnsi" w:eastAsia="Calibri" w:hAnsiTheme="minorHAnsi"/>
          <w:color w:val="000000"/>
          <w:sz w:val="22"/>
          <w:szCs w:val="22"/>
        </w:rPr>
      </w:pPr>
      <w:r>
        <w:rPr>
          <w:rFonts w:asciiTheme="minorHAnsi" w:eastAsia="Calibri" w:hAnsiTheme="minorHAnsi"/>
          <w:color w:val="000000"/>
          <w:sz w:val="22"/>
          <w:szCs w:val="22"/>
        </w:rPr>
        <w:t>Table A2</w:t>
      </w:r>
    </w:p>
    <w:p w:rsidR="005C6FA5" w:rsidRPr="004A3584" w:rsidRDefault="005C6FA5" w:rsidP="005C6FA5">
      <w:pPr>
        <w:spacing w:line="480" w:lineRule="auto"/>
        <w:rPr>
          <w:rFonts w:asciiTheme="minorHAnsi" w:hAnsiTheme="minorHAnsi"/>
          <w:sz w:val="22"/>
          <w:szCs w:val="22"/>
        </w:rPr>
      </w:pPr>
      <w:proofErr w:type="gramStart"/>
      <w:r>
        <w:rPr>
          <w:rFonts w:asciiTheme="minorHAnsi" w:eastAsia="Calibri" w:hAnsiTheme="minorHAnsi"/>
          <w:color w:val="000000"/>
          <w:sz w:val="22"/>
          <w:szCs w:val="22"/>
        </w:rPr>
        <w:t xml:space="preserve">Outcome of the equivalence tests and tests of statistical difference for </w:t>
      </w:r>
      <w:r w:rsidRPr="004A3584">
        <w:rPr>
          <w:rFonts w:asciiTheme="minorHAnsi" w:eastAsia="Calibri" w:hAnsiTheme="minorHAnsi"/>
          <w:color w:val="000000"/>
          <w:sz w:val="22"/>
          <w:szCs w:val="22"/>
        </w:rPr>
        <w:t>solution accuracy (%) after the IP.</w:t>
      </w:r>
      <w:proofErr w:type="gramEnd"/>
      <w:r w:rsidRPr="004A3584">
        <w:rPr>
          <w:rFonts w:asciiTheme="minorHAnsi" w:eastAsia="Calibri" w:hAnsiTheme="minorHAnsi"/>
          <w:color w:val="000000"/>
          <w:sz w:val="22"/>
          <w:szCs w:val="22"/>
        </w:rPr>
        <w:t xml:space="preserve"> The data are from the 17, 19 and 25 identifiers in the control, left-prime and right-prime conditions respectively</w:t>
      </w:r>
      <w:r>
        <w:rPr>
          <w:rFonts w:asciiTheme="minorHAnsi" w:eastAsia="Calibri" w:hAnsiTheme="minorHAnsi"/>
          <w:color w:val="000000"/>
          <w:sz w:val="22"/>
          <w:szCs w:val="22"/>
        </w:rPr>
        <w:t>.</w:t>
      </w:r>
    </w:p>
    <w:tbl>
      <w:tblPr>
        <w:tblW w:w="14616" w:type="dxa"/>
        <w:tblInd w:w="93" w:type="dxa"/>
        <w:tblLook w:val="04A0" w:firstRow="1" w:lastRow="0" w:firstColumn="1" w:lastColumn="0" w:noHBand="0" w:noVBand="1"/>
      </w:tblPr>
      <w:tblGrid>
        <w:gridCol w:w="1150"/>
        <w:gridCol w:w="2696"/>
        <w:gridCol w:w="3046"/>
        <w:gridCol w:w="2528"/>
        <w:gridCol w:w="2525"/>
        <w:gridCol w:w="2671"/>
      </w:tblGrid>
      <w:tr w:rsidR="005C6FA5" w:rsidRPr="004A3584" w:rsidTr="00D76715">
        <w:trPr>
          <w:trHeight w:val="285"/>
        </w:trPr>
        <w:tc>
          <w:tcPr>
            <w:tcW w:w="1008" w:type="dxa"/>
            <w:tcBorders>
              <w:top w:val="nil"/>
              <w:left w:val="nil"/>
              <w:bottom w:val="single" w:sz="4" w:space="0" w:color="auto"/>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Problem type</w:t>
            </w:r>
          </w:p>
        </w:tc>
        <w:tc>
          <w:tcPr>
            <w:tcW w:w="2723" w:type="dxa"/>
            <w:tcBorders>
              <w:top w:val="nil"/>
              <w:left w:val="nil"/>
              <w:bottom w:val="single" w:sz="4" w:space="0" w:color="auto"/>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Comparison</w:t>
            </w:r>
          </w:p>
        </w:tc>
        <w:tc>
          <w:tcPr>
            <w:tcW w:w="3088" w:type="dxa"/>
            <w:tcBorders>
              <w:top w:val="nil"/>
              <w:left w:val="nil"/>
              <w:bottom w:val="single" w:sz="4" w:space="0" w:color="auto"/>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Mean (SD)</w:t>
            </w:r>
          </w:p>
        </w:tc>
        <w:tc>
          <w:tcPr>
            <w:tcW w:w="2552" w:type="dxa"/>
            <w:tcBorders>
              <w:top w:val="nil"/>
              <w:left w:val="nil"/>
              <w:bottom w:val="single" w:sz="4" w:space="0" w:color="auto"/>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Equivalence test result</w:t>
            </w:r>
          </w:p>
        </w:tc>
        <w:tc>
          <w:tcPr>
            <w:tcW w:w="2551" w:type="dxa"/>
            <w:tcBorders>
              <w:top w:val="nil"/>
              <w:left w:val="nil"/>
              <w:bottom w:val="single" w:sz="4" w:space="0" w:color="auto"/>
              <w:right w:val="nil"/>
            </w:tcBorders>
          </w:tcPr>
          <w:p w:rsidR="005C6FA5" w:rsidRPr="004A3584" w:rsidRDefault="005C6FA5" w:rsidP="00D76715">
            <w:pPr>
              <w:spacing w:after="0" w:line="240" w:lineRule="auto"/>
              <w:jc w:val="center"/>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Statistical difference result</w:t>
            </w:r>
          </w:p>
        </w:tc>
        <w:tc>
          <w:tcPr>
            <w:tcW w:w="2694" w:type="dxa"/>
            <w:tcBorders>
              <w:top w:val="nil"/>
              <w:left w:val="nil"/>
              <w:bottom w:val="single" w:sz="4" w:space="0" w:color="auto"/>
              <w:right w:val="nil"/>
            </w:tcBorders>
            <w:shd w:val="clear" w:color="auto" w:fill="auto"/>
            <w:vAlign w:val="center"/>
            <w:hideMark/>
          </w:tcPr>
          <w:p w:rsidR="005C6FA5" w:rsidRPr="004A3584" w:rsidRDefault="005C6FA5" w:rsidP="00D76715">
            <w:pPr>
              <w:spacing w:after="0" w:line="240" w:lineRule="auto"/>
              <w:jc w:val="center"/>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 xml:space="preserve">Interpretation (with alpha adjusted to </w:t>
            </w:r>
            <w:r w:rsidRPr="004A3584">
              <w:rPr>
                <w:rFonts w:asciiTheme="minorHAnsi" w:eastAsia="Times New Roman" w:hAnsiTheme="minorHAnsi"/>
                <w:i/>
                <w:color w:val="000000"/>
                <w:sz w:val="22"/>
                <w:szCs w:val="22"/>
                <w:lang w:eastAsia="en-GB"/>
              </w:rPr>
              <w:t>p</w:t>
            </w:r>
            <w:r w:rsidRPr="004A3584">
              <w:rPr>
                <w:rFonts w:asciiTheme="minorHAnsi" w:eastAsia="Times New Roman" w:hAnsiTheme="minorHAnsi"/>
                <w:color w:val="000000"/>
                <w:sz w:val="22"/>
                <w:szCs w:val="22"/>
                <w:lang w:eastAsia="en-GB"/>
              </w:rPr>
              <w:t>&lt; 0.008)</w:t>
            </w:r>
          </w:p>
        </w:tc>
      </w:tr>
      <w:tr w:rsidR="005C6FA5" w:rsidRPr="004A3584" w:rsidTr="00D76715">
        <w:trPr>
          <w:trHeight w:val="510"/>
        </w:trPr>
        <w:tc>
          <w:tcPr>
            <w:tcW w:w="1008" w:type="dxa"/>
            <w:vMerge w:val="restart"/>
            <w:tcBorders>
              <w:top w:val="nil"/>
              <w:left w:val="nil"/>
              <w:bottom w:val="nil"/>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Conducive</w:t>
            </w:r>
          </w:p>
        </w:tc>
        <w:tc>
          <w:tcPr>
            <w:tcW w:w="2723" w:type="dxa"/>
            <w:tcBorders>
              <w:top w:val="nil"/>
              <w:left w:val="nil"/>
              <w:bottom w:val="nil"/>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Control and left-prime</w:t>
            </w:r>
          </w:p>
        </w:tc>
        <w:tc>
          <w:tcPr>
            <w:tcW w:w="3088" w:type="dxa"/>
            <w:tcBorders>
              <w:top w:val="nil"/>
              <w:left w:val="nil"/>
              <w:bottom w:val="nil"/>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91.76 (14.28) and 93.10 (9.67)</w:t>
            </w:r>
          </w:p>
        </w:tc>
        <w:tc>
          <w:tcPr>
            <w:tcW w:w="2552" w:type="dxa"/>
            <w:tcBorders>
              <w:top w:val="nil"/>
              <w:left w:val="nil"/>
              <w:bottom w:val="nil"/>
              <w:right w:val="nil"/>
            </w:tcBorders>
            <w:shd w:val="clear" w:color="auto" w:fill="auto"/>
            <w:vAlign w:val="center"/>
            <w:hideMark/>
          </w:tcPr>
          <w:p w:rsidR="005C6FA5" w:rsidRPr="00212650" w:rsidRDefault="005C6FA5" w:rsidP="00D76715">
            <w:pPr>
              <w:spacing w:after="0" w:line="240" w:lineRule="auto"/>
              <w:rPr>
                <w:rFonts w:asciiTheme="minorHAnsi" w:eastAsia="Times New Roman" w:hAnsiTheme="minorHAnsi"/>
                <w:color w:val="000000"/>
                <w:sz w:val="22"/>
                <w:szCs w:val="22"/>
                <w:lang w:eastAsia="en-GB"/>
              </w:rPr>
            </w:pPr>
            <w:r w:rsidRPr="00212650">
              <w:rPr>
                <w:rFonts w:asciiTheme="minorHAnsi" w:eastAsia="Times New Roman" w:hAnsiTheme="minorHAnsi"/>
                <w:i/>
                <w:color w:val="000000"/>
                <w:sz w:val="22"/>
                <w:szCs w:val="22"/>
                <w:lang w:eastAsia="en-GB"/>
              </w:rPr>
              <w:t>t</w:t>
            </w:r>
            <w:r w:rsidRPr="00212650">
              <w:rPr>
                <w:rFonts w:asciiTheme="minorHAnsi" w:eastAsia="Times New Roman" w:hAnsiTheme="minorHAnsi"/>
                <w:color w:val="000000"/>
                <w:sz w:val="22"/>
                <w:szCs w:val="22"/>
                <w:lang w:eastAsia="en-GB"/>
              </w:rPr>
              <w:t xml:space="preserve">(34) = 2.06, </w:t>
            </w:r>
            <w:r w:rsidRPr="00212650">
              <w:rPr>
                <w:rFonts w:asciiTheme="minorHAnsi" w:eastAsia="Times New Roman" w:hAnsiTheme="minorHAnsi"/>
                <w:i/>
                <w:color w:val="000000"/>
                <w:sz w:val="22"/>
                <w:szCs w:val="22"/>
                <w:lang w:eastAsia="en-GB"/>
              </w:rPr>
              <w:t>p</w:t>
            </w:r>
            <w:r w:rsidRPr="00212650">
              <w:rPr>
                <w:rFonts w:asciiTheme="minorHAnsi" w:eastAsia="Times New Roman" w:hAnsiTheme="minorHAnsi"/>
                <w:color w:val="000000"/>
                <w:sz w:val="22"/>
                <w:szCs w:val="22"/>
                <w:lang w:eastAsia="en-GB"/>
              </w:rPr>
              <w:t xml:space="preserve"> = 0.023</w:t>
            </w:r>
          </w:p>
        </w:tc>
        <w:tc>
          <w:tcPr>
            <w:tcW w:w="2551" w:type="dxa"/>
            <w:tcBorders>
              <w:top w:val="nil"/>
              <w:left w:val="nil"/>
              <w:bottom w:val="nil"/>
              <w:right w:val="nil"/>
            </w:tcBorders>
            <w:shd w:val="clear" w:color="auto" w:fill="auto"/>
            <w:vAlign w:val="center"/>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i/>
                <w:color w:val="000000"/>
                <w:sz w:val="22"/>
                <w:szCs w:val="22"/>
                <w:lang w:eastAsia="en-GB"/>
              </w:rPr>
              <w:t>t</w:t>
            </w:r>
            <w:r w:rsidRPr="004A3584">
              <w:rPr>
                <w:rFonts w:asciiTheme="minorHAnsi" w:eastAsia="Times New Roman" w:hAnsiTheme="minorHAnsi"/>
                <w:color w:val="000000"/>
                <w:sz w:val="22"/>
                <w:szCs w:val="22"/>
                <w:lang w:eastAsia="en-GB"/>
              </w:rPr>
              <w:t xml:space="preserve">(34) = </w:t>
            </w:r>
            <w:r>
              <w:rPr>
                <w:rFonts w:asciiTheme="minorHAnsi" w:eastAsia="Times New Roman" w:hAnsiTheme="minorHAnsi"/>
                <w:color w:val="000000"/>
                <w:sz w:val="22"/>
                <w:szCs w:val="22"/>
                <w:lang w:eastAsia="en-GB"/>
              </w:rPr>
              <w:t>0.33</w:t>
            </w:r>
            <w:r w:rsidRPr="004A3584">
              <w:rPr>
                <w:rFonts w:asciiTheme="minorHAnsi" w:eastAsia="Times New Roman" w:hAnsiTheme="minorHAnsi"/>
                <w:color w:val="000000"/>
                <w:sz w:val="22"/>
                <w:szCs w:val="22"/>
                <w:lang w:eastAsia="en-GB"/>
              </w:rPr>
              <w:t xml:space="preserve">, </w:t>
            </w:r>
            <w:r w:rsidRPr="004A3584">
              <w:rPr>
                <w:rFonts w:asciiTheme="minorHAnsi" w:eastAsia="Times New Roman" w:hAnsiTheme="minorHAnsi"/>
                <w:i/>
                <w:color w:val="000000"/>
                <w:sz w:val="22"/>
                <w:szCs w:val="22"/>
                <w:lang w:eastAsia="en-GB"/>
              </w:rPr>
              <w:t>p</w:t>
            </w:r>
            <w:r w:rsidRPr="004A3584">
              <w:rPr>
                <w:rFonts w:asciiTheme="minorHAnsi" w:eastAsia="Times New Roman" w:hAnsiTheme="minorHAnsi"/>
                <w:color w:val="000000"/>
                <w:sz w:val="22"/>
                <w:szCs w:val="22"/>
                <w:lang w:eastAsia="en-GB"/>
              </w:rPr>
              <w:t xml:space="preserve"> = 0.</w:t>
            </w:r>
            <w:r>
              <w:rPr>
                <w:rFonts w:asciiTheme="minorHAnsi" w:eastAsia="Times New Roman" w:hAnsiTheme="minorHAnsi"/>
                <w:color w:val="000000"/>
                <w:sz w:val="22"/>
                <w:szCs w:val="22"/>
                <w:lang w:eastAsia="en-GB"/>
              </w:rPr>
              <w:t>74</w:t>
            </w:r>
          </w:p>
        </w:tc>
        <w:tc>
          <w:tcPr>
            <w:tcW w:w="2694" w:type="dxa"/>
            <w:tcBorders>
              <w:top w:val="nil"/>
              <w:left w:val="nil"/>
              <w:bottom w:val="nil"/>
              <w:right w:val="nil"/>
            </w:tcBorders>
            <w:shd w:val="clear" w:color="auto" w:fill="auto"/>
            <w:vAlign w:val="center"/>
            <w:hideMark/>
          </w:tcPr>
          <w:p w:rsidR="005C6FA5" w:rsidRPr="004A3584" w:rsidRDefault="005C6FA5" w:rsidP="00D76715">
            <w:pPr>
              <w:spacing w:after="0" w:line="240" w:lineRule="auto"/>
              <w:jc w:val="center"/>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Not statistically equivalent</w:t>
            </w:r>
            <w:r>
              <w:rPr>
                <w:rFonts w:asciiTheme="minorHAnsi" w:eastAsia="Times New Roman" w:hAnsiTheme="minorHAnsi"/>
                <w:color w:val="000000"/>
                <w:sz w:val="22"/>
                <w:szCs w:val="22"/>
                <w:lang w:eastAsia="en-GB"/>
              </w:rPr>
              <w:t xml:space="preserve"> or statistically different</w:t>
            </w:r>
          </w:p>
        </w:tc>
      </w:tr>
      <w:tr w:rsidR="005C6FA5" w:rsidRPr="004A3584" w:rsidTr="00D76715">
        <w:trPr>
          <w:trHeight w:val="510"/>
        </w:trPr>
        <w:tc>
          <w:tcPr>
            <w:tcW w:w="1008" w:type="dxa"/>
            <w:vMerge/>
            <w:tcBorders>
              <w:top w:val="nil"/>
              <w:left w:val="nil"/>
              <w:bottom w:val="nil"/>
              <w:right w:val="nil"/>
            </w:tcBorders>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p>
        </w:tc>
        <w:tc>
          <w:tcPr>
            <w:tcW w:w="2723" w:type="dxa"/>
            <w:tcBorders>
              <w:top w:val="nil"/>
              <w:left w:val="nil"/>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Control and right-prime</w:t>
            </w:r>
          </w:p>
        </w:tc>
        <w:tc>
          <w:tcPr>
            <w:tcW w:w="3088" w:type="dxa"/>
            <w:tcBorders>
              <w:top w:val="nil"/>
              <w:left w:val="nil"/>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91.76 (14.28) and 97.18 (4.51)</w:t>
            </w:r>
          </w:p>
        </w:tc>
        <w:tc>
          <w:tcPr>
            <w:tcW w:w="2552" w:type="dxa"/>
            <w:tcBorders>
              <w:top w:val="nil"/>
              <w:left w:val="nil"/>
              <w:right w:val="nil"/>
            </w:tcBorders>
            <w:shd w:val="clear" w:color="auto" w:fill="auto"/>
            <w:vAlign w:val="center"/>
            <w:hideMark/>
          </w:tcPr>
          <w:p w:rsidR="005C6FA5" w:rsidRPr="00212650" w:rsidRDefault="005C6FA5" w:rsidP="00D76715">
            <w:pPr>
              <w:spacing w:after="0" w:line="240" w:lineRule="auto"/>
              <w:rPr>
                <w:rFonts w:asciiTheme="minorHAnsi" w:eastAsia="Times New Roman" w:hAnsiTheme="minorHAnsi"/>
                <w:color w:val="000000"/>
                <w:sz w:val="22"/>
                <w:szCs w:val="22"/>
                <w:lang w:eastAsia="en-GB"/>
              </w:rPr>
            </w:pPr>
            <w:r w:rsidRPr="00212650">
              <w:rPr>
                <w:rFonts w:asciiTheme="minorHAnsi" w:eastAsia="Times New Roman" w:hAnsiTheme="minorHAnsi"/>
                <w:i/>
                <w:color w:val="000000"/>
                <w:sz w:val="22"/>
                <w:szCs w:val="22"/>
                <w:lang w:eastAsia="en-GB"/>
              </w:rPr>
              <w:t>t</w:t>
            </w:r>
            <w:r w:rsidRPr="00212650">
              <w:rPr>
                <w:rFonts w:asciiTheme="minorHAnsi" w:eastAsia="Times New Roman" w:hAnsiTheme="minorHAnsi"/>
                <w:color w:val="000000"/>
                <w:sz w:val="22"/>
                <w:szCs w:val="22"/>
                <w:lang w:eastAsia="en-GB"/>
              </w:rPr>
              <w:t xml:space="preserve">(40) = 0.76, </w:t>
            </w:r>
            <w:r w:rsidRPr="00212650">
              <w:rPr>
                <w:rFonts w:asciiTheme="minorHAnsi" w:eastAsia="Times New Roman" w:hAnsiTheme="minorHAnsi"/>
                <w:i/>
                <w:color w:val="000000"/>
                <w:sz w:val="22"/>
                <w:szCs w:val="22"/>
                <w:lang w:eastAsia="en-GB"/>
              </w:rPr>
              <w:t>p</w:t>
            </w:r>
            <w:r w:rsidRPr="00212650">
              <w:rPr>
                <w:rFonts w:asciiTheme="minorHAnsi" w:eastAsia="Times New Roman" w:hAnsiTheme="minorHAnsi"/>
                <w:color w:val="000000"/>
                <w:sz w:val="22"/>
                <w:szCs w:val="22"/>
                <w:lang w:eastAsia="en-GB"/>
              </w:rPr>
              <w:t xml:space="preserve"> = 0.225</w:t>
            </w:r>
          </w:p>
        </w:tc>
        <w:tc>
          <w:tcPr>
            <w:tcW w:w="2551" w:type="dxa"/>
            <w:tcBorders>
              <w:top w:val="nil"/>
              <w:left w:val="nil"/>
              <w:right w:val="nil"/>
            </w:tcBorders>
            <w:shd w:val="clear" w:color="auto" w:fill="auto"/>
            <w:vAlign w:val="center"/>
          </w:tcPr>
          <w:p w:rsidR="005C6FA5" w:rsidRPr="00DF79B5" w:rsidRDefault="005C6FA5" w:rsidP="00D76715">
            <w:pPr>
              <w:spacing w:after="0" w:line="240" w:lineRule="auto"/>
              <w:rPr>
                <w:rFonts w:asciiTheme="minorHAnsi" w:eastAsia="Times New Roman" w:hAnsiTheme="minorHAnsi"/>
                <w:color w:val="000000"/>
                <w:sz w:val="22"/>
                <w:szCs w:val="22"/>
                <w:highlight w:val="yellow"/>
                <w:lang w:eastAsia="en-GB"/>
              </w:rPr>
            </w:pPr>
            <w:r w:rsidRPr="00AA7CFB">
              <w:rPr>
                <w:rFonts w:asciiTheme="minorHAnsi" w:eastAsia="Times New Roman" w:hAnsiTheme="minorHAnsi"/>
                <w:i/>
                <w:color w:val="000000"/>
                <w:sz w:val="22"/>
                <w:szCs w:val="22"/>
                <w:lang w:eastAsia="en-GB"/>
              </w:rPr>
              <w:t>t</w:t>
            </w:r>
            <w:r w:rsidRPr="00AA7CFB">
              <w:rPr>
                <w:rFonts w:asciiTheme="minorHAnsi" w:eastAsia="Times New Roman" w:hAnsiTheme="minorHAnsi"/>
                <w:color w:val="000000"/>
                <w:sz w:val="22"/>
                <w:szCs w:val="22"/>
                <w:lang w:eastAsia="en-GB"/>
              </w:rPr>
              <w:t xml:space="preserve">(40) = 1.78, </w:t>
            </w:r>
            <w:r w:rsidRPr="00AA7CFB">
              <w:rPr>
                <w:rFonts w:asciiTheme="minorHAnsi" w:eastAsia="Times New Roman" w:hAnsiTheme="minorHAnsi"/>
                <w:i/>
                <w:color w:val="000000"/>
                <w:sz w:val="22"/>
                <w:szCs w:val="22"/>
                <w:lang w:eastAsia="en-GB"/>
              </w:rPr>
              <w:t>p</w:t>
            </w:r>
            <w:r w:rsidRPr="00AA7CFB">
              <w:rPr>
                <w:rFonts w:asciiTheme="minorHAnsi" w:eastAsia="Times New Roman" w:hAnsiTheme="minorHAnsi"/>
                <w:color w:val="000000"/>
                <w:sz w:val="22"/>
                <w:szCs w:val="22"/>
                <w:lang w:eastAsia="en-GB"/>
              </w:rPr>
              <w:t xml:space="preserve"> = 0.083</w:t>
            </w:r>
          </w:p>
        </w:tc>
        <w:tc>
          <w:tcPr>
            <w:tcW w:w="2694" w:type="dxa"/>
            <w:tcBorders>
              <w:top w:val="nil"/>
              <w:left w:val="nil"/>
              <w:right w:val="nil"/>
            </w:tcBorders>
            <w:shd w:val="clear" w:color="auto" w:fill="auto"/>
            <w:vAlign w:val="center"/>
            <w:hideMark/>
          </w:tcPr>
          <w:p w:rsidR="005C6FA5" w:rsidRPr="004A3584" w:rsidRDefault="005C6FA5" w:rsidP="00D76715">
            <w:pPr>
              <w:spacing w:after="0" w:line="240" w:lineRule="auto"/>
              <w:jc w:val="center"/>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Not statistically equivalent</w:t>
            </w:r>
            <w:r>
              <w:rPr>
                <w:rFonts w:asciiTheme="minorHAnsi" w:eastAsia="Times New Roman" w:hAnsiTheme="minorHAnsi"/>
                <w:color w:val="000000"/>
                <w:sz w:val="22"/>
                <w:szCs w:val="22"/>
                <w:lang w:eastAsia="en-GB"/>
              </w:rPr>
              <w:t xml:space="preserve"> or statistically different</w:t>
            </w:r>
          </w:p>
        </w:tc>
      </w:tr>
      <w:tr w:rsidR="005C6FA5" w:rsidRPr="004A3584" w:rsidTr="00D76715">
        <w:trPr>
          <w:trHeight w:val="570"/>
        </w:trPr>
        <w:tc>
          <w:tcPr>
            <w:tcW w:w="1008" w:type="dxa"/>
            <w:vMerge/>
            <w:tcBorders>
              <w:top w:val="nil"/>
              <w:left w:val="nil"/>
              <w:bottom w:val="nil"/>
              <w:right w:val="nil"/>
            </w:tcBorders>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p>
        </w:tc>
        <w:tc>
          <w:tcPr>
            <w:tcW w:w="2723" w:type="dxa"/>
            <w:tcBorders>
              <w:top w:val="nil"/>
              <w:left w:val="nil"/>
              <w:bottom w:val="single" w:sz="4" w:space="0" w:color="auto"/>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Left-prime and right-prime</w:t>
            </w:r>
          </w:p>
        </w:tc>
        <w:tc>
          <w:tcPr>
            <w:tcW w:w="3088" w:type="dxa"/>
            <w:tcBorders>
              <w:top w:val="nil"/>
              <w:left w:val="nil"/>
              <w:bottom w:val="single" w:sz="4" w:space="0" w:color="auto"/>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93.10 (9.67) and 97.18 (4.51)</w:t>
            </w:r>
          </w:p>
        </w:tc>
        <w:tc>
          <w:tcPr>
            <w:tcW w:w="2552" w:type="dxa"/>
            <w:tcBorders>
              <w:top w:val="nil"/>
              <w:left w:val="nil"/>
              <w:bottom w:val="single" w:sz="4" w:space="0" w:color="auto"/>
              <w:right w:val="nil"/>
            </w:tcBorders>
            <w:shd w:val="clear" w:color="auto" w:fill="auto"/>
            <w:vAlign w:val="center"/>
            <w:hideMark/>
          </w:tcPr>
          <w:p w:rsidR="005C6FA5" w:rsidRPr="00212650" w:rsidRDefault="005C6FA5" w:rsidP="00D76715">
            <w:pPr>
              <w:spacing w:after="0" w:line="240" w:lineRule="auto"/>
              <w:rPr>
                <w:rFonts w:asciiTheme="minorHAnsi" w:eastAsia="Times New Roman" w:hAnsiTheme="minorHAnsi"/>
                <w:color w:val="000000"/>
                <w:sz w:val="22"/>
                <w:szCs w:val="22"/>
                <w:lang w:eastAsia="en-GB"/>
              </w:rPr>
            </w:pPr>
            <w:r w:rsidRPr="00212650">
              <w:rPr>
                <w:rFonts w:asciiTheme="minorHAnsi" w:eastAsia="Times New Roman" w:hAnsiTheme="minorHAnsi"/>
                <w:i/>
                <w:color w:val="000000"/>
                <w:sz w:val="22"/>
                <w:szCs w:val="22"/>
                <w:lang w:eastAsia="en-GB"/>
              </w:rPr>
              <w:t>t</w:t>
            </w:r>
            <w:r w:rsidRPr="00212650">
              <w:rPr>
                <w:rFonts w:asciiTheme="minorHAnsi" w:eastAsia="Times New Roman" w:hAnsiTheme="minorHAnsi"/>
                <w:color w:val="000000"/>
                <w:sz w:val="22"/>
                <w:szCs w:val="22"/>
                <w:lang w:eastAsia="en-GB"/>
              </w:rPr>
              <w:t xml:space="preserve">(23.95) = 0.82, </w:t>
            </w:r>
            <w:r w:rsidRPr="00212650">
              <w:rPr>
                <w:rFonts w:asciiTheme="minorHAnsi" w:eastAsia="Times New Roman" w:hAnsiTheme="minorHAnsi"/>
                <w:i/>
                <w:color w:val="000000"/>
                <w:sz w:val="22"/>
                <w:szCs w:val="22"/>
                <w:lang w:eastAsia="en-GB"/>
              </w:rPr>
              <w:t>p</w:t>
            </w:r>
            <w:r w:rsidRPr="00212650">
              <w:rPr>
                <w:rFonts w:asciiTheme="minorHAnsi" w:eastAsia="Times New Roman" w:hAnsiTheme="minorHAnsi"/>
                <w:color w:val="000000"/>
                <w:sz w:val="22"/>
                <w:szCs w:val="22"/>
                <w:lang w:eastAsia="en-GB"/>
              </w:rPr>
              <w:t xml:space="preserve"> = 0.221</w:t>
            </w:r>
          </w:p>
        </w:tc>
        <w:tc>
          <w:tcPr>
            <w:tcW w:w="2551" w:type="dxa"/>
            <w:tcBorders>
              <w:top w:val="nil"/>
              <w:left w:val="nil"/>
              <w:bottom w:val="single" w:sz="4" w:space="0" w:color="auto"/>
              <w:right w:val="nil"/>
            </w:tcBorders>
            <w:shd w:val="clear" w:color="auto" w:fill="auto"/>
            <w:vAlign w:val="center"/>
          </w:tcPr>
          <w:p w:rsidR="005C6FA5" w:rsidRPr="00DF79B5" w:rsidRDefault="005C6FA5" w:rsidP="00D76715">
            <w:pPr>
              <w:spacing w:after="0" w:line="240" w:lineRule="auto"/>
              <w:rPr>
                <w:rFonts w:asciiTheme="minorHAnsi" w:eastAsia="Times New Roman" w:hAnsiTheme="minorHAnsi"/>
                <w:color w:val="000000"/>
                <w:sz w:val="22"/>
                <w:szCs w:val="22"/>
                <w:highlight w:val="yellow"/>
                <w:lang w:eastAsia="en-GB"/>
              </w:rPr>
            </w:pPr>
            <w:r w:rsidRPr="00AA7CFB">
              <w:rPr>
                <w:rFonts w:asciiTheme="minorHAnsi" w:eastAsia="Times New Roman" w:hAnsiTheme="minorHAnsi"/>
                <w:i/>
                <w:color w:val="000000"/>
                <w:sz w:val="22"/>
                <w:szCs w:val="22"/>
                <w:lang w:eastAsia="en-GB"/>
              </w:rPr>
              <w:t>t</w:t>
            </w:r>
            <w:r w:rsidRPr="00AA7CFB">
              <w:rPr>
                <w:rFonts w:asciiTheme="minorHAnsi" w:eastAsia="Times New Roman" w:hAnsiTheme="minorHAnsi"/>
                <w:color w:val="000000"/>
                <w:sz w:val="22"/>
                <w:szCs w:val="22"/>
                <w:lang w:eastAsia="en-GB"/>
              </w:rPr>
              <w:t xml:space="preserve">(23.95) = 1.70, </w:t>
            </w:r>
            <w:r w:rsidRPr="00AA7CFB">
              <w:rPr>
                <w:rFonts w:asciiTheme="minorHAnsi" w:eastAsia="Times New Roman" w:hAnsiTheme="minorHAnsi"/>
                <w:i/>
                <w:color w:val="000000"/>
                <w:sz w:val="22"/>
                <w:szCs w:val="22"/>
                <w:lang w:eastAsia="en-GB"/>
              </w:rPr>
              <w:t>p</w:t>
            </w:r>
            <w:r w:rsidRPr="00AA7CFB">
              <w:rPr>
                <w:rFonts w:asciiTheme="minorHAnsi" w:eastAsia="Times New Roman" w:hAnsiTheme="minorHAnsi"/>
                <w:color w:val="000000"/>
                <w:sz w:val="22"/>
                <w:szCs w:val="22"/>
                <w:lang w:eastAsia="en-GB"/>
              </w:rPr>
              <w:t xml:space="preserve"> = 0.102</w:t>
            </w:r>
          </w:p>
        </w:tc>
        <w:tc>
          <w:tcPr>
            <w:tcW w:w="2694" w:type="dxa"/>
            <w:tcBorders>
              <w:top w:val="nil"/>
              <w:left w:val="nil"/>
              <w:bottom w:val="single" w:sz="4" w:space="0" w:color="auto"/>
              <w:right w:val="nil"/>
            </w:tcBorders>
            <w:shd w:val="clear" w:color="auto" w:fill="auto"/>
            <w:vAlign w:val="center"/>
            <w:hideMark/>
          </w:tcPr>
          <w:p w:rsidR="005C6FA5" w:rsidRPr="004A3584" w:rsidRDefault="005C6FA5" w:rsidP="00D76715">
            <w:pPr>
              <w:spacing w:after="0" w:line="240" w:lineRule="auto"/>
              <w:jc w:val="center"/>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Not statistically equivalent</w:t>
            </w:r>
            <w:r>
              <w:rPr>
                <w:rFonts w:asciiTheme="minorHAnsi" w:eastAsia="Times New Roman" w:hAnsiTheme="minorHAnsi"/>
                <w:color w:val="000000"/>
                <w:sz w:val="22"/>
                <w:szCs w:val="22"/>
                <w:lang w:eastAsia="en-GB"/>
              </w:rPr>
              <w:t xml:space="preserve"> or statistically different</w:t>
            </w:r>
          </w:p>
        </w:tc>
      </w:tr>
      <w:tr w:rsidR="005C6FA5" w:rsidRPr="004A3584" w:rsidTr="00D76715">
        <w:trPr>
          <w:trHeight w:val="510"/>
        </w:trPr>
        <w:tc>
          <w:tcPr>
            <w:tcW w:w="1008" w:type="dxa"/>
            <w:vMerge w:val="restart"/>
            <w:tcBorders>
              <w:top w:val="nil"/>
              <w:left w:val="nil"/>
              <w:bottom w:val="single" w:sz="4" w:space="0" w:color="000000"/>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Non-conducive</w:t>
            </w:r>
          </w:p>
        </w:tc>
        <w:tc>
          <w:tcPr>
            <w:tcW w:w="2723" w:type="dxa"/>
            <w:tcBorders>
              <w:top w:val="single" w:sz="4" w:space="0" w:color="auto"/>
              <w:left w:val="nil"/>
              <w:bottom w:val="nil"/>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Control and left-prime</w:t>
            </w:r>
          </w:p>
        </w:tc>
        <w:tc>
          <w:tcPr>
            <w:tcW w:w="3088" w:type="dxa"/>
            <w:tcBorders>
              <w:top w:val="single" w:sz="4" w:space="0" w:color="auto"/>
              <w:left w:val="nil"/>
              <w:bottom w:val="nil"/>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82.42 (18.82) and 78.54 (24.33)</w:t>
            </w:r>
          </w:p>
        </w:tc>
        <w:tc>
          <w:tcPr>
            <w:tcW w:w="2552" w:type="dxa"/>
            <w:tcBorders>
              <w:top w:val="single" w:sz="4" w:space="0" w:color="auto"/>
              <w:left w:val="nil"/>
              <w:bottom w:val="nil"/>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i/>
                <w:color w:val="000000"/>
                <w:sz w:val="22"/>
                <w:szCs w:val="22"/>
                <w:lang w:eastAsia="en-GB"/>
              </w:rPr>
              <w:t>t</w:t>
            </w:r>
            <w:r w:rsidRPr="004A3584">
              <w:rPr>
                <w:rFonts w:asciiTheme="minorHAnsi" w:eastAsia="Times New Roman" w:hAnsiTheme="minorHAnsi"/>
                <w:color w:val="000000"/>
                <w:sz w:val="22"/>
                <w:szCs w:val="22"/>
                <w:lang w:eastAsia="en-GB"/>
              </w:rPr>
              <w:t xml:space="preserve">(34) = -1.87, </w:t>
            </w:r>
            <w:r w:rsidRPr="004A3584">
              <w:rPr>
                <w:rFonts w:asciiTheme="minorHAnsi" w:eastAsia="Times New Roman" w:hAnsiTheme="minorHAnsi"/>
                <w:i/>
                <w:color w:val="000000"/>
                <w:sz w:val="22"/>
                <w:szCs w:val="22"/>
                <w:lang w:eastAsia="en-GB"/>
              </w:rPr>
              <w:t>p</w:t>
            </w:r>
            <w:r w:rsidRPr="004A3584">
              <w:rPr>
                <w:rFonts w:asciiTheme="minorHAnsi" w:eastAsia="Times New Roman" w:hAnsiTheme="minorHAnsi"/>
                <w:color w:val="000000"/>
                <w:sz w:val="22"/>
                <w:szCs w:val="22"/>
                <w:lang w:eastAsia="en-GB"/>
              </w:rPr>
              <w:t xml:space="preserve"> = 0.035</w:t>
            </w:r>
          </w:p>
        </w:tc>
        <w:tc>
          <w:tcPr>
            <w:tcW w:w="2551" w:type="dxa"/>
            <w:tcBorders>
              <w:top w:val="single" w:sz="4" w:space="0" w:color="auto"/>
              <w:left w:val="nil"/>
              <w:bottom w:val="nil"/>
              <w:right w:val="nil"/>
            </w:tcBorders>
            <w:shd w:val="clear" w:color="auto" w:fill="auto"/>
            <w:vAlign w:val="center"/>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i/>
                <w:color w:val="000000"/>
                <w:sz w:val="22"/>
                <w:szCs w:val="22"/>
                <w:lang w:eastAsia="en-GB"/>
              </w:rPr>
              <w:t>t</w:t>
            </w:r>
            <w:r w:rsidRPr="004A3584">
              <w:rPr>
                <w:rFonts w:asciiTheme="minorHAnsi" w:eastAsia="Times New Roman" w:hAnsiTheme="minorHAnsi"/>
                <w:color w:val="000000"/>
                <w:sz w:val="22"/>
                <w:szCs w:val="22"/>
                <w:lang w:eastAsia="en-GB"/>
              </w:rPr>
              <w:t xml:space="preserve">(34) = </w:t>
            </w:r>
            <w:r>
              <w:rPr>
                <w:rFonts w:asciiTheme="minorHAnsi" w:eastAsia="Times New Roman" w:hAnsiTheme="minorHAnsi"/>
                <w:color w:val="000000"/>
                <w:sz w:val="22"/>
                <w:szCs w:val="22"/>
                <w:lang w:eastAsia="en-GB"/>
              </w:rPr>
              <w:t>0.53</w:t>
            </w:r>
            <w:r w:rsidRPr="004A3584">
              <w:rPr>
                <w:rFonts w:asciiTheme="minorHAnsi" w:eastAsia="Times New Roman" w:hAnsiTheme="minorHAnsi"/>
                <w:color w:val="000000"/>
                <w:sz w:val="22"/>
                <w:szCs w:val="22"/>
                <w:lang w:eastAsia="en-GB"/>
              </w:rPr>
              <w:t xml:space="preserve">, </w:t>
            </w:r>
            <w:r w:rsidRPr="004A3584">
              <w:rPr>
                <w:rFonts w:asciiTheme="minorHAnsi" w:eastAsia="Times New Roman" w:hAnsiTheme="minorHAnsi"/>
                <w:i/>
                <w:color w:val="000000"/>
                <w:sz w:val="22"/>
                <w:szCs w:val="22"/>
                <w:lang w:eastAsia="en-GB"/>
              </w:rPr>
              <w:t>p</w:t>
            </w:r>
            <w:r w:rsidRPr="004A3584">
              <w:rPr>
                <w:rFonts w:asciiTheme="minorHAnsi" w:eastAsia="Times New Roman" w:hAnsiTheme="minorHAnsi"/>
                <w:color w:val="000000"/>
                <w:sz w:val="22"/>
                <w:szCs w:val="22"/>
                <w:lang w:eastAsia="en-GB"/>
              </w:rPr>
              <w:t xml:space="preserve"> = 0.5</w:t>
            </w:r>
            <w:r>
              <w:rPr>
                <w:rFonts w:asciiTheme="minorHAnsi" w:eastAsia="Times New Roman" w:hAnsiTheme="minorHAnsi"/>
                <w:color w:val="000000"/>
                <w:sz w:val="22"/>
                <w:szCs w:val="22"/>
                <w:lang w:eastAsia="en-GB"/>
              </w:rPr>
              <w:t>99</w:t>
            </w:r>
          </w:p>
        </w:tc>
        <w:tc>
          <w:tcPr>
            <w:tcW w:w="2694" w:type="dxa"/>
            <w:tcBorders>
              <w:top w:val="single" w:sz="4" w:space="0" w:color="auto"/>
              <w:left w:val="nil"/>
              <w:bottom w:val="nil"/>
              <w:right w:val="nil"/>
            </w:tcBorders>
            <w:shd w:val="clear" w:color="auto" w:fill="auto"/>
            <w:vAlign w:val="center"/>
            <w:hideMark/>
          </w:tcPr>
          <w:p w:rsidR="005C6FA5" w:rsidRPr="004A3584" w:rsidRDefault="005C6FA5" w:rsidP="00D76715">
            <w:pPr>
              <w:spacing w:after="0" w:line="240" w:lineRule="auto"/>
              <w:jc w:val="center"/>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Not statistically equivalent</w:t>
            </w:r>
            <w:r>
              <w:rPr>
                <w:rFonts w:asciiTheme="minorHAnsi" w:eastAsia="Times New Roman" w:hAnsiTheme="minorHAnsi"/>
                <w:color w:val="000000"/>
                <w:sz w:val="22"/>
                <w:szCs w:val="22"/>
                <w:lang w:eastAsia="en-GB"/>
              </w:rPr>
              <w:t xml:space="preserve"> or statistically different</w:t>
            </w:r>
          </w:p>
        </w:tc>
      </w:tr>
      <w:tr w:rsidR="005C6FA5" w:rsidRPr="004A3584" w:rsidTr="00D76715">
        <w:trPr>
          <w:trHeight w:val="510"/>
        </w:trPr>
        <w:tc>
          <w:tcPr>
            <w:tcW w:w="1008" w:type="dxa"/>
            <w:vMerge/>
            <w:tcBorders>
              <w:top w:val="nil"/>
              <w:left w:val="nil"/>
              <w:bottom w:val="single" w:sz="4" w:space="0" w:color="000000"/>
              <w:right w:val="nil"/>
            </w:tcBorders>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p>
        </w:tc>
        <w:tc>
          <w:tcPr>
            <w:tcW w:w="2723" w:type="dxa"/>
            <w:tcBorders>
              <w:top w:val="nil"/>
              <w:left w:val="nil"/>
              <w:bottom w:val="nil"/>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Control and right-prime</w:t>
            </w:r>
          </w:p>
        </w:tc>
        <w:tc>
          <w:tcPr>
            <w:tcW w:w="3088" w:type="dxa"/>
            <w:tcBorders>
              <w:top w:val="nil"/>
              <w:left w:val="nil"/>
              <w:bottom w:val="nil"/>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82.42 (18.82) and 83.97 (12.85)</w:t>
            </w:r>
          </w:p>
        </w:tc>
        <w:tc>
          <w:tcPr>
            <w:tcW w:w="2552" w:type="dxa"/>
            <w:tcBorders>
              <w:top w:val="nil"/>
              <w:left w:val="nil"/>
              <w:bottom w:val="nil"/>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i/>
                <w:color w:val="000000"/>
                <w:sz w:val="22"/>
                <w:szCs w:val="22"/>
                <w:lang w:eastAsia="en-GB"/>
              </w:rPr>
              <w:t>t</w:t>
            </w:r>
            <w:r w:rsidRPr="004A3584">
              <w:rPr>
                <w:rFonts w:asciiTheme="minorHAnsi" w:eastAsia="Times New Roman" w:hAnsiTheme="minorHAnsi"/>
                <w:color w:val="000000"/>
                <w:sz w:val="22"/>
                <w:szCs w:val="22"/>
                <w:lang w:eastAsia="en-GB"/>
              </w:rPr>
              <w:t xml:space="preserve">(40) = 2.23, </w:t>
            </w:r>
            <w:r w:rsidRPr="004A3584">
              <w:rPr>
                <w:rFonts w:asciiTheme="minorHAnsi" w:eastAsia="Times New Roman" w:hAnsiTheme="minorHAnsi"/>
                <w:i/>
                <w:color w:val="000000"/>
                <w:sz w:val="22"/>
                <w:szCs w:val="22"/>
                <w:lang w:eastAsia="en-GB"/>
              </w:rPr>
              <w:t>p</w:t>
            </w:r>
            <w:r w:rsidRPr="004A3584">
              <w:rPr>
                <w:rFonts w:asciiTheme="minorHAnsi" w:eastAsia="Times New Roman" w:hAnsiTheme="minorHAnsi"/>
                <w:color w:val="000000"/>
                <w:sz w:val="22"/>
                <w:szCs w:val="22"/>
                <w:lang w:eastAsia="en-GB"/>
              </w:rPr>
              <w:t xml:space="preserve"> = 0.016</w:t>
            </w:r>
          </w:p>
        </w:tc>
        <w:tc>
          <w:tcPr>
            <w:tcW w:w="2551" w:type="dxa"/>
            <w:tcBorders>
              <w:top w:val="nil"/>
              <w:left w:val="nil"/>
              <w:bottom w:val="nil"/>
              <w:right w:val="nil"/>
            </w:tcBorders>
            <w:shd w:val="clear" w:color="auto" w:fill="auto"/>
            <w:vAlign w:val="center"/>
          </w:tcPr>
          <w:p w:rsidR="005C6FA5" w:rsidRPr="00DF79B5" w:rsidRDefault="005C6FA5" w:rsidP="00D76715">
            <w:pPr>
              <w:spacing w:after="0" w:line="240" w:lineRule="auto"/>
              <w:rPr>
                <w:rFonts w:asciiTheme="minorHAnsi" w:eastAsia="Times New Roman" w:hAnsiTheme="minorHAnsi"/>
                <w:color w:val="000000"/>
                <w:sz w:val="22"/>
                <w:szCs w:val="22"/>
                <w:highlight w:val="yellow"/>
                <w:lang w:eastAsia="en-GB"/>
              </w:rPr>
            </w:pPr>
            <w:r w:rsidRPr="00197605">
              <w:rPr>
                <w:rFonts w:asciiTheme="minorHAnsi" w:eastAsia="Times New Roman" w:hAnsiTheme="minorHAnsi"/>
                <w:i/>
                <w:color w:val="000000"/>
                <w:sz w:val="22"/>
                <w:szCs w:val="22"/>
                <w:lang w:eastAsia="en-GB"/>
              </w:rPr>
              <w:t>t</w:t>
            </w:r>
            <w:r w:rsidRPr="00197605">
              <w:rPr>
                <w:rFonts w:asciiTheme="minorHAnsi" w:eastAsia="Times New Roman" w:hAnsiTheme="minorHAnsi"/>
                <w:color w:val="000000"/>
                <w:sz w:val="22"/>
                <w:szCs w:val="22"/>
                <w:lang w:eastAsia="en-GB"/>
              </w:rPr>
              <w:t xml:space="preserve">(40) = 0.318, </w:t>
            </w:r>
            <w:r w:rsidRPr="00197605">
              <w:rPr>
                <w:rFonts w:asciiTheme="minorHAnsi" w:eastAsia="Times New Roman" w:hAnsiTheme="minorHAnsi"/>
                <w:i/>
                <w:color w:val="000000"/>
                <w:sz w:val="22"/>
                <w:szCs w:val="22"/>
                <w:lang w:eastAsia="en-GB"/>
              </w:rPr>
              <w:t>p</w:t>
            </w:r>
            <w:r w:rsidRPr="00197605">
              <w:rPr>
                <w:rFonts w:asciiTheme="minorHAnsi" w:eastAsia="Times New Roman" w:hAnsiTheme="minorHAnsi"/>
                <w:color w:val="000000"/>
                <w:sz w:val="22"/>
                <w:szCs w:val="22"/>
                <w:lang w:eastAsia="en-GB"/>
              </w:rPr>
              <w:t xml:space="preserve"> = 0.752</w:t>
            </w:r>
          </w:p>
        </w:tc>
        <w:tc>
          <w:tcPr>
            <w:tcW w:w="2694" w:type="dxa"/>
            <w:tcBorders>
              <w:top w:val="nil"/>
              <w:left w:val="nil"/>
              <w:bottom w:val="nil"/>
              <w:right w:val="nil"/>
            </w:tcBorders>
            <w:shd w:val="clear" w:color="auto" w:fill="auto"/>
            <w:vAlign w:val="center"/>
            <w:hideMark/>
          </w:tcPr>
          <w:p w:rsidR="005C6FA5" w:rsidRPr="004A3584" w:rsidRDefault="005C6FA5" w:rsidP="00D76715">
            <w:pPr>
              <w:spacing w:after="0" w:line="240" w:lineRule="auto"/>
              <w:jc w:val="center"/>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Not statistically equivalent</w:t>
            </w:r>
            <w:r>
              <w:rPr>
                <w:rFonts w:asciiTheme="minorHAnsi" w:eastAsia="Times New Roman" w:hAnsiTheme="minorHAnsi"/>
                <w:color w:val="000000"/>
                <w:sz w:val="22"/>
                <w:szCs w:val="22"/>
                <w:lang w:eastAsia="en-GB"/>
              </w:rPr>
              <w:t xml:space="preserve"> or statistically different</w:t>
            </w:r>
          </w:p>
        </w:tc>
      </w:tr>
      <w:tr w:rsidR="005C6FA5" w:rsidRPr="004A3584" w:rsidTr="00D76715">
        <w:trPr>
          <w:trHeight w:val="525"/>
        </w:trPr>
        <w:tc>
          <w:tcPr>
            <w:tcW w:w="1008" w:type="dxa"/>
            <w:vMerge/>
            <w:tcBorders>
              <w:top w:val="nil"/>
              <w:left w:val="nil"/>
              <w:bottom w:val="single" w:sz="4" w:space="0" w:color="000000"/>
              <w:right w:val="nil"/>
            </w:tcBorders>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p>
        </w:tc>
        <w:tc>
          <w:tcPr>
            <w:tcW w:w="2723" w:type="dxa"/>
            <w:tcBorders>
              <w:top w:val="nil"/>
              <w:left w:val="nil"/>
              <w:bottom w:val="single" w:sz="4" w:space="0" w:color="auto"/>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Left-prime and right-prime</w:t>
            </w:r>
          </w:p>
        </w:tc>
        <w:tc>
          <w:tcPr>
            <w:tcW w:w="3088" w:type="dxa"/>
            <w:tcBorders>
              <w:top w:val="nil"/>
              <w:left w:val="nil"/>
              <w:bottom w:val="single" w:sz="4" w:space="0" w:color="auto"/>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78.54 (24.33) and 83.97 (12.85)</w:t>
            </w:r>
          </w:p>
        </w:tc>
        <w:tc>
          <w:tcPr>
            <w:tcW w:w="2552" w:type="dxa"/>
            <w:tcBorders>
              <w:top w:val="nil"/>
              <w:left w:val="nil"/>
              <w:bottom w:val="single" w:sz="4" w:space="0" w:color="auto"/>
              <w:right w:val="nil"/>
            </w:tcBorders>
            <w:shd w:val="clear" w:color="auto" w:fill="auto"/>
            <w:vAlign w:val="center"/>
            <w:hideMark/>
          </w:tcPr>
          <w:p w:rsidR="005C6FA5" w:rsidRPr="004A3584" w:rsidRDefault="005C6FA5" w:rsidP="00D76715">
            <w:pPr>
              <w:spacing w:after="0" w:line="240" w:lineRule="auto"/>
              <w:rPr>
                <w:rFonts w:asciiTheme="minorHAnsi" w:eastAsia="Times New Roman" w:hAnsiTheme="minorHAnsi"/>
                <w:color w:val="000000"/>
                <w:sz w:val="22"/>
                <w:szCs w:val="22"/>
                <w:lang w:eastAsia="en-GB"/>
              </w:rPr>
            </w:pPr>
            <w:r w:rsidRPr="004A3584">
              <w:rPr>
                <w:rFonts w:asciiTheme="minorHAnsi" w:eastAsia="Times New Roman" w:hAnsiTheme="minorHAnsi"/>
                <w:i/>
                <w:color w:val="000000"/>
                <w:sz w:val="22"/>
                <w:szCs w:val="22"/>
                <w:lang w:eastAsia="en-GB"/>
              </w:rPr>
              <w:t>t</w:t>
            </w:r>
            <w:r w:rsidRPr="004A3584">
              <w:rPr>
                <w:rFonts w:asciiTheme="minorHAnsi" w:eastAsia="Times New Roman" w:hAnsiTheme="minorHAnsi"/>
                <w:color w:val="000000"/>
                <w:sz w:val="22"/>
                <w:szCs w:val="22"/>
                <w:lang w:eastAsia="en-GB"/>
              </w:rPr>
              <w:t xml:space="preserve">(25.58) = 1.65, </w:t>
            </w:r>
            <w:r w:rsidRPr="004A3584">
              <w:rPr>
                <w:rFonts w:asciiTheme="minorHAnsi" w:eastAsia="Times New Roman" w:hAnsiTheme="minorHAnsi"/>
                <w:i/>
                <w:color w:val="000000"/>
                <w:sz w:val="22"/>
                <w:szCs w:val="22"/>
                <w:lang w:eastAsia="en-GB"/>
              </w:rPr>
              <w:t>p</w:t>
            </w:r>
            <w:r w:rsidRPr="004A3584">
              <w:rPr>
                <w:rFonts w:asciiTheme="minorHAnsi" w:eastAsia="Times New Roman" w:hAnsiTheme="minorHAnsi"/>
                <w:color w:val="000000"/>
                <w:sz w:val="22"/>
                <w:szCs w:val="22"/>
                <w:lang w:eastAsia="en-GB"/>
              </w:rPr>
              <w:t xml:space="preserve"> = 0.056</w:t>
            </w:r>
          </w:p>
        </w:tc>
        <w:tc>
          <w:tcPr>
            <w:tcW w:w="2551" w:type="dxa"/>
            <w:tcBorders>
              <w:top w:val="nil"/>
              <w:left w:val="nil"/>
              <w:bottom w:val="single" w:sz="4" w:space="0" w:color="auto"/>
              <w:right w:val="nil"/>
            </w:tcBorders>
            <w:shd w:val="clear" w:color="auto" w:fill="auto"/>
            <w:vAlign w:val="center"/>
          </w:tcPr>
          <w:p w:rsidR="005C6FA5" w:rsidRPr="00DF79B5" w:rsidRDefault="005C6FA5" w:rsidP="00D76715">
            <w:pPr>
              <w:spacing w:after="0" w:line="240" w:lineRule="auto"/>
              <w:rPr>
                <w:rFonts w:asciiTheme="minorHAnsi" w:eastAsia="Times New Roman" w:hAnsiTheme="minorHAnsi"/>
                <w:color w:val="000000"/>
                <w:sz w:val="22"/>
                <w:szCs w:val="22"/>
                <w:highlight w:val="yellow"/>
                <w:lang w:eastAsia="en-GB"/>
              </w:rPr>
            </w:pPr>
            <w:r w:rsidRPr="00197605">
              <w:rPr>
                <w:rFonts w:asciiTheme="minorHAnsi" w:eastAsia="Times New Roman" w:hAnsiTheme="minorHAnsi"/>
                <w:i/>
                <w:color w:val="000000"/>
                <w:sz w:val="22"/>
                <w:szCs w:val="22"/>
                <w:lang w:eastAsia="en-GB"/>
              </w:rPr>
              <w:t>t</w:t>
            </w:r>
            <w:r w:rsidRPr="00197605">
              <w:rPr>
                <w:rFonts w:asciiTheme="minorHAnsi" w:eastAsia="Times New Roman" w:hAnsiTheme="minorHAnsi"/>
                <w:color w:val="000000"/>
                <w:sz w:val="22"/>
                <w:szCs w:val="22"/>
                <w:lang w:eastAsia="en-GB"/>
              </w:rPr>
              <w:t xml:space="preserve">(25.58) = 0.88, </w:t>
            </w:r>
            <w:r w:rsidRPr="00197605">
              <w:rPr>
                <w:rFonts w:asciiTheme="minorHAnsi" w:eastAsia="Times New Roman" w:hAnsiTheme="minorHAnsi"/>
                <w:i/>
                <w:color w:val="000000"/>
                <w:sz w:val="22"/>
                <w:szCs w:val="22"/>
                <w:lang w:eastAsia="en-GB"/>
              </w:rPr>
              <w:t>p</w:t>
            </w:r>
            <w:r w:rsidRPr="00197605">
              <w:rPr>
                <w:rFonts w:asciiTheme="minorHAnsi" w:eastAsia="Times New Roman" w:hAnsiTheme="minorHAnsi"/>
                <w:color w:val="000000"/>
                <w:sz w:val="22"/>
                <w:szCs w:val="22"/>
                <w:lang w:eastAsia="en-GB"/>
              </w:rPr>
              <w:t xml:space="preserve"> = 0.385</w:t>
            </w:r>
          </w:p>
        </w:tc>
        <w:tc>
          <w:tcPr>
            <w:tcW w:w="2694" w:type="dxa"/>
            <w:tcBorders>
              <w:top w:val="nil"/>
              <w:left w:val="nil"/>
              <w:bottom w:val="single" w:sz="4" w:space="0" w:color="auto"/>
              <w:right w:val="nil"/>
            </w:tcBorders>
            <w:shd w:val="clear" w:color="auto" w:fill="auto"/>
            <w:vAlign w:val="center"/>
            <w:hideMark/>
          </w:tcPr>
          <w:p w:rsidR="005C6FA5" w:rsidRPr="004A3584" w:rsidRDefault="005C6FA5" w:rsidP="00D76715">
            <w:pPr>
              <w:spacing w:after="0" w:line="240" w:lineRule="auto"/>
              <w:jc w:val="center"/>
              <w:rPr>
                <w:rFonts w:asciiTheme="minorHAnsi" w:eastAsia="Times New Roman" w:hAnsiTheme="minorHAnsi"/>
                <w:color w:val="000000"/>
                <w:sz w:val="22"/>
                <w:szCs w:val="22"/>
                <w:lang w:eastAsia="en-GB"/>
              </w:rPr>
            </w:pPr>
            <w:r w:rsidRPr="004A3584">
              <w:rPr>
                <w:rFonts w:asciiTheme="minorHAnsi" w:eastAsia="Times New Roman" w:hAnsiTheme="minorHAnsi"/>
                <w:color w:val="000000"/>
                <w:sz w:val="22"/>
                <w:szCs w:val="22"/>
                <w:lang w:eastAsia="en-GB"/>
              </w:rPr>
              <w:t>Not statistically equivalent</w:t>
            </w:r>
            <w:r>
              <w:rPr>
                <w:rFonts w:asciiTheme="minorHAnsi" w:eastAsia="Times New Roman" w:hAnsiTheme="minorHAnsi"/>
                <w:color w:val="000000"/>
                <w:sz w:val="22"/>
                <w:szCs w:val="22"/>
                <w:lang w:eastAsia="en-GB"/>
              </w:rPr>
              <w:t xml:space="preserve"> or statistically different</w:t>
            </w:r>
          </w:p>
        </w:tc>
      </w:tr>
    </w:tbl>
    <w:p w:rsidR="00C66FD9" w:rsidRDefault="001927AE">
      <w:bookmarkStart w:id="0" w:name="_GoBack"/>
      <w:bookmarkEnd w:id="0"/>
    </w:p>
    <w:sectPr w:rsidR="00C66FD9" w:rsidSect="005F60C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AE" w:rsidRDefault="001927AE" w:rsidP="005C6FA5">
      <w:pPr>
        <w:spacing w:after="0" w:line="240" w:lineRule="auto"/>
      </w:pPr>
      <w:r>
        <w:separator/>
      </w:r>
    </w:p>
  </w:endnote>
  <w:endnote w:type="continuationSeparator" w:id="0">
    <w:p w:rsidR="001927AE" w:rsidRDefault="001927AE" w:rsidP="005C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AE" w:rsidRDefault="001927AE" w:rsidP="005C6FA5">
      <w:pPr>
        <w:spacing w:after="0" w:line="240" w:lineRule="auto"/>
      </w:pPr>
      <w:r>
        <w:separator/>
      </w:r>
    </w:p>
  </w:footnote>
  <w:footnote w:type="continuationSeparator" w:id="0">
    <w:p w:rsidR="001927AE" w:rsidRDefault="001927AE" w:rsidP="005C6FA5">
      <w:pPr>
        <w:spacing w:after="0" w:line="240" w:lineRule="auto"/>
      </w:pPr>
      <w:r>
        <w:continuationSeparator/>
      </w:r>
    </w:p>
  </w:footnote>
  <w:footnote w:id="1">
    <w:p w:rsidR="005C6FA5" w:rsidRPr="00076C4C" w:rsidRDefault="005C6FA5" w:rsidP="005C6FA5">
      <w:pPr>
        <w:pStyle w:val="FootnoteText"/>
        <w:rPr>
          <w:rFonts w:asciiTheme="minorHAnsi" w:hAnsiTheme="minorHAnsi"/>
        </w:rPr>
      </w:pPr>
      <w:r w:rsidRPr="00076C4C">
        <w:rPr>
          <w:rStyle w:val="FootnoteReference"/>
          <w:rFonts w:asciiTheme="minorHAnsi" w:hAnsiTheme="minorHAnsi"/>
        </w:rPr>
        <w:footnoteRef/>
      </w:r>
      <w:r w:rsidRPr="00076C4C">
        <w:rPr>
          <w:rFonts w:asciiTheme="minorHAnsi" w:hAnsiTheme="minorHAnsi"/>
        </w:rPr>
        <w:t xml:space="preserve"> The equivalence test results in tables A1 and A2 were derived from a ‘TOSTER’ spreadsheet (see </w:t>
      </w:r>
      <w:r w:rsidRPr="00076C4C">
        <w:rPr>
          <w:rFonts w:asciiTheme="minorHAnsi" w:hAnsiTheme="minorHAnsi"/>
        </w:rPr>
        <w:fldChar w:fldCharType="begin" w:fldLock="1"/>
      </w:r>
      <w:r>
        <w:rPr>
          <w:rFonts w:asciiTheme="minorHAnsi" w:hAnsiTheme="minorHAnsi"/>
        </w:rPr>
        <w:instrText>ADDIN CSL_CITATION {"citationItems":[{"id":"ITEM-1","itemData":{"DOI":"10.1177/1948550617697177","ISSN":"1948-5506","abstract":"Scientists should be able to provide support for the absence of a meaningful effect. Currently researchers often incorrectly conclude an effect is absent based a non-significant result. A widely recommended approach within a Frequentist framework is to test for equivalence. In equivalence tests, such as the Two One-Sided Tests (TOST) procedure discussed in this article, an upper and lower equivalence bound is specified based on the smallest effect size of interest. The TOST procedure can be used to statistically reject the presence of effects large enough to be considered worthwhile. This practical primer with accompanying spreadsheet and R package enables psychologists to easily perform equivalence tests (and power analyses) by setting equivalence bounds based on standardized effect sizes, and provides recommendations to pre-specify equivalence bounds. Extending your statistical toolkit with equivalence tests might very well be the easiest way for psychologists to improve their statistical and theoretical inferences.","author":[{"dropping-particle":"","family":"Lakens","given":"Daniel","non-dropping-particle":"","parse-names":false,"suffix":""}],"container-title":"Social Psychological and Personality Science","id":"ITEM-1","issued":{"date-parts":[["2017"]]},"page":"355 - 362","title":"Equivalence tests: A practical primer for T-tests, correlations, and meta-analyses","type":"article-journal","volume":"8"},"uris":["http://www.mendeley.com/documents/?uuid=a46ebd1f-6118-4066-b4a8-b72e796c74ef"]}],"mendeley":{"formattedCitation":"(Lakens, 2017)","manualFormatting":"Lakens, 2017)","plainTextFormattedCitation":"(Lakens, 2017)","previouslyFormattedCitation":"(Lakens, 2017)"},"properties":{"noteIndex":0},"schema":"https://github.com/citation-style-language/schema/raw/master/csl-citation.json"}</w:instrText>
      </w:r>
      <w:r w:rsidRPr="00076C4C">
        <w:rPr>
          <w:rFonts w:asciiTheme="minorHAnsi" w:hAnsiTheme="minorHAnsi"/>
        </w:rPr>
        <w:fldChar w:fldCharType="separate"/>
      </w:r>
      <w:r w:rsidRPr="00076C4C">
        <w:rPr>
          <w:rFonts w:asciiTheme="minorHAnsi" w:hAnsiTheme="minorHAnsi"/>
          <w:noProof/>
        </w:rPr>
        <w:t>Lakens, 2017)</w:t>
      </w:r>
      <w:r w:rsidRPr="00076C4C">
        <w:rPr>
          <w:rFonts w:asciiTheme="minorHAnsi" w:hAnsiTheme="minorHAnsi"/>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A5"/>
    <w:rsid w:val="001927AE"/>
    <w:rsid w:val="00286D86"/>
    <w:rsid w:val="00336E54"/>
    <w:rsid w:val="004B01ED"/>
    <w:rsid w:val="005C6FA5"/>
    <w:rsid w:val="005F60CD"/>
    <w:rsid w:val="006A655C"/>
    <w:rsid w:val="00BA2B68"/>
    <w:rsid w:val="00E36916"/>
    <w:rsid w:val="00FD09F0"/>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A5"/>
    <w:rPr>
      <w:rFonts w:ascii="Arial" w:eastAsiaTheme="minorHAnsi" w:hAnsi="Arial" w:cs="Arial"/>
      <w:sz w:val="24"/>
      <w:szCs w:val="24"/>
      <w:lang w:val="en-GB" w:eastAsia="en-US"/>
    </w:rPr>
  </w:style>
  <w:style w:type="paragraph" w:styleId="Heading1">
    <w:name w:val="heading 1"/>
    <w:basedOn w:val="Normal"/>
    <w:next w:val="Normal"/>
    <w:link w:val="Heading1Char"/>
    <w:uiPriority w:val="9"/>
    <w:qFormat/>
    <w:rsid w:val="005C6F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FA5"/>
    <w:rPr>
      <w:rFonts w:asciiTheme="majorHAnsi" w:eastAsiaTheme="majorEastAsia" w:hAnsiTheme="majorHAnsi" w:cstheme="majorBidi"/>
      <w:color w:val="365F91" w:themeColor="accent1" w:themeShade="BF"/>
      <w:sz w:val="32"/>
      <w:szCs w:val="32"/>
      <w:lang w:val="en-GB" w:eastAsia="en-US"/>
    </w:rPr>
  </w:style>
  <w:style w:type="paragraph" w:styleId="FootnoteText">
    <w:name w:val="footnote text"/>
    <w:basedOn w:val="Normal"/>
    <w:link w:val="FootnoteTextChar"/>
    <w:uiPriority w:val="99"/>
    <w:unhideWhenUsed/>
    <w:rsid w:val="005C6FA5"/>
    <w:pPr>
      <w:spacing w:after="0" w:line="240" w:lineRule="auto"/>
    </w:pPr>
    <w:rPr>
      <w:sz w:val="20"/>
      <w:szCs w:val="20"/>
    </w:rPr>
  </w:style>
  <w:style w:type="character" w:customStyle="1" w:styleId="FootnoteTextChar">
    <w:name w:val="Footnote Text Char"/>
    <w:basedOn w:val="DefaultParagraphFont"/>
    <w:link w:val="FootnoteText"/>
    <w:uiPriority w:val="99"/>
    <w:rsid w:val="005C6FA5"/>
    <w:rPr>
      <w:rFonts w:ascii="Arial" w:eastAsiaTheme="minorHAnsi" w:hAnsi="Arial" w:cs="Arial"/>
      <w:sz w:val="20"/>
      <w:szCs w:val="20"/>
      <w:lang w:val="en-GB" w:eastAsia="en-US"/>
    </w:rPr>
  </w:style>
  <w:style w:type="character" w:styleId="FootnoteReference">
    <w:name w:val="footnote reference"/>
    <w:basedOn w:val="DefaultParagraphFont"/>
    <w:uiPriority w:val="99"/>
    <w:semiHidden/>
    <w:unhideWhenUsed/>
    <w:rsid w:val="005C6F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A5"/>
    <w:rPr>
      <w:rFonts w:ascii="Arial" w:eastAsiaTheme="minorHAnsi" w:hAnsi="Arial" w:cs="Arial"/>
      <w:sz w:val="24"/>
      <w:szCs w:val="24"/>
      <w:lang w:val="en-GB" w:eastAsia="en-US"/>
    </w:rPr>
  </w:style>
  <w:style w:type="paragraph" w:styleId="Heading1">
    <w:name w:val="heading 1"/>
    <w:basedOn w:val="Normal"/>
    <w:next w:val="Normal"/>
    <w:link w:val="Heading1Char"/>
    <w:uiPriority w:val="9"/>
    <w:qFormat/>
    <w:rsid w:val="005C6F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FA5"/>
    <w:rPr>
      <w:rFonts w:asciiTheme="majorHAnsi" w:eastAsiaTheme="majorEastAsia" w:hAnsiTheme="majorHAnsi" w:cstheme="majorBidi"/>
      <w:color w:val="365F91" w:themeColor="accent1" w:themeShade="BF"/>
      <w:sz w:val="32"/>
      <w:szCs w:val="32"/>
      <w:lang w:val="en-GB" w:eastAsia="en-US"/>
    </w:rPr>
  </w:style>
  <w:style w:type="paragraph" w:styleId="FootnoteText">
    <w:name w:val="footnote text"/>
    <w:basedOn w:val="Normal"/>
    <w:link w:val="FootnoteTextChar"/>
    <w:uiPriority w:val="99"/>
    <w:unhideWhenUsed/>
    <w:rsid w:val="005C6FA5"/>
    <w:pPr>
      <w:spacing w:after="0" w:line="240" w:lineRule="auto"/>
    </w:pPr>
    <w:rPr>
      <w:sz w:val="20"/>
      <w:szCs w:val="20"/>
    </w:rPr>
  </w:style>
  <w:style w:type="character" w:customStyle="1" w:styleId="FootnoteTextChar">
    <w:name w:val="Footnote Text Char"/>
    <w:basedOn w:val="DefaultParagraphFont"/>
    <w:link w:val="FootnoteText"/>
    <w:uiPriority w:val="99"/>
    <w:rsid w:val="005C6FA5"/>
    <w:rPr>
      <w:rFonts w:ascii="Arial" w:eastAsiaTheme="minorHAnsi" w:hAnsi="Arial" w:cs="Arial"/>
      <w:sz w:val="20"/>
      <w:szCs w:val="20"/>
      <w:lang w:val="en-GB" w:eastAsia="en-US"/>
    </w:rPr>
  </w:style>
  <w:style w:type="character" w:styleId="FootnoteReference">
    <w:name w:val="footnote reference"/>
    <w:basedOn w:val="DefaultParagraphFont"/>
    <w:uiPriority w:val="99"/>
    <w:semiHidden/>
    <w:unhideWhenUsed/>
    <w:rsid w:val="005C6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452</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 support</dc:creator>
  <cp:lastModifiedBy>EP support</cp:lastModifiedBy>
  <cp:revision>2</cp:revision>
  <dcterms:created xsi:type="dcterms:W3CDTF">2020-01-22T09:41:00Z</dcterms:created>
  <dcterms:modified xsi:type="dcterms:W3CDTF">2020-01-22T10:11:00Z</dcterms:modified>
</cp:coreProperties>
</file>