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F1B08" w14:textId="5558E013" w:rsidR="00532524" w:rsidRPr="00DC5A2B" w:rsidRDefault="00532524" w:rsidP="00DC5A2B">
      <w:pPr>
        <w:pStyle w:val="Title"/>
      </w:pPr>
      <w:bookmarkStart w:id="0" w:name="_GoBack"/>
      <w:bookmarkEnd w:id="0"/>
      <w:r w:rsidRPr="00DC5A2B">
        <w:t>Text 1 Supplement</w:t>
      </w:r>
    </w:p>
    <w:p w14:paraId="21126818" w14:textId="1926531C" w:rsidR="00954B1C" w:rsidRPr="00532524" w:rsidRDefault="00954B1C" w:rsidP="00532524">
      <w:pPr>
        <w:pStyle w:val="Heading1"/>
      </w:pPr>
      <w:r w:rsidRPr="00532524">
        <w:t xml:space="preserve">Capital Stock Calculation </w:t>
      </w:r>
    </w:p>
    <w:p w14:paraId="789B599C" w14:textId="64BC2633" w:rsidR="00954B1C" w:rsidRPr="00954B1C" w:rsidRDefault="00954B1C" w:rsidP="00954B1C">
      <w:pPr>
        <w:widowControl w:val="0"/>
        <w:spacing w:line="480" w:lineRule="auto"/>
        <w:rPr>
          <w:rFonts w:eastAsia="Times New Roman" w:cs="Times New Roman"/>
          <w:lang w:val="en-GB" w:eastAsia="en-GB"/>
        </w:rPr>
      </w:pPr>
      <w:r w:rsidRPr="00954B1C">
        <w:rPr>
          <w:rFonts w:eastAsia="Times New Roman" w:cs="Times New Roman"/>
          <w:lang w:val="en-GB"/>
        </w:rPr>
        <w:t xml:space="preserve">Following Winston and Langer </w:t>
      </w:r>
      <w:r w:rsidRPr="00954B1C">
        <w:rPr>
          <w:rFonts w:eastAsia="Times New Roman" w:cs="Times New Roman"/>
          <w:noProof/>
          <w:lang w:val="en-GB"/>
        </w:rPr>
        <w:t>(2006)</w:t>
      </w:r>
      <w:r w:rsidRPr="00954B1C">
        <w:rPr>
          <w:rFonts w:eastAsia="Times New Roman" w:cs="Times New Roman"/>
          <w:lang w:val="en-GB"/>
        </w:rPr>
        <w:t xml:space="preserve"> and Chen </w:t>
      </w:r>
      <w:r w:rsidRPr="00954B1C">
        <w:rPr>
          <w:rFonts w:eastAsia="Times New Roman" w:cs="Times New Roman"/>
          <w:noProof/>
          <w:lang w:val="en-GB"/>
        </w:rPr>
        <w:t>(2017)</w:t>
      </w:r>
      <w:r w:rsidRPr="00954B1C">
        <w:rPr>
          <w:rFonts w:eastAsia="Times New Roman" w:cs="Times New Roman"/>
          <w:lang w:val="en-GB"/>
        </w:rPr>
        <w:t>, t</w:t>
      </w:r>
      <w:r w:rsidRPr="00954B1C">
        <w:rPr>
          <w:rFonts w:eastAsia="Times New Roman" w:cs="Times New Roman"/>
          <w:lang w:val="en-GB" w:eastAsia="en-GB"/>
        </w:rPr>
        <w:t>he formula for calculating capital stock for a given year is as follows:</w:t>
      </w:r>
    </w:p>
    <w:p w14:paraId="7AC9BD10" w14:textId="7FD5172D" w:rsidR="00954B1C" w:rsidRPr="00954B1C" w:rsidRDefault="00B35073" w:rsidP="00954B1C">
      <w:pPr>
        <w:tabs>
          <w:tab w:val="left" w:pos="1077"/>
          <w:tab w:val="left" w:pos="1440"/>
          <w:tab w:val="left" w:pos="1797"/>
          <w:tab w:val="left" w:pos="2155"/>
          <w:tab w:val="left" w:pos="2512"/>
        </w:tabs>
        <w:spacing w:line="480" w:lineRule="auto"/>
        <w:ind w:left="720" w:right="425"/>
        <w:contextualSpacing/>
        <w:rPr>
          <w:rFonts w:eastAsia="Times New Roman" w:cs="Times New Roman"/>
          <w:lang w:val="en-GB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lang w:val="en-GB"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lang w:val="en-GB" w:eastAsia="en-GB"/>
              </w:rPr>
              <m:t>LnCapitalStock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lang w:val="en-GB" w:eastAsia="en-GB"/>
              </w:rPr>
              <m:t>it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lang w:val="en-GB" w:eastAsia="en-GB"/>
          </w:rPr>
          <m:t>= Log(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lang w:val="en-GB" w:eastAsia="en-GB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lang w:val="en-GB" w:eastAsia="en-GB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lang w:val="en-GB" w:eastAsia="en-GB"/>
              </w:rPr>
              <m:t>10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lang w:val="en-GB" w:eastAsia="en-GB"/>
              </w:rPr>
              <m:t>(</m:t>
            </m:r>
            <m:sSub>
              <m:sSubPr>
                <m:ctrlPr>
                  <w:rPr>
                    <w:rFonts w:ascii="Cambria Math" w:eastAsia="Times New Roman" w:hAnsi="Cambria Math" w:cs="Times New Roman"/>
                    <w:lang w:val="en-GB" w:eastAsia="en-GB"/>
                  </w:rPr>
                </m:ctrlPr>
              </m:sSub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lang w:val="en-GB" w:eastAsia="en-GB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en-GB" w:eastAsia="en-GB"/>
                      </w:rPr>
                      <m:t>Capital Outlay</m:t>
                    </m:r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en-GB" w:eastAsia="en-GB"/>
                  </w:rPr>
                  <m:t>t-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lang w:val="en-GB" w:eastAsia="en-GB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en-GB" w:eastAsia="en-GB"/>
                      </w:rPr>
                      <m:t>T-i</m:t>
                    </m:r>
                  </m:e>
                </m:d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lang w:val="en-GB" w:eastAsia="en-GB"/>
          </w:rPr>
          <m:t xml:space="preserve"> ×</m:t>
        </m:r>
        <m:sSup>
          <m:sSupPr>
            <m:ctrlPr>
              <w:rPr>
                <w:rFonts w:ascii="Cambria Math" w:eastAsia="Times New Roman" w:hAnsi="Cambria Math" w:cs="Times New Roman"/>
                <w:lang w:val="en-GB" w:eastAsia="en-GB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lang w:val="en-GB" w:eastAsia="en-GB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en-GB" w:eastAsia="en-GB"/>
                  </w:rPr>
                  <m:t>1-d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lang w:val="en-GB" w:eastAsia="en-GB"/>
              </w:rPr>
              <m:t>T-i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lang w:val="en-GB" w:eastAsia="en-GB"/>
          </w:rPr>
          <m:t>))</m:t>
        </m:r>
      </m:oMath>
      <w:r w:rsidR="00954B1C" w:rsidRPr="00954B1C">
        <w:rPr>
          <w:rFonts w:eastAsia="Times New Roman" w:cs="Times New Roman"/>
          <w:lang w:val="en-GB" w:eastAsia="en-GB"/>
        </w:rPr>
        <w:tab/>
      </w:r>
      <w:r w:rsidR="00954B1C" w:rsidRPr="00954B1C">
        <w:rPr>
          <w:rFonts w:eastAsia="Times New Roman" w:cs="Times New Roman"/>
          <w:lang w:val="en-GB" w:eastAsia="en-GB"/>
        </w:rPr>
        <w:tab/>
      </w:r>
    </w:p>
    <w:p w14:paraId="3976B2C9" w14:textId="04627354" w:rsidR="00A42C93" w:rsidRDefault="00954B1C" w:rsidP="00954B1C">
      <w:pPr>
        <w:spacing w:line="480" w:lineRule="auto"/>
        <w:rPr>
          <w:rFonts w:eastAsia="DengXian" w:cs="Times New Roman"/>
          <w:lang w:bidi="th-TH"/>
        </w:rPr>
      </w:pPr>
      <w:r w:rsidRPr="00954B1C">
        <w:rPr>
          <w:rFonts w:eastAsia="DengXian" w:cs="Times New Roman"/>
        </w:rPr>
        <w:t>where T is the time period. The default T value is 10. When T is equal to 10, capital stock is calculated as depreciated capital spending in the current year (t) and 9 immediately preceding years</w:t>
      </w:r>
      <w:r w:rsidRPr="00954B1C">
        <w:rPr>
          <w:rFonts w:eastAsia="DengXian" w:cs="Times New Roman"/>
          <w:lang w:bidi="th-TH"/>
        </w:rPr>
        <w:t xml:space="preserve">. The depreciation rate (d) for state and local capital investment is assumed to be 2.02 percent based on the </w:t>
      </w:r>
      <w:r w:rsidRPr="00954B1C">
        <w:rPr>
          <w:rFonts w:eastAsia="DengXian" w:cs="Times New Roman"/>
          <w:color w:val="000000"/>
          <w:lang w:bidi="th-TH"/>
        </w:rPr>
        <w:t>U</w:t>
      </w:r>
      <w:r w:rsidR="009242B1">
        <w:rPr>
          <w:rFonts w:eastAsia="DengXian" w:cs="Times New Roman"/>
          <w:color w:val="000000"/>
          <w:lang w:bidi="th-TH"/>
        </w:rPr>
        <w:t>.</w:t>
      </w:r>
      <w:r w:rsidRPr="00954B1C">
        <w:rPr>
          <w:rFonts w:eastAsia="DengXian" w:cs="Times New Roman"/>
          <w:color w:val="000000"/>
          <w:lang w:bidi="th-TH"/>
        </w:rPr>
        <w:t>S</w:t>
      </w:r>
      <w:r w:rsidR="009242B1">
        <w:rPr>
          <w:rFonts w:eastAsia="DengXian" w:cs="Times New Roman"/>
          <w:color w:val="000000"/>
          <w:lang w:bidi="th-TH"/>
        </w:rPr>
        <w:t>.</w:t>
      </w:r>
      <w:r w:rsidRPr="00954B1C">
        <w:rPr>
          <w:rFonts w:eastAsia="DengXian" w:cs="Times New Roman"/>
          <w:color w:val="000000"/>
          <w:lang w:bidi="th-TH"/>
        </w:rPr>
        <w:t xml:space="preserve"> Bureau of Economic Analysis </w:t>
      </w:r>
      <w:r w:rsidRPr="00954B1C">
        <w:rPr>
          <w:rFonts w:eastAsia="DengXian" w:cs="Times New Roman"/>
          <w:noProof/>
          <w:color w:val="000000"/>
          <w:lang w:bidi="th-TH"/>
        </w:rPr>
        <w:t>(2004)</w:t>
      </w:r>
      <w:r w:rsidRPr="00954B1C">
        <w:rPr>
          <w:rFonts w:eastAsia="DengXian" w:cs="Times New Roman"/>
          <w:color w:val="000000"/>
          <w:lang w:bidi="th-TH"/>
        </w:rPr>
        <w:t>.</w:t>
      </w:r>
      <w:r w:rsidRPr="00954B1C">
        <w:rPr>
          <w:rFonts w:eastAsia="DengXian" w:cs="Times New Roman"/>
          <w:color w:val="000000"/>
          <w:vertAlign w:val="superscript"/>
          <w:lang w:bidi="th-TH"/>
        </w:rPr>
        <w:footnoteReference w:id="1"/>
      </w:r>
      <w:r w:rsidRPr="00954B1C">
        <w:rPr>
          <w:rFonts w:eastAsia="DengXian" w:cs="Times New Roman"/>
          <w:color w:val="000000"/>
          <w:lang w:bidi="th-TH"/>
        </w:rPr>
        <w:t xml:space="preserve"> </w:t>
      </w:r>
      <w:r w:rsidRPr="00954B1C">
        <w:rPr>
          <w:rFonts w:eastAsia="DengXian" w:cs="Times New Roman"/>
          <w:lang w:bidi="th-TH"/>
        </w:rPr>
        <w:t>We lag the capital stock variable for one year in order to avoid the simultaneity issue.</w:t>
      </w:r>
    </w:p>
    <w:p w14:paraId="18B548A9" w14:textId="2CCF96E3" w:rsidR="00E577E6" w:rsidRPr="00532524" w:rsidRDefault="00E577E6" w:rsidP="00532524">
      <w:pPr>
        <w:pStyle w:val="Heading1"/>
      </w:pPr>
      <w:r w:rsidRPr="00532524">
        <w:t xml:space="preserve">Econometric Model </w:t>
      </w:r>
    </w:p>
    <w:p w14:paraId="46958F5F" w14:textId="15CDF178" w:rsidR="00E577E6" w:rsidRPr="00E577E6" w:rsidRDefault="00E577E6" w:rsidP="00E577E6">
      <w:pPr>
        <w:spacing w:line="480" w:lineRule="auto"/>
        <w:rPr>
          <w:rFonts w:eastAsia="DengXian" w:cs="Times New Roman"/>
          <w:lang w:bidi="th-TH"/>
        </w:rPr>
      </w:pPr>
      <w:r w:rsidRPr="00D83848">
        <w:t xml:space="preserve">The econometric model </w:t>
      </w:r>
      <w:r>
        <w:t>is</w:t>
      </w:r>
      <w:r>
        <w:rPr>
          <w:rFonts w:eastAsia="DengXian" w:cs="Times New Roman"/>
          <w:lang w:bidi="th-TH"/>
        </w:rPr>
        <w:t xml:space="preserve"> </w:t>
      </w:r>
      <w:r w:rsidRPr="00D83848">
        <w:t>written as follows:</w:t>
      </w:r>
    </w:p>
    <w:p w14:paraId="72A9FA10" w14:textId="60C4FAC4" w:rsidR="00E577E6" w:rsidRPr="00304C03" w:rsidRDefault="00B35073" w:rsidP="00E577E6">
      <w:pPr>
        <w:pStyle w:val="Displayedquotation"/>
        <w:tabs>
          <w:tab w:val="clear" w:pos="1077"/>
          <w:tab w:val="clear" w:pos="1440"/>
          <w:tab w:val="clear" w:pos="1797"/>
          <w:tab w:val="clear" w:pos="2155"/>
          <w:tab w:val="clear" w:pos="2512"/>
        </w:tabs>
        <w:spacing w:before="0" w:after="0" w:line="240" w:lineRule="auto"/>
        <w:ind w:left="720" w:right="0"/>
        <w:rPr>
          <w:sz w:val="24"/>
        </w:rPr>
      </w:pP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City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 </m:t>
            </m:r>
            <m:r>
              <w:rPr>
                <w:rFonts w:ascii="Cambria Math" w:hAnsi="Cambria Math"/>
                <w:sz w:val="24"/>
              </w:rPr>
              <m:t>Capital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 </m:t>
            </m:r>
            <m:r>
              <w:rPr>
                <w:rFonts w:ascii="Cambria Math" w:hAnsi="Cambria Math"/>
                <w:sz w:val="24"/>
              </w:rPr>
              <m:t>Investment</m:t>
            </m:r>
          </m:e>
          <m:sub>
            <m:r>
              <w:rPr>
                <w:rFonts w:ascii="Cambria Math" w:hAnsi="Cambria Math"/>
                <w:sz w:val="24"/>
              </w:rPr>
              <m:t>it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Capital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</w:rPr>
                  <m:t>Stock</m:t>
                </m:r>
              </m:e>
            </m:d>
          </m:e>
          <m:sub>
            <m:r>
              <w:rPr>
                <w:rFonts w:ascii="Cambria Math" w:hAnsi="Cambria Math"/>
                <w:sz w:val="24"/>
              </w:rPr>
              <m:t>it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Economic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</w:rPr>
                  <m:t>Condition</m:t>
                </m:r>
              </m:e>
            </m:d>
          </m:e>
          <m:sub>
            <m:r>
              <w:rPr>
                <w:rFonts w:ascii="Cambria Math" w:hAnsi="Cambria Math"/>
                <w:sz w:val="24"/>
              </w:rPr>
              <m:t>it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Fiscal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</w:rPr>
                  <m:t>Capacity</m:t>
                </m:r>
              </m:e>
            </m:d>
          </m:e>
          <m:sub>
            <m:r>
              <w:rPr>
                <w:rFonts w:ascii="Cambria Math" w:hAnsi="Cambria Math"/>
                <w:sz w:val="24"/>
              </w:rPr>
              <m:t>it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Socio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_</m:t>
                </m:r>
                <m:r>
                  <w:rPr>
                    <w:rFonts w:ascii="Cambria Math" w:hAnsi="Cambria Math"/>
                    <w:sz w:val="24"/>
                  </w:rPr>
                  <m:t>Demographic</m:t>
                </m:r>
              </m:e>
            </m:d>
          </m:e>
          <m:sub>
            <m:r>
              <w:rPr>
                <w:rFonts w:ascii="Cambria Math" w:hAnsi="Cambria Math"/>
                <w:sz w:val="24"/>
              </w:rPr>
              <m:t>it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Political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_</m:t>
                </m:r>
                <m:r>
                  <w:rPr>
                    <w:rFonts w:ascii="Cambria Math" w:hAnsi="Cambria Math"/>
                    <w:sz w:val="24"/>
                  </w:rPr>
                  <m:t>Fiscal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</w:rPr>
                  <m:t>Institution</m:t>
                </m:r>
              </m:e>
            </m:d>
          </m:e>
          <m:sub>
            <m:r>
              <w:rPr>
                <w:rFonts w:ascii="Cambria Math" w:hAnsi="Cambria Math"/>
                <w:sz w:val="24"/>
              </w:rPr>
              <m:t>it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+</m:t>
        </m:r>
        <m:r>
          <w:rPr>
            <w:rFonts w:ascii="Cambria Math" w:hAnsi="Cambria Math"/>
            <w:sz w:val="24"/>
          </w:rPr>
          <m:t>γ</m:t>
        </m:r>
        <m:sSub>
          <m:sSubPr>
            <m:ctrlPr>
              <w:rPr>
                <w:rFonts w:ascii="Cambria Math" w:hAnsi="Cambria Math"/>
                <w:b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θ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+</m:t>
        </m:r>
        <m:r>
          <w:rPr>
            <w:rFonts w:ascii="Cambria Math" w:hAnsi="Cambria Math"/>
            <w:sz w:val="24"/>
          </w:rPr>
          <m:t>ψ</m:t>
        </m:r>
        <m:sSub>
          <m:sSubPr>
            <m:ctrlPr>
              <w:rPr>
                <w:rFonts w:ascii="Cambria Math" w:hAnsi="Cambria Math"/>
                <w:b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b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</w:rPr>
              <m:t>it</m:t>
            </m:r>
          </m:sub>
        </m:sSub>
      </m:oMath>
      <w:r w:rsidR="00E577E6">
        <w:rPr>
          <w:bCs/>
          <w:sz w:val="24"/>
        </w:rPr>
        <w:t xml:space="preserve"> </w:t>
      </w:r>
      <w:r w:rsidR="00E577E6">
        <w:rPr>
          <w:bCs/>
          <w:sz w:val="24"/>
        </w:rPr>
        <w:tab/>
      </w:r>
      <w:r w:rsidR="00E577E6">
        <w:rPr>
          <w:bCs/>
          <w:sz w:val="24"/>
        </w:rPr>
        <w:tab/>
      </w:r>
      <w:r w:rsidR="00E577E6">
        <w:rPr>
          <w:bCs/>
          <w:sz w:val="24"/>
        </w:rPr>
        <w:tab/>
      </w:r>
      <w:r w:rsidR="00E577E6">
        <w:rPr>
          <w:bCs/>
          <w:sz w:val="24"/>
        </w:rPr>
        <w:tab/>
      </w:r>
    </w:p>
    <w:p w14:paraId="7DEB2DBF" w14:textId="77777777" w:rsidR="00E577E6" w:rsidRDefault="00E577E6" w:rsidP="00E577E6">
      <w:pPr>
        <w:spacing w:line="480" w:lineRule="auto"/>
        <w:rPr>
          <w:lang w:val="en-GB"/>
        </w:rPr>
      </w:pPr>
    </w:p>
    <w:p w14:paraId="4246F4FE" w14:textId="77777777" w:rsidR="00E577E6" w:rsidRDefault="00E577E6" w:rsidP="00E577E6">
      <w:pPr>
        <w:pStyle w:val="Paragraph"/>
        <w:spacing w:before="0"/>
        <w:rPr>
          <w:rFonts w:eastAsiaTheme="minorEastAsia"/>
        </w:rPr>
      </w:pPr>
      <w:r w:rsidRPr="00304C03">
        <w:rPr>
          <w:rFonts w:eastAsiaTheme="minorEastAsia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City Capital Investment</m:t>
            </m:r>
          </m:e>
          <m:sub>
            <m:r>
              <w:rPr>
                <w:rFonts w:ascii="Cambria Math" w:eastAsiaTheme="minorEastAsia" w:hAnsi="Cambria Math"/>
              </w:rPr>
              <m:t>it</m:t>
            </m:r>
          </m:sub>
        </m:sSub>
      </m:oMath>
      <w:r w:rsidRPr="00304C03">
        <w:rPr>
          <w:rFonts w:eastAsiaTheme="minorEastAsia"/>
        </w:rPr>
        <w:t xml:space="preserve"> is the observed aggregate and disaggregate capital</w:t>
      </w:r>
      <w:r>
        <w:t xml:space="preserve"> </w:t>
      </w:r>
      <w:r w:rsidRPr="00304C03">
        <w:rPr>
          <w:rFonts w:eastAsiaTheme="minorEastAsia"/>
        </w:rPr>
        <w:t xml:space="preserve">expenditures in city </w:t>
      </w:r>
      <w:proofErr w:type="spellStart"/>
      <w:r w:rsidRPr="00304C03">
        <w:rPr>
          <w:rFonts w:eastAsiaTheme="minorEastAsia"/>
          <w:i/>
        </w:rPr>
        <w:t>i</w:t>
      </w:r>
      <w:proofErr w:type="spellEnd"/>
      <w:r w:rsidRPr="00304C03">
        <w:rPr>
          <w:rFonts w:eastAsiaTheme="minorEastAsia"/>
        </w:rPr>
        <w:t xml:space="preserve"> during year </w:t>
      </w:r>
      <w:r w:rsidRPr="00304C03">
        <w:rPr>
          <w:rFonts w:eastAsiaTheme="minorEastAsia"/>
          <w:i/>
        </w:rPr>
        <w:t>t</w:t>
      </w:r>
      <w:r w:rsidRPr="00304C03">
        <w:rPr>
          <w:rFonts w:eastAsiaTheme="minorEastAsia"/>
        </w:rPr>
        <w:t xml:space="preserve">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Capital Stock</m:t>
            </m:r>
          </m:e>
          <m:sub>
            <m:r>
              <w:rPr>
                <w:rFonts w:ascii="Cambria Math" w:eastAsiaTheme="minorEastAsia" w:hAnsi="Cambria Math"/>
              </w:rPr>
              <m:t>it</m:t>
            </m:r>
          </m:sub>
        </m:sSub>
      </m:oMath>
      <w:r w:rsidRPr="00304C03">
        <w:rPr>
          <w:rFonts w:eastAsiaTheme="minorEastAsia"/>
        </w:rPr>
        <w:t xml:space="preserve"> is a variable of measuring existing value of capital assets.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Economic Condition</m:t>
            </m:r>
          </m:e>
          <m:sub>
            <m:r>
              <w:rPr>
                <w:rFonts w:ascii="Cambria Math" w:eastAsiaTheme="minorEastAsia" w:hAnsi="Cambria Math"/>
              </w:rPr>
              <m:t>it</m:t>
            </m:r>
          </m:sub>
        </m:sSub>
      </m:oMath>
      <w:r w:rsidRPr="00304C03">
        <w:rPr>
          <w:rFonts w:eastAsiaTheme="minorEastAsia"/>
        </w:rPr>
        <w:t xml:space="preserve"> </w:t>
      </w:r>
      <w:proofErr w:type="gramStart"/>
      <w:r w:rsidRPr="00304C03">
        <w:rPr>
          <w:rFonts w:eastAsiaTheme="minorEastAsia"/>
        </w:rPr>
        <w:t>is</w:t>
      </w:r>
      <w:proofErr w:type="gramEnd"/>
      <w:r w:rsidRPr="00304C03">
        <w:rPr>
          <w:rFonts w:eastAsiaTheme="minorEastAsia"/>
        </w:rPr>
        <w:t xml:space="preserve"> a vector of variables capturing </w:t>
      </w:r>
      <w:r>
        <w:rPr>
          <w:rFonts w:eastAsiaTheme="minorEastAsia"/>
        </w:rPr>
        <w:t xml:space="preserve">a </w:t>
      </w:r>
      <w:r w:rsidRPr="00304C03">
        <w:rPr>
          <w:rFonts w:eastAsiaTheme="minorEastAsia"/>
        </w:rPr>
        <w:t>city</w:t>
      </w:r>
      <w:r>
        <w:rPr>
          <w:rFonts w:eastAsiaTheme="minorEastAsia"/>
        </w:rPr>
        <w:t>’s</w:t>
      </w:r>
      <w:r w:rsidRPr="00304C03">
        <w:rPr>
          <w:rFonts w:eastAsiaTheme="minorEastAsia"/>
        </w:rPr>
        <w:t xml:space="preserve"> macroeconomic environment.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Fiscal Capacity</m:t>
            </m:r>
          </m:e>
          <m:sub>
            <m:r>
              <w:rPr>
                <w:rFonts w:ascii="Cambria Math" w:eastAsiaTheme="minorEastAsia" w:hAnsi="Cambria Math"/>
              </w:rPr>
              <m:t>it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Pr="00304C03">
        <w:rPr>
          <w:rFonts w:eastAsiaTheme="minorEastAsia"/>
        </w:rPr>
        <w:t xml:space="preserve">represents a set of city fiscal resource capacity to finance capital investment.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Socio_Demographic</m:t>
            </m:r>
          </m:e>
          <m:sub>
            <m:r>
              <w:rPr>
                <w:rFonts w:ascii="Cambria Math" w:eastAsiaTheme="minorEastAsia" w:hAnsi="Cambria Math"/>
              </w:rPr>
              <m:t>it</m:t>
            </m:r>
          </m:sub>
        </m:sSub>
      </m:oMath>
      <w:r w:rsidRPr="00304C03">
        <w:rPr>
          <w:rFonts w:eastAsiaTheme="minorEastAsia"/>
        </w:rPr>
        <w:t xml:space="preserve"> </w:t>
      </w:r>
      <w:proofErr w:type="gramStart"/>
      <w:r w:rsidRPr="00304C03">
        <w:rPr>
          <w:rFonts w:eastAsiaTheme="minorEastAsia"/>
        </w:rPr>
        <w:t>is</w:t>
      </w:r>
      <w:proofErr w:type="gramEnd"/>
      <w:r w:rsidRPr="00304C03">
        <w:rPr>
          <w:rFonts w:eastAsiaTheme="minorEastAsia"/>
        </w:rPr>
        <w:t xml:space="preserve"> a set of socio-demographic variables to measure citizen demands and preferences for capital investment.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is-IS"/>
              </w:rPr>
              <m:t>Political_Fiscal Institutions</m:t>
            </m:r>
          </m:e>
          <m:sub>
            <m:r>
              <w:rPr>
                <w:rFonts w:ascii="Cambria Math" w:eastAsiaTheme="minorEastAsia" w:hAnsi="Cambria Math"/>
              </w:rPr>
              <m:t>it</m:t>
            </m:r>
          </m:sub>
        </m:sSub>
      </m:oMath>
      <w:r w:rsidRPr="00304C03">
        <w:rPr>
          <w:rFonts w:eastAsiaTheme="minorEastAsia"/>
        </w:rPr>
        <w:t xml:space="preserve"> </w:t>
      </w:r>
      <w:proofErr w:type="gramStart"/>
      <w:r w:rsidRPr="00304C03">
        <w:rPr>
          <w:rFonts w:eastAsiaTheme="minorEastAsia"/>
        </w:rPr>
        <w:t>is</w:t>
      </w:r>
      <w:proofErr w:type="gramEnd"/>
      <w:r w:rsidRPr="00304C03">
        <w:rPr>
          <w:rFonts w:eastAsiaTheme="minorEastAsia"/>
        </w:rPr>
        <w:t xml:space="preserve"> a </w:t>
      </w:r>
      <w:r w:rsidRPr="00304C03">
        <w:rPr>
          <w:rFonts w:eastAsiaTheme="minorEastAsia"/>
        </w:rPr>
        <w:lastRenderedPageBreak/>
        <w:t xml:space="preserve">vector of variables capturing city variation in political and fiscal institutions.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θ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Pr="00304C03">
        <w:rPr>
          <w:rFonts w:eastAsiaTheme="minorEastAsia"/>
        </w:rPr>
        <w:t xml:space="preserve"> is the city fixed effect to control unobservable city attributes such as the forms of city governments, weather, and topography.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</m:oMath>
      <w:r w:rsidRPr="00304C03">
        <w:rPr>
          <w:rFonts w:eastAsiaTheme="minorEastAsia"/>
        </w:rPr>
        <w:t xml:space="preserve"> is the time-specific effect to control</w:t>
      </w:r>
      <w:r w:rsidRPr="00304C03">
        <w:rPr>
          <w:rFonts w:eastAsiaTheme="minorEastAsia"/>
          <w:lang w:eastAsia="zh-CN"/>
        </w:rPr>
        <w:t xml:space="preserve"> </w:t>
      </w:r>
      <w:r w:rsidRPr="00304C03">
        <w:rPr>
          <w:rFonts w:eastAsiaTheme="minorEastAsia"/>
        </w:rPr>
        <w:t xml:space="preserve">changes in the business cycle.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ε</m:t>
            </m:r>
          </m:e>
          <m:sub>
            <m:r>
              <w:rPr>
                <w:rFonts w:ascii="Cambria Math" w:eastAsiaTheme="minorEastAsia" w:hAnsi="Cambria Math"/>
              </w:rPr>
              <m:t>it</m:t>
            </m:r>
          </m:sub>
        </m:sSub>
      </m:oMath>
      <w:r w:rsidRPr="00304C03">
        <w:rPr>
          <w:rFonts w:eastAsiaTheme="minorEastAsia"/>
        </w:rPr>
        <w:t xml:space="preserve"> is the random error term.</w:t>
      </w:r>
    </w:p>
    <w:p w14:paraId="61942335" w14:textId="77777777" w:rsidR="00FC0231" w:rsidRPr="00302AF1" w:rsidRDefault="00FC0231" w:rsidP="00FC0231">
      <w:pPr>
        <w:pStyle w:val="Heading1"/>
        <w:rPr>
          <w:lang w:eastAsia="en-GB"/>
        </w:rPr>
      </w:pPr>
      <w:r w:rsidRPr="00302AF1">
        <w:rPr>
          <w:lang w:eastAsia="en-GB"/>
        </w:rPr>
        <w:t>Estimation Methods</w:t>
      </w:r>
    </w:p>
    <w:p w14:paraId="41C21020" w14:textId="5763C754" w:rsidR="00E577E6" w:rsidRPr="00FC0231" w:rsidRDefault="00FC0231" w:rsidP="00FC0231">
      <w:pPr>
        <w:pStyle w:val="Paragraph"/>
        <w:spacing w:before="0"/>
      </w:pPr>
      <w:r w:rsidRPr="00304C03">
        <w:t>Due to the panel data structure, the study employs a two-way panel estimator with city and year dummies to control both city and year-invariant unobserved heterogeneity. The variance inflation factor (VIF) test found that the mean value of the VIF test is 2.</w:t>
      </w:r>
      <w:r>
        <w:t>94</w:t>
      </w:r>
      <w:r w:rsidRPr="00304C03">
        <w:t>. VIF</w:t>
      </w:r>
      <w:r>
        <w:t>s</w:t>
      </w:r>
      <w:r w:rsidRPr="00304C03">
        <w:t xml:space="preserve"> for all variables are less than 5. So, we suggest that multicollinearity may not be a problem for this study. </w:t>
      </w:r>
      <w:r w:rsidRPr="00304C03">
        <w:rPr>
          <w:lang w:eastAsia="zh-CN"/>
        </w:rPr>
        <w:t>A series of panel unit root tests suggested the dependent variables are panel stationary, and thus fixed-effect or random effect models are applicable</w:t>
      </w:r>
      <w:r>
        <w:t>.</w:t>
      </w:r>
      <w:r>
        <w:rPr>
          <w:rStyle w:val="FootnoteReference"/>
        </w:rPr>
        <w:footnoteReference w:id="2"/>
      </w:r>
      <w:r w:rsidRPr="00304C03">
        <w:rPr>
          <w:lang w:eastAsia="zh-CN"/>
        </w:rPr>
        <w:t xml:space="preserve"> The Hausman tests are performed to test the</w:t>
      </w:r>
      <w:r w:rsidRPr="001807FB">
        <w:t xml:space="preserve"> </w:t>
      </w:r>
      <w:r w:rsidRPr="00304C03">
        <w:rPr>
          <w:lang w:eastAsia="zh-CN"/>
        </w:rPr>
        <w:t>specification of fixed-effect versus random-effect model. The null hypothesis, which states that the difference of the coefficients estimated by the two specifications is not systematic, is rejected, thus indicating the choice of a fixed-effect model.</w:t>
      </w:r>
      <w:r w:rsidRPr="00304C03">
        <w:t xml:space="preserve"> Initial diagnostic tests were used before running the regression. First, the Breusch-Pagan/Cook-Weisberg test confirms that the estimated residuals are heteroskedastic. Second, the Wooldridge test confirms the existence of serial correlation in error terms. Third, the </w:t>
      </w:r>
      <w:proofErr w:type="spellStart"/>
      <w:r w:rsidRPr="00304C03">
        <w:t>Pesaran’s</w:t>
      </w:r>
      <w:proofErr w:type="spellEnd"/>
      <w:r w:rsidRPr="00304C03">
        <w:t xml:space="preserve"> cross</w:t>
      </w:r>
      <w:r>
        <w:t xml:space="preserve">-sectional dependence (CD) test </w:t>
      </w:r>
      <w:r w:rsidRPr="00304C03">
        <w:t xml:space="preserve">confirms the existence of cross-sectional dependence. Heteroskedasticity, serial correlation, and cross-sectional dependence will yield biased standard errors of estimated coefficients. To correct the above issues, the study uses the Driscoll and </w:t>
      </w:r>
      <w:proofErr w:type="spellStart"/>
      <w:r w:rsidRPr="00304C03">
        <w:t>Kraay</w:t>
      </w:r>
      <w:proofErr w:type="spellEnd"/>
      <w:r w:rsidRPr="00304C03">
        <w:t xml:space="preserve"> standard errors </w:t>
      </w:r>
      <w:r w:rsidRPr="001807FB">
        <w:rPr>
          <w:noProof/>
        </w:rPr>
        <w:t xml:space="preserve">(Driscoll </w:t>
      </w:r>
      <w:r>
        <w:rPr>
          <w:noProof/>
        </w:rPr>
        <w:t xml:space="preserve">and </w:t>
      </w:r>
      <w:r w:rsidRPr="001807FB">
        <w:rPr>
          <w:noProof/>
        </w:rPr>
        <w:t>Kraay</w:t>
      </w:r>
      <w:r>
        <w:rPr>
          <w:noProof/>
        </w:rPr>
        <w:t xml:space="preserve"> </w:t>
      </w:r>
      <w:r w:rsidRPr="001807FB">
        <w:rPr>
          <w:noProof/>
        </w:rPr>
        <w:lastRenderedPageBreak/>
        <w:t>1998)</w:t>
      </w:r>
      <w:r>
        <w:t xml:space="preserve">. </w:t>
      </w:r>
    </w:p>
    <w:p w14:paraId="427E8CF2" w14:textId="7F858EBE" w:rsidR="00954B1C" w:rsidRDefault="00954B1C" w:rsidP="0049151E">
      <w:pPr>
        <w:pStyle w:val="Heading1"/>
        <w:rPr>
          <w:rFonts w:eastAsia="DengXian"/>
          <w:lang w:bidi="th-TH"/>
        </w:rPr>
      </w:pPr>
      <w:r>
        <w:rPr>
          <w:rFonts w:eastAsia="DengXian"/>
          <w:lang w:bidi="th-TH"/>
        </w:rPr>
        <w:t>Reference</w:t>
      </w:r>
    </w:p>
    <w:p w14:paraId="494D1596" w14:textId="479D63BB" w:rsidR="00E02146" w:rsidRPr="00492D26" w:rsidRDefault="00E02146" w:rsidP="00C83C0F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492D26">
        <w:rPr>
          <w:noProof/>
        </w:rPr>
        <w:t xml:space="preserve">Chen, Can. 2017. Does money matter for infrastructure outcomes? The effects of public infrastructure finance on state infrastructure quality. </w:t>
      </w:r>
      <w:r w:rsidRPr="00492D26">
        <w:rPr>
          <w:i/>
          <w:iCs/>
          <w:noProof/>
        </w:rPr>
        <w:t>Journal of Public Budgeting, Accounting and Financial Management</w:t>
      </w:r>
      <w:r w:rsidRPr="00492D26">
        <w:rPr>
          <w:noProof/>
        </w:rPr>
        <w:t xml:space="preserve"> 29 (3): 375–408. </w:t>
      </w:r>
    </w:p>
    <w:p w14:paraId="2D41F748" w14:textId="0FDDF1A4" w:rsidR="00E02146" w:rsidRPr="00492D26" w:rsidRDefault="00E02146" w:rsidP="000D73A9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492D26">
        <w:rPr>
          <w:noProof/>
        </w:rPr>
        <w:t xml:space="preserve">Driscoll, John C., and Aart C. Kraay. 1998. Consistent </w:t>
      </w:r>
      <w:r w:rsidR="000C65A1" w:rsidRPr="00492D26">
        <w:rPr>
          <w:noProof/>
        </w:rPr>
        <w:t>covariance matrix estimation with spatially dependent panel dat</w:t>
      </w:r>
      <w:r w:rsidRPr="00492D26">
        <w:rPr>
          <w:noProof/>
        </w:rPr>
        <w:t xml:space="preserve">a. </w:t>
      </w:r>
      <w:r w:rsidRPr="00492D26">
        <w:rPr>
          <w:i/>
          <w:iCs/>
          <w:noProof/>
        </w:rPr>
        <w:t>Review of Economics and Statistics</w:t>
      </w:r>
      <w:r w:rsidRPr="00492D26">
        <w:rPr>
          <w:noProof/>
        </w:rPr>
        <w:t xml:space="preserve"> 80 (4): 549–60. </w:t>
      </w:r>
    </w:p>
    <w:p w14:paraId="56B84C30" w14:textId="7FD5D951" w:rsidR="00E02146" w:rsidRPr="006232DA" w:rsidRDefault="00E02146" w:rsidP="000D73A9">
      <w:pPr>
        <w:spacing w:line="480" w:lineRule="auto"/>
        <w:rPr>
          <w:rFonts w:eastAsia="Times New Roman" w:cs="Times New Roman"/>
        </w:rPr>
      </w:pPr>
      <w:r w:rsidRPr="00492D26">
        <w:rPr>
          <w:noProof/>
        </w:rPr>
        <w:t xml:space="preserve">U.S. Bureau of Economic Analysis. 2004. </w:t>
      </w:r>
      <w:r w:rsidRPr="000C65A1">
        <w:rPr>
          <w:i/>
          <w:iCs/>
          <w:noProof/>
        </w:rPr>
        <w:t xml:space="preserve">BEA </w:t>
      </w:r>
      <w:r w:rsidR="003A04EA">
        <w:rPr>
          <w:i/>
          <w:iCs/>
          <w:noProof/>
        </w:rPr>
        <w:t>d</w:t>
      </w:r>
      <w:r w:rsidRPr="000C65A1">
        <w:rPr>
          <w:i/>
          <w:iCs/>
          <w:noProof/>
        </w:rPr>
        <w:t xml:space="preserve">epreciation </w:t>
      </w:r>
      <w:r w:rsidR="003A04EA">
        <w:rPr>
          <w:i/>
          <w:iCs/>
          <w:noProof/>
        </w:rPr>
        <w:t>e</w:t>
      </w:r>
      <w:r w:rsidRPr="000C65A1">
        <w:rPr>
          <w:i/>
          <w:iCs/>
          <w:noProof/>
        </w:rPr>
        <w:t>stimates</w:t>
      </w:r>
      <w:r w:rsidRPr="00492D26">
        <w:rPr>
          <w:noProof/>
        </w:rPr>
        <w:t>.</w:t>
      </w:r>
      <w:r w:rsidR="006232DA" w:rsidRPr="006232DA">
        <w:t xml:space="preserve"> </w:t>
      </w:r>
      <w:r w:rsidR="006232DA" w:rsidRPr="006232DA">
        <w:rPr>
          <w:rFonts w:eastAsia="Times New Roman" w:cs="Times New Roman"/>
        </w:rPr>
        <w:t>Washington, DC</w:t>
      </w:r>
    </w:p>
    <w:p w14:paraId="54639447" w14:textId="5534F7EF" w:rsidR="00954B1C" w:rsidRPr="00C83C0F" w:rsidRDefault="00E02146" w:rsidP="000D73A9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492D26">
        <w:rPr>
          <w:noProof/>
        </w:rPr>
        <w:t xml:space="preserve">Winston, Clifford, and Ashley Langer. 2006. </w:t>
      </w:r>
      <w:r w:rsidR="000C65A1">
        <w:rPr>
          <w:noProof/>
        </w:rPr>
        <w:t>T</w:t>
      </w:r>
      <w:r w:rsidR="000C65A1" w:rsidRPr="00492D26">
        <w:rPr>
          <w:noProof/>
        </w:rPr>
        <w:t>he effect of government highway spending on road users’ congestion costs</w:t>
      </w:r>
      <w:r w:rsidRPr="00492D26">
        <w:rPr>
          <w:noProof/>
        </w:rPr>
        <w:t xml:space="preserve">. </w:t>
      </w:r>
      <w:r w:rsidRPr="00492D26">
        <w:rPr>
          <w:i/>
          <w:iCs/>
          <w:noProof/>
        </w:rPr>
        <w:t>Journal of Urban Economics</w:t>
      </w:r>
      <w:r w:rsidRPr="00492D26">
        <w:rPr>
          <w:noProof/>
        </w:rPr>
        <w:t xml:space="preserve"> 60 (3): 463–83. </w:t>
      </w:r>
    </w:p>
    <w:sectPr w:rsidR="00954B1C" w:rsidRPr="00C83C0F" w:rsidSect="00A86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9E393" w14:textId="77777777" w:rsidR="00B35073" w:rsidRDefault="00B35073" w:rsidP="00954B1C">
      <w:r>
        <w:separator/>
      </w:r>
    </w:p>
  </w:endnote>
  <w:endnote w:type="continuationSeparator" w:id="0">
    <w:p w14:paraId="32CE60ED" w14:textId="77777777" w:rsidR="00B35073" w:rsidRDefault="00B35073" w:rsidP="0095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588D7" w14:textId="77777777" w:rsidR="00B35073" w:rsidRDefault="00B35073" w:rsidP="00954B1C">
      <w:r>
        <w:separator/>
      </w:r>
    </w:p>
  </w:footnote>
  <w:footnote w:type="continuationSeparator" w:id="0">
    <w:p w14:paraId="3228FB03" w14:textId="77777777" w:rsidR="00B35073" w:rsidRDefault="00B35073" w:rsidP="00954B1C">
      <w:r>
        <w:continuationSeparator/>
      </w:r>
    </w:p>
  </w:footnote>
  <w:footnote w:id="1">
    <w:p w14:paraId="16054F33" w14:textId="77777777" w:rsidR="00954B1C" w:rsidRDefault="00954B1C" w:rsidP="00954B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03724">
        <w:t xml:space="preserve">As a robustness check, we set </w:t>
      </w:r>
      <w:r>
        <w:t>T</w:t>
      </w:r>
      <w:r w:rsidRPr="00B03724">
        <w:t xml:space="preserve"> at </w:t>
      </w:r>
      <w:r>
        <w:t>20</w:t>
      </w:r>
      <w:r w:rsidRPr="00B03724">
        <w:t xml:space="preserve"> years and d (the depreciation rate) at 4 percent. Then, we calculated capital stock for cities from 199</w:t>
      </w:r>
      <w:r>
        <w:t>8</w:t>
      </w:r>
      <w:r w:rsidRPr="00B03724">
        <w:t xml:space="preserve"> to 2012. The panel regression results using new capital stock measures remain </w:t>
      </w:r>
      <w:r>
        <w:t xml:space="preserve">largely </w:t>
      </w:r>
      <w:r w:rsidRPr="00B03724">
        <w:t>unchanged.</w:t>
      </w:r>
    </w:p>
  </w:footnote>
  <w:footnote w:id="2">
    <w:p w14:paraId="21B28FB3" w14:textId="77777777" w:rsidR="00FC0231" w:rsidRDefault="00FC0231" w:rsidP="00FC02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07FB">
        <w:t>Panel unit root tests are performed to test the stationary of the dependent variables of aggregate and disaggregate city capital investment. If the panel is stationary, then a static panel data method should be applied; otherwise, a dynamic specification should be used. Two kinds of tests are conducted— Augmented Dickey-Fuller approach and Phillips-</w:t>
      </w:r>
      <w:proofErr w:type="spellStart"/>
      <w:r w:rsidRPr="001807FB">
        <w:t>Perron</w:t>
      </w:r>
      <w:proofErr w:type="spellEnd"/>
      <w:r w:rsidRPr="001807FB">
        <w:t xml:space="preserve"> approach, with different specifications on lags, a linear trend, or a drift for all three dependent variables. All specifications reject the null hypothesis of unit root.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1C"/>
    <w:rsid w:val="000C174A"/>
    <w:rsid w:val="000C65A1"/>
    <w:rsid w:val="000D73A9"/>
    <w:rsid w:val="001543C1"/>
    <w:rsid w:val="001B6693"/>
    <w:rsid w:val="003A04EA"/>
    <w:rsid w:val="00425CC5"/>
    <w:rsid w:val="00435E53"/>
    <w:rsid w:val="00453C07"/>
    <w:rsid w:val="00463F8A"/>
    <w:rsid w:val="004878E6"/>
    <w:rsid w:val="0049151E"/>
    <w:rsid w:val="00521C43"/>
    <w:rsid w:val="00532524"/>
    <w:rsid w:val="005700E6"/>
    <w:rsid w:val="006232DA"/>
    <w:rsid w:val="006A7665"/>
    <w:rsid w:val="00735A0E"/>
    <w:rsid w:val="007D39A5"/>
    <w:rsid w:val="00900000"/>
    <w:rsid w:val="009242B1"/>
    <w:rsid w:val="00954B1C"/>
    <w:rsid w:val="00A42C93"/>
    <w:rsid w:val="00A84F66"/>
    <w:rsid w:val="00A86F73"/>
    <w:rsid w:val="00B35073"/>
    <w:rsid w:val="00B632FD"/>
    <w:rsid w:val="00BA5CB8"/>
    <w:rsid w:val="00BD1E6F"/>
    <w:rsid w:val="00C53B1B"/>
    <w:rsid w:val="00C83C0F"/>
    <w:rsid w:val="00D0733F"/>
    <w:rsid w:val="00D856F0"/>
    <w:rsid w:val="00D948AF"/>
    <w:rsid w:val="00DC5A2B"/>
    <w:rsid w:val="00E02146"/>
    <w:rsid w:val="00E32475"/>
    <w:rsid w:val="00E577E6"/>
    <w:rsid w:val="00E60CB9"/>
    <w:rsid w:val="00EB69D9"/>
    <w:rsid w:val="00EC1F20"/>
    <w:rsid w:val="00F113EB"/>
    <w:rsid w:val="00FC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63AED"/>
  <w14:defaultImageDpi w14:val="32767"/>
  <w15:chartTrackingRefBased/>
  <w15:docId w15:val="{9B3B9892-04EC-704E-9A5A-5A2AF446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2524"/>
    <w:pPr>
      <w:widowControl w:val="0"/>
      <w:spacing w:line="480" w:lineRule="auto"/>
      <w:outlineLvl w:val="0"/>
    </w:pPr>
    <w:rPr>
      <w:rFonts w:eastAsia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2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54B1C"/>
    <w:rPr>
      <w:rFonts w:eastAsia="DengX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4B1C"/>
    <w:rPr>
      <w:rFonts w:eastAsia="DengXi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954B1C"/>
    <w:rPr>
      <w:vertAlign w:val="superscript"/>
    </w:rPr>
  </w:style>
  <w:style w:type="paragraph" w:customStyle="1" w:styleId="Displayedquotation">
    <w:name w:val="Displayed quotation"/>
    <w:basedOn w:val="Normal"/>
    <w:qFormat/>
    <w:rsid w:val="00E577E6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rFonts w:eastAsia="Times New Roman" w:cs="Times New Roman"/>
      <w:sz w:val="22"/>
      <w:lang w:val="en-GB" w:eastAsia="en-GB"/>
    </w:rPr>
  </w:style>
  <w:style w:type="paragraph" w:customStyle="1" w:styleId="Paragraph">
    <w:name w:val="Paragraph"/>
    <w:basedOn w:val="Normal"/>
    <w:next w:val="Normal"/>
    <w:qFormat/>
    <w:rsid w:val="00E577E6"/>
    <w:pPr>
      <w:widowControl w:val="0"/>
      <w:spacing w:before="240" w:line="480" w:lineRule="auto"/>
    </w:pPr>
    <w:rPr>
      <w:rFonts w:eastAsia="Times New Roman" w:cs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32524"/>
    <w:rPr>
      <w:rFonts w:eastAsia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2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3EB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3EB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151E"/>
    <w:rPr>
      <w:color w:val="0563C1" w:themeColor="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DC5A2B"/>
    <w:p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DC5A2B"/>
    <w:rPr>
      <w:rFonts w:eastAsia="Times New Roman" w:cs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Yanbing Han</dc:creator>
  <cp:keywords/>
  <dc:description/>
  <cp:lastModifiedBy>Owner</cp:lastModifiedBy>
  <cp:revision>2</cp:revision>
  <dcterms:created xsi:type="dcterms:W3CDTF">2020-03-04T20:30:00Z</dcterms:created>
  <dcterms:modified xsi:type="dcterms:W3CDTF">2020-03-04T20:30:00Z</dcterms:modified>
</cp:coreProperties>
</file>