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3ACF92" w14:textId="046FD8A5" w:rsidR="002D0B5B" w:rsidRDefault="00EE138E" w:rsidP="00FF548F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MACROBUTTON MTEditEquationSection2 </w:instrText>
      </w:r>
      <w:r w:rsidRPr="00EE138E">
        <w:rPr>
          <w:rStyle w:val="MTEquationSection"/>
        </w:rPr>
        <w:instrText>Equation Chapter 1 Section 1</w:instrText>
      </w:r>
      <w:r>
        <w:rPr>
          <w:b/>
        </w:rPr>
        <w:fldChar w:fldCharType="begin"/>
      </w:r>
      <w:r>
        <w:rPr>
          <w:b/>
        </w:rPr>
        <w:instrText xml:space="preserve"> SEQ MTEqn \r \h \* MERGEFORMAT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SEQ MTSec \r 1 \h \* MERGEFORMAT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SEQ MTChap \r 1 \h \* MERGEFORMAT </w:instrText>
      </w:r>
      <w:r>
        <w:rPr>
          <w:b/>
        </w:rPr>
        <w:fldChar w:fldCharType="end"/>
      </w:r>
      <w:r>
        <w:rPr>
          <w:b/>
        </w:rPr>
        <w:fldChar w:fldCharType="end"/>
      </w:r>
      <w:r w:rsidR="00FF548F" w:rsidRPr="00FF548F">
        <w:rPr>
          <w:b/>
        </w:rPr>
        <w:t>Appendix</w:t>
      </w:r>
    </w:p>
    <w:p w14:paraId="6526AEAF" w14:textId="77777777" w:rsidR="00C547E0" w:rsidRPr="00D45CB6" w:rsidRDefault="00575D1F" w:rsidP="00C547E0">
      <w:r>
        <w:t xml:space="preserve"> </w:t>
      </w:r>
      <w:r w:rsidR="00C547E0">
        <w:t>Derivation of results (5) and (6)</w:t>
      </w:r>
      <w:r w:rsidR="00C547E0" w:rsidRPr="00D45CB6">
        <w:t xml:space="preserve">: </w:t>
      </w:r>
    </w:p>
    <w:p w14:paraId="18085F72" w14:textId="77777777" w:rsidR="00C547E0" w:rsidRPr="00D45CB6" w:rsidRDefault="00C547E0" w:rsidP="00C547E0">
      <w:r w:rsidRPr="00D45CB6">
        <w:t xml:space="preserve">First, the distribution of </w:t>
      </w:r>
      <w:bookmarkStart w:id="1" w:name="_Hlk516325530"/>
      <w:r w:rsidRPr="00D45CB6">
        <w:rPr>
          <w:position w:val="-6"/>
        </w:rPr>
        <w:object w:dxaOrig="200" w:dyaOrig="279" w14:anchorId="0EF27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4" o:title=""/>
          </v:shape>
          <o:OLEObject Type="Embed" ProgID="Equation.DSMT4" ShapeID="_x0000_i1025" DrawAspect="Content" ObjectID="_1644933058" r:id="rId5"/>
        </w:object>
      </w:r>
      <w:bookmarkEnd w:id="1"/>
      <w:r w:rsidRPr="00D45CB6">
        <w:t xml:space="preserve"> could be derived based on the following pivotal quantity: </w:t>
      </w:r>
    </w:p>
    <w:p w14:paraId="14425329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36"/>
        </w:rPr>
        <w:object w:dxaOrig="2160" w:dyaOrig="760" w14:anchorId="07740292">
          <v:shape id="_x0000_i1026" type="#_x0000_t75" style="width:158.25pt;height:54.75pt" o:ole="">
            <v:imagedata r:id="rId6" o:title=""/>
          </v:shape>
          <o:OLEObject Type="Embed" ProgID="Equation.DSMT4" ShapeID="_x0000_i1026" DrawAspect="Content" ObjectID="_1644933059" r:id="rId7"/>
        </w:object>
      </w:r>
      <w:r w:rsidRPr="00D45CB6">
        <w:t xml:space="preserve"> </w:t>
      </w:r>
      <w:r w:rsidRPr="00D45CB6">
        <w:tab/>
        <w:t>(A1)</w:t>
      </w:r>
    </w:p>
    <w:p w14:paraId="4F7D0EF4" w14:textId="77777777" w:rsidR="00C547E0" w:rsidRPr="00D45CB6" w:rsidRDefault="00C547E0" w:rsidP="00C547E0">
      <w:r w:rsidRPr="00D45CB6">
        <w:t xml:space="preserve">The pivotal quantity (A1) is built on the central limit theorem with the belief that the simple estimator </w:t>
      </w:r>
      <w:r w:rsidRPr="00D45CB6">
        <w:rPr>
          <w:position w:val="-12"/>
        </w:rPr>
        <w:object w:dxaOrig="900" w:dyaOrig="380" w14:anchorId="089355B6">
          <v:shape id="_x0000_i1027" type="#_x0000_t75" style="width:45pt;height:18.75pt" o:ole="">
            <v:imagedata r:id="rId8" o:title=""/>
          </v:shape>
          <o:OLEObject Type="Embed" ProgID="Equation.DSMT4" ShapeID="_x0000_i1027" DrawAspect="Content" ObjectID="_1644933060" r:id="rId9"/>
        </w:object>
      </w:r>
      <w:r w:rsidRPr="00D45CB6">
        <w:t xml:space="preserve"> should be unbiased for the true average treatment effect </w:t>
      </w:r>
      <w:r w:rsidRPr="00D45CB6">
        <w:rPr>
          <w:position w:val="-6"/>
        </w:rPr>
        <w:object w:dxaOrig="200" w:dyaOrig="279" w14:anchorId="174BE336">
          <v:shape id="_x0000_i1028" type="#_x0000_t75" style="width:9.75pt;height:14.25pt" o:ole="">
            <v:imagedata r:id="rId10" o:title=""/>
          </v:shape>
          <o:OLEObject Type="Embed" ProgID="Equation.DSMT4" ShapeID="_x0000_i1028" DrawAspect="Content" ObjectID="_1644933061" r:id="rId11"/>
        </w:object>
      </w:r>
      <w:r w:rsidRPr="00D45CB6">
        <w:t>.</w:t>
      </w:r>
    </w:p>
    <w:p w14:paraId="0BB3964A" w14:textId="77777777" w:rsidR="00C547E0" w:rsidRPr="00D45CB6" w:rsidRDefault="00C547E0" w:rsidP="00C547E0">
      <w:r w:rsidRPr="00D45CB6">
        <w:t xml:space="preserve">Given the unobserved treated sample size is </w:t>
      </w:r>
      <w:r w:rsidRPr="00D45CB6">
        <w:rPr>
          <w:position w:val="-12"/>
        </w:rPr>
        <w:object w:dxaOrig="340" w:dyaOrig="380" w14:anchorId="55585C04">
          <v:shape id="_x0000_i1029" type="#_x0000_t75" style="width:17.25pt;height:18.75pt" o:ole="">
            <v:imagedata r:id="rId12" o:title=""/>
          </v:shape>
          <o:OLEObject Type="Embed" ProgID="Equation.DSMT4" ShapeID="_x0000_i1029" DrawAspect="Content" ObjectID="_1644933062" r:id="rId13"/>
        </w:object>
      </w:r>
      <w:r w:rsidRPr="00D45CB6">
        <w:t xml:space="preserve"> and the unobserved treated sample mean is </w:t>
      </w:r>
      <w:r w:rsidRPr="00D45CB6">
        <w:rPr>
          <w:position w:val="-12"/>
        </w:rPr>
        <w:object w:dxaOrig="380" w:dyaOrig="380" w14:anchorId="39CEF7A5">
          <v:shape id="_x0000_i1030" type="#_x0000_t75" style="width:18.75pt;height:18.75pt" o:ole="">
            <v:imagedata r:id="rId14" o:title=""/>
          </v:shape>
          <o:OLEObject Type="Embed" ProgID="Equation.DSMT4" ShapeID="_x0000_i1030" DrawAspect="Content" ObjectID="_1644933063" r:id="rId15"/>
        </w:object>
      </w:r>
      <w:r w:rsidRPr="00D45CB6">
        <w:t xml:space="preserve">, it is straightforward to write the ideal treated sample mean </w:t>
      </w:r>
      <w:r w:rsidRPr="00D45CB6">
        <w:rPr>
          <w:position w:val="-12"/>
        </w:rPr>
        <w:object w:dxaOrig="360" w:dyaOrig="380" w14:anchorId="53FF47E3">
          <v:shape id="_x0000_i1031" type="#_x0000_t75" style="width:18pt;height:18.75pt" o:ole="">
            <v:imagedata r:id="rId16" o:title=""/>
          </v:shape>
          <o:OLEObject Type="Embed" ProgID="Equation.DSMT4" ShapeID="_x0000_i1031" DrawAspect="Content" ObjectID="_1644933064" r:id="rId17"/>
        </w:object>
      </w:r>
      <w:r w:rsidRPr="00D45CB6">
        <w:t xml:space="preserve"> as below: </w:t>
      </w:r>
    </w:p>
    <w:p w14:paraId="03993ABA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30"/>
        </w:rPr>
        <w:object w:dxaOrig="3220" w:dyaOrig="700" w14:anchorId="0375AC3B">
          <v:shape id="_x0000_i1032" type="#_x0000_t75" style="width:204.75pt;height:45pt" o:ole="">
            <v:imagedata r:id="rId18" o:title=""/>
          </v:shape>
          <o:OLEObject Type="Embed" ProgID="Equation.DSMT4" ShapeID="_x0000_i1032" DrawAspect="Content" ObjectID="_1644933065" r:id="rId19"/>
        </w:object>
      </w:r>
      <w:r w:rsidRPr="00D45CB6">
        <w:t xml:space="preserve"> </w:t>
      </w:r>
      <w:r w:rsidRPr="00D45CB6">
        <w:tab/>
        <w:t>(A2)</w:t>
      </w:r>
    </w:p>
    <w:p w14:paraId="286E9AA2" w14:textId="77777777" w:rsidR="00C547E0" w:rsidRPr="00D45CB6" w:rsidRDefault="00C547E0" w:rsidP="00C547E0">
      <w:r w:rsidRPr="00D45CB6">
        <w:t xml:space="preserve">Similarly, the ideal control sample mean </w:t>
      </w:r>
      <w:r w:rsidRPr="00D45CB6">
        <w:rPr>
          <w:position w:val="-12"/>
        </w:rPr>
        <w:object w:dxaOrig="360" w:dyaOrig="380" w14:anchorId="545D01F7">
          <v:shape id="_x0000_i1033" type="#_x0000_t75" style="width:18pt;height:18.75pt" o:ole="">
            <v:imagedata r:id="rId20" o:title=""/>
          </v:shape>
          <o:OLEObject Type="Embed" ProgID="Equation.DSMT4" ShapeID="_x0000_i1033" DrawAspect="Content" ObjectID="_1644933066" r:id="rId21"/>
        </w:object>
      </w:r>
      <w:r w:rsidRPr="00D45CB6">
        <w:t xml:space="preserve"> is written as follows: </w:t>
      </w:r>
    </w:p>
    <w:p w14:paraId="362F0102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30"/>
        </w:rPr>
        <w:object w:dxaOrig="3220" w:dyaOrig="720" w14:anchorId="0F2132DB">
          <v:shape id="_x0000_i1034" type="#_x0000_t75" style="width:210.75pt;height:46.5pt" o:ole="">
            <v:imagedata r:id="rId22" o:title=""/>
          </v:shape>
          <o:OLEObject Type="Embed" ProgID="Equation.DSMT4" ShapeID="_x0000_i1034" DrawAspect="Content" ObjectID="_1644933067" r:id="rId23"/>
        </w:object>
      </w:r>
      <w:r w:rsidRPr="00D45CB6">
        <w:t xml:space="preserve"> </w:t>
      </w:r>
      <w:r w:rsidRPr="00D45CB6">
        <w:tab/>
        <w:t>(A3)</w:t>
      </w:r>
    </w:p>
    <w:p w14:paraId="4446807E" w14:textId="77777777" w:rsidR="00C547E0" w:rsidRPr="00D45CB6" w:rsidRDefault="00C547E0" w:rsidP="00C547E0">
      <w:r w:rsidRPr="00D45CB6">
        <w:t xml:space="preserve">The standard deviation associated with the simple estimator is derived as below: </w:t>
      </w:r>
    </w:p>
    <w:p w14:paraId="5FBC48A6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32"/>
        </w:rPr>
        <w:object w:dxaOrig="3060" w:dyaOrig="780" w14:anchorId="07A8B209">
          <v:shape id="_x0000_i1035" type="#_x0000_t75" style="width:225.75pt;height:56.25pt" o:ole="">
            <v:imagedata r:id="rId24" o:title=""/>
          </v:shape>
          <o:OLEObject Type="Embed" ProgID="Equation.DSMT4" ShapeID="_x0000_i1035" DrawAspect="Content" ObjectID="_1644933068" r:id="rId25"/>
        </w:object>
      </w:r>
      <w:r w:rsidRPr="00D45CB6">
        <w:t xml:space="preserve"> </w:t>
      </w:r>
      <w:r w:rsidRPr="00D45CB6">
        <w:tab/>
        <w:t>(A4)</w:t>
      </w:r>
    </w:p>
    <w:p w14:paraId="553BF134" w14:textId="77777777" w:rsidR="00C547E0" w:rsidRPr="00D45CB6" w:rsidRDefault="00C547E0" w:rsidP="00C547E0">
      <w:r w:rsidRPr="00D45CB6">
        <w:lastRenderedPageBreak/>
        <w:t xml:space="preserve">Furthermore, because </w:t>
      </w:r>
      <w:r w:rsidRPr="00D45CB6">
        <w:rPr>
          <w:position w:val="-12"/>
        </w:rPr>
        <w:object w:dxaOrig="880" w:dyaOrig="380" w14:anchorId="6DC2B8C4">
          <v:shape id="_x0000_i1036" type="#_x0000_t75" style="width:44.25pt;height:18.75pt" o:ole="">
            <v:imagedata r:id="rId26" o:title=""/>
          </v:shape>
          <o:OLEObject Type="Embed" ProgID="Equation.DSMT4" ShapeID="_x0000_i1036" DrawAspect="Content" ObjectID="_1644933069" r:id="rId27"/>
        </w:object>
      </w:r>
      <w:r w:rsidRPr="00D45CB6">
        <w:t xml:space="preserve"> and </w:t>
      </w:r>
      <w:r w:rsidRPr="00D45CB6">
        <w:rPr>
          <w:position w:val="-12"/>
        </w:rPr>
        <w:object w:dxaOrig="880" w:dyaOrig="380" w14:anchorId="62372B91">
          <v:shape id="_x0000_i1037" type="#_x0000_t75" style="width:44.25pt;height:18.75pt" o:ole="">
            <v:imagedata r:id="rId28" o:title=""/>
          </v:shape>
          <o:OLEObject Type="Embed" ProgID="Equation.DSMT4" ShapeID="_x0000_i1037" DrawAspect="Content" ObjectID="_1644933070" r:id="rId29"/>
        </w:object>
      </w:r>
      <w:r w:rsidRPr="00D45CB6">
        <w:t xml:space="preserve"> in observational studies, we can simply the expressions in (A2) through (A3) as follows: </w:t>
      </w:r>
    </w:p>
    <w:p w14:paraId="77A13D1E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86"/>
        </w:rPr>
        <w:object w:dxaOrig="2240" w:dyaOrig="1520" w14:anchorId="798F36F5">
          <v:shape id="_x0000_i1038" type="#_x0000_t75" style="width:171pt;height:108pt" o:ole="">
            <v:imagedata r:id="rId30" o:title=""/>
          </v:shape>
          <o:OLEObject Type="Embed" ProgID="Equation.DSMT4" ShapeID="_x0000_i1038" DrawAspect="Content" ObjectID="_1644933071" r:id="rId31"/>
        </w:object>
      </w:r>
      <w:r w:rsidRPr="00D45CB6">
        <w:t xml:space="preserve"> </w:t>
      </w:r>
      <w:r w:rsidRPr="00D45CB6">
        <w:tab/>
        <w:t>(A5)</w:t>
      </w:r>
    </w:p>
    <w:p w14:paraId="7FB290F2" w14:textId="77777777" w:rsidR="00C547E0" w:rsidRPr="00D45CB6" w:rsidRDefault="00C547E0" w:rsidP="00C547E0">
      <w:r w:rsidRPr="00D45CB6">
        <w:t xml:space="preserve">given </w:t>
      </w:r>
      <w:r w:rsidRPr="00D45CB6">
        <w:rPr>
          <w:position w:val="-24"/>
        </w:rPr>
        <w:object w:dxaOrig="780" w:dyaOrig="639" w14:anchorId="063C5AAE">
          <v:shape id="_x0000_i1039" type="#_x0000_t75" style="width:39pt;height:32.25pt" o:ole="">
            <v:imagedata r:id="rId32" o:title=""/>
          </v:shape>
          <o:OLEObject Type="Embed" ProgID="Equation.DSMT4" ShapeID="_x0000_i1039" DrawAspect="Content" ObjectID="_1644933072" r:id="rId33"/>
        </w:object>
      </w:r>
      <w:r w:rsidRPr="00D45CB6">
        <w:t xml:space="preserve"> and </w:t>
      </w:r>
      <w:r w:rsidRPr="00D45CB6">
        <w:rPr>
          <w:position w:val="-12"/>
        </w:rPr>
        <w:object w:dxaOrig="1400" w:dyaOrig="380" w14:anchorId="546F7A7C">
          <v:shape id="_x0000_i1040" type="#_x0000_t75" style="width:69.75pt;height:18.75pt" o:ole="">
            <v:imagedata r:id="rId34" o:title=""/>
          </v:shape>
          <o:OLEObject Type="Embed" ProgID="Equation.DSMT4" ShapeID="_x0000_i1040" DrawAspect="Content" ObjectID="_1644933073" r:id="rId35"/>
        </w:object>
      </w:r>
      <w:r w:rsidRPr="00D45CB6">
        <w:t>. Finally, we can just plug (A5) in (A1), which yields the distribution (</w:t>
      </w:r>
      <w:r>
        <w:t>5</w:t>
      </w:r>
      <w:r w:rsidRPr="00D45CB6">
        <w:t xml:space="preserve">) whose </w:t>
      </w:r>
      <w:proofErr w:type="gramStart"/>
      <w:r w:rsidRPr="00D45CB6">
        <w:t>mean</w:t>
      </w:r>
      <w:proofErr w:type="gramEnd"/>
      <w:r w:rsidRPr="00D45CB6">
        <w:t xml:space="preserve"> and variance are defined by (</w:t>
      </w:r>
      <w:r>
        <w:t>6</w:t>
      </w:r>
      <w:r w:rsidRPr="00D45CB6">
        <w:t xml:space="preserve">). </w:t>
      </w:r>
    </w:p>
    <w:p w14:paraId="006F873C" w14:textId="77777777" w:rsidR="00C547E0" w:rsidRPr="00D45CB6" w:rsidRDefault="00C547E0" w:rsidP="00C547E0">
      <w:r w:rsidRPr="00D45CB6">
        <w:t xml:space="preserve">Theorem 1 can also be proved under a Bayesian framework. Assuming the prior and the likelihood for the treated outcome is as follows: </w:t>
      </w:r>
    </w:p>
    <w:p w14:paraId="51A3AAE3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50"/>
        </w:rPr>
        <w:object w:dxaOrig="1640" w:dyaOrig="1120" w14:anchorId="53BAC681">
          <v:shape id="_x0000_i1041" type="#_x0000_t75" style="width:117.75pt;height:72.75pt" o:ole="">
            <v:imagedata r:id="rId36" o:title=""/>
          </v:shape>
          <o:OLEObject Type="Embed" ProgID="Equation.DSMT4" ShapeID="_x0000_i1041" DrawAspect="Content" ObjectID="_1644933074" r:id="rId37"/>
        </w:object>
      </w:r>
      <w:r w:rsidRPr="00D45CB6">
        <w:t xml:space="preserve"> </w:t>
      </w:r>
      <w:r w:rsidRPr="00D45CB6">
        <w:tab/>
        <w:t>(A6)</w:t>
      </w:r>
    </w:p>
    <w:p w14:paraId="0EDFB91C" w14:textId="77777777" w:rsidR="00C547E0" w:rsidRPr="00D45CB6" w:rsidRDefault="00C547E0" w:rsidP="00C547E0">
      <w:r w:rsidRPr="00D45CB6">
        <w:t xml:space="preserve">And the prior and the likelihood for the control outcome is as follows: </w:t>
      </w:r>
    </w:p>
    <w:p w14:paraId="37CD22AA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50"/>
        </w:rPr>
        <w:object w:dxaOrig="1660" w:dyaOrig="1120" w14:anchorId="3F5E2C70">
          <v:shape id="_x0000_i1042" type="#_x0000_t75" style="width:121.5pt;height:77.25pt" o:ole="">
            <v:imagedata r:id="rId38" o:title=""/>
          </v:shape>
          <o:OLEObject Type="Embed" ProgID="Equation.DSMT4" ShapeID="_x0000_i1042" DrawAspect="Content" ObjectID="_1644933075" r:id="rId39"/>
        </w:object>
      </w:r>
      <w:r w:rsidRPr="00D45CB6">
        <w:t xml:space="preserve"> </w:t>
      </w:r>
      <w:r w:rsidRPr="00D45CB6">
        <w:tab/>
        <w:t>(A7)</w:t>
      </w:r>
    </w:p>
    <w:p w14:paraId="53B7B623" w14:textId="77777777" w:rsidR="00C547E0" w:rsidRPr="00D45CB6" w:rsidRDefault="00C547E0" w:rsidP="00C547E0">
      <w:r w:rsidRPr="00D45CB6">
        <w:t xml:space="preserve">The posterior distribution for </w:t>
      </w:r>
      <w:r w:rsidRPr="00D45CB6">
        <w:rPr>
          <w:position w:val="-12"/>
        </w:rPr>
        <w:object w:dxaOrig="260" w:dyaOrig="360" w14:anchorId="1ADB9BE8">
          <v:shape id="_x0000_i1043" type="#_x0000_t75" style="width:12.75pt;height:18pt" o:ole="">
            <v:imagedata r:id="rId40" o:title=""/>
          </v:shape>
          <o:OLEObject Type="Embed" ProgID="Equation.DSMT4" ShapeID="_x0000_i1043" DrawAspect="Content" ObjectID="_1644933076" r:id="rId41"/>
        </w:object>
      </w:r>
      <w:r w:rsidRPr="00D45CB6">
        <w:t xml:space="preserve"> is as follows: </w:t>
      </w:r>
    </w:p>
    <w:p w14:paraId="49D34983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lastRenderedPageBreak/>
        <w:tab/>
      </w:r>
      <w:r w:rsidRPr="00D45CB6">
        <w:rPr>
          <w:position w:val="-24"/>
        </w:rPr>
        <w:object w:dxaOrig="3400" w:dyaOrig="660" w14:anchorId="75F8D73D">
          <v:shape id="_x0000_i1044" type="#_x0000_t75" style="width:242.25pt;height:44.25pt" o:ole="">
            <v:imagedata r:id="rId42" o:title=""/>
          </v:shape>
          <o:OLEObject Type="Embed" ProgID="Equation.DSMT4" ShapeID="_x0000_i1044" DrawAspect="Content" ObjectID="_1644933077" r:id="rId43"/>
        </w:object>
      </w:r>
      <w:r w:rsidRPr="00D45CB6">
        <w:t xml:space="preserve"> </w:t>
      </w:r>
      <w:r w:rsidRPr="00D45CB6">
        <w:tab/>
        <w:t>(A8)</w:t>
      </w:r>
    </w:p>
    <w:p w14:paraId="49B7F68A" w14:textId="77777777" w:rsidR="00C547E0" w:rsidRPr="00D45CB6" w:rsidRDefault="00C547E0" w:rsidP="00C547E0">
      <w:r w:rsidRPr="00D45CB6">
        <w:t xml:space="preserve">Furthermore, the posterior distribution for </w:t>
      </w:r>
      <w:r w:rsidRPr="00D45CB6">
        <w:rPr>
          <w:position w:val="-12"/>
        </w:rPr>
        <w:object w:dxaOrig="279" w:dyaOrig="360" w14:anchorId="666635B2">
          <v:shape id="_x0000_i1045" type="#_x0000_t75" style="width:14.25pt;height:18pt" o:ole="">
            <v:imagedata r:id="rId44" o:title=""/>
          </v:shape>
          <o:OLEObject Type="Embed" ProgID="Equation.DSMT4" ShapeID="_x0000_i1045" DrawAspect="Content" ObjectID="_1644933078" r:id="rId45"/>
        </w:object>
      </w:r>
      <w:r w:rsidRPr="00D45CB6">
        <w:t xml:space="preserve"> is as follows: </w:t>
      </w:r>
    </w:p>
    <w:p w14:paraId="3179DEB4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24"/>
        </w:rPr>
        <w:object w:dxaOrig="3420" w:dyaOrig="660" w14:anchorId="7A26D549">
          <v:shape id="_x0000_i1046" type="#_x0000_t75" style="width:231pt;height:42.75pt" o:ole="">
            <v:imagedata r:id="rId46" o:title=""/>
          </v:shape>
          <o:OLEObject Type="Embed" ProgID="Equation.DSMT4" ShapeID="_x0000_i1046" DrawAspect="Content" ObjectID="_1644933079" r:id="rId47"/>
        </w:object>
      </w:r>
      <w:r w:rsidRPr="00D45CB6">
        <w:t xml:space="preserve"> </w:t>
      </w:r>
      <w:r w:rsidRPr="00D45CB6">
        <w:tab/>
        <w:t>(A9)</w:t>
      </w:r>
    </w:p>
    <w:p w14:paraId="2B617FAD" w14:textId="77777777" w:rsidR="00C547E0" w:rsidRPr="00D45CB6" w:rsidRDefault="00C547E0" w:rsidP="00C547E0">
      <w:r w:rsidRPr="00D45CB6">
        <w:t xml:space="preserve">Assuming the treated and the control outcomes are independent, the posterior distribution of </w:t>
      </w:r>
      <w:r w:rsidRPr="00D45CB6">
        <w:rPr>
          <w:position w:val="-6"/>
        </w:rPr>
        <w:object w:dxaOrig="200" w:dyaOrig="279" w14:anchorId="3ED159BD">
          <v:shape id="_x0000_i1047" type="#_x0000_t75" style="width:9.75pt;height:14.25pt" o:ole="">
            <v:imagedata r:id="rId48" o:title=""/>
          </v:shape>
          <o:OLEObject Type="Embed" ProgID="Equation.DSMT4" ShapeID="_x0000_i1047" DrawAspect="Content" ObjectID="_1644933080" r:id="rId49"/>
        </w:object>
      </w:r>
      <w:r w:rsidRPr="00D45CB6">
        <w:t xml:space="preserve"> is equivalent to </w:t>
      </w:r>
      <w:r w:rsidRPr="00D45CB6">
        <w:rPr>
          <w:position w:val="-12"/>
        </w:rPr>
        <w:object w:dxaOrig="1660" w:dyaOrig="380" w14:anchorId="006C8A32">
          <v:shape id="_x0000_i1048" type="#_x0000_t75" style="width:83.25pt;height:18.75pt" o:ole="">
            <v:imagedata r:id="rId50" o:title=""/>
          </v:shape>
          <o:OLEObject Type="Embed" ProgID="Equation.DSMT4" ShapeID="_x0000_i1048" DrawAspect="Content" ObjectID="_1644933081" r:id="rId51"/>
        </w:object>
      </w:r>
      <w:r w:rsidRPr="00D45CB6">
        <w:t xml:space="preserve"> and has the identical form as (</w:t>
      </w:r>
      <w:r>
        <w:t>5</w:t>
      </w:r>
      <w:r w:rsidRPr="00D45CB6">
        <w:t>)</w:t>
      </w:r>
      <w:r>
        <w:t xml:space="preserve"> and (6)</w:t>
      </w:r>
      <w:r w:rsidRPr="00D45CB6">
        <w:t xml:space="preserve">. </w:t>
      </w:r>
    </w:p>
    <w:p w14:paraId="566BD2FB" w14:textId="77777777" w:rsidR="00C547E0" w:rsidRPr="00D45CB6" w:rsidRDefault="00C547E0" w:rsidP="00C547E0">
      <w:r>
        <w:t>Derivation of results (7) and (8)</w:t>
      </w:r>
      <w:r w:rsidRPr="00D45CB6">
        <w:t xml:space="preserve">: </w:t>
      </w:r>
    </w:p>
    <w:p w14:paraId="0189DDCD" w14:textId="77777777" w:rsidR="00C547E0" w:rsidRPr="00D45CB6" w:rsidRDefault="00C547E0" w:rsidP="00C547E0">
      <w:r w:rsidRPr="00D45CB6">
        <w:t xml:space="preserve">When a significant positive effect has been concluded, the PIV can be expressed by </w:t>
      </w:r>
      <w:r w:rsidRPr="00D251A6">
        <w:rPr>
          <w:position w:val="-12"/>
        </w:rPr>
        <w:object w:dxaOrig="380" w:dyaOrig="380" w14:anchorId="5EFE4E2B">
          <v:shape id="_x0000_i1049" type="#_x0000_t75" style="width:20.25pt;height:20.25pt" o:ole="">
            <v:imagedata r:id="rId52" o:title=""/>
          </v:shape>
          <o:OLEObject Type="Embed" ProgID="Equation.DSMT4" ShapeID="_x0000_i1049" DrawAspect="Content" ObjectID="_1644933082" r:id="rId53"/>
        </w:object>
      </w:r>
      <w:r w:rsidRPr="00D45CB6">
        <w:t xml:space="preserve">, </w:t>
      </w:r>
      <w:r w:rsidRPr="00D45CB6">
        <w:rPr>
          <w:position w:val="-12"/>
        </w:rPr>
        <w:object w:dxaOrig="380" w:dyaOrig="380" w14:anchorId="5D09B5B1">
          <v:shape id="_x0000_i1050" type="#_x0000_t75" style="width:18.75pt;height:18.75pt" o:ole="">
            <v:imagedata r:id="rId54" o:title=""/>
          </v:shape>
          <o:OLEObject Type="Embed" ProgID="Equation.DSMT4" ShapeID="_x0000_i1050" DrawAspect="Content" ObjectID="_1644933083" r:id="rId55"/>
        </w:object>
      </w:r>
      <w:r w:rsidRPr="00D45CB6">
        <w:t xml:space="preserve"> and </w:t>
      </w:r>
      <w:r w:rsidRPr="00D45CB6">
        <w:rPr>
          <w:position w:val="-6"/>
        </w:rPr>
        <w:object w:dxaOrig="200" w:dyaOrig="220" w14:anchorId="588C2615">
          <v:shape id="_x0000_i1051" type="#_x0000_t75" style="width:9.75pt;height:11.25pt" o:ole="">
            <v:imagedata r:id="rId56" o:title=""/>
          </v:shape>
          <o:OLEObject Type="Embed" ProgID="Equation.DSMT4" ShapeID="_x0000_i1051" DrawAspect="Content" ObjectID="_1644933084" r:id="rId57"/>
        </w:object>
      </w:r>
      <w:r w:rsidRPr="00D45CB6">
        <w:t xml:space="preserve"> as follows, drawing on </w:t>
      </w:r>
      <w:r>
        <w:t>(5) and (6)</w:t>
      </w:r>
      <w:r w:rsidRPr="00D45CB6">
        <w:t xml:space="preserve">: </w:t>
      </w:r>
    </w:p>
    <w:p w14:paraId="210EA331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232"/>
        </w:rPr>
        <w:object w:dxaOrig="6480" w:dyaOrig="4760" w14:anchorId="139DEB38">
          <v:shape id="_x0000_i1052" type="#_x0000_t75" style="width:361.5pt;height:291pt" o:ole="">
            <v:imagedata r:id="rId58" o:title=""/>
          </v:shape>
          <o:OLEObject Type="Embed" ProgID="Equation.DSMT4" ShapeID="_x0000_i1052" DrawAspect="Content" ObjectID="_1644933085" r:id="rId59"/>
        </w:object>
      </w:r>
      <w:r w:rsidRPr="00D45CB6">
        <w:t xml:space="preserve"> </w:t>
      </w:r>
      <w:r w:rsidRPr="00D45CB6">
        <w:tab/>
        <w:t>(A10)</w:t>
      </w:r>
    </w:p>
    <w:p w14:paraId="49975E9A" w14:textId="77777777" w:rsidR="00C547E0" w:rsidRPr="00D45CB6" w:rsidRDefault="00C547E0" w:rsidP="00C547E0">
      <w:r w:rsidRPr="00D45CB6">
        <w:lastRenderedPageBreak/>
        <w:t>From (A10), the probit model for PIV can be derived as identical to (</w:t>
      </w:r>
      <w:r>
        <w:t>7</w:t>
      </w:r>
      <w:r w:rsidRPr="00D45CB6">
        <w:t xml:space="preserve">). </w:t>
      </w:r>
    </w:p>
    <w:p w14:paraId="4F150A15" w14:textId="77777777" w:rsidR="00C547E0" w:rsidRPr="00D45CB6" w:rsidRDefault="00C547E0" w:rsidP="00C547E0">
      <w:r w:rsidRPr="00D45CB6">
        <w:t xml:space="preserve">Likewise, when a significant negative effect has been concluded, the PIV is expressed as follows: </w:t>
      </w:r>
    </w:p>
    <w:p w14:paraId="75309866" w14:textId="77777777" w:rsidR="00C547E0" w:rsidRPr="00D45CB6" w:rsidRDefault="00C547E0" w:rsidP="00C547E0">
      <w:pPr>
        <w:tabs>
          <w:tab w:val="center" w:pos="4680"/>
          <w:tab w:val="right" w:pos="9360"/>
        </w:tabs>
      </w:pPr>
      <w:r w:rsidRPr="00D45CB6">
        <w:tab/>
      </w:r>
      <w:r w:rsidRPr="00D45CB6">
        <w:rPr>
          <w:position w:val="-232"/>
        </w:rPr>
        <w:object w:dxaOrig="6180" w:dyaOrig="4760" w14:anchorId="2C5572ED">
          <v:shape id="_x0000_i1053" type="#_x0000_t75" style="width:352.5pt;height:292.5pt" o:ole="">
            <v:imagedata r:id="rId60" o:title=""/>
          </v:shape>
          <o:OLEObject Type="Embed" ProgID="Equation.DSMT4" ShapeID="_x0000_i1053" DrawAspect="Content" ObjectID="_1644933086" r:id="rId61"/>
        </w:object>
      </w:r>
      <w:r w:rsidRPr="00D45CB6">
        <w:t xml:space="preserve"> </w:t>
      </w:r>
      <w:r w:rsidRPr="00D45CB6">
        <w:tab/>
        <w:t>(A11)</w:t>
      </w:r>
    </w:p>
    <w:p w14:paraId="645379EA" w14:textId="77777777" w:rsidR="00C547E0" w:rsidRPr="00D45CB6" w:rsidRDefault="00C547E0" w:rsidP="00C547E0">
      <w:r w:rsidRPr="00D45CB6">
        <w:t>From (A11), the probit model for PIV can be derived as identical to (</w:t>
      </w:r>
      <w:r>
        <w:t>8</w:t>
      </w:r>
      <w:r w:rsidRPr="00D45CB6">
        <w:t xml:space="preserve">). </w:t>
      </w:r>
    </w:p>
    <w:p w14:paraId="56BA1649" w14:textId="3A9F77A3" w:rsidR="00724DF6" w:rsidRDefault="00724DF6" w:rsidP="00206A8B"/>
    <w:sectPr w:rsidR="0072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FB"/>
    <w:rsid w:val="00000932"/>
    <w:rsid w:val="000073A2"/>
    <w:rsid w:val="000E6774"/>
    <w:rsid w:val="000F2BC4"/>
    <w:rsid w:val="001114EA"/>
    <w:rsid w:val="00114EA3"/>
    <w:rsid w:val="00117CF1"/>
    <w:rsid w:val="00133535"/>
    <w:rsid w:val="001346F4"/>
    <w:rsid w:val="0017587D"/>
    <w:rsid w:val="00175AAC"/>
    <w:rsid w:val="001C13E5"/>
    <w:rsid w:val="001C403D"/>
    <w:rsid w:val="001E7058"/>
    <w:rsid w:val="002018B0"/>
    <w:rsid w:val="00206A8B"/>
    <w:rsid w:val="00214667"/>
    <w:rsid w:val="002D0B5B"/>
    <w:rsid w:val="002E1A7B"/>
    <w:rsid w:val="002E4614"/>
    <w:rsid w:val="00303A24"/>
    <w:rsid w:val="003953FB"/>
    <w:rsid w:val="003A3E29"/>
    <w:rsid w:val="003B4B24"/>
    <w:rsid w:val="003C27E7"/>
    <w:rsid w:val="003C7FA2"/>
    <w:rsid w:val="0045145A"/>
    <w:rsid w:val="004937AC"/>
    <w:rsid w:val="004B1F5E"/>
    <w:rsid w:val="004B3E6C"/>
    <w:rsid w:val="004B7AD2"/>
    <w:rsid w:val="004E5A82"/>
    <w:rsid w:val="004E7B3D"/>
    <w:rsid w:val="00513433"/>
    <w:rsid w:val="00547ADA"/>
    <w:rsid w:val="00575D1F"/>
    <w:rsid w:val="005963B2"/>
    <w:rsid w:val="00604291"/>
    <w:rsid w:val="00691B8E"/>
    <w:rsid w:val="006A4D9B"/>
    <w:rsid w:val="006A53C4"/>
    <w:rsid w:val="00724DF6"/>
    <w:rsid w:val="007930B5"/>
    <w:rsid w:val="007A7F0F"/>
    <w:rsid w:val="007E2D62"/>
    <w:rsid w:val="0080061E"/>
    <w:rsid w:val="00815105"/>
    <w:rsid w:val="00856AFD"/>
    <w:rsid w:val="00871B18"/>
    <w:rsid w:val="00896E88"/>
    <w:rsid w:val="008B07C8"/>
    <w:rsid w:val="008D365F"/>
    <w:rsid w:val="008E5357"/>
    <w:rsid w:val="00900C99"/>
    <w:rsid w:val="00924787"/>
    <w:rsid w:val="00951562"/>
    <w:rsid w:val="00962AE6"/>
    <w:rsid w:val="00962FA5"/>
    <w:rsid w:val="00973625"/>
    <w:rsid w:val="009C5F17"/>
    <w:rsid w:val="009D28EA"/>
    <w:rsid w:val="00A10D64"/>
    <w:rsid w:val="00A304C5"/>
    <w:rsid w:val="00BA72B9"/>
    <w:rsid w:val="00BE0F2D"/>
    <w:rsid w:val="00BF74AB"/>
    <w:rsid w:val="00C24A17"/>
    <w:rsid w:val="00C547E0"/>
    <w:rsid w:val="00C626DD"/>
    <w:rsid w:val="00C92E94"/>
    <w:rsid w:val="00CA35A3"/>
    <w:rsid w:val="00CE7448"/>
    <w:rsid w:val="00D00401"/>
    <w:rsid w:val="00D173C7"/>
    <w:rsid w:val="00D364A4"/>
    <w:rsid w:val="00D86FDB"/>
    <w:rsid w:val="00D972A0"/>
    <w:rsid w:val="00E16A66"/>
    <w:rsid w:val="00E67172"/>
    <w:rsid w:val="00E74DD0"/>
    <w:rsid w:val="00E92265"/>
    <w:rsid w:val="00EA1FE8"/>
    <w:rsid w:val="00EE138E"/>
    <w:rsid w:val="00EE5581"/>
    <w:rsid w:val="00F21400"/>
    <w:rsid w:val="00F47F4E"/>
    <w:rsid w:val="00F529D7"/>
    <w:rsid w:val="00F729C5"/>
    <w:rsid w:val="00F92583"/>
    <w:rsid w:val="00FA5E2A"/>
    <w:rsid w:val="00FF548F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58D3"/>
  <w15:chartTrackingRefBased/>
  <w15:docId w15:val="{CA6BC741-74E1-4054-BD9E-AD26C28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91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4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04291"/>
    <w:rPr>
      <w:b/>
      <w:bCs/>
    </w:rPr>
  </w:style>
  <w:style w:type="paragraph" w:styleId="ListParagraph">
    <w:name w:val="List Paragraph"/>
    <w:basedOn w:val="Normal"/>
    <w:uiPriority w:val="34"/>
    <w:qFormat/>
    <w:rsid w:val="00604291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EE138E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EE138E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E13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nglong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Tenglong</dc:creator>
  <cp:keywords/>
  <dc:description/>
  <cp:lastModifiedBy>Roli Singh</cp:lastModifiedBy>
  <cp:revision>2</cp:revision>
  <cp:lastPrinted>2018-09-24T23:51:00Z</cp:lastPrinted>
  <dcterms:created xsi:type="dcterms:W3CDTF">2020-03-05T11:31:00Z</dcterms:created>
  <dcterms:modified xsi:type="dcterms:W3CDTF">2020-03-05T11:31:00Z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