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563B" w14:textId="225FBD86" w:rsidR="003118B4" w:rsidRDefault="003118B4" w:rsidP="00C508B7">
      <w:pPr>
        <w:pStyle w:val="Heading1"/>
      </w:pPr>
      <w:bookmarkStart w:id="0" w:name="_Ref494187464"/>
      <w:bookmarkStart w:id="1" w:name="_Toc368253400"/>
      <w:bookmarkStart w:id="2" w:name="_Toc368253689"/>
      <w:bookmarkStart w:id="3" w:name="_Toc368253881"/>
      <w:r>
        <w:t xml:space="preserve">Appendix </w:t>
      </w:r>
      <w:r w:rsidR="006A521A">
        <w:t>A</w:t>
      </w:r>
      <w:r>
        <w:t xml:space="preserve"> – Worked example of basic framework for disaggregating health effects by social group</w:t>
      </w:r>
    </w:p>
    <w:p w14:paraId="4DF68BAE" w14:textId="77777777" w:rsidR="001162D8" w:rsidRPr="001162D8" w:rsidRDefault="001162D8" w:rsidP="001162D8"/>
    <w:p w14:paraId="0000CAE2" w14:textId="08AE2B65" w:rsidR="002355E3" w:rsidRDefault="003118B4" w:rsidP="003118B4">
      <w:r>
        <w:t xml:space="preserve">This stylized example provides the basic intuition behind the framework presented in the main paper. </w:t>
      </w:r>
      <w:r w:rsidR="003441EB">
        <w:t xml:space="preserve">Recall that the central equation </w:t>
      </w:r>
      <w:r w:rsidR="002355E3">
        <w:t xml:space="preserve">for the health effect of a change in health expenditure accruing to social group </w:t>
      </w:r>
      <m:oMath>
        <m:r>
          <m:rPr>
            <m:sty m:val="bi"/>
          </m:rPr>
          <w:rPr>
            <w:rFonts w:ascii="Cambria Math" w:hAnsi="Cambria Math"/>
          </w:rPr>
          <m:t>x</m:t>
        </m:r>
      </m:oMath>
      <w:r w:rsidR="002355E3">
        <w:t xml:space="preserve"> is:</w:t>
      </w:r>
    </w:p>
    <w:p w14:paraId="1CC367D5" w14:textId="77777777" w:rsidR="00476DA6" w:rsidRDefault="00476DA6" w:rsidP="003118B4"/>
    <w:p w14:paraId="1E526CFE" w14:textId="77777777" w:rsidR="002355E3" w:rsidRDefault="001162D8" w:rsidP="002355E3">
      <w:pPr>
        <w:spacing w:line="360" w:lineRule="auto"/>
        <w:rPr>
          <w:rFonts w:eastAsiaTheme="minorEastAsia"/>
        </w:rPr>
      </w:pPr>
      <m:oMathPara>
        <m:oMath>
          <m:sSub>
            <m:sSubPr>
              <m:ctrlPr>
                <w:rPr>
                  <w:rFonts w:ascii="Cambria Math" w:hAnsi="Cambria Math"/>
                  <w:i/>
                </w:rPr>
              </m:ctrlPr>
            </m:sSubPr>
            <m:e>
              <m:r>
                <w:rPr>
                  <w:rFonts w:ascii="Cambria Math" w:hAnsi="Cambria Math"/>
                </w:rPr>
                <m:t>h</m:t>
              </m:r>
            </m:e>
            <m:sub>
              <m:r>
                <m:rPr>
                  <m:sty m:val="bi"/>
                </m:rPr>
                <w:rPr>
                  <w:rFonts w:ascii="Cambria Math" w:hAnsi="Cambria Math"/>
                </w:rPr>
                <m:t>x</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h</m:t>
                  </m:r>
                </m:e>
                <m:sub>
                  <m:r>
                    <m:rPr>
                      <m:sty m:val="bi"/>
                    </m:rPr>
                    <w:rPr>
                      <w:rFonts w:ascii="Cambria Math" w:hAnsi="Cambria Math"/>
                    </w:rPr>
                    <m:t>x</m:t>
                  </m:r>
                  <m:r>
                    <w:rPr>
                      <w:rFonts w:ascii="Cambria Math" w:hAnsi="Cambria Math"/>
                    </w:rPr>
                    <m:t>j</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h</m:t>
                  </m:r>
                </m:e>
                <m:sub>
                  <m:r>
                    <w:rPr>
                      <w:rFonts w:ascii="Cambria Math" w:hAnsi="Cambria Math"/>
                    </w:rPr>
                    <m:t>j</m:t>
                  </m:r>
                </m:sub>
              </m:sSub>
              <m:sSub>
                <m:sSubPr>
                  <m:ctrlPr>
                    <w:rPr>
                      <w:rFonts w:ascii="Cambria Math" w:hAnsi="Cambria Math"/>
                      <w:i/>
                    </w:rPr>
                  </m:ctrlPr>
                </m:sSubPr>
                <m:e>
                  <m:r>
                    <w:rPr>
                      <w:rFonts w:ascii="Cambria Math" w:hAnsi="Cambria Math"/>
                    </w:rPr>
                    <m:t>p</m:t>
                  </m:r>
                </m:e>
                <m:sub>
                  <m:r>
                    <m:rPr>
                      <m:sty m:val="bi"/>
                    </m:rPr>
                    <w:rPr>
                      <w:rFonts w:ascii="Cambria Math" w:hAnsi="Cambria Math"/>
                    </w:rPr>
                    <m:t>x</m:t>
                  </m:r>
                  <m:r>
                    <w:rPr>
                      <w:rFonts w:ascii="Cambria Math" w:hAnsi="Cambria Math"/>
                    </w:rPr>
                    <m:t>j</m:t>
                  </m:r>
                </m:sub>
              </m:sSub>
            </m:e>
          </m:nary>
        </m:oMath>
      </m:oMathPara>
    </w:p>
    <w:p w14:paraId="306B4568" w14:textId="389B52CB" w:rsidR="002355E3" w:rsidRDefault="002355E3" w:rsidP="003118B4"/>
    <w:p w14:paraId="39C3FF2D" w14:textId="7433F472" w:rsidR="002355E3" w:rsidRDefault="002355E3" w:rsidP="003118B4">
      <w:pPr>
        <w:rPr>
          <w:rFonts w:eastAsiaTheme="minorEastAsia"/>
        </w:rPr>
      </w:pPr>
      <w:r>
        <w:t xml:space="preserve">Where </w:t>
      </w:r>
      <m:oMath>
        <m:r>
          <w:rPr>
            <w:rFonts w:ascii="Cambria Math" w:hAnsi="Cambria Math"/>
          </w:rPr>
          <m:t>h</m:t>
        </m:r>
      </m:oMath>
      <w:r>
        <w:rPr>
          <w:rFonts w:eastAsiaTheme="minorEastAsia"/>
        </w:rPr>
        <w:t xml:space="preserve"> is the health effect in terms of healthy life years, </w:t>
      </w:r>
      <m:oMath>
        <m:r>
          <w:rPr>
            <w:rFonts w:ascii="Cambria Math" w:hAnsi="Cambria Math"/>
          </w:rPr>
          <m:t>j</m:t>
        </m:r>
      </m:oMath>
      <w:r>
        <w:rPr>
          <w:rFonts w:eastAsiaTheme="minorEastAsia"/>
        </w:rPr>
        <w:t xml:space="preserve"> is a secondary factor linking the health effects to social characteristics and </w:t>
      </w:r>
      <m:oMath>
        <m:r>
          <w:rPr>
            <w:rFonts w:ascii="Cambria Math" w:hAnsi="Cambria Math"/>
          </w:rPr>
          <m:t>p</m:t>
        </m:r>
      </m:oMath>
      <w:r>
        <w:rPr>
          <w:rFonts w:eastAsiaTheme="minorEastAsia"/>
        </w:rPr>
        <w:t xml:space="preserve"> is a quantity that allocates the health effects to social groups (for example, the proportion of healthcare utilisation). </w:t>
      </w:r>
    </w:p>
    <w:p w14:paraId="0835A5C4" w14:textId="77777777" w:rsidR="002355E3" w:rsidRDefault="002355E3" w:rsidP="003118B4"/>
    <w:p w14:paraId="41CBC7D0" w14:textId="1F4A25A2" w:rsidR="003118B4" w:rsidRDefault="003118B4" w:rsidP="003118B4">
      <w:r>
        <w:t xml:space="preserve">Consider a health system for which a study has been conducted on the marginal productivity of the health system. The authors estimated that for every $5,000 invested (or disinvested), one healthy life year is gained (or lost). For an investment of $5 million, therefore, 1,000 healthy life years are expected to be gained. </w:t>
      </w:r>
    </w:p>
    <w:p w14:paraId="36EEE591" w14:textId="05E9BF99" w:rsidR="003118B4" w:rsidRDefault="003118B4" w:rsidP="003118B4"/>
    <w:p w14:paraId="736814D7" w14:textId="20923BFF" w:rsidR="003118B4" w:rsidRDefault="003441EB" w:rsidP="003118B4">
      <w:r>
        <w:t xml:space="preserve">We wish to investigate how these healthy life years are distributed between two social groups – high income and low income. Firstly, a secondary factor is required to link the overall health gains with these social groups. This is available from the marginal productivity study, which estimated </w:t>
      </w:r>
      <w:r w:rsidR="00C633EF">
        <w:t>the</w:t>
      </w:r>
      <w:r>
        <w:t xml:space="preserve"> overall health gain by adding together the health effects across three disease areas. Disease 1 contributes 40% of the health gains, Disease 2 contributes 35% and Disease 3 contributes 25%. </w:t>
      </w:r>
      <w:r w:rsidR="002355E3">
        <w:t xml:space="preserve">The quantities </w:t>
      </w:r>
      <m:oMath>
        <m:sSub>
          <m:sSubPr>
            <m:ctrlPr>
              <w:rPr>
                <w:rFonts w:ascii="Cambria Math" w:hAnsi="Cambria Math"/>
                <w:i/>
              </w:rPr>
            </m:ctrlPr>
          </m:sSubPr>
          <m:e>
            <m:r>
              <w:rPr>
                <w:rFonts w:ascii="Cambria Math" w:hAnsi="Cambria Math"/>
              </w:rPr>
              <m:t>h</m:t>
            </m:r>
          </m:e>
          <m:sub>
            <m:r>
              <w:rPr>
                <w:rFonts w:ascii="Cambria Math" w:hAnsi="Cambria Math"/>
              </w:rPr>
              <m:t>j</m:t>
            </m:r>
          </m:sub>
        </m:sSub>
      </m:oMath>
      <w:r w:rsidR="002355E3">
        <w:rPr>
          <w:rFonts w:eastAsiaTheme="minorEastAsia"/>
        </w:rPr>
        <w:t xml:space="preserve"> are therefore 400, 350 and 250</w:t>
      </w:r>
      <w:r w:rsidR="00476DA6">
        <w:rPr>
          <w:rFonts w:eastAsiaTheme="minorEastAsia"/>
        </w:rPr>
        <w:t xml:space="preserve"> healthy life years</w:t>
      </w:r>
      <w:r w:rsidR="002355E3">
        <w:rPr>
          <w:rFonts w:eastAsiaTheme="minorEastAsia"/>
        </w:rPr>
        <w:t>, respectively.</w:t>
      </w:r>
    </w:p>
    <w:p w14:paraId="67D12545" w14:textId="253E135A" w:rsidR="003118B4" w:rsidRDefault="003118B4" w:rsidP="003118B4"/>
    <w:p w14:paraId="59793C42" w14:textId="7C947A36" w:rsidR="003441EB" w:rsidRDefault="003441EB" w:rsidP="003118B4">
      <w:r>
        <w:t>The distribution of effects between low and high income groups can be estimated by looking at healthcare utilisation in each of these groups</w:t>
      </w:r>
      <w:r w:rsidR="002355E3">
        <w:t xml:space="preserve"> (</w:t>
      </w:r>
      <m:oMath>
        <m:sSub>
          <m:sSubPr>
            <m:ctrlPr>
              <w:rPr>
                <w:rFonts w:ascii="Cambria Math" w:hAnsi="Cambria Math"/>
                <w:i/>
              </w:rPr>
            </m:ctrlPr>
          </m:sSubPr>
          <m:e>
            <m:r>
              <w:rPr>
                <w:rFonts w:ascii="Cambria Math" w:hAnsi="Cambria Math"/>
              </w:rPr>
              <m:t>p</m:t>
            </m:r>
          </m:e>
          <m:sub>
            <m:r>
              <m:rPr>
                <m:sty m:val="bi"/>
              </m:rPr>
              <w:rPr>
                <w:rFonts w:ascii="Cambria Math" w:hAnsi="Cambria Math"/>
              </w:rPr>
              <m:t>x</m:t>
            </m:r>
            <m:r>
              <w:rPr>
                <w:rFonts w:ascii="Cambria Math" w:hAnsi="Cambria Math"/>
              </w:rPr>
              <m:t>j</m:t>
            </m:r>
          </m:sub>
        </m:sSub>
      </m:oMath>
      <w:r w:rsidR="002355E3">
        <w:rPr>
          <w:rFonts w:eastAsiaTheme="minorEastAsia"/>
        </w:rPr>
        <w:t>)</w:t>
      </w:r>
      <w:r>
        <w:t xml:space="preserve">. The calculations are presented </w:t>
      </w:r>
      <w:r w:rsidR="002355E3">
        <w:t xml:space="preserve">in the table </w:t>
      </w:r>
      <w:r>
        <w:t>below</w:t>
      </w:r>
      <w:r w:rsidR="002355E3">
        <w:t>.</w:t>
      </w:r>
    </w:p>
    <w:p w14:paraId="6721598F" w14:textId="0575AB2E" w:rsidR="00476DA6" w:rsidRDefault="00476DA6" w:rsidP="003118B4"/>
    <w:tbl>
      <w:tblPr>
        <w:tblW w:w="5000" w:type="pct"/>
        <w:tblLook w:val="04A0" w:firstRow="1" w:lastRow="0" w:firstColumn="1" w:lastColumn="0" w:noHBand="0" w:noVBand="1"/>
      </w:tblPr>
      <w:tblGrid>
        <w:gridCol w:w="3872"/>
        <w:gridCol w:w="2686"/>
        <w:gridCol w:w="2684"/>
      </w:tblGrid>
      <w:tr w:rsidR="00476DA6" w14:paraId="70C6F237" w14:textId="77777777" w:rsidTr="00476DA6">
        <w:trPr>
          <w:trHeight w:val="317"/>
        </w:trPr>
        <w:tc>
          <w:tcPr>
            <w:tcW w:w="2095" w:type="pct"/>
            <w:tcBorders>
              <w:top w:val="single" w:sz="4" w:space="0" w:color="auto"/>
              <w:left w:val="nil"/>
              <w:bottom w:val="single" w:sz="4" w:space="0" w:color="auto"/>
              <w:right w:val="nil"/>
            </w:tcBorders>
            <w:shd w:val="clear" w:color="auto" w:fill="auto"/>
            <w:noWrap/>
            <w:vAlign w:val="bottom"/>
            <w:hideMark/>
          </w:tcPr>
          <w:p w14:paraId="67FC09AC" w14:textId="77777777" w:rsidR="00476DA6" w:rsidRDefault="00476DA6">
            <w:pPr>
              <w:rPr>
                <w:color w:val="000000"/>
                <w:sz w:val="20"/>
                <w:szCs w:val="20"/>
              </w:rPr>
            </w:pPr>
            <w:r>
              <w:rPr>
                <w:color w:val="000000"/>
                <w:sz w:val="20"/>
                <w:szCs w:val="20"/>
              </w:rPr>
              <w:t> </w:t>
            </w:r>
          </w:p>
        </w:tc>
        <w:tc>
          <w:tcPr>
            <w:tcW w:w="1453" w:type="pct"/>
            <w:tcBorders>
              <w:top w:val="single" w:sz="4" w:space="0" w:color="auto"/>
              <w:left w:val="nil"/>
              <w:bottom w:val="single" w:sz="4" w:space="0" w:color="auto"/>
              <w:right w:val="nil"/>
            </w:tcBorders>
            <w:shd w:val="clear" w:color="auto" w:fill="auto"/>
            <w:noWrap/>
            <w:vAlign w:val="bottom"/>
            <w:hideMark/>
          </w:tcPr>
          <w:p w14:paraId="4B0C08D7" w14:textId="77777777" w:rsidR="00476DA6" w:rsidRDefault="00476DA6" w:rsidP="00476DA6">
            <w:pPr>
              <w:jc w:val="center"/>
              <w:rPr>
                <w:b/>
                <w:bCs/>
                <w:color w:val="000000"/>
                <w:sz w:val="20"/>
                <w:szCs w:val="20"/>
              </w:rPr>
            </w:pPr>
            <w:r>
              <w:rPr>
                <w:b/>
                <w:bCs/>
                <w:color w:val="000000"/>
                <w:sz w:val="20"/>
                <w:szCs w:val="20"/>
              </w:rPr>
              <w:t>Low income</w:t>
            </w:r>
          </w:p>
        </w:tc>
        <w:tc>
          <w:tcPr>
            <w:tcW w:w="1453" w:type="pct"/>
            <w:tcBorders>
              <w:top w:val="single" w:sz="4" w:space="0" w:color="auto"/>
              <w:left w:val="nil"/>
              <w:bottom w:val="single" w:sz="4" w:space="0" w:color="auto"/>
              <w:right w:val="nil"/>
            </w:tcBorders>
            <w:shd w:val="clear" w:color="auto" w:fill="auto"/>
            <w:noWrap/>
            <w:vAlign w:val="bottom"/>
            <w:hideMark/>
          </w:tcPr>
          <w:p w14:paraId="27BBF587" w14:textId="77777777" w:rsidR="00476DA6" w:rsidRDefault="00476DA6" w:rsidP="00476DA6">
            <w:pPr>
              <w:jc w:val="center"/>
              <w:rPr>
                <w:b/>
                <w:bCs/>
                <w:color w:val="000000"/>
                <w:sz w:val="20"/>
                <w:szCs w:val="20"/>
              </w:rPr>
            </w:pPr>
            <w:r>
              <w:rPr>
                <w:b/>
                <w:bCs/>
                <w:color w:val="000000"/>
                <w:sz w:val="20"/>
                <w:szCs w:val="20"/>
              </w:rPr>
              <w:t>High income</w:t>
            </w:r>
          </w:p>
        </w:tc>
      </w:tr>
      <w:tr w:rsidR="00476DA6" w14:paraId="0FFDB184" w14:textId="77777777" w:rsidTr="00476DA6">
        <w:trPr>
          <w:trHeight w:val="317"/>
        </w:trPr>
        <w:tc>
          <w:tcPr>
            <w:tcW w:w="5000" w:type="pct"/>
            <w:gridSpan w:val="3"/>
            <w:tcBorders>
              <w:top w:val="single" w:sz="4" w:space="0" w:color="auto"/>
              <w:left w:val="nil"/>
              <w:bottom w:val="nil"/>
              <w:right w:val="nil"/>
            </w:tcBorders>
            <w:shd w:val="clear" w:color="auto" w:fill="auto"/>
            <w:noWrap/>
            <w:vAlign w:val="bottom"/>
            <w:hideMark/>
          </w:tcPr>
          <w:p w14:paraId="1B470E56" w14:textId="77777777" w:rsidR="00476DA6" w:rsidRDefault="00476DA6">
            <w:pPr>
              <w:rPr>
                <w:i/>
                <w:iCs/>
                <w:color w:val="000000"/>
                <w:sz w:val="20"/>
                <w:szCs w:val="20"/>
              </w:rPr>
            </w:pPr>
            <w:r>
              <w:rPr>
                <w:i/>
                <w:iCs/>
                <w:color w:val="000000"/>
                <w:sz w:val="20"/>
                <w:szCs w:val="20"/>
              </w:rPr>
              <w:t>Proportion of healthcare utilisation</w:t>
            </w:r>
          </w:p>
        </w:tc>
      </w:tr>
      <w:tr w:rsidR="00476DA6" w14:paraId="1A223089" w14:textId="77777777" w:rsidTr="00476DA6">
        <w:trPr>
          <w:trHeight w:val="317"/>
        </w:trPr>
        <w:tc>
          <w:tcPr>
            <w:tcW w:w="2095" w:type="pct"/>
            <w:tcBorders>
              <w:top w:val="nil"/>
              <w:left w:val="nil"/>
              <w:bottom w:val="nil"/>
              <w:right w:val="nil"/>
            </w:tcBorders>
            <w:shd w:val="clear" w:color="auto" w:fill="auto"/>
            <w:noWrap/>
            <w:vAlign w:val="bottom"/>
            <w:hideMark/>
          </w:tcPr>
          <w:p w14:paraId="128FD83E" w14:textId="77777777" w:rsidR="00476DA6" w:rsidRDefault="00476DA6">
            <w:pPr>
              <w:rPr>
                <w:color w:val="000000"/>
                <w:sz w:val="20"/>
                <w:szCs w:val="20"/>
              </w:rPr>
            </w:pPr>
            <w:r>
              <w:rPr>
                <w:color w:val="000000"/>
                <w:sz w:val="20"/>
                <w:szCs w:val="20"/>
              </w:rPr>
              <w:t>A. Disease 1</w:t>
            </w:r>
          </w:p>
        </w:tc>
        <w:tc>
          <w:tcPr>
            <w:tcW w:w="1453" w:type="pct"/>
            <w:tcBorders>
              <w:top w:val="nil"/>
              <w:left w:val="nil"/>
              <w:bottom w:val="nil"/>
              <w:right w:val="nil"/>
            </w:tcBorders>
            <w:shd w:val="clear" w:color="auto" w:fill="auto"/>
            <w:noWrap/>
            <w:vAlign w:val="bottom"/>
            <w:hideMark/>
          </w:tcPr>
          <w:p w14:paraId="33677A59" w14:textId="77777777" w:rsidR="00476DA6" w:rsidRDefault="00476DA6" w:rsidP="00476DA6">
            <w:pPr>
              <w:jc w:val="center"/>
              <w:rPr>
                <w:color w:val="000000"/>
                <w:sz w:val="20"/>
                <w:szCs w:val="20"/>
              </w:rPr>
            </w:pPr>
            <w:r>
              <w:rPr>
                <w:color w:val="000000"/>
                <w:sz w:val="20"/>
                <w:szCs w:val="20"/>
              </w:rPr>
              <w:t>0.7</w:t>
            </w:r>
          </w:p>
        </w:tc>
        <w:tc>
          <w:tcPr>
            <w:tcW w:w="1453" w:type="pct"/>
            <w:tcBorders>
              <w:top w:val="nil"/>
              <w:left w:val="nil"/>
              <w:bottom w:val="nil"/>
              <w:right w:val="nil"/>
            </w:tcBorders>
            <w:shd w:val="clear" w:color="auto" w:fill="auto"/>
            <w:noWrap/>
            <w:vAlign w:val="bottom"/>
            <w:hideMark/>
          </w:tcPr>
          <w:p w14:paraId="23CD682C" w14:textId="77777777" w:rsidR="00476DA6" w:rsidRDefault="00476DA6" w:rsidP="00476DA6">
            <w:pPr>
              <w:jc w:val="center"/>
              <w:rPr>
                <w:color w:val="000000"/>
                <w:sz w:val="20"/>
                <w:szCs w:val="20"/>
              </w:rPr>
            </w:pPr>
            <w:r>
              <w:rPr>
                <w:color w:val="000000"/>
                <w:sz w:val="20"/>
                <w:szCs w:val="20"/>
              </w:rPr>
              <w:t>0.3</w:t>
            </w:r>
          </w:p>
        </w:tc>
      </w:tr>
      <w:tr w:rsidR="00476DA6" w14:paraId="71811734" w14:textId="77777777" w:rsidTr="00476DA6">
        <w:trPr>
          <w:trHeight w:val="317"/>
        </w:trPr>
        <w:tc>
          <w:tcPr>
            <w:tcW w:w="2095" w:type="pct"/>
            <w:tcBorders>
              <w:top w:val="nil"/>
              <w:left w:val="nil"/>
              <w:bottom w:val="nil"/>
              <w:right w:val="nil"/>
            </w:tcBorders>
            <w:shd w:val="clear" w:color="auto" w:fill="auto"/>
            <w:noWrap/>
            <w:vAlign w:val="bottom"/>
            <w:hideMark/>
          </w:tcPr>
          <w:p w14:paraId="2CACB55D" w14:textId="77777777" w:rsidR="00476DA6" w:rsidRDefault="00476DA6">
            <w:pPr>
              <w:rPr>
                <w:color w:val="000000"/>
                <w:sz w:val="20"/>
                <w:szCs w:val="20"/>
              </w:rPr>
            </w:pPr>
            <w:r>
              <w:rPr>
                <w:color w:val="000000"/>
                <w:sz w:val="20"/>
                <w:szCs w:val="20"/>
              </w:rPr>
              <w:t>B. Disease 2</w:t>
            </w:r>
          </w:p>
        </w:tc>
        <w:tc>
          <w:tcPr>
            <w:tcW w:w="1453" w:type="pct"/>
            <w:tcBorders>
              <w:top w:val="nil"/>
              <w:left w:val="nil"/>
              <w:bottom w:val="nil"/>
              <w:right w:val="nil"/>
            </w:tcBorders>
            <w:shd w:val="clear" w:color="auto" w:fill="auto"/>
            <w:noWrap/>
            <w:vAlign w:val="bottom"/>
            <w:hideMark/>
          </w:tcPr>
          <w:p w14:paraId="78B67019" w14:textId="77777777" w:rsidR="00476DA6" w:rsidRDefault="00476DA6" w:rsidP="00476DA6">
            <w:pPr>
              <w:jc w:val="center"/>
              <w:rPr>
                <w:color w:val="000000"/>
                <w:sz w:val="20"/>
                <w:szCs w:val="20"/>
              </w:rPr>
            </w:pPr>
            <w:r>
              <w:rPr>
                <w:color w:val="000000"/>
                <w:sz w:val="20"/>
                <w:szCs w:val="20"/>
              </w:rPr>
              <w:t>0.6</w:t>
            </w:r>
          </w:p>
        </w:tc>
        <w:tc>
          <w:tcPr>
            <w:tcW w:w="1453" w:type="pct"/>
            <w:tcBorders>
              <w:top w:val="nil"/>
              <w:left w:val="nil"/>
              <w:bottom w:val="nil"/>
              <w:right w:val="nil"/>
            </w:tcBorders>
            <w:shd w:val="clear" w:color="auto" w:fill="auto"/>
            <w:noWrap/>
            <w:vAlign w:val="bottom"/>
            <w:hideMark/>
          </w:tcPr>
          <w:p w14:paraId="09F75B95" w14:textId="77777777" w:rsidR="00476DA6" w:rsidRDefault="00476DA6" w:rsidP="00476DA6">
            <w:pPr>
              <w:jc w:val="center"/>
              <w:rPr>
                <w:color w:val="000000"/>
                <w:sz w:val="20"/>
                <w:szCs w:val="20"/>
              </w:rPr>
            </w:pPr>
            <w:r>
              <w:rPr>
                <w:color w:val="000000"/>
                <w:sz w:val="20"/>
                <w:szCs w:val="20"/>
              </w:rPr>
              <w:t>0.4</w:t>
            </w:r>
          </w:p>
        </w:tc>
      </w:tr>
      <w:tr w:rsidR="00476DA6" w14:paraId="7543BD57" w14:textId="77777777" w:rsidTr="00476DA6">
        <w:trPr>
          <w:trHeight w:val="317"/>
        </w:trPr>
        <w:tc>
          <w:tcPr>
            <w:tcW w:w="2095" w:type="pct"/>
            <w:tcBorders>
              <w:top w:val="nil"/>
              <w:left w:val="nil"/>
              <w:bottom w:val="nil"/>
              <w:right w:val="nil"/>
            </w:tcBorders>
            <w:shd w:val="clear" w:color="auto" w:fill="auto"/>
            <w:noWrap/>
            <w:vAlign w:val="bottom"/>
            <w:hideMark/>
          </w:tcPr>
          <w:p w14:paraId="006408F3" w14:textId="77777777" w:rsidR="00476DA6" w:rsidRDefault="00476DA6">
            <w:pPr>
              <w:rPr>
                <w:color w:val="000000"/>
                <w:sz w:val="20"/>
                <w:szCs w:val="20"/>
              </w:rPr>
            </w:pPr>
            <w:r>
              <w:rPr>
                <w:color w:val="000000"/>
                <w:sz w:val="20"/>
                <w:szCs w:val="20"/>
              </w:rPr>
              <w:t>C. Disease 3</w:t>
            </w:r>
          </w:p>
        </w:tc>
        <w:tc>
          <w:tcPr>
            <w:tcW w:w="1453" w:type="pct"/>
            <w:tcBorders>
              <w:top w:val="nil"/>
              <w:left w:val="nil"/>
              <w:bottom w:val="nil"/>
              <w:right w:val="nil"/>
            </w:tcBorders>
            <w:shd w:val="clear" w:color="auto" w:fill="auto"/>
            <w:noWrap/>
            <w:vAlign w:val="bottom"/>
            <w:hideMark/>
          </w:tcPr>
          <w:p w14:paraId="18B80ADA" w14:textId="77777777" w:rsidR="00476DA6" w:rsidRDefault="00476DA6" w:rsidP="00476DA6">
            <w:pPr>
              <w:jc w:val="center"/>
              <w:rPr>
                <w:color w:val="000000"/>
                <w:sz w:val="20"/>
                <w:szCs w:val="20"/>
              </w:rPr>
            </w:pPr>
            <w:r>
              <w:rPr>
                <w:color w:val="000000"/>
                <w:sz w:val="20"/>
                <w:szCs w:val="20"/>
              </w:rPr>
              <w:t>0.4</w:t>
            </w:r>
          </w:p>
        </w:tc>
        <w:tc>
          <w:tcPr>
            <w:tcW w:w="1453" w:type="pct"/>
            <w:tcBorders>
              <w:top w:val="nil"/>
              <w:left w:val="nil"/>
              <w:bottom w:val="nil"/>
              <w:right w:val="nil"/>
            </w:tcBorders>
            <w:shd w:val="clear" w:color="auto" w:fill="auto"/>
            <w:noWrap/>
            <w:vAlign w:val="bottom"/>
            <w:hideMark/>
          </w:tcPr>
          <w:p w14:paraId="678505FE" w14:textId="77777777" w:rsidR="00476DA6" w:rsidRDefault="00476DA6" w:rsidP="00476DA6">
            <w:pPr>
              <w:jc w:val="center"/>
              <w:rPr>
                <w:color w:val="000000"/>
                <w:sz w:val="20"/>
                <w:szCs w:val="20"/>
              </w:rPr>
            </w:pPr>
            <w:r>
              <w:rPr>
                <w:color w:val="000000"/>
                <w:sz w:val="20"/>
                <w:szCs w:val="20"/>
              </w:rPr>
              <w:t>0.6</w:t>
            </w:r>
          </w:p>
        </w:tc>
      </w:tr>
      <w:tr w:rsidR="00476DA6" w14:paraId="5B53418B" w14:textId="77777777" w:rsidTr="00476DA6">
        <w:trPr>
          <w:trHeight w:val="317"/>
        </w:trPr>
        <w:tc>
          <w:tcPr>
            <w:tcW w:w="2095" w:type="pct"/>
            <w:tcBorders>
              <w:top w:val="nil"/>
              <w:left w:val="nil"/>
              <w:bottom w:val="nil"/>
              <w:right w:val="nil"/>
            </w:tcBorders>
            <w:shd w:val="clear" w:color="auto" w:fill="auto"/>
            <w:noWrap/>
            <w:vAlign w:val="bottom"/>
            <w:hideMark/>
          </w:tcPr>
          <w:p w14:paraId="42C39D61" w14:textId="77777777" w:rsidR="00476DA6" w:rsidRDefault="00476DA6">
            <w:pPr>
              <w:jc w:val="right"/>
              <w:rPr>
                <w:color w:val="000000"/>
                <w:sz w:val="20"/>
                <w:szCs w:val="20"/>
              </w:rPr>
            </w:pPr>
          </w:p>
        </w:tc>
        <w:tc>
          <w:tcPr>
            <w:tcW w:w="1453" w:type="pct"/>
            <w:tcBorders>
              <w:top w:val="nil"/>
              <w:left w:val="nil"/>
              <w:bottom w:val="nil"/>
              <w:right w:val="nil"/>
            </w:tcBorders>
            <w:shd w:val="clear" w:color="auto" w:fill="auto"/>
            <w:noWrap/>
            <w:vAlign w:val="bottom"/>
            <w:hideMark/>
          </w:tcPr>
          <w:p w14:paraId="657965EE" w14:textId="77777777" w:rsidR="00476DA6" w:rsidRDefault="00476DA6">
            <w:pPr>
              <w:rPr>
                <w:sz w:val="20"/>
                <w:szCs w:val="20"/>
              </w:rPr>
            </w:pPr>
          </w:p>
        </w:tc>
        <w:tc>
          <w:tcPr>
            <w:tcW w:w="1453" w:type="pct"/>
            <w:tcBorders>
              <w:top w:val="nil"/>
              <w:left w:val="nil"/>
              <w:bottom w:val="nil"/>
              <w:right w:val="nil"/>
            </w:tcBorders>
            <w:shd w:val="clear" w:color="auto" w:fill="auto"/>
            <w:noWrap/>
            <w:vAlign w:val="bottom"/>
            <w:hideMark/>
          </w:tcPr>
          <w:p w14:paraId="7D48578A" w14:textId="77777777" w:rsidR="00476DA6" w:rsidRDefault="00476DA6">
            <w:pPr>
              <w:rPr>
                <w:sz w:val="20"/>
                <w:szCs w:val="20"/>
              </w:rPr>
            </w:pPr>
          </w:p>
        </w:tc>
      </w:tr>
      <w:tr w:rsidR="00476DA6" w14:paraId="1FEF7AA4" w14:textId="77777777" w:rsidTr="00476DA6">
        <w:trPr>
          <w:trHeight w:val="317"/>
        </w:trPr>
        <w:tc>
          <w:tcPr>
            <w:tcW w:w="5000" w:type="pct"/>
            <w:gridSpan w:val="3"/>
            <w:tcBorders>
              <w:top w:val="nil"/>
              <w:left w:val="nil"/>
              <w:bottom w:val="nil"/>
              <w:right w:val="nil"/>
            </w:tcBorders>
            <w:shd w:val="clear" w:color="auto" w:fill="auto"/>
            <w:noWrap/>
            <w:vAlign w:val="bottom"/>
            <w:hideMark/>
          </w:tcPr>
          <w:p w14:paraId="24064771" w14:textId="77777777" w:rsidR="00476DA6" w:rsidRDefault="00476DA6">
            <w:pPr>
              <w:rPr>
                <w:i/>
                <w:iCs/>
                <w:color w:val="000000"/>
                <w:sz w:val="20"/>
                <w:szCs w:val="20"/>
              </w:rPr>
            </w:pPr>
            <w:r>
              <w:rPr>
                <w:i/>
                <w:iCs/>
                <w:color w:val="000000"/>
                <w:sz w:val="20"/>
                <w:szCs w:val="20"/>
              </w:rPr>
              <w:t>Healthy life years</w:t>
            </w:r>
          </w:p>
        </w:tc>
      </w:tr>
      <w:tr w:rsidR="00476DA6" w14:paraId="2C31447D" w14:textId="77777777" w:rsidTr="00476DA6">
        <w:trPr>
          <w:trHeight w:val="317"/>
        </w:trPr>
        <w:tc>
          <w:tcPr>
            <w:tcW w:w="2095" w:type="pct"/>
            <w:tcBorders>
              <w:top w:val="nil"/>
              <w:left w:val="nil"/>
              <w:bottom w:val="nil"/>
              <w:right w:val="nil"/>
            </w:tcBorders>
            <w:shd w:val="clear" w:color="auto" w:fill="auto"/>
            <w:noWrap/>
            <w:vAlign w:val="bottom"/>
            <w:hideMark/>
          </w:tcPr>
          <w:p w14:paraId="4140AF15" w14:textId="77777777" w:rsidR="00476DA6" w:rsidRDefault="00476DA6">
            <w:pPr>
              <w:rPr>
                <w:color w:val="000000"/>
                <w:sz w:val="20"/>
                <w:szCs w:val="20"/>
              </w:rPr>
            </w:pPr>
            <w:r>
              <w:rPr>
                <w:color w:val="000000"/>
                <w:sz w:val="20"/>
                <w:szCs w:val="20"/>
              </w:rPr>
              <w:t>D. Disease 1 (A x 400)</w:t>
            </w:r>
          </w:p>
        </w:tc>
        <w:tc>
          <w:tcPr>
            <w:tcW w:w="1453" w:type="pct"/>
            <w:tcBorders>
              <w:top w:val="nil"/>
              <w:left w:val="nil"/>
              <w:bottom w:val="nil"/>
              <w:right w:val="nil"/>
            </w:tcBorders>
            <w:shd w:val="clear" w:color="auto" w:fill="auto"/>
            <w:noWrap/>
            <w:vAlign w:val="bottom"/>
            <w:hideMark/>
          </w:tcPr>
          <w:p w14:paraId="698999BC" w14:textId="77777777" w:rsidR="00476DA6" w:rsidRDefault="00476DA6" w:rsidP="00476DA6">
            <w:pPr>
              <w:jc w:val="center"/>
              <w:rPr>
                <w:color w:val="000000"/>
                <w:sz w:val="20"/>
                <w:szCs w:val="20"/>
              </w:rPr>
            </w:pPr>
            <w:r>
              <w:rPr>
                <w:color w:val="000000"/>
                <w:sz w:val="20"/>
                <w:szCs w:val="20"/>
              </w:rPr>
              <w:t>280</w:t>
            </w:r>
          </w:p>
        </w:tc>
        <w:tc>
          <w:tcPr>
            <w:tcW w:w="1453" w:type="pct"/>
            <w:tcBorders>
              <w:top w:val="nil"/>
              <w:left w:val="nil"/>
              <w:bottom w:val="nil"/>
              <w:right w:val="nil"/>
            </w:tcBorders>
            <w:shd w:val="clear" w:color="auto" w:fill="auto"/>
            <w:noWrap/>
            <w:vAlign w:val="bottom"/>
            <w:hideMark/>
          </w:tcPr>
          <w:p w14:paraId="5EDBAAB8" w14:textId="77777777" w:rsidR="00476DA6" w:rsidRDefault="00476DA6" w:rsidP="00476DA6">
            <w:pPr>
              <w:jc w:val="center"/>
              <w:rPr>
                <w:color w:val="000000"/>
                <w:sz w:val="20"/>
                <w:szCs w:val="20"/>
              </w:rPr>
            </w:pPr>
            <w:r>
              <w:rPr>
                <w:color w:val="000000"/>
                <w:sz w:val="20"/>
                <w:szCs w:val="20"/>
              </w:rPr>
              <w:t>120</w:t>
            </w:r>
          </w:p>
        </w:tc>
      </w:tr>
      <w:tr w:rsidR="00476DA6" w14:paraId="1C78A506" w14:textId="77777777" w:rsidTr="00476DA6">
        <w:trPr>
          <w:trHeight w:val="317"/>
        </w:trPr>
        <w:tc>
          <w:tcPr>
            <w:tcW w:w="2095" w:type="pct"/>
            <w:tcBorders>
              <w:top w:val="nil"/>
              <w:left w:val="nil"/>
              <w:bottom w:val="nil"/>
              <w:right w:val="nil"/>
            </w:tcBorders>
            <w:shd w:val="clear" w:color="auto" w:fill="auto"/>
            <w:noWrap/>
            <w:vAlign w:val="bottom"/>
            <w:hideMark/>
          </w:tcPr>
          <w:p w14:paraId="791D3B9C" w14:textId="77777777" w:rsidR="00476DA6" w:rsidRDefault="00476DA6">
            <w:pPr>
              <w:rPr>
                <w:color w:val="000000"/>
                <w:sz w:val="20"/>
                <w:szCs w:val="20"/>
              </w:rPr>
            </w:pPr>
            <w:r>
              <w:rPr>
                <w:color w:val="000000"/>
                <w:sz w:val="20"/>
                <w:szCs w:val="20"/>
              </w:rPr>
              <w:t>E. Disease 2 (B x 350)</w:t>
            </w:r>
          </w:p>
        </w:tc>
        <w:tc>
          <w:tcPr>
            <w:tcW w:w="1453" w:type="pct"/>
            <w:tcBorders>
              <w:top w:val="nil"/>
              <w:left w:val="nil"/>
              <w:bottom w:val="nil"/>
              <w:right w:val="nil"/>
            </w:tcBorders>
            <w:shd w:val="clear" w:color="auto" w:fill="auto"/>
            <w:noWrap/>
            <w:vAlign w:val="bottom"/>
            <w:hideMark/>
          </w:tcPr>
          <w:p w14:paraId="7184C575" w14:textId="77777777" w:rsidR="00476DA6" w:rsidRDefault="00476DA6" w:rsidP="00476DA6">
            <w:pPr>
              <w:jc w:val="center"/>
              <w:rPr>
                <w:color w:val="000000"/>
                <w:sz w:val="20"/>
                <w:szCs w:val="20"/>
              </w:rPr>
            </w:pPr>
            <w:r>
              <w:rPr>
                <w:color w:val="000000"/>
                <w:sz w:val="20"/>
                <w:szCs w:val="20"/>
              </w:rPr>
              <w:t>210</w:t>
            </w:r>
          </w:p>
        </w:tc>
        <w:tc>
          <w:tcPr>
            <w:tcW w:w="1453" w:type="pct"/>
            <w:tcBorders>
              <w:top w:val="nil"/>
              <w:left w:val="nil"/>
              <w:bottom w:val="nil"/>
              <w:right w:val="nil"/>
            </w:tcBorders>
            <w:shd w:val="clear" w:color="auto" w:fill="auto"/>
            <w:noWrap/>
            <w:vAlign w:val="bottom"/>
            <w:hideMark/>
          </w:tcPr>
          <w:p w14:paraId="0D980807" w14:textId="77777777" w:rsidR="00476DA6" w:rsidRDefault="00476DA6" w:rsidP="00476DA6">
            <w:pPr>
              <w:jc w:val="center"/>
              <w:rPr>
                <w:color w:val="000000"/>
                <w:sz w:val="20"/>
                <w:szCs w:val="20"/>
              </w:rPr>
            </w:pPr>
            <w:r>
              <w:rPr>
                <w:color w:val="000000"/>
                <w:sz w:val="20"/>
                <w:szCs w:val="20"/>
              </w:rPr>
              <w:t>140</w:t>
            </w:r>
          </w:p>
        </w:tc>
      </w:tr>
      <w:tr w:rsidR="00476DA6" w14:paraId="5C6DD705" w14:textId="77777777" w:rsidTr="00476DA6">
        <w:trPr>
          <w:trHeight w:val="317"/>
        </w:trPr>
        <w:tc>
          <w:tcPr>
            <w:tcW w:w="2095" w:type="pct"/>
            <w:tcBorders>
              <w:top w:val="nil"/>
              <w:left w:val="nil"/>
              <w:bottom w:val="nil"/>
              <w:right w:val="nil"/>
            </w:tcBorders>
            <w:shd w:val="clear" w:color="auto" w:fill="auto"/>
            <w:noWrap/>
            <w:vAlign w:val="bottom"/>
            <w:hideMark/>
          </w:tcPr>
          <w:p w14:paraId="5B5F9EA9" w14:textId="77777777" w:rsidR="00476DA6" w:rsidRDefault="00476DA6">
            <w:pPr>
              <w:rPr>
                <w:color w:val="000000"/>
                <w:sz w:val="20"/>
                <w:szCs w:val="20"/>
              </w:rPr>
            </w:pPr>
            <w:r>
              <w:rPr>
                <w:color w:val="000000"/>
                <w:sz w:val="20"/>
                <w:szCs w:val="20"/>
              </w:rPr>
              <w:t>F. Disease 3 (C x 250)</w:t>
            </w:r>
          </w:p>
        </w:tc>
        <w:tc>
          <w:tcPr>
            <w:tcW w:w="1453" w:type="pct"/>
            <w:tcBorders>
              <w:top w:val="nil"/>
              <w:left w:val="nil"/>
              <w:bottom w:val="nil"/>
              <w:right w:val="nil"/>
            </w:tcBorders>
            <w:shd w:val="clear" w:color="auto" w:fill="auto"/>
            <w:noWrap/>
            <w:vAlign w:val="bottom"/>
            <w:hideMark/>
          </w:tcPr>
          <w:p w14:paraId="7E569E2B" w14:textId="77777777" w:rsidR="00476DA6" w:rsidRDefault="00476DA6" w:rsidP="00476DA6">
            <w:pPr>
              <w:jc w:val="center"/>
              <w:rPr>
                <w:color w:val="000000"/>
                <w:sz w:val="20"/>
                <w:szCs w:val="20"/>
              </w:rPr>
            </w:pPr>
            <w:r>
              <w:rPr>
                <w:color w:val="000000"/>
                <w:sz w:val="20"/>
                <w:szCs w:val="20"/>
              </w:rPr>
              <w:t>100</w:t>
            </w:r>
          </w:p>
        </w:tc>
        <w:tc>
          <w:tcPr>
            <w:tcW w:w="1453" w:type="pct"/>
            <w:tcBorders>
              <w:top w:val="nil"/>
              <w:left w:val="nil"/>
              <w:bottom w:val="nil"/>
              <w:right w:val="nil"/>
            </w:tcBorders>
            <w:shd w:val="clear" w:color="auto" w:fill="auto"/>
            <w:noWrap/>
            <w:vAlign w:val="bottom"/>
            <w:hideMark/>
          </w:tcPr>
          <w:p w14:paraId="5BFEE396" w14:textId="77777777" w:rsidR="00476DA6" w:rsidRDefault="00476DA6" w:rsidP="00476DA6">
            <w:pPr>
              <w:jc w:val="center"/>
              <w:rPr>
                <w:color w:val="000000"/>
                <w:sz w:val="20"/>
                <w:szCs w:val="20"/>
              </w:rPr>
            </w:pPr>
            <w:r>
              <w:rPr>
                <w:color w:val="000000"/>
                <w:sz w:val="20"/>
                <w:szCs w:val="20"/>
              </w:rPr>
              <w:t>150</w:t>
            </w:r>
          </w:p>
        </w:tc>
      </w:tr>
      <w:tr w:rsidR="00476DA6" w14:paraId="59EC9F86" w14:textId="77777777" w:rsidTr="00476DA6">
        <w:trPr>
          <w:trHeight w:val="317"/>
        </w:trPr>
        <w:tc>
          <w:tcPr>
            <w:tcW w:w="2095" w:type="pct"/>
            <w:tcBorders>
              <w:top w:val="nil"/>
              <w:left w:val="nil"/>
              <w:bottom w:val="single" w:sz="4" w:space="0" w:color="auto"/>
              <w:right w:val="nil"/>
            </w:tcBorders>
            <w:shd w:val="clear" w:color="auto" w:fill="auto"/>
            <w:noWrap/>
            <w:vAlign w:val="bottom"/>
            <w:hideMark/>
          </w:tcPr>
          <w:p w14:paraId="7CDEB95F" w14:textId="77777777" w:rsidR="00476DA6" w:rsidRDefault="00476DA6">
            <w:pPr>
              <w:rPr>
                <w:color w:val="000000"/>
                <w:sz w:val="20"/>
                <w:szCs w:val="20"/>
              </w:rPr>
            </w:pPr>
            <w:r>
              <w:rPr>
                <w:color w:val="000000"/>
                <w:sz w:val="20"/>
                <w:szCs w:val="20"/>
              </w:rPr>
              <w:t>G. Total (D + E + F)</w:t>
            </w:r>
          </w:p>
        </w:tc>
        <w:tc>
          <w:tcPr>
            <w:tcW w:w="1453" w:type="pct"/>
            <w:tcBorders>
              <w:top w:val="nil"/>
              <w:left w:val="nil"/>
              <w:bottom w:val="single" w:sz="4" w:space="0" w:color="auto"/>
              <w:right w:val="nil"/>
            </w:tcBorders>
            <w:shd w:val="clear" w:color="auto" w:fill="auto"/>
            <w:noWrap/>
            <w:vAlign w:val="bottom"/>
            <w:hideMark/>
          </w:tcPr>
          <w:p w14:paraId="077A7A8F" w14:textId="77777777" w:rsidR="00476DA6" w:rsidRDefault="00476DA6" w:rsidP="00476DA6">
            <w:pPr>
              <w:jc w:val="center"/>
              <w:rPr>
                <w:color w:val="000000"/>
                <w:sz w:val="20"/>
                <w:szCs w:val="20"/>
              </w:rPr>
            </w:pPr>
            <w:r>
              <w:rPr>
                <w:color w:val="000000"/>
                <w:sz w:val="20"/>
                <w:szCs w:val="20"/>
              </w:rPr>
              <w:t>590</w:t>
            </w:r>
          </w:p>
        </w:tc>
        <w:tc>
          <w:tcPr>
            <w:tcW w:w="1453" w:type="pct"/>
            <w:tcBorders>
              <w:top w:val="nil"/>
              <w:left w:val="nil"/>
              <w:bottom w:val="single" w:sz="4" w:space="0" w:color="auto"/>
              <w:right w:val="nil"/>
            </w:tcBorders>
            <w:shd w:val="clear" w:color="auto" w:fill="auto"/>
            <w:noWrap/>
            <w:vAlign w:val="bottom"/>
            <w:hideMark/>
          </w:tcPr>
          <w:p w14:paraId="00BC7BF9" w14:textId="77777777" w:rsidR="00476DA6" w:rsidRDefault="00476DA6" w:rsidP="00476DA6">
            <w:pPr>
              <w:jc w:val="center"/>
              <w:rPr>
                <w:color w:val="000000"/>
                <w:sz w:val="20"/>
                <w:szCs w:val="20"/>
              </w:rPr>
            </w:pPr>
            <w:r>
              <w:rPr>
                <w:color w:val="000000"/>
                <w:sz w:val="20"/>
                <w:szCs w:val="20"/>
              </w:rPr>
              <w:t>410</w:t>
            </w:r>
          </w:p>
        </w:tc>
      </w:tr>
    </w:tbl>
    <w:p w14:paraId="0E34AA3A" w14:textId="77777777" w:rsidR="00476DA6" w:rsidRDefault="00476DA6" w:rsidP="003118B4"/>
    <w:p w14:paraId="5BFDFA4C" w14:textId="47A8E742" w:rsidR="003441EB" w:rsidRDefault="00476DA6" w:rsidP="003118B4">
      <w:r>
        <w:t>Rows A to C are the distributions of utilisation for each disease by income (</w:t>
      </w:r>
      <m:oMath>
        <m:sSub>
          <m:sSubPr>
            <m:ctrlPr>
              <w:rPr>
                <w:rFonts w:ascii="Cambria Math" w:hAnsi="Cambria Math"/>
                <w:i/>
              </w:rPr>
            </m:ctrlPr>
          </m:sSubPr>
          <m:e>
            <m:r>
              <w:rPr>
                <w:rFonts w:ascii="Cambria Math" w:hAnsi="Cambria Math"/>
              </w:rPr>
              <m:t>p</m:t>
            </m:r>
          </m:e>
          <m:sub>
            <m:r>
              <m:rPr>
                <m:sty m:val="bi"/>
              </m:rPr>
              <w:rPr>
                <w:rFonts w:ascii="Cambria Math" w:hAnsi="Cambria Math"/>
              </w:rPr>
              <m:t>x</m:t>
            </m:r>
            <m:r>
              <w:rPr>
                <w:rFonts w:ascii="Cambria Math" w:hAnsi="Cambria Math"/>
              </w:rPr>
              <m:t>j</m:t>
            </m:r>
          </m:sub>
        </m:sSub>
      </m:oMath>
      <w:r>
        <w:t>). Rows D to F are the distributions of health effects by disease and income (</w:t>
      </w:r>
      <m:oMath>
        <m:sSub>
          <m:sSubPr>
            <m:ctrlPr>
              <w:rPr>
                <w:rFonts w:ascii="Cambria Math" w:hAnsi="Cambria Math"/>
                <w:i/>
              </w:rPr>
            </m:ctrlPr>
          </m:sSubPr>
          <m:e>
            <m:r>
              <w:rPr>
                <w:rFonts w:ascii="Cambria Math" w:hAnsi="Cambria Math"/>
              </w:rPr>
              <m:t>h</m:t>
            </m:r>
          </m:e>
          <m:sub>
            <m:r>
              <m:rPr>
                <m:sty m:val="bi"/>
              </m:rPr>
              <w:rPr>
                <w:rFonts w:ascii="Cambria Math" w:hAnsi="Cambria Math"/>
              </w:rPr>
              <m:t>x</m:t>
            </m:r>
            <m:r>
              <w:rPr>
                <w:rFonts w:ascii="Cambria Math" w:hAnsi="Cambria Math"/>
              </w:rPr>
              <m:t>j</m:t>
            </m:r>
          </m:sub>
        </m:sSub>
      </m:oMath>
      <w:r>
        <w:t>). Row G is the distribution of health effects by income only (</w:t>
      </w:r>
      <m:oMath>
        <m:sSub>
          <m:sSubPr>
            <m:ctrlPr>
              <w:rPr>
                <w:rFonts w:ascii="Cambria Math" w:hAnsi="Cambria Math"/>
                <w:i/>
              </w:rPr>
            </m:ctrlPr>
          </m:sSubPr>
          <m:e>
            <m:r>
              <w:rPr>
                <w:rFonts w:ascii="Cambria Math" w:hAnsi="Cambria Math"/>
              </w:rPr>
              <m:t>h</m:t>
            </m:r>
          </m:e>
          <m:sub>
            <m:r>
              <m:rPr>
                <m:sty m:val="bi"/>
              </m:rPr>
              <w:rPr>
                <w:rFonts w:ascii="Cambria Math" w:hAnsi="Cambria Math"/>
              </w:rPr>
              <m:t>x</m:t>
            </m:r>
          </m:sub>
        </m:sSub>
      </m:oMath>
      <w:r>
        <w:t xml:space="preserve">). This provides a split of marginal health of 59% to the </w:t>
      </w:r>
      <w:r>
        <w:lastRenderedPageBreak/>
        <w:t>low income group and 41% to the high income group. These proportions can be used to allocate any other marginal health effect. For example, if the investment was instead $1 million</w:t>
      </w:r>
      <w:r w:rsidR="00C633EF">
        <w:t xml:space="preserve"> (implying a change of 200 healthy life years)</w:t>
      </w:r>
      <w:r>
        <w:t xml:space="preserve">, the health gains for the low and high income groups would be </w:t>
      </w:r>
      <w:r w:rsidR="00812BAD">
        <w:t>118 and 82 healthy life years, respectively.</w:t>
      </w:r>
    </w:p>
    <w:p w14:paraId="5ADE05BD" w14:textId="7B1F3B79" w:rsidR="006A521A" w:rsidRPr="001162D8" w:rsidRDefault="001162D8" w:rsidP="00E905FF">
      <w:pPr>
        <w:spacing w:after="160" w:line="259" w:lineRule="auto"/>
      </w:pPr>
      <w:r>
        <w:br w:type="page"/>
      </w:r>
    </w:p>
    <w:p w14:paraId="32B64132" w14:textId="449A1947" w:rsidR="006A521A" w:rsidRDefault="006A521A" w:rsidP="001162D8">
      <w:pPr>
        <w:pStyle w:val="Heading1"/>
      </w:pPr>
      <w:r w:rsidRPr="00EA714D">
        <w:lastRenderedPageBreak/>
        <w:t xml:space="preserve">Appendix </w:t>
      </w:r>
      <w:r>
        <w:t>B – Worked example for imputing regional opportunity costs</w:t>
      </w:r>
    </w:p>
    <w:p w14:paraId="14EFEB1E" w14:textId="77777777" w:rsidR="006A521A" w:rsidRDefault="006A521A" w:rsidP="006A521A">
      <w:pPr>
        <w:widowControl w:val="0"/>
        <w:autoSpaceDE w:val="0"/>
        <w:autoSpaceDN w:val="0"/>
        <w:adjustRightInd w:val="0"/>
        <w:rPr>
          <w:b/>
        </w:rPr>
      </w:pPr>
    </w:p>
    <w:p w14:paraId="531B8A1B" w14:textId="77777777" w:rsidR="006A521A" w:rsidRDefault="006A521A" w:rsidP="006A521A">
      <w:pPr>
        <w:widowControl w:val="0"/>
        <w:autoSpaceDE w:val="0"/>
        <w:autoSpaceDN w:val="0"/>
        <w:adjustRightInd w:val="0"/>
      </w:pPr>
      <w:r>
        <w:t>Estimates of the socioeconomic and demographic distribution of the health benefits of marginal changes in healthcare expenditure can be used to impute geographical distributions. This is done by linking geographical areas with the socioeconomic and demographic characteristics. For example, if low socioeconomic status individuals incur a higher share of health effects, then more socioeconomically deprived geographical areas should also incur a higher share. We demonstrate the calculations in a worked example for Manchester, one of the 326 local authorities (LAs) in England included in our analysis.</w:t>
      </w:r>
    </w:p>
    <w:p w14:paraId="628E0E17" w14:textId="77777777" w:rsidR="006A521A" w:rsidRDefault="006A521A" w:rsidP="006A521A">
      <w:pPr>
        <w:widowControl w:val="0"/>
        <w:autoSpaceDE w:val="0"/>
        <w:autoSpaceDN w:val="0"/>
        <w:adjustRightInd w:val="0"/>
      </w:pPr>
    </w:p>
    <w:p w14:paraId="7EBF71DA" w14:textId="77777777" w:rsidR="006A521A" w:rsidRDefault="006A521A" w:rsidP="006A521A">
      <w:pPr>
        <w:widowControl w:val="0"/>
        <w:autoSpaceDE w:val="0"/>
        <w:autoSpaceDN w:val="0"/>
        <w:adjustRightInd w:val="0"/>
      </w:pPr>
      <w:r>
        <w:t>First the distribution of marginal health effect (by IMD and sex) is divided through by the respective population estimate to obtain a notional ‘per person’ distribution of health effect. These are then scaled to the population of the Manchester LA. This provides the proportion of the overall health effect that can be expected to fall on those living within the LA based purely on its socioeconomic and demographic characteristics. These are shown in the table below.</w:t>
      </w:r>
    </w:p>
    <w:p w14:paraId="117FAECF" w14:textId="77777777" w:rsidR="006A521A" w:rsidRDefault="006A521A" w:rsidP="006A521A">
      <w:pPr>
        <w:widowControl w:val="0"/>
        <w:autoSpaceDE w:val="0"/>
        <w:autoSpaceDN w:val="0"/>
        <w:adjustRightInd w:val="0"/>
      </w:pPr>
    </w:p>
    <w:tbl>
      <w:tblPr>
        <w:tblW w:w="8360" w:type="dxa"/>
        <w:tblInd w:w="108" w:type="dxa"/>
        <w:tblLook w:val="04A0" w:firstRow="1" w:lastRow="0" w:firstColumn="1" w:lastColumn="0" w:noHBand="0" w:noVBand="1"/>
      </w:tblPr>
      <w:tblGrid>
        <w:gridCol w:w="1300"/>
        <w:gridCol w:w="1460"/>
        <w:gridCol w:w="1400"/>
        <w:gridCol w:w="1400"/>
        <w:gridCol w:w="1400"/>
        <w:gridCol w:w="1400"/>
      </w:tblGrid>
      <w:tr w:rsidR="006A521A" w:rsidRPr="006F0A5C" w14:paraId="33028A25" w14:textId="77777777" w:rsidTr="00816282">
        <w:trPr>
          <w:trHeight w:val="320"/>
        </w:trPr>
        <w:tc>
          <w:tcPr>
            <w:tcW w:w="1300" w:type="dxa"/>
            <w:tcBorders>
              <w:top w:val="single" w:sz="4" w:space="0" w:color="auto"/>
              <w:left w:val="nil"/>
              <w:bottom w:val="single" w:sz="4" w:space="0" w:color="auto"/>
              <w:right w:val="nil"/>
            </w:tcBorders>
            <w:shd w:val="clear" w:color="auto" w:fill="auto"/>
            <w:noWrap/>
            <w:vAlign w:val="center"/>
            <w:hideMark/>
          </w:tcPr>
          <w:p w14:paraId="6A62035A" w14:textId="77777777" w:rsidR="006A521A" w:rsidRPr="006F0A5C" w:rsidRDefault="006A521A" w:rsidP="00816282">
            <w:pPr>
              <w:jc w:val="center"/>
              <w:rPr>
                <w:color w:val="000000"/>
                <w:sz w:val="20"/>
                <w:szCs w:val="20"/>
              </w:rPr>
            </w:pPr>
            <w:r w:rsidRPr="006F0A5C">
              <w:rPr>
                <w:color w:val="000000"/>
                <w:sz w:val="20"/>
                <w:szCs w:val="20"/>
              </w:rPr>
              <w:t> </w:t>
            </w:r>
          </w:p>
        </w:tc>
        <w:tc>
          <w:tcPr>
            <w:tcW w:w="1460" w:type="dxa"/>
            <w:tcBorders>
              <w:top w:val="single" w:sz="4" w:space="0" w:color="auto"/>
              <w:left w:val="nil"/>
              <w:bottom w:val="single" w:sz="4" w:space="0" w:color="auto"/>
              <w:right w:val="nil"/>
            </w:tcBorders>
            <w:shd w:val="clear" w:color="auto" w:fill="auto"/>
            <w:noWrap/>
            <w:vAlign w:val="center"/>
            <w:hideMark/>
          </w:tcPr>
          <w:p w14:paraId="4D2790D3" w14:textId="77777777" w:rsidR="006A521A" w:rsidRPr="006F0A5C" w:rsidRDefault="006A521A" w:rsidP="00816282">
            <w:pPr>
              <w:jc w:val="center"/>
              <w:rPr>
                <w:b/>
                <w:bCs/>
                <w:color w:val="000000"/>
                <w:sz w:val="20"/>
                <w:szCs w:val="20"/>
              </w:rPr>
            </w:pPr>
            <w:r w:rsidRPr="006F0A5C">
              <w:rPr>
                <w:b/>
                <w:bCs/>
                <w:color w:val="000000"/>
                <w:sz w:val="20"/>
                <w:szCs w:val="20"/>
              </w:rPr>
              <w:t>IMD1</w:t>
            </w:r>
          </w:p>
        </w:tc>
        <w:tc>
          <w:tcPr>
            <w:tcW w:w="1400" w:type="dxa"/>
            <w:tcBorders>
              <w:top w:val="single" w:sz="4" w:space="0" w:color="auto"/>
              <w:left w:val="nil"/>
              <w:bottom w:val="single" w:sz="4" w:space="0" w:color="auto"/>
              <w:right w:val="nil"/>
            </w:tcBorders>
            <w:shd w:val="clear" w:color="auto" w:fill="auto"/>
            <w:noWrap/>
            <w:vAlign w:val="center"/>
            <w:hideMark/>
          </w:tcPr>
          <w:p w14:paraId="01EBD588" w14:textId="77777777" w:rsidR="006A521A" w:rsidRPr="006F0A5C" w:rsidRDefault="006A521A" w:rsidP="00816282">
            <w:pPr>
              <w:jc w:val="center"/>
              <w:rPr>
                <w:b/>
                <w:bCs/>
                <w:color w:val="000000"/>
                <w:sz w:val="20"/>
                <w:szCs w:val="20"/>
              </w:rPr>
            </w:pPr>
            <w:r w:rsidRPr="006F0A5C">
              <w:rPr>
                <w:b/>
                <w:bCs/>
                <w:color w:val="000000"/>
                <w:sz w:val="20"/>
                <w:szCs w:val="20"/>
              </w:rPr>
              <w:t>IMD2</w:t>
            </w:r>
          </w:p>
        </w:tc>
        <w:tc>
          <w:tcPr>
            <w:tcW w:w="1400" w:type="dxa"/>
            <w:tcBorders>
              <w:top w:val="single" w:sz="4" w:space="0" w:color="auto"/>
              <w:left w:val="nil"/>
              <w:bottom w:val="single" w:sz="4" w:space="0" w:color="auto"/>
              <w:right w:val="nil"/>
            </w:tcBorders>
            <w:shd w:val="clear" w:color="auto" w:fill="auto"/>
            <w:noWrap/>
            <w:vAlign w:val="center"/>
            <w:hideMark/>
          </w:tcPr>
          <w:p w14:paraId="4F6B84F1" w14:textId="77777777" w:rsidR="006A521A" w:rsidRPr="006F0A5C" w:rsidRDefault="006A521A" w:rsidP="00816282">
            <w:pPr>
              <w:jc w:val="center"/>
              <w:rPr>
                <w:b/>
                <w:bCs/>
                <w:color w:val="000000"/>
                <w:sz w:val="20"/>
                <w:szCs w:val="20"/>
              </w:rPr>
            </w:pPr>
            <w:r w:rsidRPr="006F0A5C">
              <w:rPr>
                <w:b/>
                <w:bCs/>
                <w:color w:val="000000"/>
                <w:sz w:val="20"/>
                <w:szCs w:val="20"/>
              </w:rPr>
              <w:t>IMD3</w:t>
            </w:r>
          </w:p>
        </w:tc>
        <w:tc>
          <w:tcPr>
            <w:tcW w:w="1400" w:type="dxa"/>
            <w:tcBorders>
              <w:top w:val="single" w:sz="4" w:space="0" w:color="auto"/>
              <w:left w:val="nil"/>
              <w:bottom w:val="single" w:sz="4" w:space="0" w:color="auto"/>
              <w:right w:val="nil"/>
            </w:tcBorders>
            <w:shd w:val="clear" w:color="auto" w:fill="auto"/>
            <w:noWrap/>
            <w:vAlign w:val="center"/>
            <w:hideMark/>
          </w:tcPr>
          <w:p w14:paraId="6AD7F6C7" w14:textId="77777777" w:rsidR="006A521A" w:rsidRPr="006F0A5C" w:rsidRDefault="006A521A" w:rsidP="00816282">
            <w:pPr>
              <w:jc w:val="center"/>
              <w:rPr>
                <w:b/>
                <w:bCs/>
                <w:color w:val="000000"/>
                <w:sz w:val="20"/>
                <w:szCs w:val="20"/>
              </w:rPr>
            </w:pPr>
            <w:r w:rsidRPr="006F0A5C">
              <w:rPr>
                <w:b/>
                <w:bCs/>
                <w:color w:val="000000"/>
                <w:sz w:val="20"/>
                <w:szCs w:val="20"/>
              </w:rPr>
              <w:t>IMD4</w:t>
            </w:r>
          </w:p>
        </w:tc>
        <w:tc>
          <w:tcPr>
            <w:tcW w:w="1400" w:type="dxa"/>
            <w:tcBorders>
              <w:top w:val="single" w:sz="4" w:space="0" w:color="auto"/>
              <w:left w:val="nil"/>
              <w:bottom w:val="single" w:sz="4" w:space="0" w:color="auto"/>
              <w:right w:val="nil"/>
            </w:tcBorders>
            <w:shd w:val="clear" w:color="auto" w:fill="auto"/>
            <w:noWrap/>
            <w:vAlign w:val="center"/>
            <w:hideMark/>
          </w:tcPr>
          <w:p w14:paraId="7A233058" w14:textId="77777777" w:rsidR="006A521A" w:rsidRPr="006F0A5C" w:rsidRDefault="006A521A" w:rsidP="00816282">
            <w:pPr>
              <w:jc w:val="center"/>
              <w:rPr>
                <w:b/>
                <w:bCs/>
                <w:color w:val="000000"/>
                <w:sz w:val="20"/>
                <w:szCs w:val="20"/>
              </w:rPr>
            </w:pPr>
            <w:r w:rsidRPr="006F0A5C">
              <w:rPr>
                <w:b/>
                <w:bCs/>
                <w:color w:val="000000"/>
                <w:sz w:val="20"/>
                <w:szCs w:val="20"/>
              </w:rPr>
              <w:t>IMD5</w:t>
            </w:r>
          </w:p>
        </w:tc>
      </w:tr>
      <w:tr w:rsidR="006A521A" w:rsidRPr="006F0A5C" w14:paraId="0B1E0F71" w14:textId="77777777" w:rsidTr="00C633EF">
        <w:trPr>
          <w:trHeight w:val="320"/>
        </w:trPr>
        <w:tc>
          <w:tcPr>
            <w:tcW w:w="8360" w:type="dxa"/>
            <w:gridSpan w:val="6"/>
            <w:tcBorders>
              <w:top w:val="single" w:sz="4" w:space="0" w:color="auto"/>
              <w:left w:val="nil"/>
              <w:right w:val="nil"/>
            </w:tcBorders>
            <w:shd w:val="clear" w:color="auto" w:fill="auto"/>
            <w:noWrap/>
            <w:vAlign w:val="center"/>
            <w:hideMark/>
          </w:tcPr>
          <w:p w14:paraId="037A6FC2" w14:textId="77777777" w:rsidR="006A521A" w:rsidRPr="006F0A5C" w:rsidRDefault="006A521A" w:rsidP="00816282">
            <w:pPr>
              <w:rPr>
                <w:i/>
                <w:iCs/>
                <w:color w:val="000000"/>
                <w:sz w:val="20"/>
                <w:szCs w:val="20"/>
              </w:rPr>
            </w:pPr>
            <w:r w:rsidRPr="006F0A5C">
              <w:rPr>
                <w:i/>
                <w:iCs/>
                <w:color w:val="000000"/>
                <w:sz w:val="20"/>
                <w:szCs w:val="20"/>
              </w:rPr>
              <w:t>A. Marginal health effect distribution</w:t>
            </w:r>
          </w:p>
        </w:tc>
      </w:tr>
      <w:tr w:rsidR="006A521A" w:rsidRPr="006F0A5C" w14:paraId="4FEA5627" w14:textId="77777777" w:rsidTr="00816282">
        <w:trPr>
          <w:trHeight w:val="320"/>
        </w:trPr>
        <w:tc>
          <w:tcPr>
            <w:tcW w:w="1300" w:type="dxa"/>
            <w:tcBorders>
              <w:top w:val="nil"/>
              <w:left w:val="nil"/>
              <w:bottom w:val="nil"/>
              <w:right w:val="nil"/>
            </w:tcBorders>
            <w:shd w:val="clear" w:color="auto" w:fill="auto"/>
            <w:noWrap/>
            <w:vAlign w:val="center"/>
            <w:hideMark/>
          </w:tcPr>
          <w:p w14:paraId="1B430ABD" w14:textId="77777777" w:rsidR="006A521A" w:rsidRPr="006F0A5C" w:rsidRDefault="006A521A" w:rsidP="00816282">
            <w:pPr>
              <w:rPr>
                <w:color w:val="000000"/>
                <w:sz w:val="20"/>
                <w:szCs w:val="20"/>
              </w:rPr>
            </w:pPr>
            <w:r w:rsidRPr="006F0A5C">
              <w:rPr>
                <w:color w:val="000000"/>
                <w:sz w:val="20"/>
                <w:szCs w:val="20"/>
              </w:rPr>
              <w:t>Male</w:t>
            </w:r>
          </w:p>
        </w:tc>
        <w:tc>
          <w:tcPr>
            <w:tcW w:w="1460" w:type="dxa"/>
            <w:tcBorders>
              <w:top w:val="nil"/>
              <w:left w:val="nil"/>
              <w:bottom w:val="nil"/>
              <w:right w:val="nil"/>
            </w:tcBorders>
            <w:shd w:val="clear" w:color="auto" w:fill="auto"/>
            <w:noWrap/>
            <w:vAlign w:val="center"/>
            <w:hideMark/>
          </w:tcPr>
          <w:p w14:paraId="75FFC056" w14:textId="77777777" w:rsidR="006A521A" w:rsidRPr="006F0A5C" w:rsidRDefault="006A521A" w:rsidP="00816282">
            <w:pPr>
              <w:jc w:val="center"/>
              <w:rPr>
                <w:color w:val="000000"/>
                <w:sz w:val="20"/>
                <w:szCs w:val="20"/>
              </w:rPr>
            </w:pPr>
            <w:r w:rsidRPr="006F0A5C">
              <w:rPr>
                <w:color w:val="000000"/>
                <w:sz w:val="20"/>
                <w:szCs w:val="20"/>
              </w:rPr>
              <w:t>0.124</w:t>
            </w:r>
          </w:p>
        </w:tc>
        <w:tc>
          <w:tcPr>
            <w:tcW w:w="1400" w:type="dxa"/>
            <w:tcBorders>
              <w:top w:val="nil"/>
              <w:left w:val="nil"/>
              <w:bottom w:val="nil"/>
              <w:right w:val="nil"/>
            </w:tcBorders>
            <w:shd w:val="clear" w:color="auto" w:fill="auto"/>
            <w:noWrap/>
            <w:vAlign w:val="center"/>
            <w:hideMark/>
          </w:tcPr>
          <w:p w14:paraId="6F828E9D" w14:textId="77777777" w:rsidR="006A521A" w:rsidRPr="006F0A5C" w:rsidRDefault="006A521A" w:rsidP="00816282">
            <w:pPr>
              <w:jc w:val="center"/>
              <w:rPr>
                <w:color w:val="000000"/>
                <w:sz w:val="20"/>
                <w:szCs w:val="20"/>
              </w:rPr>
            </w:pPr>
            <w:r w:rsidRPr="006F0A5C">
              <w:rPr>
                <w:color w:val="000000"/>
                <w:sz w:val="20"/>
                <w:szCs w:val="20"/>
              </w:rPr>
              <w:t>0.100</w:t>
            </w:r>
          </w:p>
        </w:tc>
        <w:tc>
          <w:tcPr>
            <w:tcW w:w="1400" w:type="dxa"/>
            <w:tcBorders>
              <w:top w:val="nil"/>
              <w:left w:val="nil"/>
              <w:bottom w:val="nil"/>
              <w:right w:val="nil"/>
            </w:tcBorders>
            <w:shd w:val="clear" w:color="auto" w:fill="auto"/>
            <w:noWrap/>
            <w:vAlign w:val="center"/>
            <w:hideMark/>
          </w:tcPr>
          <w:p w14:paraId="7EA6021C" w14:textId="77777777" w:rsidR="006A521A" w:rsidRPr="006F0A5C" w:rsidRDefault="006A521A" w:rsidP="00816282">
            <w:pPr>
              <w:jc w:val="center"/>
              <w:rPr>
                <w:color w:val="000000"/>
                <w:sz w:val="20"/>
                <w:szCs w:val="20"/>
              </w:rPr>
            </w:pPr>
            <w:r w:rsidRPr="006F0A5C">
              <w:rPr>
                <w:color w:val="000000"/>
                <w:sz w:val="20"/>
                <w:szCs w:val="20"/>
              </w:rPr>
              <w:t>0.100</w:t>
            </w:r>
          </w:p>
        </w:tc>
        <w:tc>
          <w:tcPr>
            <w:tcW w:w="1400" w:type="dxa"/>
            <w:tcBorders>
              <w:top w:val="nil"/>
              <w:left w:val="nil"/>
              <w:bottom w:val="nil"/>
              <w:right w:val="nil"/>
            </w:tcBorders>
            <w:shd w:val="clear" w:color="auto" w:fill="auto"/>
            <w:noWrap/>
            <w:vAlign w:val="center"/>
            <w:hideMark/>
          </w:tcPr>
          <w:p w14:paraId="41ABEDB9" w14:textId="77777777" w:rsidR="006A521A" w:rsidRPr="006F0A5C" w:rsidRDefault="006A521A" w:rsidP="00816282">
            <w:pPr>
              <w:jc w:val="center"/>
              <w:rPr>
                <w:color w:val="000000"/>
                <w:sz w:val="20"/>
                <w:szCs w:val="20"/>
              </w:rPr>
            </w:pPr>
            <w:r w:rsidRPr="006F0A5C">
              <w:rPr>
                <w:color w:val="000000"/>
                <w:sz w:val="20"/>
                <w:szCs w:val="20"/>
              </w:rPr>
              <w:t>0.073</w:t>
            </w:r>
          </w:p>
        </w:tc>
        <w:tc>
          <w:tcPr>
            <w:tcW w:w="1400" w:type="dxa"/>
            <w:tcBorders>
              <w:top w:val="nil"/>
              <w:left w:val="nil"/>
              <w:bottom w:val="nil"/>
              <w:right w:val="nil"/>
            </w:tcBorders>
            <w:shd w:val="clear" w:color="auto" w:fill="auto"/>
            <w:noWrap/>
            <w:vAlign w:val="center"/>
            <w:hideMark/>
          </w:tcPr>
          <w:p w14:paraId="7BCBAE4A" w14:textId="77777777" w:rsidR="006A521A" w:rsidRPr="006F0A5C" w:rsidRDefault="006A521A" w:rsidP="00816282">
            <w:pPr>
              <w:jc w:val="center"/>
              <w:rPr>
                <w:color w:val="000000"/>
                <w:sz w:val="20"/>
                <w:szCs w:val="20"/>
              </w:rPr>
            </w:pPr>
            <w:r w:rsidRPr="006F0A5C">
              <w:rPr>
                <w:color w:val="000000"/>
                <w:sz w:val="20"/>
                <w:szCs w:val="20"/>
              </w:rPr>
              <w:t>0.064</w:t>
            </w:r>
          </w:p>
        </w:tc>
      </w:tr>
      <w:tr w:rsidR="006A521A" w:rsidRPr="006F0A5C" w14:paraId="4E9CB4A5" w14:textId="77777777" w:rsidTr="00816282">
        <w:trPr>
          <w:trHeight w:val="320"/>
        </w:trPr>
        <w:tc>
          <w:tcPr>
            <w:tcW w:w="1300" w:type="dxa"/>
            <w:tcBorders>
              <w:top w:val="nil"/>
              <w:left w:val="nil"/>
              <w:bottom w:val="nil"/>
              <w:right w:val="nil"/>
            </w:tcBorders>
            <w:shd w:val="clear" w:color="auto" w:fill="auto"/>
            <w:noWrap/>
            <w:vAlign w:val="center"/>
            <w:hideMark/>
          </w:tcPr>
          <w:p w14:paraId="6BF7E703" w14:textId="77777777" w:rsidR="006A521A" w:rsidRPr="006F0A5C" w:rsidRDefault="006A521A" w:rsidP="00816282">
            <w:pPr>
              <w:rPr>
                <w:color w:val="000000"/>
                <w:sz w:val="20"/>
                <w:szCs w:val="20"/>
              </w:rPr>
            </w:pPr>
            <w:r w:rsidRPr="006F0A5C">
              <w:rPr>
                <w:color w:val="000000"/>
                <w:sz w:val="20"/>
                <w:szCs w:val="20"/>
              </w:rPr>
              <w:t>Female</w:t>
            </w:r>
          </w:p>
        </w:tc>
        <w:tc>
          <w:tcPr>
            <w:tcW w:w="1460" w:type="dxa"/>
            <w:tcBorders>
              <w:top w:val="nil"/>
              <w:left w:val="nil"/>
              <w:bottom w:val="nil"/>
              <w:right w:val="nil"/>
            </w:tcBorders>
            <w:shd w:val="clear" w:color="auto" w:fill="auto"/>
            <w:noWrap/>
            <w:vAlign w:val="center"/>
            <w:hideMark/>
          </w:tcPr>
          <w:p w14:paraId="20665DEB" w14:textId="77777777" w:rsidR="006A521A" w:rsidRPr="006F0A5C" w:rsidRDefault="006A521A" w:rsidP="00816282">
            <w:pPr>
              <w:jc w:val="center"/>
              <w:rPr>
                <w:color w:val="000000"/>
                <w:sz w:val="20"/>
                <w:szCs w:val="20"/>
              </w:rPr>
            </w:pPr>
            <w:r w:rsidRPr="006F0A5C">
              <w:rPr>
                <w:color w:val="000000"/>
                <w:sz w:val="20"/>
                <w:szCs w:val="20"/>
              </w:rPr>
              <w:t>0.140</w:t>
            </w:r>
          </w:p>
        </w:tc>
        <w:tc>
          <w:tcPr>
            <w:tcW w:w="1400" w:type="dxa"/>
            <w:tcBorders>
              <w:top w:val="nil"/>
              <w:left w:val="nil"/>
              <w:bottom w:val="nil"/>
              <w:right w:val="nil"/>
            </w:tcBorders>
            <w:shd w:val="clear" w:color="auto" w:fill="auto"/>
            <w:noWrap/>
            <w:vAlign w:val="center"/>
            <w:hideMark/>
          </w:tcPr>
          <w:p w14:paraId="122DD5B8" w14:textId="77777777" w:rsidR="006A521A" w:rsidRPr="006F0A5C" w:rsidRDefault="006A521A" w:rsidP="00816282">
            <w:pPr>
              <w:jc w:val="center"/>
              <w:rPr>
                <w:color w:val="000000"/>
                <w:sz w:val="20"/>
                <w:szCs w:val="20"/>
              </w:rPr>
            </w:pPr>
            <w:r w:rsidRPr="006F0A5C">
              <w:rPr>
                <w:color w:val="000000"/>
                <w:sz w:val="20"/>
                <w:szCs w:val="20"/>
              </w:rPr>
              <w:t>0.119</w:t>
            </w:r>
          </w:p>
        </w:tc>
        <w:tc>
          <w:tcPr>
            <w:tcW w:w="1400" w:type="dxa"/>
            <w:tcBorders>
              <w:top w:val="nil"/>
              <w:left w:val="nil"/>
              <w:bottom w:val="nil"/>
              <w:right w:val="nil"/>
            </w:tcBorders>
            <w:shd w:val="clear" w:color="auto" w:fill="auto"/>
            <w:noWrap/>
            <w:vAlign w:val="center"/>
            <w:hideMark/>
          </w:tcPr>
          <w:p w14:paraId="036CA30D" w14:textId="77777777" w:rsidR="006A521A" w:rsidRPr="006F0A5C" w:rsidRDefault="006A521A" w:rsidP="00816282">
            <w:pPr>
              <w:jc w:val="center"/>
              <w:rPr>
                <w:color w:val="000000"/>
                <w:sz w:val="20"/>
                <w:szCs w:val="20"/>
              </w:rPr>
            </w:pPr>
            <w:r w:rsidRPr="006F0A5C">
              <w:rPr>
                <w:color w:val="000000"/>
                <w:sz w:val="20"/>
                <w:szCs w:val="20"/>
              </w:rPr>
              <w:t>0.118</w:t>
            </w:r>
          </w:p>
        </w:tc>
        <w:tc>
          <w:tcPr>
            <w:tcW w:w="1400" w:type="dxa"/>
            <w:tcBorders>
              <w:top w:val="nil"/>
              <w:left w:val="nil"/>
              <w:bottom w:val="nil"/>
              <w:right w:val="nil"/>
            </w:tcBorders>
            <w:shd w:val="clear" w:color="auto" w:fill="auto"/>
            <w:noWrap/>
            <w:vAlign w:val="center"/>
            <w:hideMark/>
          </w:tcPr>
          <w:p w14:paraId="79B7EDD4" w14:textId="77777777" w:rsidR="006A521A" w:rsidRPr="006F0A5C" w:rsidRDefault="006A521A" w:rsidP="00816282">
            <w:pPr>
              <w:jc w:val="center"/>
              <w:rPr>
                <w:color w:val="000000"/>
                <w:sz w:val="20"/>
                <w:szCs w:val="20"/>
              </w:rPr>
            </w:pPr>
            <w:r w:rsidRPr="006F0A5C">
              <w:rPr>
                <w:color w:val="000000"/>
                <w:sz w:val="20"/>
                <w:szCs w:val="20"/>
              </w:rPr>
              <w:t>0.087</w:t>
            </w:r>
          </w:p>
        </w:tc>
        <w:tc>
          <w:tcPr>
            <w:tcW w:w="1400" w:type="dxa"/>
            <w:tcBorders>
              <w:top w:val="nil"/>
              <w:left w:val="nil"/>
              <w:bottom w:val="nil"/>
              <w:right w:val="nil"/>
            </w:tcBorders>
            <w:shd w:val="clear" w:color="auto" w:fill="auto"/>
            <w:noWrap/>
            <w:vAlign w:val="center"/>
            <w:hideMark/>
          </w:tcPr>
          <w:p w14:paraId="202BE27E" w14:textId="77777777" w:rsidR="006A521A" w:rsidRPr="006F0A5C" w:rsidRDefault="006A521A" w:rsidP="00816282">
            <w:pPr>
              <w:jc w:val="center"/>
              <w:rPr>
                <w:color w:val="000000"/>
                <w:sz w:val="20"/>
                <w:szCs w:val="20"/>
              </w:rPr>
            </w:pPr>
            <w:r w:rsidRPr="006F0A5C">
              <w:rPr>
                <w:color w:val="000000"/>
                <w:sz w:val="20"/>
                <w:szCs w:val="20"/>
              </w:rPr>
              <w:t>0.075</w:t>
            </w:r>
          </w:p>
        </w:tc>
      </w:tr>
      <w:tr w:rsidR="006A521A" w:rsidRPr="006F0A5C" w14:paraId="29E8C77D" w14:textId="77777777" w:rsidTr="00816282">
        <w:trPr>
          <w:trHeight w:val="320"/>
        </w:trPr>
        <w:tc>
          <w:tcPr>
            <w:tcW w:w="1300" w:type="dxa"/>
            <w:tcBorders>
              <w:top w:val="nil"/>
              <w:left w:val="nil"/>
              <w:bottom w:val="nil"/>
              <w:right w:val="nil"/>
            </w:tcBorders>
            <w:shd w:val="clear" w:color="auto" w:fill="auto"/>
            <w:noWrap/>
            <w:vAlign w:val="center"/>
            <w:hideMark/>
          </w:tcPr>
          <w:p w14:paraId="6CCAF29C" w14:textId="77777777" w:rsidR="006A521A" w:rsidRPr="006F0A5C" w:rsidRDefault="006A521A" w:rsidP="00816282">
            <w:pPr>
              <w:jc w:val="center"/>
              <w:rPr>
                <w:color w:val="000000"/>
                <w:sz w:val="20"/>
                <w:szCs w:val="20"/>
              </w:rPr>
            </w:pPr>
          </w:p>
        </w:tc>
        <w:tc>
          <w:tcPr>
            <w:tcW w:w="1460" w:type="dxa"/>
            <w:tcBorders>
              <w:top w:val="nil"/>
              <w:left w:val="nil"/>
              <w:bottom w:val="nil"/>
              <w:right w:val="nil"/>
            </w:tcBorders>
            <w:shd w:val="clear" w:color="auto" w:fill="auto"/>
            <w:noWrap/>
            <w:vAlign w:val="center"/>
            <w:hideMark/>
          </w:tcPr>
          <w:p w14:paraId="40CA2E40" w14:textId="77777777" w:rsidR="006A521A" w:rsidRPr="006F0A5C" w:rsidRDefault="006A521A" w:rsidP="00816282">
            <w:pPr>
              <w:rPr>
                <w:sz w:val="20"/>
                <w:szCs w:val="20"/>
              </w:rPr>
            </w:pPr>
          </w:p>
        </w:tc>
        <w:tc>
          <w:tcPr>
            <w:tcW w:w="1400" w:type="dxa"/>
            <w:tcBorders>
              <w:top w:val="nil"/>
              <w:left w:val="nil"/>
              <w:bottom w:val="nil"/>
              <w:right w:val="nil"/>
            </w:tcBorders>
            <w:shd w:val="clear" w:color="auto" w:fill="auto"/>
            <w:noWrap/>
            <w:vAlign w:val="center"/>
            <w:hideMark/>
          </w:tcPr>
          <w:p w14:paraId="275D3687"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3E019463"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5DA66E68"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54E680D1" w14:textId="77777777" w:rsidR="006A521A" w:rsidRPr="006F0A5C" w:rsidRDefault="006A521A" w:rsidP="00816282">
            <w:pPr>
              <w:jc w:val="center"/>
              <w:rPr>
                <w:sz w:val="20"/>
                <w:szCs w:val="20"/>
              </w:rPr>
            </w:pPr>
          </w:p>
        </w:tc>
      </w:tr>
      <w:tr w:rsidR="006A521A" w:rsidRPr="006F0A5C" w14:paraId="6154294F" w14:textId="77777777" w:rsidTr="00816282">
        <w:trPr>
          <w:trHeight w:val="320"/>
        </w:trPr>
        <w:tc>
          <w:tcPr>
            <w:tcW w:w="8360" w:type="dxa"/>
            <w:gridSpan w:val="6"/>
            <w:tcBorders>
              <w:top w:val="nil"/>
              <w:left w:val="nil"/>
              <w:bottom w:val="nil"/>
              <w:right w:val="nil"/>
            </w:tcBorders>
            <w:shd w:val="clear" w:color="auto" w:fill="auto"/>
            <w:noWrap/>
            <w:vAlign w:val="center"/>
            <w:hideMark/>
          </w:tcPr>
          <w:p w14:paraId="6239E006" w14:textId="77777777" w:rsidR="006A521A" w:rsidRPr="006F0A5C" w:rsidRDefault="006A521A" w:rsidP="00816282">
            <w:pPr>
              <w:rPr>
                <w:i/>
                <w:iCs/>
                <w:color w:val="000000"/>
                <w:sz w:val="20"/>
                <w:szCs w:val="20"/>
              </w:rPr>
            </w:pPr>
            <w:r w:rsidRPr="006F0A5C">
              <w:rPr>
                <w:i/>
                <w:iCs/>
                <w:color w:val="000000"/>
                <w:sz w:val="20"/>
                <w:szCs w:val="20"/>
              </w:rPr>
              <w:t>B. Population - England</w:t>
            </w:r>
          </w:p>
        </w:tc>
      </w:tr>
      <w:tr w:rsidR="006A521A" w:rsidRPr="006F0A5C" w14:paraId="7D70F2A5" w14:textId="77777777" w:rsidTr="00816282">
        <w:trPr>
          <w:trHeight w:val="320"/>
        </w:trPr>
        <w:tc>
          <w:tcPr>
            <w:tcW w:w="1300" w:type="dxa"/>
            <w:tcBorders>
              <w:top w:val="nil"/>
              <w:left w:val="nil"/>
              <w:bottom w:val="nil"/>
              <w:right w:val="nil"/>
            </w:tcBorders>
            <w:shd w:val="clear" w:color="auto" w:fill="auto"/>
            <w:noWrap/>
            <w:vAlign w:val="center"/>
            <w:hideMark/>
          </w:tcPr>
          <w:p w14:paraId="74C1A173" w14:textId="77777777" w:rsidR="006A521A" w:rsidRPr="006F0A5C" w:rsidRDefault="006A521A" w:rsidP="00816282">
            <w:pPr>
              <w:rPr>
                <w:color w:val="000000"/>
                <w:sz w:val="20"/>
                <w:szCs w:val="20"/>
              </w:rPr>
            </w:pPr>
            <w:r w:rsidRPr="006F0A5C">
              <w:rPr>
                <w:color w:val="000000"/>
                <w:sz w:val="20"/>
                <w:szCs w:val="20"/>
              </w:rPr>
              <w:t>Male</w:t>
            </w:r>
          </w:p>
        </w:tc>
        <w:tc>
          <w:tcPr>
            <w:tcW w:w="1460" w:type="dxa"/>
            <w:tcBorders>
              <w:top w:val="nil"/>
              <w:left w:val="nil"/>
              <w:bottom w:val="nil"/>
              <w:right w:val="nil"/>
            </w:tcBorders>
            <w:shd w:val="clear" w:color="auto" w:fill="auto"/>
            <w:noWrap/>
            <w:vAlign w:val="center"/>
            <w:hideMark/>
          </w:tcPr>
          <w:p w14:paraId="435BAC3E" w14:textId="77777777" w:rsidR="006A521A" w:rsidRPr="006F0A5C" w:rsidRDefault="006A521A" w:rsidP="00816282">
            <w:pPr>
              <w:jc w:val="center"/>
              <w:rPr>
                <w:color w:val="000000"/>
                <w:sz w:val="20"/>
                <w:szCs w:val="20"/>
              </w:rPr>
            </w:pPr>
            <w:r w:rsidRPr="006F0A5C">
              <w:rPr>
                <w:color w:val="000000"/>
                <w:sz w:val="20"/>
                <w:szCs w:val="20"/>
              </w:rPr>
              <w:t>5,567,632</w:t>
            </w:r>
          </w:p>
        </w:tc>
        <w:tc>
          <w:tcPr>
            <w:tcW w:w="1400" w:type="dxa"/>
            <w:tcBorders>
              <w:top w:val="nil"/>
              <w:left w:val="nil"/>
              <w:bottom w:val="nil"/>
              <w:right w:val="nil"/>
            </w:tcBorders>
            <w:shd w:val="clear" w:color="auto" w:fill="auto"/>
            <w:noWrap/>
            <w:vAlign w:val="center"/>
            <w:hideMark/>
          </w:tcPr>
          <w:p w14:paraId="2EEB9CEB" w14:textId="77777777" w:rsidR="006A521A" w:rsidRPr="006F0A5C" w:rsidRDefault="006A521A" w:rsidP="00816282">
            <w:pPr>
              <w:jc w:val="center"/>
              <w:rPr>
                <w:color w:val="000000"/>
                <w:sz w:val="20"/>
                <w:szCs w:val="20"/>
              </w:rPr>
            </w:pPr>
            <w:r w:rsidRPr="006F0A5C">
              <w:rPr>
                <w:color w:val="000000"/>
                <w:sz w:val="20"/>
                <w:szCs w:val="20"/>
              </w:rPr>
              <w:t>5,660,089</w:t>
            </w:r>
          </w:p>
        </w:tc>
        <w:tc>
          <w:tcPr>
            <w:tcW w:w="1400" w:type="dxa"/>
            <w:tcBorders>
              <w:top w:val="nil"/>
              <w:left w:val="nil"/>
              <w:bottom w:val="nil"/>
              <w:right w:val="nil"/>
            </w:tcBorders>
            <w:shd w:val="clear" w:color="auto" w:fill="auto"/>
            <w:noWrap/>
            <w:vAlign w:val="center"/>
            <w:hideMark/>
          </w:tcPr>
          <w:p w14:paraId="1FEFA769" w14:textId="77777777" w:rsidR="006A521A" w:rsidRPr="006F0A5C" w:rsidRDefault="006A521A" w:rsidP="00816282">
            <w:pPr>
              <w:jc w:val="center"/>
              <w:rPr>
                <w:color w:val="000000"/>
                <w:sz w:val="20"/>
                <w:szCs w:val="20"/>
              </w:rPr>
            </w:pPr>
            <w:r w:rsidRPr="006F0A5C">
              <w:rPr>
                <w:color w:val="000000"/>
                <w:sz w:val="20"/>
                <w:szCs w:val="20"/>
              </w:rPr>
              <w:t>5,482,431</w:t>
            </w:r>
          </w:p>
        </w:tc>
        <w:tc>
          <w:tcPr>
            <w:tcW w:w="1400" w:type="dxa"/>
            <w:tcBorders>
              <w:top w:val="nil"/>
              <w:left w:val="nil"/>
              <w:bottom w:val="nil"/>
              <w:right w:val="nil"/>
            </w:tcBorders>
            <w:shd w:val="clear" w:color="auto" w:fill="auto"/>
            <w:noWrap/>
            <w:vAlign w:val="center"/>
            <w:hideMark/>
          </w:tcPr>
          <w:p w14:paraId="47F617EC" w14:textId="77777777" w:rsidR="006A521A" w:rsidRPr="006F0A5C" w:rsidRDefault="006A521A" w:rsidP="00816282">
            <w:pPr>
              <w:jc w:val="center"/>
              <w:rPr>
                <w:color w:val="000000"/>
                <w:sz w:val="20"/>
                <w:szCs w:val="20"/>
              </w:rPr>
            </w:pPr>
            <w:r w:rsidRPr="006F0A5C">
              <w:rPr>
                <w:color w:val="000000"/>
                <w:sz w:val="20"/>
                <w:szCs w:val="20"/>
              </w:rPr>
              <w:t>5,364,885</w:t>
            </w:r>
          </w:p>
        </w:tc>
        <w:tc>
          <w:tcPr>
            <w:tcW w:w="1400" w:type="dxa"/>
            <w:tcBorders>
              <w:top w:val="nil"/>
              <w:left w:val="nil"/>
              <w:bottom w:val="nil"/>
              <w:right w:val="nil"/>
            </w:tcBorders>
            <w:shd w:val="clear" w:color="auto" w:fill="auto"/>
            <w:noWrap/>
            <w:vAlign w:val="center"/>
            <w:hideMark/>
          </w:tcPr>
          <w:p w14:paraId="47009C17" w14:textId="77777777" w:rsidR="006A521A" w:rsidRPr="006F0A5C" w:rsidRDefault="006A521A" w:rsidP="00816282">
            <w:pPr>
              <w:jc w:val="center"/>
              <w:rPr>
                <w:color w:val="000000"/>
                <w:sz w:val="20"/>
                <w:szCs w:val="20"/>
              </w:rPr>
            </w:pPr>
            <w:r w:rsidRPr="006F0A5C">
              <w:rPr>
                <w:color w:val="000000"/>
                <w:sz w:val="20"/>
                <w:szCs w:val="20"/>
              </w:rPr>
              <w:t>5,225,883</w:t>
            </w:r>
          </w:p>
        </w:tc>
      </w:tr>
      <w:tr w:rsidR="006A521A" w:rsidRPr="006F0A5C" w14:paraId="25B91232" w14:textId="77777777" w:rsidTr="00816282">
        <w:trPr>
          <w:trHeight w:val="320"/>
        </w:trPr>
        <w:tc>
          <w:tcPr>
            <w:tcW w:w="1300" w:type="dxa"/>
            <w:tcBorders>
              <w:top w:val="nil"/>
              <w:left w:val="nil"/>
              <w:bottom w:val="nil"/>
              <w:right w:val="nil"/>
            </w:tcBorders>
            <w:shd w:val="clear" w:color="auto" w:fill="auto"/>
            <w:noWrap/>
            <w:vAlign w:val="center"/>
            <w:hideMark/>
          </w:tcPr>
          <w:p w14:paraId="7119B167" w14:textId="77777777" w:rsidR="006A521A" w:rsidRPr="006F0A5C" w:rsidRDefault="006A521A" w:rsidP="00816282">
            <w:pPr>
              <w:rPr>
                <w:color w:val="000000"/>
                <w:sz w:val="20"/>
                <w:szCs w:val="20"/>
              </w:rPr>
            </w:pPr>
            <w:r w:rsidRPr="006F0A5C">
              <w:rPr>
                <w:color w:val="000000"/>
                <w:sz w:val="20"/>
                <w:szCs w:val="20"/>
              </w:rPr>
              <w:t>Female</w:t>
            </w:r>
          </w:p>
        </w:tc>
        <w:tc>
          <w:tcPr>
            <w:tcW w:w="1460" w:type="dxa"/>
            <w:tcBorders>
              <w:top w:val="nil"/>
              <w:left w:val="nil"/>
              <w:bottom w:val="nil"/>
              <w:right w:val="nil"/>
            </w:tcBorders>
            <w:shd w:val="clear" w:color="auto" w:fill="auto"/>
            <w:noWrap/>
            <w:vAlign w:val="center"/>
            <w:hideMark/>
          </w:tcPr>
          <w:p w14:paraId="01B7BA3A" w14:textId="77777777" w:rsidR="006A521A" w:rsidRPr="006F0A5C" w:rsidRDefault="006A521A" w:rsidP="00816282">
            <w:pPr>
              <w:jc w:val="center"/>
              <w:rPr>
                <w:color w:val="000000"/>
                <w:sz w:val="20"/>
                <w:szCs w:val="20"/>
              </w:rPr>
            </w:pPr>
            <w:r w:rsidRPr="006F0A5C">
              <w:rPr>
                <w:color w:val="000000"/>
                <w:sz w:val="20"/>
                <w:szCs w:val="20"/>
              </w:rPr>
              <w:t>5,671,611</w:t>
            </w:r>
          </w:p>
        </w:tc>
        <w:tc>
          <w:tcPr>
            <w:tcW w:w="1400" w:type="dxa"/>
            <w:tcBorders>
              <w:top w:val="nil"/>
              <w:left w:val="nil"/>
              <w:bottom w:val="nil"/>
              <w:right w:val="nil"/>
            </w:tcBorders>
            <w:shd w:val="clear" w:color="auto" w:fill="auto"/>
            <w:noWrap/>
            <w:vAlign w:val="center"/>
            <w:hideMark/>
          </w:tcPr>
          <w:p w14:paraId="006FF5A7" w14:textId="77777777" w:rsidR="006A521A" w:rsidRPr="006F0A5C" w:rsidRDefault="006A521A" w:rsidP="00816282">
            <w:pPr>
              <w:jc w:val="center"/>
              <w:rPr>
                <w:color w:val="000000"/>
                <w:sz w:val="20"/>
                <w:szCs w:val="20"/>
              </w:rPr>
            </w:pPr>
            <w:r w:rsidRPr="006F0A5C">
              <w:rPr>
                <w:color w:val="000000"/>
                <w:sz w:val="20"/>
                <w:szCs w:val="20"/>
              </w:rPr>
              <w:t>5,721,941</w:t>
            </w:r>
          </w:p>
        </w:tc>
        <w:tc>
          <w:tcPr>
            <w:tcW w:w="1400" w:type="dxa"/>
            <w:tcBorders>
              <w:top w:val="nil"/>
              <w:left w:val="nil"/>
              <w:bottom w:val="nil"/>
              <w:right w:val="nil"/>
            </w:tcBorders>
            <w:shd w:val="clear" w:color="auto" w:fill="auto"/>
            <w:noWrap/>
            <w:vAlign w:val="center"/>
            <w:hideMark/>
          </w:tcPr>
          <w:p w14:paraId="622FAC15" w14:textId="77777777" w:rsidR="006A521A" w:rsidRPr="006F0A5C" w:rsidRDefault="006A521A" w:rsidP="00816282">
            <w:pPr>
              <w:jc w:val="center"/>
              <w:rPr>
                <w:color w:val="000000"/>
                <w:sz w:val="20"/>
                <w:szCs w:val="20"/>
              </w:rPr>
            </w:pPr>
            <w:r w:rsidRPr="006F0A5C">
              <w:rPr>
                <w:color w:val="000000"/>
                <w:sz w:val="20"/>
                <w:szCs w:val="20"/>
              </w:rPr>
              <w:t>5,607,885</w:t>
            </w:r>
          </w:p>
        </w:tc>
        <w:tc>
          <w:tcPr>
            <w:tcW w:w="1400" w:type="dxa"/>
            <w:tcBorders>
              <w:top w:val="nil"/>
              <w:left w:val="nil"/>
              <w:bottom w:val="nil"/>
              <w:right w:val="nil"/>
            </w:tcBorders>
            <w:shd w:val="clear" w:color="auto" w:fill="auto"/>
            <w:noWrap/>
            <w:vAlign w:val="center"/>
            <w:hideMark/>
          </w:tcPr>
          <w:p w14:paraId="59E99D1B" w14:textId="77777777" w:rsidR="006A521A" w:rsidRPr="006F0A5C" w:rsidRDefault="006A521A" w:rsidP="00816282">
            <w:pPr>
              <w:jc w:val="center"/>
              <w:rPr>
                <w:color w:val="000000"/>
                <w:sz w:val="20"/>
                <w:szCs w:val="20"/>
              </w:rPr>
            </w:pPr>
            <w:r w:rsidRPr="006F0A5C">
              <w:rPr>
                <w:color w:val="000000"/>
                <w:sz w:val="20"/>
                <w:szCs w:val="20"/>
              </w:rPr>
              <w:t>5,531,034</w:t>
            </w:r>
          </w:p>
        </w:tc>
        <w:tc>
          <w:tcPr>
            <w:tcW w:w="1400" w:type="dxa"/>
            <w:tcBorders>
              <w:top w:val="nil"/>
              <w:left w:val="nil"/>
              <w:bottom w:val="nil"/>
              <w:right w:val="nil"/>
            </w:tcBorders>
            <w:shd w:val="clear" w:color="auto" w:fill="auto"/>
            <w:noWrap/>
            <w:vAlign w:val="center"/>
            <w:hideMark/>
          </w:tcPr>
          <w:p w14:paraId="723CE8BA" w14:textId="77777777" w:rsidR="006A521A" w:rsidRPr="006F0A5C" w:rsidRDefault="006A521A" w:rsidP="00816282">
            <w:pPr>
              <w:jc w:val="center"/>
              <w:rPr>
                <w:color w:val="000000"/>
                <w:sz w:val="20"/>
                <w:szCs w:val="20"/>
              </w:rPr>
            </w:pPr>
            <w:r w:rsidRPr="006F0A5C">
              <w:rPr>
                <w:color w:val="000000"/>
                <w:sz w:val="20"/>
                <w:szCs w:val="20"/>
              </w:rPr>
              <w:t>5,434,676</w:t>
            </w:r>
          </w:p>
        </w:tc>
      </w:tr>
      <w:tr w:rsidR="006A521A" w:rsidRPr="006F0A5C" w14:paraId="3B4B393F" w14:textId="77777777" w:rsidTr="00816282">
        <w:trPr>
          <w:trHeight w:val="320"/>
        </w:trPr>
        <w:tc>
          <w:tcPr>
            <w:tcW w:w="1300" w:type="dxa"/>
            <w:tcBorders>
              <w:top w:val="nil"/>
              <w:left w:val="nil"/>
              <w:bottom w:val="nil"/>
              <w:right w:val="nil"/>
            </w:tcBorders>
            <w:shd w:val="clear" w:color="auto" w:fill="auto"/>
            <w:noWrap/>
            <w:vAlign w:val="center"/>
            <w:hideMark/>
          </w:tcPr>
          <w:p w14:paraId="47FBCDEC" w14:textId="77777777" w:rsidR="006A521A" w:rsidRPr="006F0A5C" w:rsidRDefault="006A521A" w:rsidP="00816282">
            <w:pPr>
              <w:jc w:val="center"/>
              <w:rPr>
                <w:color w:val="000000"/>
                <w:sz w:val="20"/>
                <w:szCs w:val="20"/>
              </w:rPr>
            </w:pPr>
          </w:p>
        </w:tc>
        <w:tc>
          <w:tcPr>
            <w:tcW w:w="1460" w:type="dxa"/>
            <w:tcBorders>
              <w:top w:val="nil"/>
              <w:left w:val="nil"/>
              <w:bottom w:val="nil"/>
              <w:right w:val="nil"/>
            </w:tcBorders>
            <w:shd w:val="clear" w:color="auto" w:fill="auto"/>
            <w:noWrap/>
            <w:vAlign w:val="center"/>
            <w:hideMark/>
          </w:tcPr>
          <w:p w14:paraId="2217B4B2" w14:textId="77777777" w:rsidR="006A521A" w:rsidRPr="006F0A5C" w:rsidRDefault="006A521A" w:rsidP="00816282">
            <w:pPr>
              <w:rPr>
                <w:sz w:val="20"/>
                <w:szCs w:val="20"/>
              </w:rPr>
            </w:pPr>
          </w:p>
        </w:tc>
        <w:tc>
          <w:tcPr>
            <w:tcW w:w="1400" w:type="dxa"/>
            <w:tcBorders>
              <w:top w:val="nil"/>
              <w:left w:val="nil"/>
              <w:bottom w:val="nil"/>
              <w:right w:val="nil"/>
            </w:tcBorders>
            <w:shd w:val="clear" w:color="auto" w:fill="auto"/>
            <w:noWrap/>
            <w:vAlign w:val="center"/>
            <w:hideMark/>
          </w:tcPr>
          <w:p w14:paraId="027BE1F7"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65987747"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2524C1A1"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0E24F803" w14:textId="77777777" w:rsidR="006A521A" w:rsidRPr="006F0A5C" w:rsidRDefault="006A521A" w:rsidP="00816282">
            <w:pPr>
              <w:jc w:val="center"/>
              <w:rPr>
                <w:sz w:val="20"/>
                <w:szCs w:val="20"/>
              </w:rPr>
            </w:pPr>
          </w:p>
        </w:tc>
      </w:tr>
      <w:tr w:rsidR="006A521A" w:rsidRPr="006F0A5C" w14:paraId="5EC15B7C" w14:textId="77777777" w:rsidTr="00816282">
        <w:trPr>
          <w:trHeight w:val="320"/>
        </w:trPr>
        <w:tc>
          <w:tcPr>
            <w:tcW w:w="8360" w:type="dxa"/>
            <w:gridSpan w:val="6"/>
            <w:tcBorders>
              <w:top w:val="nil"/>
              <w:left w:val="nil"/>
              <w:bottom w:val="nil"/>
              <w:right w:val="nil"/>
            </w:tcBorders>
            <w:shd w:val="clear" w:color="auto" w:fill="auto"/>
            <w:noWrap/>
            <w:vAlign w:val="center"/>
            <w:hideMark/>
          </w:tcPr>
          <w:p w14:paraId="4FDFFB87" w14:textId="77777777" w:rsidR="006A521A" w:rsidRPr="006F0A5C" w:rsidRDefault="006A521A" w:rsidP="00816282">
            <w:pPr>
              <w:rPr>
                <w:i/>
                <w:iCs/>
                <w:color w:val="000000"/>
                <w:sz w:val="20"/>
                <w:szCs w:val="20"/>
              </w:rPr>
            </w:pPr>
            <w:r w:rsidRPr="006F0A5C">
              <w:rPr>
                <w:i/>
                <w:iCs/>
                <w:color w:val="000000"/>
                <w:sz w:val="20"/>
                <w:szCs w:val="20"/>
              </w:rPr>
              <w:t>C. Population - Manchester</w:t>
            </w:r>
          </w:p>
        </w:tc>
      </w:tr>
      <w:tr w:rsidR="006A521A" w:rsidRPr="006F0A5C" w14:paraId="430743B9" w14:textId="77777777" w:rsidTr="00816282">
        <w:trPr>
          <w:trHeight w:val="320"/>
        </w:trPr>
        <w:tc>
          <w:tcPr>
            <w:tcW w:w="1300" w:type="dxa"/>
            <w:tcBorders>
              <w:top w:val="nil"/>
              <w:left w:val="nil"/>
              <w:bottom w:val="nil"/>
              <w:right w:val="nil"/>
            </w:tcBorders>
            <w:shd w:val="clear" w:color="auto" w:fill="auto"/>
            <w:noWrap/>
            <w:vAlign w:val="center"/>
            <w:hideMark/>
          </w:tcPr>
          <w:p w14:paraId="3ADF7E09" w14:textId="77777777" w:rsidR="006A521A" w:rsidRPr="006F0A5C" w:rsidRDefault="006A521A" w:rsidP="00816282">
            <w:pPr>
              <w:rPr>
                <w:color w:val="000000"/>
                <w:sz w:val="20"/>
                <w:szCs w:val="20"/>
              </w:rPr>
            </w:pPr>
            <w:r w:rsidRPr="006F0A5C">
              <w:rPr>
                <w:color w:val="000000"/>
                <w:sz w:val="20"/>
                <w:szCs w:val="20"/>
              </w:rPr>
              <w:t>Male</w:t>
            </w:r>
          </w:p>
        </w:tc>
        <w:tc>
          <w:tcPr>
            <w:tcW w:w="1460" w:type="dxa"/>
            <w:tcBorders>
              <w:top w:val="nil"/>
              <w:left w:val="nil"/>
              <w:bottom w:val="nil"/>
              <w:right w:val="nil"/>
            </w:tcBorders>
            <w:shd w:val="clear" w:color="auto" w:fill="auto"/>
            <w:noWrap/>
            <w:vAlign w:val="center"/>
            <w:hideMark/>
          </w:tcPr>
          <w:p w14:paraId="2AF2FEE1" w14:textId="77777777" w:rsidR="006A521A" w:rsidRPr="006F0A5C" w:rsidRDefault="006A521A" w:rsidP="00816282">
            <w:pPr>
              <w:jc w:val="center"/>
              <w:rPr>
                <w:color w:val="000000"/>
                <w:sz w:val="20"/>
                <w:szCs w:val="20"/>
              </w:rPr>
            </w:pPr>
            <w:r w:rsidRPr="006F0A5C">
              <w:rPr>
                <w:color w:val="000000"/>
                <w:sz w:val="20"/>
                <w:szCs w:val="20"/>
              </w:rPr>
              <w:t>159,766</w:t>
            </w:r>
          </w:p>
        </w:tc>
        <w:tc>
          <w:tcPr>
            <w:tcW w:w="1400" w:type="dxa"/>
            <w:tcBorders>
              <w:top w:val="nil"/>
              <w:left w:val="nil"/>
              <w:bottom w:val="nil"/>
              <w:right w:val="nil"/>
            </w:tcBorders>
            <w:shd w:val="clear" w:color="auto" w:fill="auto"/>
            <w:noWrap/>
            <w:vAlign w:val="center"/>
            <w:hideMark/>
          </w:tcPr>
          <w:p w14:paraId="4728CEE3" w14:textId="77777777" w:rsidR="006A521A" w:rsidRPr="006F0A5C" w:rsidRDefault="006A521A" w:rsidP="00816282">
            <w:pPr>
              <w:jc w:val="center"/>
              <w:rPr>
                <w:color w:val="000000"/>
                <w:sz w:val="20"/>
                <w:szCs w:val="20"/>
              </w:rPr>
            </w:pPr>
            <w:r w:rsidRPr="006F0A5C">
              <w:rPr>
                <w:color w:val="000000"/>
                <w:sz w:val="20"/>
                <w:szCs w:val="20"/>
              </w:rPr>
              <w:t>81,155</w:t>
            </w:r>
          </w:p>
        </w:tc>
        <w:tc>
          <w:tcPr>
            <w:tcW w:w="1400" w:type="dxa"/>
            <w:tcBorders>
              <w:top w:val="nil"/>
              <w:left w:val="nil"/>
              <w:bottom w:val="nil"/>
              <w:right w:val="nil"/>
            </w:tcBorders>
            <w:shd w:val="clear" w:color="auto" w:fill="auto"/>
            <w:noWrap/>
            <w:vAlign w:val="center"/>
            <w:hideMark/>
          </w:tcPr>
          <w:p w14:paraId="0395A971" w14:textId="77777777" w:rsidR="006A521A" w:rsidRPr="006F0A5C" w:rsidRDefault="006A521A" w:rsidP="00816282">
            <w:pPr>
              <w:jc w:val="center"/>
              <w:rPr>
                <w:color w:val="000000"/>
                <w:sz w:val="20"/>
                <w:szCs w:val="20"/>
              </w:rPr>
            </w:pPr>
            <w:r w:rsidRPr="006F0A5C">
              <w:rPr>
                <w:color w:val="000000"/>
                <w:sz w:val="20"/>
                <w:szCs w:val="20"/>
              </w:rPr>
              <w:t>22,792</w:t>
            </w:r>
          </w:p>
        </w:tc>
        <w:tc>
          <w:tcPr>
            <w:tcW w:w="1400" w:type="dxa"/>
            <w:tcBorders>
              <w:top w:val="nil"/>
              <w:left w:val="nil"/>
              <w:bottom w:val="nil"/>
              <w:right w:val="nil"/>
            </w:tcBorders>
            <w:shd w:val="clear" w:color="auto" w:fill="auto"/>
            <w:noWrap/>
            <w:vAlign w:val="center"/>
            <w:hideMark/>
          </w:tcPr>
          <w:p w14:paraId="1F9218C3" w14:textId="77777777" w:rsidR="006A521A" w:rsidRPr="006F0A5C" w:rsidRDefault="006A521A" w:rsidP="00816282">
            <w:pPr>
              <w:jc w:val="center"/>
              <w:rPr>
                <w:color w:val="000000"/>
                <w:sz w:val="20"/>
                <w:szCs w:val="20"/>
              </w:rPr>
            </w:pPr>
            <w:r w:rsidRPr="006F0A5C">
              <w:rPr>
                <w:color w:val="000000"/>
                <w:sz w:val="20"/>
                <w:szCs w:val="20"/>
              </w:rPr>
              <w:t>10,217</w:t>
            </w:r>
          </w:p>
        </w:tc>
        <w:tc>
          <w:tcPr>
            <w:tcW w:w="1400" w:type="dxa"/>
            <w:tcBorders>
              <w:top w:val="nil"/>
              <w:left w:val="nil"/>
              <w:bottom w:val="nil"/>
              <w:right w:val="nil"/>
            </w:tcBorders>
            <w:shd w:val="clear" w:color="auto" w:fill="auto"/>
            <w:noWrap/>
            <w:vAlign w:val="center"/>
            <w:hideMark/>
          </w:tcPr>
          <w:p w14:paraId="42CCB9F8" w14:textId="77777777" w:rsidR="006A521A" w:rsidRPr="006F0A5C" w:rsidRDefault="006A521A" w:rsidP="00816282">
            <w:pPr>
              <w:jc w:val="center"/>
              <w:rPr>
                <w:color w:val="000000"/>
                <w:sz w:val="20"/>
                <w:szCs w:val="20"/>
              </w:rPr>
            </w:pPr>
            <w:r w:rsidRPr="006F0A5C">
              <w:rPr>
                <w:color w:val="000000"/>
                <w:sz w:val="20"/>
                <w:szCs w:val="20"/>
              </w:rPr>
              <w:t>722</w:t>
            </w:r>
          </w:p>
        </w:tc>
      </w:tr>
      <w:tr w:rsidR="006A521A" w:rsidRPr="006F0A5C" w14:paraId="0B709EAF" w14:textId="77777777" w:rsidTr="00816282">
        <w:trPr>
          <w:trHeight w:val="320"/>
        </w:trPr>
        <w:tc>
          <w:tcPr>
            <w:tcW w:w="1300" w:type="dxa"/>
            <w:tcBorders>
              <w:top w:val="nil"/>
              <w:left w:val="nil"/>
              <w:bottom w:val="nil"/>
              <w:right w:val="nil"/>
            </w:tcBorders>
            <w:shd w:val="clear" w:color="auto" w:fill="auto"/>
            <w:noWrap/>
            <w:vAlign w:val="center"/>
            <w:hideMark/>
          </w:tcPr>
          <w:p w14:paraId="08BDE7E0" w14:textId="77777777" w:rsidR="006A521A" w:rsidRPr="006F0A5C" w:rsidRDefault="006A521A" w:rsidP="00816282">
            <w:pPr>
              <w:rPr>
                <w:color w:val="000000"/>
                <w:sz w:val="20"/>
                <w:szCs w:val="20"/>
              </w:rPr>
            </w:pPr>
            <w:r w:rsidRPr="006F0A5C">
              <w:rPr>
                <w:color w:val="000000"/>
                <w:sz w:val="20"/>
                <w:szCs w:val="20"/>
              </w:rPr>
              <w:t>Female</w:t>
            </w:r>
          </w:p>
        </w:tc>
        <w:tc>
          <w:tcPr>
            <w:tcW w:w="1460" w:type="dxa"/>
            <w:tcBorders>
              <w:top w:val="nil"/>
              <w:left w:val="nil"/>
              <w:bottom w:val="nil"/>
              <w:right w:val="nil"/>
            </w:tcBorders>
            <w:shd w:val="clear" w:color="auto" w:fill="auto"/>
            <w:noWrap/>
            <w:vAlign w:val="center"/>
            <w:hideMark/>
          </w:tcPr>
          <w:p w14:paraId="787543C7" w14:textId="77777777" w:rsidR="006A521A" w:rsidRPr="006F0A5C" w:rsidRDefault="006A521A" w:rsidP="00816282">
            <w:pPr>
              <w:jc w:val="center"/>
              <w:rPr>
                <w:color w:val="000000"/>
                <w:sz w:val="20"/>
                <w:szCs w:val="20"/>
              </w:rPr>
            </w:pPr>
            <w:r w:rsidRPr="006F0A5C">
              <w:rPr>
                <w:color w:val="000000"/>
                <w:sz w:val="20"/>
                <w:szCs w:val="20"/>
              </w:rPr>
              <w:t>159,581</w:t>
            </w:r>
          </w:p>
        </w:tc>
        <w:tc>
          <w:tcPr>
            <w:tcW w:w="1400" w:type="dxa"/>
            <w:tcBorders>
              <w:top w:val="nil"/>
              <w:left w:val="nil"/>
              <w:bottom w:val="nil"/>
              <w:right w:val="nil"/>
            </w:tcBorders>
            <w:shd w:val="clear" w:color="auto" w:fill="auto"/>
            <w:noWrap/>
            <w:vAlign w:val="center"/>
            <w:hideMark/>
          </w:tcPr>
          <w:p w14:paraId="45B62D77" w14:textId="77777777" w:rsidR="006A521A" w:rsidRPr="006F0A5C" w:rsidRDefault="006A521A" w:rsidP="00816282">
            <w:pPr>
              <w:jc w:val="center"/>
              <w:rPr>
                <w:color w:val="000000"/>
                <w:sz w:val="20"/>
                <w:szCs w:val="20"/>
              </w:rPr>
            </w:pPr>
            <w:r w:rsidRPr="006F0A5C">
              <w:rPr>
                <w:color w:val="000000"/>
                <w:sz w:val="20"/>
                <w:szCs w:val="20"/>
              </w:rPr>
              <w:t>74,999</w:t>
            </w:r>
          </w:p>
        </w:tc>
        <w:tc>
          <w:tcPr>
            <w:tcW w:w="1400" w:type="dxa"/>
            <w:tcBorders>
              <w:top w:val="nil"/>
              <w:left w:val="nil"/>
              <w:bottom w:val="nil"/>
              <w:right w:val="nil"/>
            </w:tcBorders>
            <w:shd w:val="clear" w:color="auto" w:fill="auto"/>
            <w:noWrap/>
            <w:vAlign w:val="center"/>
            <w:hideMark/>
          </w:tcPr>
          <w:p w14:paraId="78FB17F3" w14:textId="77777777" w:rsidR="006A521A" w:rsidRPr="006F0A5C" w:rsidRDefault="006A521A" w:rsidP="00816282">
            <w:pPr>
              <w:jc w:val="center"/>
              <w:rPr>
                <w:color w:val="000000"/>
                <w:sz w:val="20"/>
                <w:szCs w:val="20"/>
              </w:rPr>
            </w:pPr>
            <w:r w:rsidRPr="006F0A5C">
              <w:rPr>
                <w:color w:val="000000"/>
                <w:sz w:val="20"/>
                <w:szCs w:val="20"/>
              </w:rPr>
              <w:t>21,439</w:t>
            </w:r>
          </w:p>
        </w:tc>
        <w:tc>
          <w:tcPr>
            <w:tcW w:w="1400" w:type="dxa"/>
            <w:tcBorders>
              <w:top w:val="nil"/>
              <w:left w:val="nil"/>
              <w:bottom w:val="nil"/>
              <w:right w:val="nil"/>
            </w:tcBorders>
            <w:shd w:val="clear" w:color="auto" w:fill="auto"/>
            <w:noWrap/>
            <w:vAlign w:val="center"/>
            <w:hideMark/>
          </w:tcPr>
          <w:p w14:paraId="53D2D0CB" w14:textId="77777777" w:rsidR="006A521A" w:rsidRPr="006F0A5C" w:rsidRDefault="006A521A" w:rsidP="00816282">
            <w:pPr>
              <w:jc w:val="center"/>
              <w:rPr>
                <w:color w:val="000000"/>
                <w:sz w:val="20"/>
                <w:szCs w:val="20"/>
              </w:rPr>
            </w:pPr>
            <w:r w:rsidRPr="006F0A5C">
              <w:rPr>
                <w:color w:val="000000"/>
                <w:sz w:val="20"/>
                <w:szCs w:val="20"/>
              </w:rPr>
              <w:t>9,810</w:t>
            </w:r>
          </w:p>
        </w:tc>
        <w:tc>
          <w:tcPr>
            <w:tcW w:w="1400" w:type="dxa"/>
            <w:tcBorders>
              <w:top w:val="nil"/>
              <w:left w:val="nil"/>
              <w:bottom w:val="nil"/>
              <w:right w:val="nil"/>
            </w:tcBorders>
            <w:shd w:val="clear" w:color="auto" w:fill="auto"/>
            <w:noWrap/>
            <w:vAlign w:val="center"/>
            <w:hideMark/>
          </w:tcPr>
          <w:p w14:paraId="59A0DDFA" w14:textId="77777777" w:rsidR="006A521A" w:rsidRPr="006F0A5C" w:rsidRDefault="006A521A" w:rsidP="00816282">
            <w:pPr>
              <w:jc w:val="center"/>
              <w:rPr>
                <w:color w:val="000000"/>
                <w:sz w:val="20"/>
                <w:szCs w:val="20"/>
              </w:rPr>
            </w:pPr>
            <w:r w:rsidRPr="006F0A5C">
              <w:rPr>
                <w:color w:val="000000"/>
                <w:sz w:val="20"/>
                <w:szCs w:val="20"/>
              </w:rPr>
              <w:t>782</w:t>
            </w:r>
          </w:p>
        </w:tc>
      </w:tr>
      <w:tr w:rsidR="006A521A" w:rsidRPr="006F0A5C" w14:paraId="70BF050C" w14:textId="77777777" w:rsidTr="00816282">
        <w:trPr>
          <w:trHeight w:val="320"/>
        </w:trPr>
        <w:tc>
          <w:tcPr>
            <w:tcW w:w="1300" w:type="dxa"/>
            <w:tcBorders>
              <w:top w:val="nil"/>
              <w:left w:val="nil"/>
              <w:bottom w:val="nil"/>
              <w:right w:val="nil"/>
            </w:tcBorders>
            <w:shd w:val="clear" w:color="auto" w:fill="auto"/>
            <w:noWrap/>
            <w:vAlign w:val="center"/>
            <w:hideMark/>
          </w:tcPr>
          <w:p w14:paraId="7A845166" w14:textId="77777777" w:rsidR="006A521A" w:rsidRPr="006F0A5C" w:rsidRDefault="006A521A" w:rsidP="00816282">
            <w:pPr>
              <w:jc w:val="center"/>
              <w:rPr>
                <w:color w:val="000000"/>
                <w:sz w:val="20"/>
                <w:szCs w:val="20"/>
              </w:rPr>
            </w:pPr>
          </w:p>
        </w:tc>
        <w:tc>
          <w:tcPr>
            <w:tcW w:w="1460" w:type="dxa"/>
            <w:tcBorders>
              <w:top w:val="nil"/>
              <w:left w:val="nil"/>
              <w:bottom w:val="nil"/>
              <w:right w:val="nil"/>
            </w:tcBorders>
            <w:shd w:val="clear" w:color="auto" w:fill="auto"/>
            <w:noWrap/>
            <w:vAlign w:val="center"/>
            <w:hideMark/>
          </w:tcPr>
          <w:p w14:paraId="4133AE3D" w14:textId="77777777" w:rsidR="006A521A" w:rsidRPr="006F0A5C" w:rsidRDefault="006A521A" w:rsidP="00816282">
            <w:pPr>
              <w:rPr>
                <w:sz w:val="20"/>
                <w:szCs w:val="20"/>
              </w:rPr>
            </w:pPr>
          </w:p>
        </w:tc>
        <w:tc>
          <w:tcPr>
            <w:tcW w:w="1400" w:type="dxa"/>
            <w:tcBorders>
              <w:top w:val="nil"/>
              <w:left w:val="nil"/>
              <w:bottom w:val="nil"/>
              <w:right w:val="nil"/>
            </w:tcBorders>
            <w:shd w:val="clear" w:color="auto" w:fill="auto"/>
            <w:noWrap/>
            <w:vAlign w:val="center"/>
            <w:hideMark/>
          </w:tcPr>
          <w:p w14:paraId="76B0417C"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62CD1E64"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7213D557" w14:textId="77777777" w:rsidR="006A521A" w:rsidRPr="006F0A5C" w:rsidRDefault="006A521A" w:rsidP="00816282">
            <w:pPr>
              <w:jc w:val="center"/>
              <w:rPr>
                <w:sz w:val="20"/>
                <w:szCs w:val="20"/>
              </w:rPr>
            </w:pPr>
          </w:p>
        </w:tc>
        <w:tc>
          <w:tcPr>
            <w:tcW w:w="1400" w:type="dxa"/>
            <w:tcBorders>
              <w:top w:val="nil"/>
              <w:left w:val="nil"/>
              <w:bottom w:val="nil"/>
              <w:right w:val="nil"/>
            </w:tcBorders>
            <w:shd w:val="clear" w:color="auto" w:fill="auto"/>
            <w:noWrap/>
            <w:vAlign w:val="center"/>
            <w:hideMark/>
          </w:tcPr>
          <w:p w14:paraId="7DEC63D6" w14:textId="77777777" w:rsidR="006A521A" w:rsidRPr="006F0A5C" w:rsidRDefault="006A521A" w:rsidP="00816282">
            <w:pPr>
              <w:jc w:val="center"/>
              <w:rPr>
                <w:sz w:val="20"/>
                <w:szCs w:val="20"/>
              </w:rPr>
            </w:pPr>
          </w:p>
        </w:tc>
      </w:tr>
      <w:tr w:rsidR="006A521A" w:rsidRPr="006F0A5C" w14:paraId="65B09A83" w14:textId="77777777" w:rsidTr="00816282">
        <w:trPr>
          <w:trHeight w:val="320"/>
        </w:trPr>
        <w:tc>
          <w:tcPr>
            <w:tcW w:w="8360" w:type="dxa"/>
            <w:gridSpan w:val="6"/>
            <w:tcBorders>
              <w:top w:val="nil"/>
              <w:left w:val="nil"/>
              <w:bottom w:val="nil"/>
              <w:right w:val="nil"/>
            </w:tcBorders>
            <w:shd w:val="clear" w:color="auto" w:fill="auto"/>
            <w:noWrap/>
            <w:vAlign w:val="center"/>
            <w:hideMark/>
          </w:tcPr>
          <w:p w14:paraId="6B318462" w14:textId="77777777" w:rsidR="006A521A" w:rsidRPr="006F0A5C" w:rsidRDefault="006A521A" w:rsidP="00816282">
            <w:pPr>
              <w:rPr>
                <w:i/>
                <w:iCs/>
                <w:color w:val="000000"/>
                <w:sz w:val="20"/>
                <w:szCs w:val="20"/>
              </w:rPr>
            </w:pPr>
            <w:r w:rsidRPr="006F0A5C">
              <w:rPr>
                <w:i/>
                <w:iCs/>
                <w:color w:val="000000"/>
                <w:sz w:val="20"/>
                <w:szCs w:val="20"/>
              </w:rPr>
              <w:t>D. Marginal health effects - Manchester (C*(A/B)</w:t>
            </w:r>
          </w:p>
        </w:tc>
      </w:tr>
      <w:tr w:rsidR="006A521A" w:rsidRPr="006F0A5C" w14:paraId="38772CFF" w14:textId="77777777" w:rsidTr="00816282">
        <w:trPr>
          <w:trHeight w:val="320"/>
        </w:trPr>
        <w:tc>
          <w:tcPr>
            <w:tcW w:w="1300" w:type="dxa"/>
            <w:tcBorders>
              <w:top w:val="nil"/>
              <w:left w:val="nil"/>
              <w:bottom w:val="nil"/>
              <w:right w:val="nil"/>
            </w:tcBorders>
            <w:shd w:val="clear" w:color="auto" w:fill="auto"/>
            <w:noWrap/>
            <w:vAlign w:val="center"/>
            <w:hideMark/>
          </w:tcPr>
          <w:p w14:paraId="4324779F" w14:textId="77777777" w:rsidR="006A521A" w:rsidRPr="006F0A5C" w:rsidRDefault="006A521A" w:rsidP="00816282">
            <w:pPr>
              <w:rPr>
                <w:color w:val="000000"/>
                <w:sz w:val="20"/>
                <w:szCs w:val="20"/>
              </w:rPr>
            </w:pPr>
            <w:r w:rsidRPr="006F0A5C">
              <w:rPr>
                <w:color w:val="000000"/>
                <w:sz w:val="20"/>
                <w:szCs w:val="20"/>
              </w:rPr>
              <w:t>Male</w:t>
            </w:r>
          </w:p>
        </w:tc>
        <w:tc>
          <w:tcPr>
            <w:tcW w:w="1460" w:type="dxa"/>
            <w:tcBorders>
              <w:top w:val="nil"/>
              <w:left w:val="nil"/>
              <w:bottom w:val="nil"/>
              <w:right w:val="nil"/>
            </w:tcBorders>
            <w:shd w:val="clear" w:color="auto" w:fill="auto"/>
            <w:noWrap/>
            <w:vAlign w:val="center"/>
            <w:hideMark/>
          </w:tcPr>
          <w:p w14:paraId="690DD50B" w14:textId="77777777" w:rsidR="006A521A" w:rsidRPr="006F0A5C" w:rsidRDefault="006A521A" w:rsidP="00816282">
            <w:pPr>
              <w:jc w:val="center"/>
              <w:rPr>
                <w:color w:val="000000"/>
                <w:sz w:val="20"/>
                <w:szCs w:val="20"/>
              </w:rPr>
            </w:pPr>
            <w:r w:rsidRPr="006F0A5C">
              <w:rPr>
                <w:color w:val="000000"/>
                <w:sz w:val="20"/>
                <w:szCs w:val="20"/>
              </w:rPr>
              <w:t>0.00355</w:t>
            </w:r>
          </w:p>
        </w:tc>
        <w:tc>
          <w:tcPr>
            <w:tcW w:w="1400" w:type="dxa"/>
            <w:tcBorders>
              <w:top w:val="nil"/>
              <w:left w:val="nil"/>
              <w:bottom w:val="nil"/>
              <w:right w:val="nil"/>
            </w:tcBorders>
            <w:shd w:val="clear" w:color="auto" w:fill="auto"/>
            <w:noWrap/>
            <w:vAlign w:val="center"/>
            <w:hideMark/>
          </w:tcPr>
          <w:p w14:paraId="52B2EF5F" w14:textId="77777777" w:rsidR="006A521A" w:rsidRPr="006F0A5C" w:rsidRDefault="006A521A" w:rsidP="00816282">
            <w:pPr>
              <w:jc w:val="center"/>
              <w:rPr>
                <w:color w:val="000000"/>
                <w:sz w:val="20"/>
                <w:szCs w:val="20"/>
              </w:rPr>
            </w:pPr>
            <w:r w:rsidRPr="006F0A5C">
              <w:rPr>
                <w:color w:val="000000"/>
                <w:sz w:val="20"/>
                <w:szCs w:val="20"/>
              </w:rPr>
              <w:t>0.00143</w:t>
            </w:r>
          </w:p>
        </w:tc>
        <w:tc>
          <w:tcPr>
            <w:tcW w:w="1400" w:type="dxa"/>
            <w:tcBorders>
              <w:top w:val="nil"/>
              <w:left w:val="nil"/>
              <w:bottom w:val="nil"/>
              <w:right w:val="nil"/>
            </w:tcBorders>
            <w:shd w:val="clear" w:color="auto" w:fill="auto"/>
            <w:noWrap/>
            <w:vAlign w:val="center"/>
            <w:hideMark/>
          </w:tcPr>
          <w:p w14:paraId="3595EA53" w14:textId="77777777" w:rsidR="006A521A" w:rsidRPr="006F0A5C" w:rsidRDefault="006A521A" w:rsidP="00816282">
            <w:pPr>
              <w:jc w:val="center"/>
              <w:rPr>
                <w:color w:val="000000"/>
                <w:sz w:val="20"/>
                <w:szCs w:val="20"/>
              </w:rPr>
            </w:pPr>
            <w:r w:rsidRPr="006F0A5C">
              <w:rPr>
                <w:color w:val="000000"/>
                <w:sz w:val="20"/>
                <w:szCs w:val="20"/>
              </w:rPr>
              <w:t>0.00042</w:t>
            </w:r>
          </w:p>
        </w:tc>
        <w:tc>
          <w:tcPr>
            <w:tcW w:w="1400" w:type="dxa"/>
            <w:tcBorders>
              <w:top w:val="nil"/>
              <w:left w:val="nil"/>
              <w:bottom w:val="nil"/>
              <w:right w:val="nil"/>
            </w:tcBorders>
            <w:shd w:val="clear" w:color="auto" w:fill="auto"/>
            <w:noWrap/>
            <w:vAlign w:val="center"/>
            <w:hideMark/>
          </w:tcPr>
          <w:p w14:paraId="534B51AF" w14:textId="77777777" w:rsidR="006A521A" w:rsidRPr="006F0A5C" w:rsidRDefault="006A521A" w:rsidP="00816282">
            <w:pPr>
              <w:jc w:val="center"/>
              <w:rPr>
                <w:color w:val="000000"/>
                <w:sz w:val="20"/>
                <w:szCs w:val="20"/>
              </w:rPr>
            </w:pPr>
            <w:r w:rsidRPr="006F0A5C">
              <w:rPr>
                <w:color w:val="000000"/>
                <w:sz w:val="20"/>
                <w:szCs w:val="20"/>
              </w:rPr>
              <w:t>0.00014</w:t>
            </w:r>
          </w:p>
        </w:tc>
        <w:tc>
          <w:tcPr>
            <w:tcW w:w="1400" w:type="dxa"/>
            <w:tcBorders>
              <w:top w:val="nil"/>
              <w:left w:val="nil"/>
              <w:bottom w:val="nil"/>
              <w:right w:val="nil"/>
            </w:tcBorders>
            <w:shd w:val="clear" w:color="auto" w:fill="auto"/>
            <w:noWrap/>
            <w:vAlign w:val="center"/>
            <w:hideMark/>
          </w:tcPr>
          <w:p w14:paraId="0B89971F" w14:textId="77777777" w:rsidR="006A521A" w:rsidRPr="006F0A5C" w:rsidRDefault="006A521A" w:rsidP="00816282">
            <w:pPr>
              <w:jc w:val="center"/>
              <w:rPr>
                <w:color w:val="000000"/>
                <w:sz w:val="20"/>
                <w:szCs w:val="20"/>
              </w:rPr>
            </w:pPr>
            <w:r w:rsidRPr="006F0A5C">
              <w:rPr>
                <w:color w:val="000000"/>
                <w:sz w:val="20"/>
                <w:szCs w:val="20"/>
              </w:rPr>
              <w:t>0.00001</w:t>
            </w:r>
          </w:p>
        </w:tc>
      </w:tr>
      <w:tr w:rsidR="006A521A" w:rsidRPr="006F0A5C" w14:paraId="04ABF3D6" w14:textId="77777777" w:rsidTr="00816282">
        <w:trPr>
          <w:trHeight w:val="320"/>
        </w:trPr>
        <w:tc>
          <w:tcPr>
            <w:tcW w:w="1300" w:type="dxa"/>
            <w:tcBorders>
              <w:top w:val="nil"/>
              <w:left w:val="nil"/>
              <w:bottom w:val="single" w:sz="4" w:space="0" w:color="auto"/>
              <w:right w:val="nil"/>
            </w:tcBorders>
            <w:shd w:val="clear" w:color="auto" w:fill="auto"/>
            <w:noWrap/>
            <w:vAlign w:val="center"/>
            <w:hideMark/>
          </w:tcPr>
          <w:p w14:paraId="4F05F6F9" w14:textId="77777777" w:rsidR="006A521A" w:rsidRPr="006F0A5C" w:rsidRDefault="006A521A" w:rsidP="00816282">
            <w:pPr>
              <w:rPr>
                <w:color w:val="000000"/>
                <w:sz w:val="20"/>
                <w:szCs w:val="20"/>
              </w:rPr>
            </w:pPr>
            <w:r w:rsidRPr="006F0A5C">
              <w:rPr>
                <w:color w:val="000000"/>
                <w:sz w:val="20"/>
                <w:szCs w:val="20"/>
              </w:rPr>
              <w:t>Female</w:t>
            </w:r>
          </w:p>
        </w:tc>
        <w:tc>
          <w:tcPr>
            <w:tcW w:w="1460" w:type="dxa"/>
            <w:tcBorders>
              <w:top w:val="nil"/>
              <w:left w:val="nil"/>
              <w:bottom w:val="single" w:sz="4" w:space="0" w:color="auto"/>
              <w:right w:val="nil"/>
            </w:tcBorders>
            <w:shd w:val="clear" w:color="auto" w:fill="auto"/>
            <w:noWrap/>
            <w:vAlign w:val="center"/>
            <w:hideMark/>
          </w:tcPr>
          <w:p w14:paraId="32E07B1C" w14:textId="77777777" w:rsidR="006A521A" w:rsidRPr="006F0A5C" w:rsidRDefault="006A521A" w:rsidP="00816282">
            <w:pPr>
              <w:jc w:val="center"/>
              <w:rPr>
                <w:color w:val="000000"/>
                <w:sz w:val="20"/>
                <w:szCs w:val="20"/>
              </w:rPr>
            </w:pPr>
            <w:r w:rsidRPr="006F0A5C">
              <w:rPr>
                <w:color w:val="000000"/>
                <w:sz w:val="20"/>
                <w:szCs w:val="20"/>
              </w:rPr>
              <w:t>0.00394</w:t>
            </w:r>
          </w:p>
        </w:tc>
        <w:tc>
          <w:tcPr>
            <w:tcW w:w="1400" w:type="dxa"/>
            <w:tcBorders>
              <w:top w:val="nil"/>
              <w:left w:val="nil"/>
              <w:bottom w:val="single" w:sz="4" w:space="0" w:color="auto"/>
              <w:right w:val="nil"/>
            </w:tcBorders>
            <w:shd w:val="clear" w:color="auto" w:fill="auto"/>
            <w:noWrap/>
            <w:vAlign w:val="center"/>
            <w:hideMark/>
          </w:tcPr>
          <w:p w14:paraId="68DFB40A" w14:textId="77777777" w:rsidR="006A521A" w:rsidRPr="006F0A5C" w:rsidRDefault="006A521A" w:rsidP="00816282">
            <w:pPr>
              <w:jc w:val="center"/>
              <w:rPr>
                <w:color w:val="000000"/>
                <w:sz w:val="20"/>
                <w:szCs w:val="20"/>
              </w:rPr>
            </w:pPr>
            <w:r w:rsidRPr="006F0A5C">
              <w:rPr>
                <w:color w:val="000000"/>
                <w:sz w:val="20"/>
                <w:szCs w:val="20"/>
              </w:rPr>
              <w:t>0.00156</w:t>
            </w:r>
          </w:p>
        </w:tc>
        <w:tc>
          <w:tcPr>
            <w:tcW w:w="1400" w:type="dxa"/>
            <w:tcBorders>
              <w:top w:val="nil"/>
              <w:left w:val="nil"/>
              <w:bottom w:val="single" w:sz="4" w:space="0" w:color="auto"/>
              <w:right w:val="nil"/>
            </w:tcBorders>
            <w:shd w:val="clear" w:color="auto" w:fill="auto"/>
            <w:noWrap/>
            <w:vAlign w:val="center"/>
            <w:hideMark/>
          </w:tcPr>
          <w:p w14:paraId="690ADFC9" w14:textId="77777777" w:rsidR="006A521A" w:rsidRPr="006F0A5C" w:rsidRDefault="006A521A" w:rsidP="00816282">
            <w:pPr>
              <w:jc w:val="center"/>
              <w:rPr>
                <w:color w:val="000000"/>
                <w:sz w:val="20"/>
                <w:szCs w:val="20"/>
              </w:rPr>
            </w:pPr>
            <w:r w:rsidRPr="006F0A5C">
              <w:rPr>
                <w:color w:val="000000"/>
                <w:sz w:val="20"/>
                <w:szCs w:val="20"/>
              </w:rPr>
              <w:t>0.00045</w:t>
            </w:r>
          </w:p>
        </w:tc>
        <w:tc>
          <w:tcPr>
            <w:tcW w:w="1400" w:type="dxa"/>
            <w:tcBorders>
              <w:top w:val="nil"/>
              <w:left w:val="nil"/>
              <w:bottom w:val="single" w:sz="4" w:space="0" w:color="auto"/>
              <w:right w:val="nil"/>
            </w:tcBorders>
            <w:shd w:val="clear" w:color="auto" w:fill="auto"/>
            <w:noWrap/>
            <w:vAlign w:val="center"/>
            <w:hideMark/>
          </w:tcPr>
          <w:p w14:paraId="61382165" w14:textId="77777777" w:rsidR="006A521A" w:rsidRPr="006F0A5C" w:rsidRDefault="006A521A" w:rsidP="00816282">
            <w:pPr>
              <w:jc w:val="center"/>
              <w:rPr>
                <w:color w:val="000000"/>
                <w:sz w:val="20"/>
                <w:szCs w:val="20"/>
              </w:rPr>
            </w:pPr>
            <w:r w:rsidRPr="006F0A5C">
              <w:rPr>
                <w:color w:val="000000"/>
                <w:sz w:val="20"/>
                <w:szCs w:val="20"/>
              </w:rPr>
              <w:t>0.00015</w:t>
            </w:r>
          </w:p>
        </w:tc>
        <w:tc>
          <w:tcPr>
            <w:tcW w:w="1400" w:type="dxa"/>
            <w:tcBorders>
              <w:top w:val="nil"/>
              <w:left w:val="nil"/>
              <w:bottom w:val="single" w:sz="4" w:space="0" w:color="auto"/>
              <w:right w:val="nil"/>
            </w:tcBorders>
            <w:shd w:val="clear" w:color="auto" w:fill="auto"/>
            <w:noWrap/>
            <w:vAlign w:val="center"/>
            <w:hideMark/>
          </w:tcPr>
          <w:p w14:paraId="416617CD" w14:textId="77777777" w:rsidR="006A521A" w:rsidRPr="006F0A5C" w:rsidRDefault="006A521A" w:rsidP="00816282">
            <w:pPr>
              <w:jc w:val="center"/>
              <w:rPr>
                <w:color w:val="000000"/>
                <w:sz w:val="20"/>
                <w:szCs w:val="20"/>
              </w:rPr>
            </w:pPr>
            <w:r w:rsidRPr="006F0A5C">
              <w:rPr>
                <w:color w:val="000000"/>
                <w:sz w:val="20"/>
                <w:szCs w:val="20"/>
              </w:rPr>
              <w:t>0.00001</w:t>
            </w:r>
          </w:p>
        </w:tc>
      </w:tr>
    </w:tbl>
    <w:p w14:paraId="53B5FC7B" w14:textId="77777777" w:rsidR="006A521A" w:rsidRDefault="006A521A" w:rsidP="006A521A">
      <w:pPr>
        <w:widowControl w:val="0"/>
        <w:autoSpaceDE w:val="0"/>
        <w:autoSpaceDN w:val="0"/>
        <w:adjustRightInd w:val="0"/>
      </w:pPr>
    </w:p>
    <w:p w14:paraId="07A3ED2E" w14:textId="77777777" w:rsidR="006A521A" w:rsidRDefault="006A521A" w:rsidP="006A521A">
      <w:pPr>
        <w:widowControl w:val="0"/>
        <w:autoSpaceDE w:val="0"/>
        <w:autoSpaceDN w:val="0"/>
        <w:adjustRightInd w:val="0"/>
      </w:pPr>
      <w:r>
        <w:t>The weighting factor can then compare the proportion of the overall health effect accruing to those in the LA with its share of the general population. In the example above, Manchester’s share of the health effects (0.0117) is greater than its share of the population (0.0098), yielding a weighting factor of 1.191.</w:t>
      </w:r>
    </w:p>
    <w:p w14:paraId="36CE9FCE" w14:textId="77777777" w:rsidR="006A521A" w:rsidRPr="00745111" w:rsidRDefault="006A521A" w:rsidP="006A521A">
      <w:pPr>
        <w:widowControl w:val="0"/>
        <w:autoSpaceDE w:val="0"/>
        <w:autoSpaceDN w:val="0"/>
        <w:adjustRightInd w:val="0"/>
      </w:pPr>
    </w:p>
    <w:p w14:paraId="382F8861" w14:textId="2FD56E1D" w:rsidR="006A521A" w:rsidRDefault="006A521A">
      <w:pPr>
        <w:spacing w:after="160" w:line="259" w:lineRule="auto"/>
      </w:pPr>
      <w:r>
        <w:br w:type="page"/>
      </w:r>
    </w:p>
    <w:p w14:paraId="29EE24EE" w14:textId="77777777" w:rsidR="006A521A" w:rsidRPr="003118B4" w:rsidRDefault="006A521A" w:rsidP="003118B4"/>
    <w:p w14:paraId="590A02C8" w14:textId="5D3A0445" w:rsidR="00DA3BB3" w:rsidRDefault="00DA3BB3" w:rsidP="00C508B7">
      <w:pPr>
        <w:pStyle w:val="Heading1"/>
      </w:pPr>
      <w:r>
        <w:t xml:space="preserve">Appendix </w:t>
      </w:r>
      <w:r w:rsidR="006A521A">
        <w:t>C</w:t>
      </w:r>
      <w:r>
        <w:t xml:space="preserve"> – Description of Claxton et al. study </w:t>
      </w:r>
      <w:r w:rsidR="00D877B3">
        <w:t>estimating the effect of NHS expenditure on quality-adjusted life years</w:t>
      </w:r>
    </w:p>
    <w:p w14:paraId="230C8953" w14:textId="77777777" w:rsidR="00DA3BB3" w:rsidRPr="00DA3BB3" w:rsidRDefault="00DA3BB3" w:rsidP="00C508B7"/>
    <w:p w14:paraId="0DF6D93A" w14:textId="7DAB1D63" w:rsidR="00DA3BB3" w:rsidRDefault="00DA3BB3" w:rsidP="00C508B7">
      <w:pPr>
        <w:pStyle w:val="Heading2"/>
      </w:pPr>
      <w:r>
        <w:t>Effect of</w:t>
      </w:r>
      <w:r w:rsidRPr="006F4B58">
        <w:t xml:space="preserve"> expenditure </w:t>
      </w:r>
      <w:r>
        <w:t>on</w:t>
      </w:r>
      <w:r w:rsidRPr="006F4B58">
        <w:t xml:space="preserve"> mortalit</w:t>
      </w:r>
      <w:r>
        <w:t>y</w:t>
      </w:r>
      <w:bookmarkEnd w:id="0"/>
      <w:bookmarkEnd w:id="1"/>
      <w:bookmarkEnd w:id="2"/>
      <w:bookmarkEnd w:id="3"/>
    </w:p>
    <w:p w14:paraId="51F8483B" w14:textId="77777777" w:rsidR="00DA3BB3" w:rsidRDefault="00DA3BB3" w:rsidP="00C508B7"/>
    <w:p w14:paraId="3CF7E82F" w14:textId="493BF562" w:rsidR="00DA3BB3" w:rsidRDefault="00DA3BB3" w:rsidP="008E6AD0">
      <w:r w:rsidRPr="00C43DE2">
        <w:t xml:space="preserve">Since 2003, each regional spending body of the </w:t>
      </w:r>
      <w:r>
        <w:t xml:space="preserve">English </w:t>
      </w:r>
      <w:r w:rsidRPr="00C43DE2">
        <w:t>NHS (formerly Primary Care Trusts, now Clinical Commissioning Groups) ha</w:t>
      </w:r>
      <w:r>
        <w:t>s</w:t>
      </w:r>
      <w:r w:rsidRPr="00C43DE2">
        <w:t xml:space="preserve"> been required to categorise all expenditure into one of 23 </w:t>
      </w:r>
      <w:r>
        <w:t>programme budgeting categories (</w:t>
      </w:r>
      <w:r w:rsidRPr="00C43DE2">
        <w:t>PBC</w:t>
      </w:r>
      <w:r>
        <w:t>)</w:t>
      </w:r>
      <w:r w:rsidRPr="00C43DE2">
        <w:t>. Each PBC covers a broad clinical area such as cancer</w:t>
      </w:r>
      <w:r>
        <w:t xml:space="preserve"> or</w:t>
      </w:r>
      <w:r w:rsidRPr="00C43DE2">
        <w:t xml:space="preserve"> infectious disease, and is defined by a subset of International Classification of Disease (ICD) Version 10 codes.  </w:t>
      </w:r>
      <w:r>
        <w:t xml:space="preserve">Martin et al. showed how </w:t>
      </w:r>
      <w:r w:rsidRPr="00C43DE2">
        <w:t xml:space="preserve">observations on expenditure could be linked to </w:t>
      </w:r>
      <w:r>
        <w:t>mortality</w:t>
      </w:r>
      <w:r w:rsidRPr="00C43DE2">
        <w:t xml:space="preserve"> using routine </w:t>
      </w:r>
      <w:r>
        <w:t>Primary Care Trust</w:t>
      </w:r>
      <w:r w:rsidRPr="00C43DE2">
        <w:t xml:space="preserve"> level data </w:t>
      </w:r>
      <w:r>
        <w:t>within</w:t>
      </w:r>
      <w:r w:rsidRPr="00C43DE2">
        <w:t xml:space="preserve"> each PBC</w:t>
      </w:r>
      <w:r w:rsidR="0015636C">
        <w:t xml:space="preserve"> [5],[16]</w:t>
      </w:r>
      <w:r>
        <w:t xml:space="preserve"> </w:t>
      </w:r>
      <w:r w:rsidRPr="00C43DE2">
        <w:t xml:space="preserve">Claxton </w:t>
      </w:r>
      <w:r>
        <w:t>and colleagues built on this analysis using more recent data that included all 152 Primary Care Trusts and covered all programmes of care.</w:t>
      </w:r>
      <w:r w:rsidRPr="00C43DE2">
        <w:t xml:space="preserve">  </w:t>
      </w:r>
    </w:p>
    <w:p w14:paraId="0D932A5E" w14:textId="77777777" w:rsidR="00DA3BB3" w:rsidRDefault="00DA3BB3" w:rsidP="00C508B7"/>
    <w:p w14:paraId="61CD2313" w14:textId="54AEC7C1" w:rsidR="00DA3BB3" w:rsidRDefault="00DA3BB3" w:rsidP="008E6AD0">
      <w:r>
        <w:t>Analysis of c</w:t>
      </w:r>
      <w:r w:rsidRPr="00C43DE2">
        <w:t xml:space="preserve">ross-sectional </w:t>
      </w:r>
      <w:bookmarkStart w:id="4" w:name="_GoBack"/>
      <w:bookmarkEnd w:id="4"/>
      <w:r>
        <w:t>data can potentially</w:t>
      </w:r>
      <w:r w:rsidRPr="00C43DE2">
        <w:t xml:space="preserve"> suffer from endogeneity</w:t>
      </w:r>
      <w:r>
        <w:t xml:space="preserve"> bias;</w:t>
      </w:r>
      <w:r w:rsidRPr="00C43DE2">
        <w:t xml:space="preserve"> </w:t>
      </w:r>
      <w:r>
        <w:t>for example, reverse causality if poor health outcomes motivate decision-makers to increase health expenditure</w:t>
      </w:r>
      <w:r w:rsidRPr="00C43DE2">
        <w:t xml:space="preserve">. These </w:t>
      </w:r>
      <w:r>
        <w:t xml:space="preserve">and other </w:t>
      </w:r>
      <w:r w:rsidRPr="00C43DE2">
        <w:t xml:space="preserve">problems </w:t>
      </w:r>
      <w:r>
        <w:t>may account for the</w:t>
      </w:r>
      <w:r w:rsidRPr="00C43DE2">
        <w:t xml:space="preserve"> substantial variation in published estimates of the magnitude of the health effect of additional </w:t>
      </w:r>
      <w:r>
        <w:t>health care</w:t>
      </w:r>
      <w:r w:rsidRPr="00C43DE2">
        <w:t xml:space="preserve"> expenditure</w:t>
      </w:r>
      <w:r>
        <w:t xml:space="preserve"> </w:t>
      </w:r>
      <w:r w:rsidR="0015636C">
        <w:t>[2]-[7]</w:t>
      </w:r>
      <w:r>
        <w:t>.</w:t>
      </w:r>
      <w:r w:rsidRPr="00C43DE2">
        <w:t xml:space="preserve"> </w:t>
      </w:r>
      <w:r>
        <w:t>Claxton and colleagues therefore use a two-stage least squares in</w:t>
      </w:r>
      <w:r w:rsidRPr="00C43DE2">
        <w:t>strumental variables approach</w:t>
      </w:r>
      <w:r w:rsidR="0015636C">
        <w:t xml:space="preserve"> to account for endogeneity. </w:t>
      </w:r>
      <w:r w:rsidRPr="00C43DE2">
        <w:t xml:space="preserve">Two equations </w:t>
      </w:r>
      <w:r>
        <w:t>are</w:t>
      </w:r>
      <w:r w:rsidRPr="00C43DE2">
        <w:t xml:space="preserve"> estimated for each PBC: an expenditure equation linking the NHS budget to PBC expenditure</w:t>
      </w:r>
      <w:r>
        <w:t xml:space="preserve"> and </w:t>
      </w:r>
      <w:r w:rsidRPr="00C43DE2">
        <w:t>an outcome equatio</w:t>
      </w:r>
      <w:r>
        <w:t xml:space="preserve">n linking PBC mortality to PBC expenditure in a particular year. The equations </w:t>
      </w:r>
      <w:r w:rsidRPr="00C43DE2">
        <w:t xml:space="preserve">control for need </w:t>
      </w:r>
      <w:r>
        <w:t>by including</w:t>
      </w:r>
      <w:r w:rsidRPr="00C43DE2">
        <w:t xml:space="preserve"> the Department of Health’s formula for regional need </w:t>
      </w:r>
      <w:r>
        <w:t>and/</w:t>
      </w:r>
      <w:r w:rsidRPr="00C43DE2">
        <w:t xml:space="preserve">or programme-specific </w:t>
      </w:r>
      <w:r>
        <w:t xml:space="preserve">variables </w:t>
      </w:r>
      <w:r w:rsidRPr="00C43DE2">
        <w:t>(such as diabetes prevalence rates)</w:t>
      </w:r>
      <w:r>
        <w:t>. T</w:t>
      </w:r>
      <w:r w:rsidRPr="00C43DE2">
        <w:t>hree-year average</w:t>
      </w:r>
      <w:r>
        <w:t>s</w:t>
      </w:r>
      <w:r w:rsidRPr="00C43DE2">
        <w:t xml:space="preserve"> of </w:t>
      </w:r>
      <w:r>
        <w:t>mortality</w:t>
      </w:r>
      <w:r w:rsidRPr="00C43DE2">
        <w:t xml:space="preserve"> </w:t>
      </w:r>
      <w:r>
        <w:t>are</w:t>
      </w:r>
      <w:r w:rsidRPr="00C43DE2">
        <w:t xml:space="preserve"> used to account for temporal fluctuations, the first year of which align</w:t>
      </w:r>
      <w:r>
        <w:t>s</w:t>
      </w:r>
      <w:r w:rsidRPr="00C43DE2">
        <w:t xml:space="preserve"> with that of the expenditure data, thereby allowing for a lagged effect of the latter on the former to be captured. Since mortality data </w:t>
      </w:r>
      <w:r>
        <w:t>are</w:t>
      </w:r>
      <w:r w:rsidRPr="00C43DE2">
        <w:t xml:space="preserve"> only available for </w:t>
      </w:r>
      <w:r>
        <w:t>eleven</w:t>
      </w:r>
      <w:r w:rsidRPr="00C43DE2">
        <w:t xml:space="preserve"> PBCs</w:t>
      </w:r>
      <w:r w:rsidRPr="00411D44">
        <w:t xml:space="preserve">, </w:t>
      </w:r>
      <w:r w:rsidRPr="00411D44">
        <w:rPr>
          <w:lang w:val="en-US"/>
        </w:rPr>
        <w:t xml:space="preserve">the productivity of the </w:t>
      </w:r>
      <w:r>
        <w:rPr>
          <w:lang w:val="en-US"/>
        </w:rPr>
        <w:t>remainder</w:t>
      </w:r>
      <w:r w:rsidRPr="00411D44">
        <w:rPr>
          <w:lang w:val="en-US"/>
        </w:rPr>
        <w:t xml:space="preserve"> </w:t>
      </w:r>
      <w:r>
        <w:rPr>
          <w:lang w:val="en-US"/>
        </w:rPr>
        <w:t>are</w:t>
      </w:r>
      <w:r w:rsidRPr="00411D44">
        <w:rPr>
          <w:lang w:val="en-US"/>
        </w:rPr>
        <w:t xml:space="preserve"> assumed to be equal to the average of th</w:t>
      </w:r>
      <w:r>
        <w:rPr>
          <w:lang w:val="en-US"/>
        </w:rPr>
        <w:t>os</w:t>
      </w:r>
      <w:r w:rsidRPr="00411D44">
        <w:rPr>
          <w:lang w:val="en-US"/>
        </w:rPr>
        <w:t>e where health effects could be estimated</w:t>
      </w:r>
      <w:r>
        <w:rPr>
          <w:lang w:val="en-US"/>
        </w:rPr>
        <w:t xml:space="preserve"> </w:t>
      </w:r>
      <w:r w:rsidRPr="00411D44">
        <w:rPr>
          <w:lang w:val="en-US"/>
        </w:rPr>
        <w:t>(</w:t>
      </w:r>
      <w:r>
        <w:rPr>
          <w:lang w:val="en-US"/>
        </w:rPr>
        <w:t xml:space="preserve">with the exception of </w:t>
      </w:r>
      <w:r w:rsidRPr="00411D44">
        <w:rPr>
          <w:lang w:val="en-US"/>
        </w:rPr>
        <w:t>PBC 23</w:t>
      </w:r>
      <w:r>
        <w:rPr>
          <w:lang w:val="en-US"/>
        </w:rPr>
        <w:t>, 'other',</w:t>
      </w:r>
      <w:r w:rsidRPr="00411D44">
        <w:rPr>
          <w:lang w:val="en-US"/>
        </w:rPr>
        <w:t xml:space="preserve"> </w:t>
      </w:r>
      <w:r>
        <w:rPr>
          <w:lang w:val="en-US"/>
        </w:rPr>
        <w:t xml:space="preserve">which is </w:t>
      </w:r>
      <w:r w:rsidRPr="00411D44">
        <w:rPr>
          <w:lang w:val="en-US"/>
        </w:rPr>
        <w:t>assumed to have zero health gain)</w:t>
      </w:r>
      <w:r w:rsidRPr="00411D44">
        <w:t>.</w:t>
      </w:r>
      <w:r>
        <w:t xml:space="preserve"> The expenditure and outcome equations, respectively, are as follows:</w:t>
      </w:r>
    </w:p>
    <w:p w14:paraId="15C78252" w14:textId="77777777" w:rsidR="00DA3BB3" w:rsidRDefault="00DA3BB3" w:rsidP="00C508B7"/>
    <w:p w14:paraId="21DF4547" w14:textId="77777777" w:rsidR="00DA3BB3" w:rsidRDefault="001162D8" w:rsidP="00C508B7">
      <w:pPr>
        <w:ind w:firstLine="720"/>
      </w:p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=α+β</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+θ</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DA3BB3">
        <w:t xml:space="preserve"> for </w:t>
      </w:r>
      <m:oMath>
        <m:r>
          <w:rPr>
            <w:rFonts w:ascii="Cambria Math" w:hAnsi="Cambria Math"/>
          </w:rPr>
          <m:t>i=1,…,15</m:t>
        </m:r>
      </m:oMath>
      <w:r w:rsidR="00DA3BB3">
        <w:t>2</w:t>
      </w:r>
    </w:p>
    <w:p w14:paraId="0D718532" w14:textId="77777777" w:rsidR="00DA3BB3" w:rsidRDefault="00DA3BB3" w:rsidP="00C508B7">
      <w:pPr>
        <w:ind w:firstLine="720"/>
      </w:pPr>
    </w:p>
    <w:p w14:paraId="570F7ED1" w14:textId="77777777" w:rsidR="00DA3BB3" w:rsidRDefault="001162D8" w:rsidP="00C508B7">
      <w:pPr>
        <w:ind w:firstLine="720"/>
      </w:pP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=ρ+δ</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+π</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DA3BB3">
        <w:t xml:space="preserve"> for </w:t>
      </w:r>
      <m:oMath>
        <m:r>
          <w:rPr>
            <w:rFonts w:ascii="Cambria Math" w:hAnsi="Cambria Math"/>
          </w:rPr>
          <m:t>i=1,…,15</m:t>
        </m:r>
      </m:oMath>
      <w:r w:rsidR="00DA3BB3">
        <w:t>2</w:t>
      </w:r>
    </w:p>
    <w:p w14:paraId="088105D9" w14:textId="77777777" w:rsidR="00DA3BB3" w:rsidRDefault="00DA3BB3" w:rsidP="00C508B7"/>
    <w:p w14:paraId="58CA1B37" w14:textId="77777777" w:rsidR="00DA3BB3" w:rsidRDefault="00DA3BB3" w:rsidP="008E6AD0">
      <w:r w:rsidRPr="00202610">
        <w:t xml:space="preserve">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202610">
        <w:t xml:space="preserve"> is expenditure;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202610">
        <w:t xml:space="preserve"> is the own programme need for care;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Pr="00202610">
        <w:t xml:space="preserve"> is the need for care in other programmes;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202610">
        <w:t xml:space="preserve"> is the total budget and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Pr="00202610">
        <w:t xml:space="preserve"> is the health gain in PCT </w:t>
      </w:r>
      <m:oMath>
        <m:r>
          <w:rPr>
            <w:rFonts w:ascii="Cambria Math" w:hAnsi="Cambria Math"/>
          </w:rPr>
          <m:t>i</m:t>
        </m:r>
      </m:oMath>
      <w:r w:rsidRPr="00202610">
        <w:t>.</w:t>
      </w:r>
      <w:r>
        <w:t xml:space="preserve"> The variables are log-transformed such that the coefficients of interest, </w:t>
      </w:r>
      <m:oMath>
        <m:r>
          <w:rPr>
            <w:rFonts w:ascii="Cambria Math" w:hAnsi="Cambria Math"/>
          </w:rPr>
          <m:t>θ</m:t>
        </m:r>
      </m:oMath>
      <w:r>
        <w:t xml:space="preserve"> and </w:t>
      </w:r>
      <m:oMath>
        <m:r>
          <w:rPr>
            <w:rFonts w:ascii="Cambria Math" w:hAnsi="Cambria Math"/>
          </w:rPr>
          <m:t>π</m:t>
        </m:r>
      </m:oMath>
      <w:r>
        <w:t xml:space="preserve">, represent elasticities: </w:t>
      </w:r>
      <m:oMath>
        <m:r>
          <w:rPr>
            <w:rFonts w:ascii="Cambria Math" w:hAnsi="Cambria Math"/>
          </w:rPr>
          <m:t>θ</m:t>
        </m:r>
      </m:oMath>
      <w:r>
        <w:t xml:space="preserve"> is the percentage change of a PBC budget with respect to a percentage change in the overall NHS budget; </w:t>
      </w:r>
      <m:oMath>
        <m:r>
          <w:rPr>
            <w:rFonts w:ascii="Cambria Math" w:hAnsi="Cambria Math"/>
          </w:rPr>
          <m:t>π</m:t>
        </m:r>
      </m:oMath>
      <w:r>
        <w:t xml:space="preserve"> is the percentage change in health for a percentage change in a PBC budget.</w:t>
      </w:r>
    </w:p>
    <w:p w14:paraId="5C82EE76" w14:textId="77777777" w:rsidR="00DA3BB3" w:rsidRDefault="00DA3BB3" w:rsidP="00C508B7"/>
    <w:p w14:paraId="26030AC6" w14:textId="49522B32" w:rsidR="00DA3BB3" w:rsidRPr="00707359" w:rsidRDefault="00DA3BB3" w:rsidP="008E6AD0">
      <w:r w:rsidRPr="00C43DE2">
        <w:t xml:space="preserve">To account for the endogeneity in both equations, a large number of instruments </w:t>
      </w:r>
      <w:r>
        <w:t>are</w:t>
      </w:r>
      <w:r w:rsidRPr="00C43DE2">
        <w:t xml:space="preserve"> </w:t>
      </w:r>
      <w:r>
        <w:t>acquired</w:t>
      </w:r>
      <w:r w:rsidRPr="00C43DE2">
        <w:t xml:space="preserve"> from census data and tailored to each PBC. </w:t>
      </w:r>
      <w:r>
        <w:t xml:space="preserve">A battery of tests, </w:t>
      </w:r>
      <w:r w:rsidRPr="00C43DE2">
        <w:t xml:space="preserve">including the Hansen–Sargen test, the Kleibergen–Paap </w:t>
      </w:r>
      <w:r>
        <w:t>Lagrange multiplier</w:t>
      </w:r>
      <w:r w:rsidRPr="00C43DE2">
        <w:t xml:space="preserve"> test and </w:t>
      </w:r>
      <w:r>
        <w:t>the Kleibergen–Paap F-statistic,</w:t>
      </w:r>
      <w:r w:rsidRPr="00C43DE2">
        <w:t xml:space="preserve"> </w:t>
      </w:r>
      <w:r>
        <w:t>are</w:t>
      </w:r>
      <w:r w:rsidRPr="00C43DE2">
        <w:t xml:space="preserve"> </w:t>
      </w:r>
      <w:r>
        <w:t>performed; where</w:t>
      </w:r>
      <w:r w:rsidRPr="00C43DE2">
        <w:t xml:space="preserve"> instruments </w:t>
      </w:r>
      <w:r>
        <w:t>are</w:t>
      </w:r>
      <w:r w:rsidRPr="00C43DE2">
        <w:t xml:space="preserve"> weak or invalid</w:t>
      </w:r>
      <w:r>
        <w:t>,</w:t>
      </w:r>
      <w:r w:rsidRPr="00C43DE2">
        <w:t xml:space="preserve"> a combination of other census-derived variables</w:t>
      </w:r>
      <w:r>
        <w:t xml:space="preserve"> are</w:t>
      </w:r>
      <w:r w:rsidRPr="00C43DE2">
        <w:t xml:space="preserve"> used instead.</w:t>
      </w:r>
      <w:r>
        <w:t xml:space="preserve"> A full list of all the instruments considered by the authors is given in Table 92 of their report </w:t>
      </w:r>
      <w:r>
        <w:fldChar w:fldCharType="begin" w:fldLock="1"/>
      </w:r>
      <w:r w:rsidR="0015636C">
        <w:instrText>ADDIN CSL_CITATION { "citationItems" : [ { "id" : "ITEM-1", "itemData" : { "DOI" : "10.3310/hta19140", "ISSN" : "1366-5278",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"id" : "ITEM-1", "issue" : "14", "issued" : { "date-parts" : [ [ "2015" ] ] }, "page" : "1-504", "title" : "Methods for the estimation of the National Institute for Health and Care Excellence cost-effectiveness threshold", "type" : "article-journal", "volume" : "19" }, "locator" : "347", "uris" : [ "http://www.mendeley.com/documents/?uuid=3083d0c8-2fdf-4ab1-a3f9-40296cf0b6c1" ] } ], "mendeley" : { "formattedCitation" : "[1, p. 347]", "manualFormatting" : "[11, p. 347]", "plainTextFormattedCitation" : "[1, p. 347]", "previouslyFormattedCitation" : "[9, p. 347]" }, "properties" : { "noteIndex" : 0 }, "schema" : "https://github.com/citation-style-language/schema/raw/master/csl-citation.json" }</w:instrText>
      </w:r>
      <w:r>
        <w:fldChar w:fldCharType="separate"/>
      </w:r>
      <w:r w:rsidRPr="00567C6A">
        <w:rPr>
          <w:noProof/>
        </w:rPr>
        <w:t>[1</w:t>
      </w:r>
      <w:r w:rsidR="0015636C">
        <w:rPr>
          <w:noProof/>
        </w:rPr>
        <w:t>1</w:t>
      </w:r>
      <w:r w:rsidRPr="00567C6A">
        <w:rPr>
          <w:noProof/>
        </w:rPr>
        <w:t>, p. 347]</w:t>
      </w:r>
      <w:r>
        <w:fldChar w:fldCharType="end"/>
      </w:r>
      <w:r>
        <w:t xml:space="preserve">. </w:t>
      </w:r>
      <w:r w:rsidRPr="00C43DE2">
        <w:t>This strategy ensured that</w:t>
      </w:r>
      <w:r>
        <w:t>,</w:t>
      </w:r>
      <w:r w:rsidRPr="00C43DE2">
        <w:t xml:space="preserve"> even though endogeneity </w:t>
      </w:r>
      <w:r>
        <w:t>is</w:t>
      </w:r>
      <w:r w:rsidRPr="00C43DE2">
        <w:t xml:space="preserve"> </w:t>
      </w:r>
      <w:r w:rsidRPr="00C43DE2">
        <w:lastRenderedPageBreak/>
        <w:t xml:space="preserve">indeed found to be present in many of the expenditure and outcome equations, the instrument set used for each </w:t>
      </w:r>
      <w:r>
        <w:t>is</w:t>
      </w:r>
      <w:r w:rsidRPr="00C43DE2">
        <w:t xml:space="preserve"> valid and sufficiently strong, thereby giving consistently estimated coefficients.</w:t>
      </w:r>
      <w:r w:rsidR="001B09D5" w:rsidRPr="001B09D5">
        <w:rPr>
          <w:lang w:val="en-US"/>
        </w:rPr>
        <w:t xml:space="preserve"> </w:t>
      </w:r>
      <w:r w:rsidR="001B09D5">
        <w:rPr>
          <w:lang w:val="en-US"/>
        </w:rPr>
        <w:t xml:space="preserve">The instruments included for each expenditure and outcome equation and their performance in the tests are detailed in Appendix 2 of Claxton </w:t>
      </w:r>
      <w:r w:rsidR="0015636C">
        <w:rPr>
          <w:lang w:val="en-US"/>
        </w:rPr>
        <w:t>and colleagues’</w:t>
      </w:r>
      <w:r w:rsidR="001B09D5">
        <w:rPr>
          <w:lang w:val="en-US"/>
        </w:rPr>
        <w:t xml:space="preserve"> report </w:t>
      </w:r>
      <w:r w:rsidR="001B09D5">
        <w:rPr>
          <w:lang w:val="en-US"/>
        </w:rPr>
        <w:fldChar w:fldCharType="begin" w:fldLock="1"/>
      </w:r>
      <w:r w:rsidR="0015636C">
        <w:rPr>
          <w:lang w:val="en-US"/>
        </w:rPr>
        <w:instrText>ADDIN CSL_CITATION { "citationItems" : [ { "id" : "ITEM-1", "itemData" : { "DOI" : "10.3310/hta19140", "ISSN" : "1366-5278",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"id" : "ITEM-1", "issue" : "14", "issued" : { "date-parts" : [ [ "2015" ] ] }, "page" : "1-504", "title" : "Methods for the estimation of the National Institute for Health and Care Excellence cost-effectiveness threshold", "type" : "article-journal", "volume" : "19" }, "locator" : "314", "uris" : [ "http://www.mendeley.com/documents/?uuid=3083d0c8-2fdf-4ab1-a3f9-40296cf0b6c1" ] } ], "mendeley" : { "formattedCitation" : "[1, p. 314]", "manualFormatting" : "[11, p. 314]", "plainTextFormattedCitation" : "[1, p. 314]", "previouslyFormattedCitation" : "[9, p. 314]" }, "properties" : { "noteIndex" : 0 }, "schema" : "https://github.com/citation-style-language/schema/raw/master/csl-citation.json" }</w:instrText>
      </w:r>
      <w:r w:rsidR="001B09D5">
        <w:rPr>
          <w:lang w:val="en-US"/>
        </w:rPr>
        <w:fldChar w:fldCharType="separate"/>
      </w:r>
      <w:r w:rsidR="001B09D5" w:rsidRPr="00567C6A">
        <w:rPr>
          <w:noProof/>
          <w:lang w:val="en-US"/>
        </w:rPr>
        <w:t>[1</w:t>
      </w:r>
      <w:r w:rsidR="0015636C">
        <w:rPr>
          <w:noProof/>
          <w:lang w:val="en-US"/>
        </w:rPr>
        <w:t>1</w:t>
      </w:r>
      <w:r w:rsidR="001B09D5" w:rsidRPr="00567C6A">
        <w:rPr>
          <w:noProof/>
          <w:lang w:val="en-US"/>
        </w:rPr>
        <w:t>, p. 314]</w:t>
      </w:r>
      <w:r w:rsidR="001B09D5">
        <w:rPr>
          <w:lang w:val="en-US"/>
        </w:rPr>
        <w:fldChar w:fldCharType="end"/>
      </w:r>
      <w:r w:rsidR="001B09D5">
        <w:rPr>
          <w:lang w:val="en-US"/>
        </w:rPr>
        <w:t>.</w:t>
      </w:r>
    </w:p>
    <w:p w14:paraId="508DC262" w14:textId="6C1423CA" w:rsidR="00DA3BB3" w:rsidRDefault="00DA3BB3" w:rsidP="00C508B7">
      <w:pPr>
        <w:rPr>
          <w:i/>
        </w:rPr>
      </w:pPr>
    </w:p>
    <w:p w14:paraId="69670DC7" w14:textId="77777777" w:rsidR="00DA3BB3" w:rsidRDefault="00DA3BB3" w:rsidP="00C508B7">
      <w:pPr>
        <w:pStyle w:val="Heading2"/>
      </w:pPr>
      <w:bookmarkStart w:id="5" w:name="_Toc368253401"/>
      <w:bookmarkStart w:id="6" w:name="_Toc368253690"/>
      <w:bookmarkStart w:id="7" w:name="_Toc368253882"/>
      <w:r w:rsidRPr="006F4B58">
        <w:t>Extending outcome to QALYs</w:t>
      </w:r>
      <w:bookmarkEnd w:id="5"/>
      <w:bookmarkEnd w:id="6"/>
      <w:bookmarkEnd w:id="7"/>
    </w:p>
    <w:p w14:paraId="318885E0" w14:textId="77777777" w:rsidR="00DA3BB3" w:rsidRDefault="00DA3BB3" w:rsidP="00C508B7"/>
    <w:p w14:paraId="5D84C282" w14:textId="085113B8" w:rsidR="00DA3BB3" w:rsidRDefault="00DA3BB3" w:rsidP="008E6AD0">
      <w:r>
        <w:t xml:space="preserve">To estimate the effect of spending on QALYs, mortality effects are first converted into ‘net’ years of life lost by disease area using data on age of death by PBC from the Office for National Statistics (ONS). This accounts for counterfactual deaths that would have occurred in the at-risk populations; Chapter 4 of their report provides full details of the calculations </w:t>
      </w:r>
      <w:r>
        <w:fldChar w:fldCharType="begin" w:fldLock="1"/>
      </w:r>
      <w:r w:rsidR="0015636C">
        <w:instrText>ADDIN CSL_CITATION { "citationItems" : [ { "id" : "ITEM-1", "itemData" : { "DOI" : "10.3310/hta19140", "ISSN" : "1366-5278",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"id" : "ITEM-1", "issue" : "14", "issued" : { "date-parts" : [ [ "2015" ] ] }, "page" : "1-504", "title" : "Methods for the estimation of the National Institute for Health and Care Excellence cost-effectiveness threshold", "type" : "article-journal", "volume" : "19" }, "locator" : "45", "uris" : [ "http://www.mendeley.com/documents/?uuid=3083d0c8-2fdf-4ab1-a3f9-40296cf0b6c1" ] } ], "mendeley" : { "formattedCitation" : "[1, p. 45]", "manualFormatting" : "[11, p. 45]", "plainTextFormattedCitation" : "[1, p. 45]", "previouslyFormattedCitation" : "[9, p. 45]" }, "properties" : { "noteIndex" : 0 }, "schema" : "https://github.com/citation-style-language/schema/raw/master/csl-citation.json" }</w:instrText>
      </w:r>
      <w:r>
        <w:fldChar w:fldCharType="separate"/>
      </w:r>
      <w:r w:rsidRPr="00567C6A">
        <w:rPr>
          <w:noProof/>
        </w:rPr>
        <w:t>[1</w:t>
      </w:r>
      <w:r w:rsidR="0015636C">
        <w:rPr>
          <w:noProof/>
        </w:rPr>
        <w:t>1</w:t>
      </w:r>
      <w:r w:rsidRPr="00567C6A">
        <w:rPr>
          <w:noProof/>
        </w:rPr>
        <w:t>, p. 45]</w:t>
      </w:r>
      <w:r>
        <w:fldChar w:fldCharType="end"/>
      </w:r>
      <w:r w:rsidRPr="00C43DE2">
        <w:t xml:space="preserve">. </w:t>
      </w:r>
      <w:r>
        <w:t xml:space="preserve">When the elasticities from the mortality equations are applied to net years of life lost, they provide an estimate of life years gained from additional expenditure. </w:t>
      </w:r>
    </w:p>
    <w:p w14:paraId="4E1B3E19" w14:textId="48CB8938" w:rsidR="00DA3BB3" w:rsidRDefault="00DA3BB3" w:rsidP="00C508B7">
      <w:pPr>
        <w:spacing w:after="160"/>
      </w:pPr>
    </w:p>
    <w:p w14:paraId="253DE6EA" w14:textId="006DBDBC" w:rsidR="00DA3BB3" w:rsidRDefault="00DA3BB3" w:rsidP="008E6AD0">
      <w:r>
        <w:t xml:space="preserve">Claxton and colleagues then translate these into QALYs by adding the health lost due to reduced quality of life whilst living with a disease to the health lost due to premature death, using data at the ICD code level. The process is described in Chapter 4 of their report </w:t>
      </w:r>
      <w:r>
        <w:fldChar w:fldCharType="begin" w:fldLock="1"/>
      </w:r>
      <w:r w:rsidR="0015636C">
        <w:instrText>ADDIN CSL_CITATION { "citationItems" : [ { "id" : "ITEM-1", "itemData" : { "DOI" : "10.3310/hta19140", "ISSN" : "1366-5278",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"id" : "ITEM-1", "issue" : "14", "issued" : { "date-parts" : [ [ "2015" ] ] }, "page" : "1-504", "title" : "Methods for the estimation of the National Institute for Health and Care Excellence cost-effectiveness threshold", "type" : "article-journal", "volume" : "19" }, "locator" : "56", "uris" : [ "http://www.mendeley.com/documents/?uuid=3083d0c8-2fdf-4ab1-a3f9-40296cf0b6c1" ] } ], "mendeley" : { "formattedCitation" : "[1, p. 56]", "manualFormatting" : "[11, p. 56]", "plainTextFormattedCitation" : "[1, p. 56]", "previouslyFormattedCitation" : "[9, p. 56]" }, "properties" : { "noteIndex" : 0 }, "schema" : "https://github.com/citation-style-language/schema/raw/master/csl-citation.json" }</w:instrText>
      </w:r>
      <w:r>
        <w:fldChar w:fldCharType="separate"/>
      </w:r>
      <w:r w:rsidRPr="00567C6A">
        <w:rPr>
          <w:noProof/>
        </w:rPr>
        <w:t>[1</w:t>
      </w:r>
      <w:r w:rsidR="0015636C">
        <w:rPr>
          <w:noProof/>
        </w:rPr>
        <w:t>1</w:t>
      </w:r>
      <w:r w:rsidRPr="00567C6A">
        <w:rPr>
          <w:noProof/>
        </w:rPr>
        <w:t>, p. 56]</w:t>
      </w:r>
      <w:r>
        <w:fldChar w:fldCharType="end"/>
      </w:r>
      <w:r>
        <w:t xml:space="preserve"> and involves weighting years of life lived with, and lost to, each disease by combining evidence on net years of life lost, incidence, duration of disease, age and gender with quality of life scores by disease. The QALY burdens for each ICD code within a PBC are then summed to generate a PBC level QALY burden. The change in QALYs for a change in expenditure is then yielded by applying the proportionate effect of spend on mortality (i.e. the spend elasticity multiplied by the outcome elasticity) to the QALY burden for a given PBC.  This implies that the ratio of PBC-level health effects of life extension to quality of life gains is identical to that in the respective QALY burden. </w:t>
      </w:r>
    </w:p>
    <w:p w14:paraId="52D05AF3" w14:textId="77777777" w:rsidR="00DA3BB3" w:rsidRDefault="00DA3BB3" w:rsidP="00C508B7"/>
    <w:p w14:paraId="1E3E021B" w14:textId="244CBB2C" w:rsidR="00DA3BB3" w:rsidRDefault="00DA3BB3" w:rsidP="00C508B7">
      <w:pPr>
        <w:pStyle w:val="Heading2"/>
        <w:rPr>
          <w:shd w:val="clear" w:color="auto" w:fill="FFFFFF"/>
        </w:rPr>
      </w:pPr>
      <w:bookmarkStart w:id="8" w:name="_Ref494187473"/>
      <w:bookmarkStart w:id="9" w:name="_Toc368253402"/>
      <w:bookmarkStart w:id="10" w:name="_Toc368253691"/>
      <w:bookmarkStart w:id="11" w:name="_Toc368253883"/>
      <w:r w:rsidRPr="00683693">
        <w:rPr>
          <w:shd w:val="clear" w:color="auto" w:fill="FFFFFF"/>
        </w:rPr>
        <w:t xml:space="preserve">Disaggregating health effects by age, </w:t>
      </w:r>
      <w:r w:rsidR="00A438BE">
        <w:rPr>
          <w:shd w:val="clear" w:color="auto" w:fill="FFFFFF"/>
        </w:rPr>
        <w:t>sex</w:t>
      </w:r>
      <w:r w:rsidRPr="00683693">
        <w:rPr>
          <w:shd w:val="clear" w:color="auto" w:fill="FFFFFF"/>
        </w:rPr>
        <w:t xml:space="preserve"> and disease</w:t>
      </w:r>
      <w:bookmarkEnd w:id="8"/>
      <w:bookmarkEnd w:id="9"/>
      <w:bookmarkEnd w:id="10"/>
      <w:bookmarkEnd w:id="11"/>
    </w:p>
    <w:p w14:paraId="4BE399E1" w14:textId="77777777" w:rsidR="00DA3BB3" w:rsidRPr="004924BE" w:rsidRDefault="00DA3BB3" w:rsidP="00C508B7"/>
    <w:p w14:paraId="75931EEF" w14:textId="319A69C9" w:rsidR="00DA3BB3" w:rsidRDefault="00DA3BB3" w:rsidP="008E6AD0">
      <w:r>
        <w:t xml:space="preserve">The main work by Claxton and colleagues only requires health effects at the PBC level, but a subsequent publication </w:t>
      </w:r>
      <w:r w:rsidR="0015636C">
        <w:t>[17]</w:t>
      </w:r>
      <w:r>
        <w:t xml:space="preserve"> provides more detailed ICD level breakdowns</w:t>
      </w:r>
      <w:r w:rsidR="001B09D5">
        <w:t xml:space="preserve"> </w:t>
      </w:r>
      <w:r w:rsidR="0015636C">
        <w:t>[18]</w:t>
      </w:r>
      <w:r>
        <w:t xml:space="preserve">.  These data can be re-aggregated back to PBC level to get the proportion of </w:t>
      </w:r>
      <w:r w:rsidR="001B09D5">
        <w:t>the overall health effect</w:t>
      </w:r>
      <w:r>
        <w:t xml:space="preserve"> attributable to that PBC (in l</w:t>
      </w:r>
      <w:r w:rsidR="001B09D5">
        <w:t>ine with the original analysis).</w:t>
      </w:r>
      <w:r w:rsidRPr="00C43DE2">
        <w:t xml:space="preserve"> </w:t>
      </w:r>
      <w:r w:rsidR="001B09D5">
        <w:t>By then assuming</w:t>
      </w:r>
      <w:r>
        <w:t xml:space="preserve"> that QALY gains are distributed within a PBC population according to the age and gender distribution of the incident population, </w:t>
      </w:r>
      <w:r w:rsidR="00A65191">
        <w:t>the authors use</w:t>
      </w:r>
      <w:r>
        <w:t xml:space="preserve"> disease-specific </w:t>
      </w:r>
      <w:r w:rsidR="00A65191">
        <w:t>incidence statistics</w:t>
      </w:r>
      <w:r w:rsidRPr="00C43DE2">
        <w:t xml:space="preserve"> from </w:t>
      </w:r>
      <w:r>
        <w:t xml:space="preserve">the World Health Organization’s Global Burden of Disease Study </w:t>
      </w:r>
      <w:r w:rsidR="0015636C">
        <w:t>[19]</w:t>
      </w:r>
      <w:r w:rsidR="001B09D5">
        <w:t xml:space="preserve"> </w:t>
      </w:r>
      <w:r w:rsidR="00A65191">
        <w:t>to</w:t>
      </w:r>
      <w:r w:rsidR="001B09D5">
        <w:t xml:space="preserve"> disaggregate the PBC-level health effects to age and gender groups</w:t>
      </w:r>
      <w:r>
        <w:t xml:space="preserve">. </w:t>
      </w:r>
    </w:p>
    <w:p w14:paraId="1B2E66D2" w14:textId="77777777" w:rsidR="000D50AC" w:rsidRDefault="000D50AC" w:rsidP="00C508B7"/>
    <w:p w14:paraId="00C0F643" w14:textId="372DE3C0" w:rsidR="00745111" w:rsidRDefault="00745111" w:rsidP="006A521A">
      <w:pPr>
        <w:spacing w:after="160"/>
        <w:rPr>
          <w:b/>
        </w:rPr>
      </w:pPr>
      <w:r>
        <w:rPr>
          <w:b/>
        </w:rPr>
        <w:br w:type="page"/>
      </w:r>
    </w:p>
    <w:p w14:paraId="3A501E38" w14:textId="77777777" w:rsidR="00745111" w:rsidRDefault="00745111" w:rsidP="00C508B7">
      <w:pPr>
        <w:widowControl w:val="0"/>
        <w:autoSpaceDE w:val="0"/>
        <w:autoSpaceDN w:val="0"/>
        <w:adjustRightInd w:val="0"/>
        <w:rPr>
          <w:b/>
        </w:rPr>
      </w:pPr>
    </w:p>
    <w:p w14:paraId="4DC07801" w14:textId="635DD02E" w:rsidR="00940A75" w:rsidRDefault="00940A75" w:rsidP="00C508B7">
      <w:pPr>
        <w:widowControl w:val="0"/>
        <w:autoSpaceDE w:val="0"/>
        <w:autoSpaceDN w:val="0"/>
        <w:adjustRightInd w:val="0"/>
        <w:rPr>
          <w:b/>
        </w:rPr>
      </w:pPr>
      <w:r w:rsidRPr="00EA714D">
        <w:rPr>
          <w:b/>
        </w:rPr>
        <w:t xml:space="preserve">Appendix </w:t>
      </w:r>
      <w:r w:rsidR="006A521A">
        <w:rPr>
          <w:b/>
        </w:rPr>
        <w:t>D</w:t>
      </w:r>
      <w:r w:rsidRPr="00EA714D">
        <w:rPr>
          <w:b/>
        </w:rPr>
        <w:t xml:space="preserve"> – Cal</w:t>
      </w:r>
      <w:r>
        <w:rPr>
          <w:b/>
        </w:rPr>
        <w:t>culating disease prevalence by socioeconomic</w:t>
      </w:r>
      <w:r w:rsidRPr="00EA714D">
        <w:rPr>
          <w:b/>
        </w:rPr>
        <w:t xml:space="preserve"> quintile group using primary care data</w:t>
      </w:r>
    </w:p>
    <w:p w14:paraId="6BC89880" w14:textId="77777777" w:rsidR="00940A75" w:rsidRDefault="00940A75" w:rsidP="00C508B7">
      <w:pPr>
        <w:rPr>
          <w:i/>
        </w:rPr>
      </w:pPr>
    </w:p>
    <w:p w14:paraId="098F540C" w14:textId="77777777" w:rsidR="00940A75" w:rsidDel="00FF2961" w:rsidRDefault="00940A75" w:rsidP="008E6AD0">
      <w:r w:rsidDel="00FF2961">
        <w:t xml:space="preserve">Whilst </w:t>
      </w:r>
      <w:r>
        <w:t>Hospital Episode Statistics (HES)</w:t>
      </w:r>
      <w:r w:rsidDel="00FF2961">
        <w:t xml:space="preserve"> provides comprehensive coverage of inpatient secondary care utilisation by age, gender, </w:t>
      </w:r>
      <w:r>
        <w:t>socioeconomic status</w:t>
      </w:r>
      <w:r w:rsidDel="00FF2961">
        <w:t xml:space="preserve"> and </w:t>
      </w:r>
      <w:r>
        <w:t xml:space="preserve">disease (measured by </w:t>
      </w:r>
      <w:r w:rsidDel="00FF2961">
        <w:t>I</w:t>
      </w:r>
      <w:r>
        <w:t xml:space="preserve">nternational Classification of </w:t>
      </w:r>
      <w:r w:rsidDel="00FF2961">
        <w:t>D</w:t>
      </w:r>
      <w:r>
        <w:t>isease (ICD) code)</w:t>
      </w:r>
      <w:r w:rsidDel="00FF2961">
        <w:t xml:space="preserve">, it may not be the most appropriate data source from which to estimate socioeconomic distributions for some clinical areas. </w:t>
      </w:r>
      <w:r>
        <w:t>T</w:t>
      </w:r>
      <w:r w:rsidDel="00FF2961">
        <w:t xml:space="preserve">he </w:t>
      </w:r>
      <w:r>
        <w:t>socioeconomic</w:t>
      </w:r>
      <w:r w:rsidDel="00FF2961">
        <w:t xml:space="preserve"> patterns observed in inpatient secondary care </w:t>
      </w:r>
      <w:r>
        <w:t>might not be</w:t>
      </w:r>
      <w:r w:rsidDel="00FF2961">
        <w:t xml:space="preserve"> reliable proxies for how the health benefits accruing to each disease area </w:t>
      </w:r>
      <w:r>
        <w:t>are</w:t>
      </w:r>
      <w:r w:rsidDel="00FF2961">
        <w:t xml:space="preserve"> distributed</w:t>
      </w:r>
      <w:r>
        <w:t>, especially for disease areas where</w:t>
      </w:r>
      <w:r w:rsidDel="00FF2961">
        <w:t xml:space="preserve"> the </w:t>
      </w:r>
      <w:r>
        <w:t>proportion</w:t>
      </w:r>
      <w:r w:rsidDel="00FF2961">
        <w:t xml:space="preserve"> of </w:t>
      </w:r>
      <w:r>
        <w:t xml:space="preserve">total healthcare </w:t>
      </w:r>
      <w:r w:rsidDel="00FF2961">
        <w:t xml:space="preserve">activity taking place in inpatient secondary care </w:t>
      </w:r>
      <w:r>
        <w:t>is small</w:t>
      </w:r>
      <w:r w:rsidDel="00FF2961">
        <w:t>.</w:t>
      </w:r>
    </w:p>
    <w:p w14:paraId="5A98196A" w14:textId="77777777" w:rsidR="00940A75" w:rsidRDefault="00940A75" w:rsidP="00C508B7"/>
    <w:p w14:paraId="1813D52C" w14:textId="146B54F3" w:rsidR="00940A75" w:rsidRDefault="00940A75" w:rsidP="008E6AD0">
      <w:r w:rsidRPr="00FB36B8" w:rsidDel="00FF2961">
        <w:t xml:space="preserve">We therefore </w:t>
      </w:r>
      <w:r>
        <w:t>sought</w:t>
      </w:r>
      <w:r w:rsidRPr="00FB36B8" w:rsidDel="00FF2961">
        <w:t xml:space="preserve"> da</w:t>
      </w:r>
      <w:r>
        <w:t>ta that provided</w:t>
      </w:r>
      <w:r w:rsidRPr="00FB36B8" w:rsidDel="00FF2961">
        <w:t xml:space="preserve"> information on diseases and conditions </w:t>
      </w:r>
      <w:r>
        <w:t>typically treated in primary care by socioeconomic status (</w:t>
      </w:r>
      <w:r w:rsidRPr="00FB36B8" w:rsidDel="00FF2961">
        <w:t xml:space="preserve">preferably </w:t>
      </w:r>
      <w:r>
        <w:t>Index of Multiple Deprivation (IMD))</w:t>
      </w:r>
      <w:r w:rsidRPr="00FB36B8" w:rsidDel="00FF2961">
        <w:t xml:space="preserve">. </w:t>
      </w:r>
      <w:r>
        <w:t>Once such source was the</w:t>
      </w:r>
      <w:r w:rsidDel="00FF2961">
        <w:t xml:space="preserve"> </w:t>
      </w:r>
      <w:r w:rsidRPr="00FB36B8" w:rsidDel="00FF2961">
        <w:t>Quality and Outcomes Framework (QOF) dataset</w:t>
      </w:r>
      <w:r>
        <w:t>, which includes information on socioeconomic (but not age or gender) distribution of diseases at the level of general practitioner (GP) clinic</w:t>
      </w:r>
      <w:r w:rsidRPr="00FB36B8" w:rsidDel="00FF2961">
        <w:t xml:space="preserve">. QOF is an incentive scheme for NHS </w:t>
      </w:r>
      <w:r>
        <w:t>GPs</w:t>
      </w:r>
      <w:r w:rsidRPr="00FB36B8" w:rsidDel="00FF2961">
        <w:t xml:space="preserve"> in the UK that provides financial rewards to each practice for achieving specific clinical goals within their patient population, known as ‘indicators’. Many of the indicators involve ensuring that a sufficient proportion of the practice population with a certain condition receive a test or treatment (for example, the </w:t>
      </w:r>
      <w:r w:rsidDel="00FF2961">
        <w:t xml:space="preserve">proportion of patients with coronary heart disease who have received an influenza immunisation). This necessitates having an estimate of the at-risk population for each condition of interest for each practice so their achievement can be measured, </w:t>
      </w:r>
      <w:r>
        <w:t>from which a</w:t>
      </w:r>
      <w:r w:rsidDel="00FF2961">
        <w:t xml:space="preserve"> practice-level prevalence rate </w:t>
      </w:r>
      <w:r>
        <w:t>can be calculated</w:t>
      </w:r>
      <w:r w:rsidDel="00FF2961">
        <w:t xml:space="preserve">. </w:t>
      </w:r>
      <w:r>
        <w:t>These are provided for</w:t>
      </w:r>
      <w:r w:rsidDel="00FF2961">
        <w:t xml:space="preserve"> all conditions relating to the indicators and are published annually</w:t>
      </w:r>
      <w:r w:rsidR="00681EB9">
        <w:t xml:space="preserve"> [27]</w:t>
      </w:r>
      <w:r>
        <w:t xml:space="preserve">. </w:t>
      </w:r>
    </w:p>
    <w:p w14:paraId="4BE5AE68" w14:textId="77777777" w:rsidR="00940A75" w:rsidRDefault="00940A75" w:rsidP="00C508B7"/>
    <w:p w14:paraId="4560B92D" w14:textId="06D2CB45" w:rsidR="00940A75" w:rsidDel="00FF2961" w:rsidRDefault="00940A75" w:rsidP="008E6AD0">
      <w:r>
        <w:t xml:space="preserve">The Quality and Outcomes Framework (QOF) primary care data provides prevalence rates by disease for each GP practice in England. However, the practices do no align with local super output areas (LSOAs) that are used to calculate local area deprivation scores using the Index of Multiple Deprivation, as some practices straddle multiple LSOAs. </w:t>
      </w:r>
      <w:r w:rsidDel="00FF2961">
        <w:t xml:space="preserve"> </w:t>
      </w:r>
      <w:r>
        <w:t xml:space="preserve">Therefore we use the Attribution Dataset on GP Registered Populations, which disaggregates each practice population by LSOA. </w:t>
      </w:r>
      <w:r w:rsidR="00A32E8A">
        <w:t>We used the most recent datasets available to us: the Attribution data for 2012 and QOF prevalence statistics for 2013/14.</w:t>
      </w:r>
    </w:p>
    <w:p w14:paraId="2AACD4AE" w14:textId="77777777" w:rsidR="00940A75" w:rsidRDefault="00940A75" w:rsidP="00C508B7"/>
    <w:p w14:paraId="4367EF2D" w14:textId="77777777" w:rsidR="00940A75" w:rsidDel="00FF2961" w:rsidRDefault="00940A75" w:rsidP="008E6AD0">
      <w:r w:rsidDel="00FF2961">
        <w:t>With these data, we can calculate prevalence by IMD using the following process</w:t>
      </w:r>
      <w:r>
        <w:t xml:space="preserve"> for each condition</w:t>
      </w:r>
      <w:r w:rsidDel="00FF2961">
        <w:t>:</w:t>
      </w:r>
    </w:p>
    <w:p w14:paraId="054F74A2" w14:textId="77777777" w:rsidR="00940A75" w:rsidDel="00FF2961" w:rsidRDefault="00940A75" w:rsidP="00C508B7">
      <w:pPr>
        <w:pStyle w:val="ListParagraph"/>
        <w:numPr>
          <w:ilvl w:val="0"/>
          <w:numId w:val="26"/>
        </w:numPr>
        <w:jc w:val="left"/>
      </w:pPr>
      <w:r>
        <w:t>A</w:t>
      </w:r>
      <w:r w:rsidDel="00FF2961">
        <w:t>pply the practice-level prevalence rate to each postcode portion of the practice population, giving the expected number of cases of a condition by prac</w:t>
      </w:r>
      <w:r>
        <w:t>tice, disaggregated by postcode;</w:t>
      </w:r>
    </w:p>
    <w:p w14:paraId="543A11D0" w14:textId="77777777" w:rsidR="00940A75" w:rsidDel="00FF2961" w:rsidRDefault="00940A75" w:rsidP="00C508B7">
      <w:pPr>
        <w:pStyle w:val="ListParagraph"/>
        <w:numPr>
          <w:ilvl w:val="0"/>
          <w:numId w:val="26"/>
        </w:numPr>
        <w:jc w:val="left"/>
      </w:pPr>
      <w:r>
        <w:t>A</w:t>
      </w:r>
      <w:r w:rsidDel="00FF2961">
        <w:t>dd the number of expected cases for each postcode (which is split between multiple practices). Each postcode is assigned its I</w:t>
      </w:r>
      <w:r>
        <w:t>MD score and IMD quintile group;</w:t>
      </w:r>
    </w:p>
    <w:p w14:paraId="52CA43C9" w14:textId="77777777" w:rsidR="00940A75" w:rsidDel="00FF2961" w:rsidRDefault="00940A75" w:rsidP="00C508B7">
      <w:pPr>
        <w:pStyle w:val="ListParagraph"/>
        <w:numPr>
          <w:ilvl w:val="0"/>
          <w:numId w:val="26"/>
        </w:numPr>
        <w:jc w:val="left"/>
      </w:pPr>
      <w:r>
        <w:t>Add</w:t>
      </w:r>
      <w:r w:rsidDel="00FF2961">
        <w:t xml:space="preserve"> up the number of cases for each IMD decile and dividing by the total number of cases </w:t>
      </w:r>
      <w:r>
        <w:t>to obtain</w:t>
      </w:r>
      <w:r w:rsidDel="00FF2961">
        <w:t xml:space="preserve"> the relative proportions for IMD deciles</w:t>
      </w:r>
      <w:r>
        <w:t xml:space="preserve"> (i.e. the socioeconomic distribution);</w:t>
      </w:r>
    </w:p>
    <w:p w14:paraId="34974D16" w14:textId="77777777" w:rsidR="00940A75" w:rsidRDefault="00940A75" w:rsidP="00C508B7">
      <w:pPr>
        <w:rPr>
          <w:i/>
        </w:rPr>
      </w:pPr>
    </w:p>
    <w:p w14:paraId="2B752161" w14:textId="50EFB953" w:rsidR="00940A75" w:rsidRDefault="00940A75" w:rsidP="008E6AD0">
      <w:r>
        <w:t>The</w:t>
      </w:r>
      <w:r w:rsidDel="00FF2961">
        <w:t xml:space="preserve"> prevalence rates by</w:t>
      </w:r>
      <w:r>
        <w:t xml:space="preserve"> QOF</w:t>
      </w:r>
      <w:r w:rsidDel="00FF2961">
        <w:t xml:space="preserve"> condition </w:t>
      </w:r>
      <w:r>
        <w:t>are not</w:t>
      </w:r>
      <w:r w:rsidDel="00FF2961">
        <w:t xml:space="preserve"> direct substitute</w:t>
      </w:r>
      <w:r>
        <w:t>s</w:t>
      </w:r>
      <w:r w:rsidDel="00FF2961">
        <w:t xml:space="preserve"> for the HES </w:t>
      </w:r>
      <w:r>
        <w:t>dataset</w:t>
      </w:r>
      <w:r w:rsidDel="00FF2961">
        <w:t xml:space="preserve"> as they are not defined by ICD code or IMD quintile. </w:t>
      </w:r>
      <w:r>
        <w:t>We therefore mapped</w:t>
      </w:r>
      <w:r w:rsidDel="00FF2961">
        <w:t xml:space="preserve"> the conditions to their </w:t>
      </w:r>
      <w:r>
        <w:t xml:space="preserve">ICD codes (or subset of codes), shown in </w:t>
      </w:r>
      <w:r w:rsidRPr="00681EB9">
        <w:t>Table A2</w:t>
      </w:r>
      <w:r>
        <w:t>.</w:t>
      </w:r>
    </w:p>
    <w:p w14:paraId="06938FA6" w14:textId="216BB63F" w:rsidR="0052383D" w:rsidRDefault="0052383D" w:rsidP="00C508B7"/>
    <w:p w14:paraId="3BD21365" w14:textId="5F5C44D6" w:rsidR="00940A75" w:rsidRDefault="00940A75" w:rsidP="008E6AD0">
      <w:r>
        <w:t xml:space="preserve">The QOF distributions are then used to replace the episode distributions extracted from HES, and are applied to all the age-gender-ICD groups that constitute each condition. To investigate the impact of using this alternative source of data, we compared the socioeconomic distribution of the QALY proportions for only the ICD codes covered by the QOF dataset. These 54 codes represent 37.4% of the total health effect. The distribution over IMD quintiles is shown in </w:t>
      </w:r>
      <w:r w:rsidR="0015636C">
        <w:t>Table 4</w:t>
      </w:r>
      <w:r>
        <w:t xml:space="preserve"> in the main report. The distribution when using QOF estimates was marginally more equal than the HES distributions; </w:t>
      </w:r>
      <w:r w:rsidRPr="00C82416">
        <w:t>RII and SII decreased from -0.9</w:t>
      </w:r>
      <w:r w:rsidR="00C82416" w:rsidRPr="00C82416">
        <w:t>22</w:t>
      </w:r>
      <w:r w:rsidRPr="00C82416">
        <w:t xml:space="preserve"> and -0.0</w:t>
      </w:r>
      <w:r w:rsidR="00C82416" w:rsidRPr="00C82416">
        <w:t>689</w:t>
      </w:r>
      <w:r w:rsidRPr="00C82416">
        <w:t xml:space="preserve"> for HES to -0.9</w:t>
      </w:r>
      <w:r w:rsidR="00C82416" w:rsidRPr="00C82416">
        <w:t>05</w:t>
      </w:r>
      <w:r w:rsidRPr="00C82416">
        <w:t xml:space="preserve"> and -0.0</w:t>
      </w:r>
      <w:r w:rsidR="00C82416" w:rsidRPr="00C82416">
        <w:t>677</w:t>
      </w:r>
      <w:r w:rsidRPr="00C82416">
        <w:t xml:space="preserve"> for QOF, respectively.</w:t>
      </w:r>
    </w:p>
    <w:p w14:paraId="053EE4A9" w14:textId="77777777" w:rsidR="00940A75" w:rsidRDefault="00940A75" w:rsidP="00C508B7">
      <w:pPr>
        <w:ind w:firstLine="720"/>
      </w:pPr>
    </w:p>
    <w:p w14:paraId="42C8CF04" w14:textId="45F3D694" w:rsidR="0052383D" w:rsidRDefault="0052383D" w:rsidP="00C508B7">
      <w:pPr>
        <w:spacing w:after="160"/>
      </w:pPr>
      <w:r>
        <w:br w:type="page"/>
      </w:r>
    </w:p>
    <w:p w14:paraId="367BBD5D" w14:textId="77777777" w:rsidR="00940A75" w:rsidRDefault="00940A75" w:rsidP="00C508B7"/>
    <w:p w14:paraId="3E2B0AAB" w14:textId="77777777" w:rsidR="0073600D" w:rsidRPr="00237774" w:rsidRDefault="0073600D" w:rsidP="00C508B7"/>
    <w:p w14:paraId="14451645" w14:textId="653DAE87" w:rsidR="0073600D" w:rsidRDefault="0073600D" w:rsidP="00C508B7">
      <w:pPr>
        <w:pStyle w:val="Caption"/>
        <w:keepNext/>
      </w:pPr>
      <w:bookmarkStart w:id="12" w:name="_Ref368069351"/>
      <w:bookmarkStart w:id="13" w:name="_Toc368254335"/>
      <w:r>
        <w:t xml:space="preserve">Table </w:t>
      </w:r>
      <w:bookmarkEnd w:id="12"/>
      <w:r>
        <w:t xml:space="preserve">A1: </w:t>
      </w:r>
      <w:r>
        <w:rPr>
          <w:rFonts w:cs="Times New Roman"/>
        </w:rPr>
        <w:t>Number of episodes from Hospital Episode Statistics by Index of Multiple Deprivation (IMD) quintile group and Programme Budgeting Category (PBC)</w:t>
      </w:r>
      <w:bookmarkEnd w:id="13"/>
    </w:p>
    <w:tbl>
      <w:tblPr>
        <w:tblW w:w="5000" w:type="pct"/>
        <w:tblLayout w:type="fixed"/>
        <w:tblLook w:val="04A0" w:firstRow="1" w:lastRow="0" w:firstColumn="1" w:lastColumn="0" w:noHBand="0" w:noVBand="1"/>
      </w:tblPr>
      <w:tblGrid>
        <w:gridCol w:w="589"/>
        <w:gridCol w:w="2213"/>
        <w:gridCol w:w="1135"/>
        <w:gridCol w:w="1135"/>
        <w:gridCol w:w="1133"/>
        <w:gridCol w:w="1135"/>
        <w:gridCol w:w="1135"/>
        <w:gridCol w:w="767"/>
      </w:tblGrid>
      <w:tr w:rsidR="00C508B7" w:rsidRPr="00C508B7" w14:paraId="440AB180" w14:textId="77777777" w:rsidTr="00C508B7">
        <w:trPr>
          <w:trHeight w:val="240"/>
        </w:trPr>
        <w:tc>
          <w:tcPr>
            <w:tcW w:w="319" w:type="pct"/>
            <w:tcBorders>
              <w:top w:val="single" w:sz="4" w:space="0" w:color="auto"/>
              <w:left w:val="nil"/>
              <w:bottom w:val="nil"/>
              <w:right w:val="nil"/>
            </w:tcBorders>
            <w:shd w:val="clear" w:color="auto" w:fill="auto"/>
            <w:noWrap/>
            <w:vAlign w:val="bottom"/>
            <w:hideMark/>
          </w:tcPr>
          <w:p w14:paraId="397407DE" w14:textId="77777777" w:rsidR="0073600D" w:rsidRPr="00C508B7" w:rsidRDefault="0073600D" w:rsidP="00C508B7">
            <w:pPr>
              <w:rPr>
                <w:b/>
                <w:bCs/>
                <w:color w:val="000000"/>
                <w:sz w:val="20"/>
                <w:szCs w:val="20"/>
              </w:rPr>
            </w:pPr>
            <w:r w:rsidRPr="00C508B7">
              <w:rPr>
                <w:b/>
                <w:bCs/>
                <w:color w:val="000000"/>
                <w:sz w:val="20"/>
                <w:szCs w:val="20"/>
              </w:rPr>
              <w:t> </w:t>
            </w:r>
          </w:p>
        </w:tc>
        <w:tc>
          <w:tcPr>
            <w:tcW w:w="1197" w:type="pct"/>
            <w:tcBorders>
              <w:top w:val="single" w:sz="4" w:space="0" w:color="auto"/>
              <w:left w:val="nil"/>
              <w:bottom w:val="nil"/>
              <w:right w:val="nil"/>
            </w:tcBorders>
            <w:shd w:val="clear" w:color="auto" w:fill="auto"/>
            <w:noWrap/>
            <w:vAlign w:val="bottom"/>
            <w:hideMark/>
          </w:tcPr>
          <w:p w14:paraId="335EAF55" w14:textId="77777777" w:rsidR="0073600D" w:rsidRPr="00C508B7" w:rsidRDefault="0073600D" w:rsidP="00C508B7">
            <w:pPr>
              <w:rPr>
                <w:b/>
                <w:bCs/>
                <w:color w:val="000000"/>
                <w:sz w:val="20"/>
                <w:szCs w:val="20"/>
              </w:rPr>
            </w:pPr>
            <w:r w:rsidRPr="00C508B7">
              <w:rPr>
                <w:b/>
                <w:bCs/>
                <w:color w:val="000000"/>
                <w:sz w:val="20"/>
                <w:szCs w:val="20"/>
              </w:rPr>
              <w:t> </w:t>
            </w:r>
          </w:p>
        </w:tc>
        <w:tc>
          <w:tcPr>
            <w:tcW w:w="614" w:type="pct"/>
            <w:tcBorders>
              <w:top w:val="single" w:sz="4" w:space="0" w:color="auto"/>
              <w:left w:val="nil"/>
              <w:bottom w:val="nil"/>
              <w:right w:val="nil"/>
            </w:tcBorders>
            <w:shd w:val="clear" w:color="auto" w:fill="auto"/>
            <w:noWrap/>
            <w:vAlign w:val="bottom"/>
            <w:hideMark/>
          </w:tcPr>
          <w:p w14:paraId="527927FE" w14:textId="77777777" w:rsidR="0073600D" w:rsidRPr="00C508B7" w:rsidRDefault="0073600D" w:rsidP="00C508B7">
            <w:pPr>
              <w:rPr>
                <w:b/>
                <w:bCs/>
                <w:color w:val="000000"/>
                <w:sz w:val="20"/>
                <w:szCs w:val="20"/>
              </w:rPr>
            </w:pPr>
            <w:r w:rsidRPr="00C508B7">
              <w:rPr>
                <w:b/>
                <w:bCs/>
                <w:color w:val="000000"/>
                <w:sz w:val="20"/>
                <w:szCs w:val="20"/>
              </w:rPr>
              <w:t> </w:t>
            </w:r>
          </w:p>
        </w:tc>
        <w:tc>
          <w:tcPr>
            <w:tcW w:w="614" w:type="pct"/>
            <w:tcBorders>
              <w:top w:val="single" w:sz="4" w:space="0" w:color="auto"/>
              <w:left w:val="nil"/>
              <w:bottom w:val="nil"/>
              <w:right w:val="nil"/>
            </w:tcBorders>
            <w:shd w:val="clear" w:color="auto" w:fill="auto"/>
            <w:noWrap/>
            <w:vAlign w:val="bottom"/>
            <w:hideMark/>
          </w:tcPr>
          <w:p w14:paraId="0D002C7E" w14:textId="77777777" w:rsidR="0073600D" w:rsidRPr="00C508B7" w:rsidRDefault="0073600D" w:rsidP="00C508B7">
            <w:pPr>
              <w:rPr>
                <w:b/>
                <w:bCs/>
                <w:color w:val="000000"/>
                <w:sz w:val="20"/>
                <w:szCs w:val="20"/>
              </w:rPr>
            </w:pPr>
            <w:r w:rsidRPr="00C508B7">
              <w:rPr>
                <w:b/>
                <w:bCs/>
                <w:color w:val="000000"/>
                <w:sz w:val="20"/>
                <w:szCs w:val="20"/>
              </w:rPr>
              <w:t> </w:t>
            </w:r>
          </w:p>
        </w:tc>
        <w:tc>
          <w:tcPr>
            <w:tcW w:w="1227" w:type="pct"/>
            <w:gridSpan w:val="2"/>
            <w:tcBorders>
              <w:top w:val="single" w:sz="4" w:space="0" w:color="auto"/>
              <w:left w:val="nil"/>
              <w:bottom w:val="nil"/>
              <w:right w:val="nil"/>
            </w:tcBorders>
            <w:shd w:val="clear" w:color="auto" w:fill="auto"/>
            <w:noWrap/>
            <w:vAlign w:val="bottom"/>
            <w:hideMark/>
          </w:tcPr>
          <w:p w14:paraId="5AB7A2DB" w14:textId="77777777" w:rsidR="0073600D" w:rsidRPr="00C508B7" w:rsidRDefault="0073600D" w:rsidP="00C508B7">
            <w:pPr>
              <w:rPr>
                <w:b/>
                <w:bCs/>
                <w:color w:val="000000"/>
                <w:sz w:val="20"/>
                <w:szCs w:val="20"/>
              </w:rPr>
            </w:pPr>
            <w:r w:rsidRPr="00C508B7">
              <w:rPr>
                <w:b/>
                <w:bCs/>
                <w:color w:val="000000"/>
                <w:sz w:val="20"/>
                <w:szCs w:val="20"/>
              </w:rPr>
              <w:t>IMD Quintile Group</w:t>
            </w:r>
          </w:p>
        </w:tc>
        <w:tc>
          <w:tcPr>
            <w:tcW w:w="614" w:type="pct"/>
            <w:tcBorders>
              <w:top w:val="single" w:sz="4" w:space="0" w:color="auto"/>
              <w:left w:val="nil"/>
              <w:bottom w:val="nil"/>
              <w:right w:val="nil"/>
            </w:tcBorders>
            <w:shd w:val="clear" w:color="auto" w:fill="auto"/>
            <w:noWrap/>
            <w:vAlign w:val="bottom"/>
            <w:hideMark/>
          </w:tcPr>
          <w:p w14:paraId="51EF9788" w14:textId="77777777" w:rsidR="0073600D" w:rsidRPr="00C508B7" w:rsidRDefault="0073600D" w:rsidP="00C508B7">
            <w:pPr>
              <w:rPr>
                <w:b/>
                <w:bCs/>
                <w:color w:val="000000"/>
                <w:sz w:val="20"/>
                <w:szCs w:val="20"/>
              </w:rPr>
            </w:pPr>
            <w:r w:rsidRPr="00C508B7">
              <w:rPr>
                <w:b/>
                <w:bCs/>
                <w:color w:val="000000"/>
                <w:sz w:val="20"/>
                <w:szCs w:val="20"/>
              </w:rPr>
              <w:t> </w:t>
            </w:r>
          </w:p>
        </w:tc>
        <w:tc>
          <w:tcPr>
            <w:tcW w:w="415" w:type="pct"/>
            <w:tcBorders>
              <w:top w:val="single" w:sz="4" w:space="0" w:color="auto"/>
              <w:left w:val="nil"/>
              <w:bottom w:val="nil"/>
              <w:right w:val="nil"/>
            </w:tcBorders>
            <w:shd w:val="clear" w:color="auto" w:fill="auto"/>
            <w:noWrap/>
            <w:vAlign w:val="bottom"/>
            <w:hideMark/>
          </w:tcPr>
          <w:p w14:paraId="6F950C6D" w14:textId="77777777" w:rsidR="0073600D" w:rsidRPr="00C508B7" w:rsidRDefault="0073600D" w:rsidP="00C508B7">
            <w:pPr>
              <w:jc w:val="center"/>
              <w:rPr>
                <w:color w:val="000000"/>
                <w:sz w:val="20"/>
                <w:szCs w:val="20"/>
              </w:rPr>
            </w:pPr>
            <w:r w:rsidRPr="00C508B7">
              <w:rPr>
                <w:color w:val="000000"/>
                <w:sz w:val="20"/>
                <w:szCs w:val="20"/>
              </w:rPr>
              <w:t> </w:t>
            </w:r>
          </w:p>
        </w:tc>
      </w:tr>
      <w:tr w:rsidR="00C508B7" w:rsidRPr="00C508B7" w14:paraId="6E1ECDC7" w14:textId="77777777" w:rsidTr="00C508B7">
        <w:trPr>
          <w:trHeight w:val="240"/>
        </w:trPr>
        <w:tc>
          <w:tcPr>
            <w:tcW w:w="319" w:type="pct"/>
            <w:tcBorders>
              <w:top w:val="nil"/>
              <w:left w:val="nil"/>
              <w:bottom w:val="single" w:sz="4" w:space="0" w:color="auto"/>
              <w:right w:val="nil"/>
            </w:tcBorders>
            <w:shd w:val="clear" w:color="auto" w:fill="auto"/>
            <w:noWrap/>
            <w:vAlign w:val="center"/>
            <w:hideMark/>
          </w:tcPr>
          <w:p w14:paraId="694857BC" w14:textId="77777777" w:rsidR="0073600D" w:rsidRPr="00C508B7" w:rsidRDefault="0073600D" w:rsidP="00C508B7">
            <w:pPr>
              <w:rPr>
                <w:b/>
                <w:bCs/>
                <w:color w:val="000000"/>
                <w:sz w:val="20"/>
                <w:szCs w:val="20"/>
              </w:rPr>
            </w:pPr>
            <w:r w:rsidRPr="00C508B7">
              <w:rPr>
                <w:b/>
                <w:bCs/>
                <w:color w:val="000000"/>
                <w:sz w:val="20"/>
                <w:szCs w:val="20"/>
              </w:rPr>
              <w:t> </w:t>
            </w:r>
          </w:p>
        </w:tc>
        <w:tc>
          <w:tcPr>
            <w:tcW w:w="1197" w:type="pct"/>
            <w:tcBorders>
              <w:top w:val="nil"/>
              <w:left w:val="nil"/>
              <w:bottom w:val="single" w:sz="4" w:space="0" w:color="auto"/>
              <w:right w:val="nil"/>
            </w:tcBorders>
            <w:shd w:val="clear" w:color="auto" w:fill="auto"/>
            <w:noWrap/>
            <w:vAlign w:val="center"/>
            <w:hideMark/>
          </w:tcPr>
          <w:p w14:paraId="175AB824" w14:textId="77777777" w:rsidR="0073600D" w:rsidRPr="00C508B7" w:rsidRDefault="0073600D" w:rsidP="00C508B7">
            <w:pPr>
              <w:rPr>
                <w:b/>
                <w:bCs/>
                <w:color w:val="000000"/>
                <w:sz w:val="20"/>
                <w:szCs w:val="20"/>
              </w:rPr>
            </w:pPr>
            <w:r w:rsidRPr="00C508B7">
              <w:rPr>
                <w:b/>
                <w:bCs/>
                <w:color w:val="000000"/>
                <w:sz w:val="20"/>
                <w:szCs w:val="20"/>
              </w:rPr>
              <w:t>PBC</w:t>
            </w:r>
          </w:p>
        </w:tc>
        <w:tc>
          <w:tcPr>
            <w:tcW w:w="614" w:type="pct"/>
            <w:tcBorders>
              <w:top w:val="nil"/>
              <w:left w:val="nil"/>
              <w:bottom w:val="single" w:sz="4" w:space="0" w:color="auto"/>
              <w:right w:val="nil"/>
            </w:tcBorders>
            <w:shd w:val="clear" w:color="auto" w:fill="auto"/>
            <w:noWrap/>
            <w:vAlign w:val="center"/>
            <w:hideMark/>
          </w:tcPr>
          <w:p w14:paraId="0E5705B0" w14:textId="77777777" w:rsidR="0073600D" w:rsidRPr="00C508B7" w:rsidRDefault="0073600D" w:rsidP="00C508B7">
            <w:pPr>
              <w:jc w:val="center"/>
              <w:rPr>
                <w:b/>
                <w:bCs/>
                <w:color w:val="000000"/>
                <w:sz w:val="20"/>
                <w:szCs w:val="20"/>
              </w:rPr>
            </w:pPr>
            <w:r w:rsidRPr="00C508B7">
              <w:rPr>
                <w:b/>
                <w:bCs/>
                <w:color w:val="000000"/>
                <w:sz w:val="20"/>
                <w:szCs w:val="20"/>
              </w:rPr>
              <w:t>1</w:t>
            </w:r>
          </w:p>
        </w:tc>
        <w:tc>
          <w:tcPr>
            <w:tcW w:w="614" w:type="pct"/>
            <w:tcBorders>
              <w:top w:val="nil"/>
              <w:left w:val="nil"/>
              <w:bottom w:val="single" w:sz="4" w:space="0" w:color="auto"/>
              <w:right w:val="nil"/>
            </w:tcBorders>
            <w:shd w:val="clear" w:color="auto" w:fill="auto"/>
            <w:noWrap/>
            <w:vAlign w:val="center"/>
            <w:hideMark/>
          </w:tcPr>
          <w:p w14:paraId="3B81E4CA" w14:textId="77777777" w:rsidR="0073600D" w:rsidRPr="00C508B7" w:rsidRDefault="0073600D" w:rsidP="00C508B7">
            <w:pPr>
              <w:jc w:val="center"/>
              <w:rPr>
                <w:b/>
                <w:bCs/>
                <w:color w:val="000000"/>
                <w:sz w:val="20"/>
                <w:szCs w:val="20"/>
              </w:rPr>
            </w:pPr>
            <w:r w:rsidRPr="00C508B7">
              <w:rPr>
                <w:b/>
                <w:bCs/>
                <w:color w:val="000000"/>
                <w:sz w:val="20"/>
                <w:szCs w:val="20"/>
              </w:rPr>
              <w:t>2</w:t>
            </w:r>
          </w:p>
        </w:tc>
        <w:tc>
          <w:tcPr>
            <w:tcW w:w="613" w:type="pct"/>
            <w:tcBorders>
              <w:top w:val="nil"/>
              <w:left w:val="nil"/>
              <w:bottom w:val="single" w:sz="4" w:space="0" w:color="auto"/>
              <w:right w:val="nil"/>
            </w:tcBorders>
            <w:shd w:val="clear" w:color="auto" w:fill="auto"/>
            <w:noWrap/>
            <w:vAlign w:val="center"/>
            <w:hideMark/>
          </w:tcPr>
          <w:p w14:paraId="0132E78A" w14:textId="77777777" w:rsidR="0073600D" w:rsidRPr="00C508B7" w:rsidRDefault="0073600D" w:rsidP="00C508B7">
            <w:pPr>
              <w:jc w:val="center"/>
              <w:rPr>
                <w:b/>
                <w:bCs/>
                <w:color w:val="000000"/>
                <w:sz w:val="20"/>
                <w:szCs w:val="20"/>
              </w:rPr>
            </w:pPr>
            <w:r w:rsidRPr="00C508B7">
              <w:rPr>
                <w:b/>
                <w:bCs/>
                <w:color w:val="000000"/>
                <w:sz w:val="20"/>
                <w:szCs w:val="20"/>
              </w:rPr>
              <w:t>3</w:t>
            </w:r>
          </w:p>
        </w:tc>
        <w:tc>
          <w:tcPr>
            <w:tcW w:w="614" w:type="pct"/>
            <w:tcBorders>
              <w:top w:val="nil"/>
              <w:left w:val="nil"/>
              <w:bottom w:val="single" w:sz="4" w:space="0" w:color="auto"/>
              <w:right w:val="nil"/>
            </w:tcBorders>
            <w:shd w:val="clear" w:color="auto" w:fill="auto"/>
            <w:noWrap/>
            <w:vAlign w:val="center"/>
            <w:hideMark/>
          </w:tcPr>
          <w:p w14:paraId="18E9378E" w14:textId="77777777" w:rsidR="0073600D" w:rsidRPr="00C508B7" w:rsidRDefault="0073600D" w:rsidP="00C508B7">
            <w:pPr>
              <w:jc w:val="center"/>
              <w:rPr>
                <w:b/>
                <w:bCs/>
                <w:color w:val="000000"/>
                <w:sz w:val="20"/>
                <w:szCs w:val="20"/>
              </w:rPr>
            </w:pPr>
            <w:r w:rsidRPr="00C508B7">
              <w:rPr>
                <w:b/>
                <w:bCs/>
                <w:color w:val="000000"/>
                <w:sz w:val="20"/>
                <w:szCs w:val="20"/>
              </w:rPr>
              <w:t>4</w:t>
            </w:r>
          </w:p>
        </w:tc>
        <w:tc>
          <w:tcPr>
            <w:tcW w:w="614" w:type="pct"/>
            <w:tcBorders>
              <w:top w:val="nil"/>
              <w:left w:val="nil"/>
              <w:bottom w:val="single" w:sz="4" w:space="0" w:color="auto"/>
              <w:right w:val="nil"/>
            </w:tcBorders>
            <w:shd w:val="clear" w:color="auto" w:fill="auto"/>
            <w:noWrap/>
            <w:vAlign w:val="center"/>
            <w:hideMark/>
          </w:tcPr>
          <w:p w14:paraId="460512AF" w14:textId="77777777" w:rsidR="0073600D" w:rsidRPr="00C508B7" w:rsidRDefault="0073600D" w:rsidP="00C508B7">
            <w:pPr>
              <w:jc w:val="center"/>
              <w:rPr>
                <w:b/>
                <w:bCs/>
                <w:color w:val="000000"/>
                <w:sz w:val="20"/>
                <w:szCs w:val="20"/>
              </w:rPr>
            </w:pPr>
            <w:r w:rsidRPr="00C508B7">
              <w:rPr>
                <w:b/>
                <w:bCs/>
                <w:color w:val="000000"/>
                <w:sz w:val="20"/>
                <w:szCs w:val="20"/>
              </w:rPr>
              <w:t>5</w:t>
            </w:r>
          </w:p>
        </w:tc>
        <w:tc>
          <w:tcPr>
            <w:tcW w:w="415" w:type="pct"/>
            <w:tcBorders>
              <w:top w:val="nil"/>
              <w:left w:val="nil"/>
              <w:bottom w:val="single" w:sz="4" w:space="0" w:color="auto"/>
              <w:right w:val="nil"/>
            </w:tcBorders>
            <w:shd w:val="clear" w:color="auto" w:fill="auto"/>
            <w:noWrap/>
            <w:vAlign w:val="center"/>
            <w:hideMark/>
          </w:tcPr>
          <w:p w14:paraId="4BAAAF95" w14:textId="77777777" w:rsidR="0073600D" w:rsidRPr="00C508B7" w:rsidRDefault="0073600D" w:rsidP="00C508B7">
            <w:pPr>
              <w:jc w:val="center"/>
              <w:rPr>
                <w:b/>
                <w:bCs/>
                <w:color w:val="000000"/>
                <w:sz w:val="20"/>
                <w:szCs w:val="20"/>
              </w:rPr>
            </w:pPr>
            <w:r w:rsidRPr="00C508B7">
              <w:rPr>
                <w:b/>
                <w:bCs/>
                <w:color w:val="000000"/>
                <w:sz w:val="20"/>
                <w:szCs w:val="20"/>
              </w:rPr>
              <w:t>Ratio 1/5</w:t>
            </w:r>
          </w:p>
        </w:tc>
      </w:tr>
      <w:tr w:rsidR="00C508B7" w:rsidRPr="00C508B7" w14:paraId="313F1010" w14:textId="77777777" w:rsidTr="00C508B7">
        <w:trPr>
          <w:trHeight w:val="240"/>
        </w:trPr>
        <w:tc>
          <w:tcPr>
            <w:tcW w:w="319" w:type="pct"/>
            <w:tcBorders>
              <w:top w:val="nil"/>
              <w:left w:val="nil"/>
              <w:bottom w:val="nil"/>
              <w:right w:val="nil"/>
            </w:tcBorders>
            <w:shd w:val="clear" w:color="auto" w:fill="auto"/>
            <w:noWrap/>
            <w:vAlign w:val="center"/>
            <w:hideMark/>
          </w:tcPr>
          <w:p w14:paraId="2EC945A7" w14:textId="77777777" w:rsidR="0073600D" w:rsidRPr="00C508B7" w:rsidRDefault="0073600D" w:rsidP="00C508B7">
            <w:pPr>
              <w:rPr>
                <w:color w:val="000000"/>
                <w:sz w:val="20"/>
                <w:szCs w:val="20"/>
              </w:rPr>
            </w:pPr>
            <w:r w:rsidRPr="00C508B7">
              <w:rPr>
                <w:color w:val="000000"/>
                <w:sz w:val="20"/>
                <w:szCs w:val="20"/>
              </w:rPr>
              <w:t>1</w:t>
            </w:r>
          </w:p>
        </w:tc>
        <w:tc>
          <w:tcPr>
            <w:tcW w:w="1197" w:type="pct"/>
            <w:tcBorders>
              <w:top w:val="nil"/>
              <w:left w:val="nil"/>
              <w:bottom w:val="nil"/>
              <w:right w:val="nil"/>
            </w:tcBorders>
            <w:shd w:val="clear" w:color="auto" w:fill="auto"/>
            <w:noWrap/>
            <w:vAlign w:val="center"/>
            <w:hideMark/>
          </w:tcPr>
          <w:p w14:paraId="7A81E2F8" w14:textId="77777777" w:rsidR="0073600D" w:rsidRPr="00C508B7" w:rsidRDefault="0073600D" w:rsidP="00C508B7">
            <w:pPr>
              <w:rPr>
                <w:color w:val="000000"/>
                <w:sz w:val="20"/>
                <w:szCs w:val="20"/>
              </w:rPr>
            </w:pPr>
            <w:r w:rsidRPr="00C508B7">
              <w:rPr>
                <w:color w:val="000000"/>
                <w:sz w:val="20"/>
                <w:szCs w:val="20"/>
              </w:rPr>
              <w:t>Infectious disease</w:t>
            </w:r>
          </w:p>
        </w:tc>
        <w:tc>
          <w:tcPr>
            <w:tcW w:w="614" w:type="pct"/>
            <w:tcBorders>
              <w:top w:val="nil"/>
              <w:left w:val="nil"/>
              <w:bottom w:val="nil"/>
              <w:right w:val="nil"/>
            </w:tcBorders>
            <w:shd w:val="clear" w:color="auto" w:fill="auto"/>
            <w:noWrap/>
            <w:vAlign w:val="center"/>
            <w:hideMark/>
          </w:tcPr>
          <w:p w14:paraId="63ED32FC" w14:textId="77777777" w:rsidR="0073600D" w:rsidRPr="00C508B7" w:rsidRDefault="0073600D" w:rsidP="00C508B7">
            <w:pPr>
              <w:jc w:val="center"/>
              <w:rPr>
                <w:color w:val="000000"/>
                <w:sz w:val="20"/>
                <w:szCs w:val="20"/>
              </w:rPr>
            </w:pPr>
            <w:r w:rsidRPr="00C508B7">
              <w:rPr>
                <w:color w:val="000000"/>
                <w:sz w:val="20"/>
                <w:szCs w:val="20"/>
              </w:rPr>
              <w:t>73,206</w:t>
            </w:r>
          </w:p>
        </w:tc>
        <w:tc>
          <w:tcPr>
            <w:tcW w:w="614" w:type="pct"/>
            <w:tcBorders>
              <w:top w:val="nil"/>
              <w:left w:val="nil"/>
              <w:bottom w:val="nil"/>
              <w:right w:val="nil"/>
            </w:tcBorders>
            <w:shd w:val="clear" w:color="auto" w:fill="auto"/>
            <w:noWrap/>
            <w:vAlign w:val="center"/>
            <w:hideMark/>
          </w:tcPr>
          <w:p w14:paraId="1DC9E728" w14:textId="77777777" w:rsidR="0073600D" w:rsidRPr="00C508B7" w:rsidRDefault="0073600D" w:rsidP="00C508B7">
            <w:pPr>
              <w:jc w:val="center"/>
              <w:rPr>
                <w:color w:val="000000"/>
                <w:sz w:val="20"/>
                <w:szCs w:val="20"/>
              </w:rPr>
            </w:pPr>
            <w:r w:rsidRPr="00C508B7">
              <w:rPr>
                <w:color w:val="000000"/>
                <w:sz w:val="20"/>
                <w:szCs w:val="20"/>
              </w:rPr>
              <w:t>65,773</w:t>
            </w:r>
          </w:p>
        </w:tc>
        <w:tc>
          <w:tcPr>
            <w:tcW w:w="613" w:type="pct"/>
            <w:tcBorders>
              <w:top w:val="nil"/>
              <w:left w:val="nil"/>
              <w:bottom w:val="nil"/>
              <w:right w:val="nil"/>
            </w:tcBorders>
            <w:shd w:val="clear" w:color="auto" w:fill="auto"/>
            <w:noWrap/>
            <w:vAlign w:val="center"/>
            <w:hideMark/>
          </w:tcPr>
          <w:p w14:paraId="65B5BBCD" w14:textId="77777777" w:rsidR="0073600D" w:rsidRPr="00C508B7" w:rsidRDefault="0073600D" w:rsidP="00C508B7">
            <w:pPr>
              <w:jc w:val="center"/>
              <w:rPr>
                <w:color w:val="000000"/>
                <w:sz w:val="20"/>
                <w:szCs w:val="20"/>
              </w:rPr>
            </w:pPr>
            <w:r w:rsidRPr="00C508B7">
              <w:rPr>
                <w:color w:val="000000"/>
                <w:sz w:val="20"/>
                <w:szCs w:val="20"/>
              </w:rPr>
              <w:t>65,792</w:t>
            </w:r>
          </w:p>
        </w:tc>
        <w:tc>
          <w:tcPr>
            <w:tcW w:w="614" w:type="pct"/>
            <w:tcBorders>
              <w:top w:val="nil"/>
              <w:left w:val="nil"/>
              <w:bottom w:val="nil"/>
              <w:right w:val="nil"/>
            </w:tcBorders>
            <w:shd w:val="clear" w:color="auto" w:fill="auto"/>
            <w:noWrap/>
            <w:vAlign w:val="center"/>
            <w:hideMark/>
          </w:tcPr>
          <w:p w14:paraId="07F29240" w14:textId="77777777" w:rsidR="0073600D" w:rsidRPr="00C508B7" w:rsidRDefault="0073600D" w:rsidP="00C508B7">
            <w:pPr>
              <w:jc w:val="center"/>
              <w:rPr>
                <w:color w:val="000000"/>
                <w:sz w:val="20"/>
                <w:szCs w:val="20"/>
              </w:rPr>
            </w:pPr>
            <w:r w:rsidRPr="00C508B7">
              <w:rPr>
                <w:color w:val="000000"/>
                <w:sz w:val="20"/>
                <w:szCs w:val="20"/>
              </w:rPr>
              <w:t>55,640</w:t>
            </w:r>
          </w:p>
        </w:tc>
        <w:tc>
          <w:tcPr>
            <w:tcW w:w="614" w:type="pct"/>
            <w:tcBorders>
              <w:top w:val="nil"/>
              <w:left w:val="nil"/>
              <w:bottom w:val="nil"/>
              <w:right w:val="nil"/>
            </w:tcBorders>
            <w:shd w:val="clear" w:color="auto" w:fill="auto"/>
            <w:noWrap/>
            <w:vAlign w:val="center"/>
            <w:hideMark/>
          </w:tcPr>
          <w:p w14:paraId="7FE14E81" w14:textId="77777777" w:rsidR="0073600D" w:rsidRPr="00C508B7" w:rsidRDefault="0073600D" w:rsidP="00C508B7">
            <w:pPr>
              <w:jc w:val="center"/>
              <w:rPr>
                <w:color w:val="000000"/>
                <w:sz w:val="20"/>
                <w:szCs w:val="20"/>
              </w:rPr>
            </w:pPr>
            <w:r w:rsidRPr="00C508B7">
              <w:rPr>
                <w:color w:val="000000"/>
                <w:sz w:val="20"/>
                <w:szCs w:val="20"/>
              </w:rPr>
              <w:t>51,106</w:t>
            </w:r>
          </w:p>
        </w:tc>
        <w:tc>
          <w:tcPr>
            <w:tcW w:w="415" w:type="pct"/>
            <w:tcBorders>
              <w:top w:val="nil"/>
              <w:left w:val="nil"/>
              <w:bottom w:val="nil"/>
              <w:right w:val="nil"/>
            </w:tcBorders>
            <w:shd w:val="clear" w:color="auto" w:fill="auto"/>
            <w:noWrap/>
            <w:vAlign w:val="center"/>
            <w:hideMark/>
          </w:tcPr>
          <w:p w14:paraId="018D9FFB" w14:textId="77777777" w:rsidR="0073600D" w:rsidRPr="00C508B7" w:rsidRDefault="0073600D" w:rsidP="00C508B7">
            <w:pPr>
              <w:jc w:val="center"/>
              <w:rPr>
                <w:color w:val="000000"/>
                <w:sz w:val="20"/>
                <w:szCs w:val="20"/>
              </w:rPr>
            </w:pPr>
            <w:r w:rsidRPr="00C508B7">
              <w:rPr>
                <w:color w:val="000000"/>
                <w:sz w:val="20"/>
                <w:szCs w:val="20"/>
              </w:rPr>
              <w:t>1.43</w:t>
            </w:r>
          </w:p>
        </w:tc>
      </w:tr>
      <w:tr w:rsidR="00C508B7" w:rsidRPr="00C508B7" w14:paraId="1A1AE90B" w14:textId="77777777" w:rsidTr="00C508B7">
        <w:trPr>
          <w:trHeight w:val="240"/>
        </w:trPr>
        <w:tc>
          <w:tcPr>
            <w:tcW w:w="319" w:type="pct"/>
            <w:tcBorders>
              <w:top w:val="nil"/>
              <w:left w:val="nil"/>
              <w:bottom w:val="nil"/>
              <w:right w:val="nil"/>
            </w:tcBorders>
            <w:shd w:val="clear" w:color="auto" w:fill="auto"/>
            <w:noWrap/>
            <w:vAlign w:val="center"/>
            <w:hideMark/>
          </w:tcPr>
          <w:p w14:paraId="5B581246" w14:textId="77777777" w:rsidR="0073600D" w:rsidRPr="00C508B7" w:rsidRDefault="0073600D" w:rsidP="00C508B7">
            <w:pPr>
              <w:rPr>
                <w:color w:val="000000"/>
                <w:sz w:val="20"/>
                <w:szCs w:val="20"/>
              </w:rPr>
            </w:pPr>
            <w:r w:rsidRPr="00C508B7">
              <w:rPr>
                <w:color w:val="000000"/>
                <w:sz w:val="20"/>
                <w:szCs w:val="20"/>
              </w:rPr>
              <w:t>2</w:t>
            </w:r>
          </w:p>
        </w:tc>
        <w:tc>
          <w:tcPr>
            <w:tcW w:w="1197" w:type="pct"/>
            <w:tcBorders>
              <w:top w:val="nil"/>
              <w:left w:val="nil"/>
              <w:bottom w:val="nil"/>
              <w:right w:val="nil"/>
            </w:tcBorders>
            <w:shd w:val="clear" w:color="auto" w:fill="auto"/>
            <w:noWrap/>
            <w:vAlign w:val="center"/>
            <w:hideMark/>
          </w:tcPr>
          <w:p w14:paraId="5CC1F250" w14:textId="77777777" w:rsidR="0073600D" w:rsidRPr="00C508B7" w:rsidRDefault="0073600D" w:rsidP="00C508B7">
            <w:pPr>
              <w:rPr>
                <w:color w:val="000000"/>
                <w:sz w:val="20"/>
                <w:szCs w:val="20"/>
              </w:rPr>
            </w:pPr>
            <w:r w:rsidRPr="00C508B7">
              <w:rPr>
                <w:color w:val="000000"/>
                <w:sz w:val="20"/>
                <w:szCs w:val="20"/>
              </w:rPr>
              <w:t>Cancers and tumours</w:t>
            </w:r>
          </w:p>
        </w:tc>
        <w:tc>
          <w:tcPr>
            <w:tcW w:w="614" w:type="pct"/>
            <w:tcBorders>
              <w:top w:val="nil"/>
              <w:left w:val="nil"/>
              <w:bottom w:val="nil"/>
              <w:right w:val="nil"/>
            </w:tcBorders>
            <w:shd w:val="clear" w:color="auto" w:fill="auto"/>
            <w:noWrap/>
            <w:vAlign w:val="center"/>
            <w:hideMark/>
          </w:tcPr>
          <w:p w14:paraId="1779D85B" w14:textId="77777777" w:rsidR="0073600D" w:rsidRPr="00C508B7" w:rsidRDefault="0073600D" w:rsidP="00C508B7">
            <w:pPr>
              <w:jc w:val="center"/>
              <w:rPr>
                <w:color w:val="000000"/>
                <w:sz w:val="20"/>
                <w:szCs w:val="20"/>
              </w:rPr>
            </w:pPr>
            <w:r w:rsidRPr="00C508B7">
              <w:rPr>
                <w:color w:val="000000"/>
                <w:sz w:val="20"/>
                <w:szCs w:val="20"/>
              </w:rPr>
              <w:t>798,965</w:t>
            </w:r>
          </w:p>
        </w:tc>
        <w:tc>
          <w:tcPr>
            <w:tcW w:w="614" w:type="pct"/>
            <w:tcBorders>
              <w:top w:val="nil"/>
              <w:left w:val="nil"/>
              <w:bottom w:val="nil"/>
              <w:right w:val="nil"/>
            </w:tcBorders>
            <w:shd w:val="clear" w:color="auto" w:fill="auto"/>
            <w:noWrap/>
            <w:vAlign w:val="center"/>
            <w:hideMark/>
          </w:tcPr>
          <w:p w14:paraId="386DE71D" w14:textId="77777777" w:rsidR="0073600D" w:rsidRPr="00C508B7" w:rsidRDefault="0073600D" w:rsidP="00C508B7">
            <w:pPr>
              <w:jc w:val="center"/>
              <w:rPr>
                <w:color w:val="000000"/>
                <w:sz w:val="20"/>
                <w:szCs w:val="20"/>
              </w:rPr>
            </w:pPr>
            <w:r w:rsidRPr="00C508B7">
              <w:rPr>
                <w:color w:val="000000"/>
                <w:sz w:val="20"/>
                <w:szCs w:val="20"/>
              </w:rPr>
              <w:t>769,636</w:t>
            </w:r>
          </w:p>
        </w:tc>
        <w:tc>
          <w:tcPr>
            <w:tcW w:w="613" w:type="pct"/>
            <w:tcBorders>
              <w:top w:val="nil"/>
              <w:left w:val="nil"/>
              <w:bottom w:val="nil"/>
              <w:right w:val="nil"/>
            </w:tcBorders>
            <w:shd w:val="clear" w:color="auto" w:fill="auto"/>
            <w:noWrap/>
            <w:vAlign w:val="center"/>
            <w:hideMark/>
          </w:tcPr>
          <w:p w14:paraId="6B480505" w14:textId="77777777" w:rsidR="0073600D" w:rsidRPr="00C508B7" w:rsidRDefault="0073600D" w:rsidP="00C508B7">
            <w:pPr>
              <w:jc w:val="center"/>
              <w:rPr>
                <w:color w:val="000000"/>
                <w:sz w:val="20"/>
                <w:szCs w:val="20"/>
              </w:rPr>
            </w:pPr>
            <w:r w:rsidRPr="00C508B7">
              <w:rPr>
                <w:color w:val="000000"/>
                <w:sz w:val="20"/>
                <w:szCs w:val="20"/>
              </w:rPr>
              <w:t>790,868</w:t>
            </w:r>
          </w:p>
        </w:tc>
        <w:tc>
          <w:tcPr>
            <w:tcW w:w="614" w:type="pct"/>
            <w:tcBorders>
              <w:top w:val="nil"/>
              <w:left w:val="nil"/>
              <w:bottom w:val="nil"/>
              <w:right w:val="nil"/>
            </w:tcBorders>
            <w:shd w:val="clear" w:color="auto" w:fill="auto"/>
            <w:noWrap/>
            <w:vAlign w:val="center"/>
            <w:hideMark/>
          </w:tcPr>
          <w:p w14:paraId="44F58794" w14:textId="77777777" w:rsidR="0073600D" w:rsidRPr="00C508B7" w:rsidRDefault="0073600D" w:rsidP="00C508B7">
            <w:pPr>
              <w:jc w:val="center"/>
              <w:rPr>
                <w:color w:val="000000"/>
                <w:sz w:val="20"/>
                <w:szCs w:val="20"/>
              </w:rPr>
            </w:pPr>
            <w:r w:rsidRPr="00C508B7">
              <w:rPr>
                <w:color w:val="000000"/>
                <w:sz w:val="20"/>
                <w:szCs w:val="20"/>
              </w:rPr>
              <w:t>875,026</w:t>
            </w:r>
          </w:p>
        </w:tc>
        <w:tc>
          <w:tcPr>
            <w:tcW w:w="614" w:type="pct"/>
            <w:tcBorders>
              <w:top w:val="nil"/>
              <w:left w:val="nil"/>
              <w:bottom w:val="nil"/>
              <w:right w:val="nil"/>
            </w:tcBorders>
            <w:shd w:val="clear" w:color="auto" w:fill="auto"/>
            <w:noWrap/>
            <w:vAlign w:val="center"/>
            <w:hideMark/>
          </w:tcPr>
          <w:p w14:paraId="1A5F0EDC" w14:textId="77777777" w:rsidR="0073600D" w:rsidRPr="00C508B7" w:rsidRDefault="0073600D" w:rsidP="00C508B7">
            <w:pPr>
              <w:jc w:val="center"/>
              <w:rPr>
                <w:color w:val="000000"/>
                <w:sz w:val="20"/>
                <w:szCs w:val="20"/>
              </w:rPr>
            </w:pPr>
            <w:r w:rsidRPr="00C508B7">
              <w:rPr>
                <w:color w:val="000000"/>
                <w:sz w:val="20"/>
                <w:szCs w:val="20"/>
              </w:rPr>
              <w:t>838,692</w:t>
            </w:r>
          </w:p>
        </w:tc>
        <w:tc>
          <w:tcPr>
            <w:tcW w:w="415" w:type="pct"/>
            <w:tcBorders>
              <w:top w:val="nil"/>
              <w:left w:val="nil"/>
              <w:bottom w:val="nil"/>
              <w:right w:val="nil"/>
            </w:tcBorders>
            <w:shd w:val="clear" w:color="auto" w:fill="auto"/>
            <w:noWrap/>
            <w:vAlign w:val="center"/>
            <w:hideMark/>
          </w:tcPr>
          <w:p w14:paraId="4BC9DC72" w14:textId="77777777" w:rsidR="0073600D" w:rsidRPr="00C508B7" w:rsidRDefault="0073600D" w:rsidP="00C508B7">
            <w:pPr>
              <w:jc w:val="center"/>
              <w:rPr>
                <w:color w:val="000000"/>
                <w:sz w:val="20"/>
                <w:szCs w:val="20"/>
              </w:rPr>
            </w:pPr>
            <w:r w:rsidRPr="00C508B7">
              <w:rPr>
                <w:color w:val="000000"/>
                <w:sz w:val="20"/>
                <w:szCs w:val="20"/>
              </w:rPr>
              <w:t>0.95</w:t>
            </w:r>
          </w:p>
        </w:tc>
      </w:tr>
      <w:tr w:rsidR="00C508B7" w:rsidRPr="00C508B7" w14:paraId="0190CA43" w14:textId="77777777" w:rsidTr="00C508B7">
        <w:trPr>
          <w:trHeight w:val="240"/>
        </w:trPr>
        <w:tc>
          <w:tcPr>
            <w:tcW w:w="319" w:type="pct"/>
            <w:tcBorders>
              <w:top w:val="nil"/>
              <w:left w:val="nil"/>
              <w:bottom w:val="nil"/>
              <w:right w:val="nil"/>
            </w:tcBorders>
            <w:shd w:val="clear" w:color="auto" w:fill="auto"/>
            <w:noWrap/>
            <w:vAlign w:val="center"/>
            <w:hideMark/>
          </w:tcPr>
          <w:p w14:paraId="156B067E" w14:textId="77777777" w:rsidR="0073600D" w:rsidRPr="00C508B7" w:rsidRDefault="0073600D" w:rsidP="00C508B7">
            <w:pPr>
              <w:rPr>
                <w:color w:val="000000"/>
                <w:sz w:val="20"/>
                <w:szCs w:val="20"/>
              </w:rPr>
            </w:pPr>
            <w:r w:rsidRPr="00C508B7">
              <w:rPr>
                <w:color w:val="000000"/>
                <w:sz w:val="20"/>
                <w:szCs w:val="20"/>
              </w:rPr>
              <w:t>3</w:t>
            </w:r>
          </w:p>
        </w:tc>
        <w:tc>
          <w:tcPr>
            <w:tcW w:w="1197" w:type="pct"/>
            <w:tcBorders>
              <w:top w:val="nil"/>
              <w:left w:val="nil"/>
              <w:bottom w:val="nil"/>
              <w:right w:val="nil"/>
            </w:tcBorders>
            <w:shd w:val="clear" w:color="auto" w:fill="auto"/>
            <w:noWrap/>
            <w:vAlign w:val="center"/>
            <w:hideMark/>
          </w:tcPr>
          <w:p w14:paraId="45E4CBCA" w14:textId="77777777" w:rsidR="0073600D" w:rsidRPr="00C508B7" w:rsidRDefault="0073600D" w:rsidP="00C508B7">
            <w:pPr>
              <w:rPr>
                <w:color w:val="000000"/>
                <w:sz w:val="20"/>
                <w:szCs w:val="20"/>
              </w:rPr>
            </w:pPr>
            <w:r w:rsidRPr="00C508B7">
              <w:rPr>
                <w:color w:val="000000"/>
                <w:sz w:val="20"/>
                <w:szCs w:val="20"/>
              </w:rPr>
              <w:t>Blood disorders</w:t>
            </w:r>
          </w:p>
        </w:tc>
        <w:tc>
          <w:tcPr>
            <w:tcW w:w="614" w:type="pct"/>
            <w:tcBorders>
              <w:top w:val="nil"/>
              <w:left w:val="nil"/>
              <w:bottom w:val="nil"/>
              <w:right w:val="nil"/>
            </w:tcBorders>
            <w:shd w:val="clear" w:color="auto" w:fill="auto"/>
            <w:noWrap/>
            <w:vAlign w:val="center"/>
            <w:hideMark/>
          </w:tcPr>
          <w:p w14:paraId="756AF12D" w14:textId="77777777" w:rsidR="0073600D" w:rsidRPr="00C508B7" w:rsidRDefault="0073600D" w:rsidP="00C508B7">
            <w:pPr>
              <w:jc w:val="center"/>
              <w:rPr>
                <w:color w:val="000000"/>
                <w:sz w:val="20"/>
                <w:szCs w:val="20"/>
              </w:rPr>
            </w:pPr>
            <w:r w:rsidRPr="00C508B7">
              <w:rPr>
                <w:color w:val="000000"/>
                <w:sz w:val="20"/>
                <w:szCs w:val="20"/>
              </w:rPr>
              <w:t>288,574</w:t>
            </w:r>
          </w:p>
        </w:tc>
        <w:tc>
          <w:tcPr>
            <w:tcW w:w="614" w:type="pct"/>
            <w:tcBorders>
              <w:top w:val="nil"/>
              <w:left w:val="nil"/>
              <w:bottom w:val="nil"/>
              <w:right w:val="nil"/>
            </w:tcBorders>
            <w:shd w:val="clear" w:color="auto" w:fill="auto"/>
            <w:noWrap/>
            <w:vAlign w:val="center"/>
            <w:hideMark/>
          </w:tcPr>
          <w:p w14:paraId="22B341A9" w14:textId="77777777" w:rsidR="0073600D" w:rsidRPr="00C508B7" w:rsidRDefault="0073600D" w:rsidP="00C508B7">
            <w:pPr>
              <w:jc w:val="center"/>
              <w:rPr>
                <w:color w:val="000000"/>
                <w:sz w:val="20"/>
                <w:szCs w:val="20"/>
              </w:rPr>
            </w:pPr>
            <w:r w:rsidRPr="00C508B7">
              <w:rPr>
                <w:color w:val="000000"/>
                <w:sz w:val="20"/>
                <w:szCs w:val="20"/>
              </w:rPr>
              <w:t>260,946</w:t>
            </w:r>
          </w:p>
        </w:tc>
        <w:tc>
          <w:tcPr>
            <w:tcW w:w="613" w:type="pct"/>
            <w:tcBorders>
              <w:top w:val="nil"/>
              <w:left w:val="nil"/>
              <w:bottom w:val="nil"/>
              <w:right w:val="nil"/>
            </w:tcBorders>
            <w:shd w:val="clear" w:color="auto" w:fill="auto"/>
            <w:noWrap/>
            <w:vAlign w:val="center"/>
            <w:hideMark/>
          </w:tcPr>
          <w:p w14:paraId="51EAC30A" w14:textId="77777777" w:rsidR="0073600D" w:rsidRPr="00C508B7" w:rsidRDefault="0073600D" w:rsidP="00C508B7">
            <w:pPr>
              <w:jc w:val="center"/>
              <w:rPr>
                <w:color w:val="000000"/>
                <w:sz w:val="20"/>
                <w:szCs w:val="20"/>
              </w:rPr>
            </w:pPr>
            <w:r w:rsidRPr="00C508B7">
              <w:rPr>
                <w:color w:val="000000"/>
                <w:sz w:val="20"/>
                <w:szCs w:val="20"/>
              </w:rPr>
              <w:t>266,963</w:t>
            </w:r>
          </w:p>
        </w:tc>
        <w:tc>
          <w:tcPr>
            <w:tcW w:w="614" w:type="pct"/>
            <w:tcBorders>
              <w:top w:val="nil"/>
              <w:left w:val="nil"/>
              <w:bottom w:val="nil"/>
              <w:right w:val="nil"/>
            </w:tcBorders>
            <w:shd w:val="clear" w:color="auto" w:fill="auto"/>
            <w:noWrap/>
            <w:vAlign w:val="center"/>
            <w:hideMark/>
          </w:tcPr>
          <w:p w14:paraId="36493DE3" w14:textId="77777777" w:rsidR="0073600D" w:rsidRPr="00C508B7" w:rsidRDefault="0073600D" w:rsidP="00C508B7">
            <w:pPr>
              <w:jc w:val="center"/>
              <w:rPr>
                <w:color w:val="000000"/>
                <w:sz w:val="20"/>
                <w:szCs w:val="20"/>
              </w:rPr>
            </w:pPr>
            <w:r w:rsidRPr="00C508B7">
              <w:rPr>
                <w:color w:val="000000"/>
                <w:sz w:val="20"/>
                <w:szCs w:val="20"/>
              </w:rPr>
              <w:t>218,611</w:t>
            </w:r>
          </w:p>
        </w:tc>
        <w:tc>
          <w:tcPr>
            <w:tcW w:w="614" w:type="pct"/>
            <w:tcBorders>
              <w:top w:val="nil"/>
              <w:left w:val="nil"/>
              <w:bottom w:val="nil"/>
              <w:right w:val="nil"/>
            </w:tcBorders>
            <w:shd w:val="clear" w:color="auto" w:fill="auto"/>
            <w:noWrap/>
            <w:vAlign w:val="center"/>
            <w:hideMark/>
          </w:tcPr>
          <w:p w14:paraId="32D7EC7B" w14:textId="77777777" w:rsidR="0073600D" w:rsidRPr="00C508B7" w:rsidRDefault="0073600D" w:rsidP="00C508B7">
            <w:pPr>
              <w:jc w:val="center"/>
              <w:rPr>
                <w:color w:val="000000"/>
                <w:sz w:val="20"/>
                <w:szCs w:val="20"/>
              </w:rPr>
            </w:pPr>
            <w:r w:rsidRPr="00C508B7">
              <w:rPr>
                <w:color w:val="000000"/>
                <w:sz w:val="20"/>
                <w:szCs w:val="20"/>
              </w:rPr>
              <w:t>193,114</w:t>
            </w:r>
          </w:p>
        </w:tc>
        <w:tc>
          <w:tcPr>
            <w:tcW w:w="415" w:type="pct"/>
            <w:tcBorders>
              <w:top w:val="nil"/>
              <w:left w:val="nil"/>
              <w:bottom w:val="nil"/>
              <w:right w:val="nil"/>
            </w:tcBorders>
            <w:shd w:val="clear" w:color="auto" w:fill="auto"/>
            <w:noWrap/>
            <w:vAlign w:val="center"/>
            <w:hideMark/>
          </w:tcPr>
          <w:p w14:paraId="2097FB4F" w14:textId="77777777" w:rsidR="0073600D" w:rsidRPr="00C508B7" w:rsidRDefault="0073600D" w:rsidP="00C508B7">
            <w:pPr>
              <w:jc w:val="center"/>
              <w:rPr>
                <w:color w:val="000000"/>
                <w:sz w:val="20"/>
                <w:szCs w:val="20"/>
              </w:rPr>
            </w:pPr>
            <w:r w:rsidRPr="00C508B7">
              <w:rPr>
                <w:color w:val="000000"/>
                <w:sz w:val="20"/>
                <w:szCs w:val="20"/>
              </w:rPr>
              <w:t>1.49</w:t>
            </w:r>
          </w:p>
        </w:tc>
      </w:tr>
      <w:tr w:rsidR="00C508B7" w:rsidRPr="00C508B7" w14:paraId="280A5DBF" w14:textId="77777777" w:rsidTr="00C508B7">
        <w:trPr>
          <w:trHeight w:val="240"/>
        </w:trPr>
        <w:tc>
          <w:tcPr>
            <w:tcW w:w="319" w:type="pct"/>
            <w:tcBorders>
              <w:top w:val="nil"/>
              <w:left w:val="nil"/>
              <w:bottom w:val="nil"/>
              <w:right w:val="nil"/>
            </w:tcBorders>
            <w:shd w:val="clear" w:color="auto" w:fill="auto"/>
            <w:noWrap/>
            <w:vAlign w:val="center"/>
            <w:hideMark/>
          </w:tcPr>
          <w:p w14:paraId="2AAC2789" w14:textId="77777777" w:rsidR="0073600D" w:rsidRPr="00C508B7" w:rsidRDefault="0073600D" w:rsidP="00C508B7">
            <w:pPr>
              <w:rPr>
                <w:color w:val="000000"/>
                <w:sz w:val="20"/>
                <w:szCs w:val="20"/>
              </w:rPr>
            </w:pPr>
            <w:r w:rsidRPr="00C508B7">
              <w:rPr>
                <w:color w:val="000000"/>
                <w:sz w:val="20"/>
                <w:szCs w:val="20"/>
              </w:rPr>
              <w:t>4</w:t>
            </w:r>
          </w:p>
        </w:tc>
        <w:tc>
          <w:tcPr>
            <w:tcW w:w="1197" w:type="pct"/>
            <w:tcBorders>
              <w:top w:val="nil"/>
              <w:left w:val="nil"/>
              <w:bottom w:val="nil"/>
              <w:right w:val="nil"/>
            </w:tcBorders>
            <w:shd w:val="clear" w:color="auto" w:fill="auto"/>
            <w:noWrap/>
            <w:vAlign w:val="center"/>
            <w:hideMark/>
          </w:tcPr>
          <w:p w14:paraId="29757948" w14:textId="77777777" w:rsidR="0073600D" w:rsidRPr="00C508B7" w:rsidRDefault="0073600D" w:rsidP="00C508B7">
            <w:pPr>
              <w:rPr>
                <w:color w:val="000000"/>
                <w:sz w:val="20"/>
                <w:szCs w:val="20"/>
              </w:rPr>
            </w:pPr>
            <w:r w:rsidRPr="00C508B7">
              <w:rPr>
                <w:color w:val="000000"/>
                <w:sz w:val="20"/>
                <w:szCs w:val="20"/>
              </w:rPr>
              <w:t>Endocrine, nutritional</w:t>
            </w:r>
          </w:p>
        </w:tc>
        <w:tc>
          <w:tcPr>
            <w:tcW w:w="614" w:type="pct"/>
            <w:tcBorders>
              <w:top w:val="nil"/>
              <w:left w:val="nil"/>
              <w:bottom w:val="nil"/>
              <w:right w:val="nil"/>
            </w:tcBorders>
            <w:shd w:val="clear" w:color="auto" w:fill="auto"/>
            <w:noWrap/>
            <w:vAlign w:val="center"/>
            <w:hideMark/>
          </w:tcPr>
          <w:p w14:paraId="1ABA7B37" w14:textId="77777777" w:rsidR="0073600D" w:rsidRPr="00C508B7" w:rsidRDefault="0073600D" w:rsidP="00C508B7">
            <w:pPr>
              <w:jc w:val="center"/>
              <w:rPr>
                <w:color w:val="000000"/>
                <w:sz w:val="20"/>
                <w:szCs w:val="20"/>
              </w:rPr>
            </w:pPr>
            <w:r w:rsidRPr="00C508B7">
              <w:rPr>
                <w:color w:val="000000"/>
                <w:sz w:val="20"/>
                <w:szCs w:val="20"/>
              </w:rPr>
              <w:t>977,489</w:t>
            </w:r>
          </w:p>
        </w:tc>
        <w:tc>
          <w:tcPr>
            <w:tcW w:w="614" w:type="pct"/>
            <w:tcBorders>
              <w:top w:val="nil"/>
              <w:left w:val="nil"/>
              <w:bottom w:val="nil"/>
              <w:right w:val="nil"/>
            </w:tcBorders>
            <w:shd w:val="clear" w:color="auto" w:fill="auto"/>
            <w:noWrap/>
            <w:vAlign w:val="center"/>
            <w:hideMark/>
          </w:tcPr>
          <w:p w14:paraId="7F15A3B6" w14:textId="77777777" w:rsidR="0073600D" w:rsidRPr="00C508B7" w:rsidRDefault="0073600D" w:rsidP="00C508B7">
            <w:pPr>
              <w:jc w:val="center"/>
              <w:rPr>
                <w:color w:val="000000"/>
                <w:sz w:val="20"/>
                <w:szCs w:val="20"/>
              </w:rPr>
            </w:pPr>
            <w:r w:rsidRPr="00C508B7">
              <w:rPr>
                <w:color w:val="000000"/>
                <w:sz w:val="20"/>
                <w:szCs w:val="20"/>
              </w:rPr>
              <w:t>888,327</w:t>
            </w:r>
          </w:p>
        </w:tc>
        <w:tc>
          <w:tcPr>
            <w:tcW w:w="613" w:type="pct"/>
            <w:tcBorders>
              <w:top w:val="nil"/>
              <w:left w:val="nil"/>
              <w:bottom w:val="nil"/>
              <w:right w:val="nil"/>
            </w:tcBorders>
            <w:shd w:val="clear" w:color="auto" w:fill="auto"/>
            <w:noWrap/>
            <w:vAlign w:val="center"/>
            <w:hideMark/>
          </w:tcPr>
          <w:p w14:paraId="7C36848C" w14:textId="77777777" w:rsidR="0073600D" w:rsidRPr="00C508B7" w:rsidRDefault="0073600D" w:rsidP="00C508B7">
            <w:pPr>
              <w:jc w:val="center"/>
              <w:rPr>
                <w:color w:val="000000"/>
                <w:sz w:val="20"/>
                <w:szCs w:val="20"/>
              </w:rPr>
            </w:pPr>
            <w:r w:rsidRPr="00C508B7">
              <w:rPr>
                <w:color w:val="000000"/>
                <w:sz w:val="20"/>
                <w:szCs w:val="20"/>
              </w:rPr>
              <w:t>880,756</w:t>
            </w:r>
          </w:p>
        </w:tc>
        <w:tc>
          <w:tcPr>
            <w:tcW w:w="614" w:type="pct"/>
            <w:tcBorders>
              <w:top w:val="nil"/>
              <w:left w:val="nil"/>
              <w:bottom w:val="nil"/>
              <w:right w:val="nil"/>
            </w:tcBorders>
            <w:shd w:val="clear" w:color="auto" w:fill="auto"/>
            <w:noWrap/>
            <w:vAlign w:val="center"/>
            <w:hideMark/>
          </w:tcPr>
          <w:p w14:paraId="5287E805" w14:textId="77777777" w:rsidR="0073600D" w:rsidRPr="00C508B7" w:rsidRDefault="0073600D" w:rsidP="00C508B7">
            <w:pPr>
              <w:jc w:val="center"/>
              <w:rPr>
                <w:color w:val="000000"/>
                <w:sz w:val="20"/>
                <w:szCs w:val="20"/>
              </w:rPr>
            </w:pPr>
            <w:r w:rsidRPr="00C508B7">
              <w:rPr>
                <w:color w:val="000000"/>
                <w:sz w:val="20"/>
                <w:szCs w:val="20"/>
              </w:rPr>
              <w:t>738,236</w:t>
            </w:r>
          </w:p>
        </w:tc>
        <w:tc>
          <w:tcPr>
            <w:tcW w:w="614" w:type="pct"/>
            <w:tcBorders>
              <w:top w:val="nil"/>
              <w:left w:val="nil"/>
              <w:bottom w:val="nil"/>
              <w:right w:val="nil"/>
            </w:tcBorders>
            <w:shd w:val="clear" w:color="auto" w:fill="auto"/>
            <w:noWrap/>
            <w:vAlign w:val="center"/>
            <w:hideMark/>
          </w:tcPr>
          <w:p w14:paraId="42DCD6B7" w14:textId="77777777" w:rsidR="0073600D" w:rsidRPr="00C508B7" w:rsidRDefault="0073600D" w:rsidP="00C508B7">
            <w:pPr>
              <w:jc w:val="center"/>
              <w:rPr>
                <w:color w:val="000000"/>
                <w:sz w:val="20"/>
                <w:szCs w:val="20"/>
              </w:rPr>
            </w:pPr>
            <w:r w:rsidRPr="00C508B7">
              <w:rPr>
                <w:color w:val="000000"/>
                <w:sz w:val="20"/>
                <w:szCs w:val="20"/>
              </w:rPr>
              <w:t>623,516</w:t>
            </w:r>
          </w:p>
        </w:tc>
        <w:tc>
          <w:tcPr>
            <w:tcW w:w="415" w:type="pct"/>
            <w:tcBorders>
              <w:top w:val="nil"/>
              <w:left w:val="nil"/>
              <w:bottom w:val="nil"/>
              <w:right w:val="nil"/>
            </w:tcBorders>
            <w:shd w:val="clear" w:color="auto" w:fill="auto"/>
            <w:noWrap/>
            <w:vAlign w:val="center"/>
            <w:hideMark/>
          </w:tcPr>
          <w:p w14:paraId="2D260E96" w14:textId="77777777" w:rsidR="0073600D" w:rsidRPr="00C508B7" w:rsidRDefault="0073600D" w:rsidP="00C508B7">
            <w:pPr>
              <w:jc w:val="center"/>
              <w:rPr>
                <w:color w:val="000000"/>
                <w:sz w:val="20"/>
                <w:szCs w:val="20"/>
              </w:rPr>
            </w:pPr>
            <w:r w:rsidRPr="00C508B7">
              <w:rPr>
                <w:color w:val="000000"/>
                <w:sz w:val="20"/>
                <w:szCs w:val="20"/>
              </w:rPr>
              <w:t>1.57</w:t>
            </w:r>
          </w:p>
        </w:tc>
      </w:tr>
      <w:tr w:rsidR="00C508B7" w:rsidRPr="00C508B7" w14:paraId="0EC5F234" w14:textId="77777777" w:rsidTr="00C508B7">
        <w:trPr>
          <w:trHeight w:val="240"/>
        </w:trPr>
        <w:tc>
          <w:tcPr>
            <w:tcW w:w="319" w:type="pct"/>
            <w:tcBorders>
              <w:top w:val="nil"/>
              <w:left w:val="nil"/>
              <w:bottom w:val="nil"/>
              <w:right w:val="nil"/>
            </w:tcBorders>
            <w:shd w:val="clear" w:color="auto" w:fill="auto"/>
            <w:noWrap/>
            <w:vAlign w:val="center"/>
            <w:hideMark/>
          </w:tcPr>
          <w:p w14:paraId="30BB2647" w14:textId="77777777" w:rsidR="0073600D" w:rsidRPr="00C508B7" w:rsidRDefault="0073600D" w:rsidP="00C508B7">
            <w:pPr>
              <w:rPr>
                <w:color w:val="000000"/>
                <w:sz w:val="20"/>
                <w:szCs w:val="20"/>
              </w:rPr>
            </w:pPr>
            <w:r w:rsidRPr="00C508B7">
              <w:rPr>
                <w:color w:val="000000"/>
                <w:sz w:val="20"/>
                <w:szCs w:val="20"/>
              </w:rPr>
              <w:t>5</w:t>
            </w:r>
          </w:p>
        </w:tc>
        <w:tc>
          <w:tcPr>
            <w:tcW w:w="1197" w:type="pct"/>
            <w:tcBorders>
              <w:top w:val="nil"/>
              <w:left w:val="nil"/>
              <w:bottom w:val="nil"/>
              <w:right w:val="nil"/>
            </w:tcBorders>
            <w:shd w:val="clear" w:color="auto" w:fill="auto"/>
            <w:noWrap/>
            <w:vAlign w:val="center"/>
            <w:hideMark/>
          </w:tcPr>
          <w:p w14:paraId="16B84CFC" w14:textId="77777777" w:rsidR="0073600D" w:rsidRPr="00C508B7" w:rsidRDefault="0073600D" w:rsidP="00C508B7">
            <w:pPr>
              <w:rPr>
                <w:color w:val="000000"/>
                <w:sz w:val="20"/>
                <w:szCs w:val="20"/>
              </w:rPr>
            </w:pPr>
            <w:r w:rsidRPr="00C508B7">
              <w:rPr>
                <w:color w:val="000000"/>
                <w:sz w:val="20"/>
                <w:szCs w:val="20"/>
              </w:rPr>
              <w:t>Mental health</w:t>
            </w:r>
          </w:p>
        </w:tc>
        <w:tc>
          <w:tcPr>
            <w:tcW w:w="614" w:type="pct"/>
            <w:tcBorders>
              <w:top w:val="nil"/>
              <w:left w:val="nil"/>
              <w:bottom w:val="nil"/>
              <w:right w:val="nil"/>
            </w:tcBorders>
            <w:shd w:val="clear" w:color="auto" w:fill="auto"/>
            <w:noWrap/>
            <w:vAlign w:val="center"/>
            <w:hideMark/>
          </w:tcPr>
          <w:p w14:paraId="376E1532" w14:textId="77777777" w:rsidR="0073600D" w:rsidRPr="00C508B7" w:rsidRDefault="0073600D" w:rsidP="00C508B7">
            <w:pPr>
              <w:jc w:val="center"/>
              <w:rPr>
                <w:color w:val="000000"/>
                <w:sz w:val="20"/>
                <w:szCs w:val="20"/>
              </w:rPr>
            </w:pPr>
            <w:r w:rsidRPr="00C508B7">
              <w:rPr>
                <w:color w:val="000000"/>
                <w:sz w:val="20"/>
                <w:szCs w:val="20"/>
              </w:rPr>
              <w:t>1,182,758</w:t>
            </w:r>
          </w:p>
        </w:tc>
        <w:tc>
          <w:tcPr>
            <w:tcW w:w="614" w:type="pct"/>
            <w:tcBorders>
              <w:top w:val="nil"/>
              <w:left w:val="nil"/>
              <w:bottom w:val="nil"/>
              <w:right w:val="nil"/>
            </w:tcBorders>
            <w:shd w:val="clear" w:color="auto" w:fill="auto"/>
            <w:noWrap/>
            <w:vAlign w:val="center"/>
            <w:hideMark/>
          </w:tcPr>
          <w:p w14:paraId="152FFB1B" w14:textId="77777777" w:rsidR="0073600D" w:rsidRPr="00C508B7" w:rsidRDefault="0073600D" w:rsidP="00C508B7">
            <w:pPr>
              <w:jc w:val="center"/>
              <w:rPr>
                <w:color w:val="000000"/>
                <w:sz w:val="20"/>
                <w:szCs w:val="20"/>
              </w:rPr>
            </w:pPr>
            <w:r w:rsidRPr="00C508B7">
              <w:rPr>
                <w:color w:val="000000"/>
                <w:sz w:val="20"/>
                <w:szCs w:val="20"/>
              </w:rPr>
              <w:t>935,190</w:t>
            </w:r>
          </w:p>
        </w:tc>
        <w:tc>
          <w:tcPr>
            <w:tcW w:w="613" w:type="pct"/>
            <w:tcBorders>
              <w:top w:val="nil"/>
              <w:left w:val="nil"/>
              <w:bottom w:val="nil"/>
              <w:right w:val="nil"/>
            </w:tcBorders>
            <w:shd w:val="clear" w:color="auto" w:fill="auto"/>
            <w:noWrap/>
            <w:vAlign w:val="center"/>
            <w:hideMark/>
          </w:tcPr>
          <w:p w14:paraId="6CC0E969" w14:textId="77777777" w:rsidR="0073600D" w:rsidRPr="00C508B7" w:rsidRDefault="0073600D" w:rsidP="00C508B7">
            <w:pPr>
              <w:jc w:val="center"/>
              <w:rPr>
                <w:color w:val="000000"/>
                <w:sz w:val="20"/>
                <w:szCs w:val="20"/>
              </w:rPr>
            </w:pPr>
            <w:r w:rsidRPr="00C508B7">
              <w:rPr>
                <w:color w:val="000000"/>
                <w:sz w:val="20"/>
                <w:szCs w:val="20"/>
              </w:rPr>
              <w:t>917,735</w:t>
            </w:r>
          </w:p>
        </w:tc>
        <w:tc>
          <w:tcPr>
            <w:tcW w:w="614" w:type="pct"/>
            <w:tcBorders>
              <w:top w:val="nil"/>
              <w:left w:val="nil"/>
              <w:bottom w:val="nil"/>
              <w:right w:val="nil"/>
            </w:tcBorders>
            <w:shd w:val="clear" w:color="auto" w:fill="auto"/>
            <w:noWrap/>
            <w:vAlign w:val="center"/>
            <w:hideMark/>
          </w:tcPr>
          <w:p w14:paraId="3FC76099" w14:textId="77777777" w:rsidR="0073600D" w:rsidRPr="00C508B7" w:rsidRDefault="0073600D" w:rsidP="00C508B7">
            <w:pPr>
              <w:jc w:val="center"/>
              <w:rPr>
                <w:color w:val="000000"/>
                <w:sz w:val="20"/>
                <w:szCs w:val="20"/>
              </w:rPr>
            </w:pPr>
            <w:r w:rsidRPr="00C508B7">
              <w:rPr>
                <w:color w:val="000000"/>
                <w:sz w:val="20"/>
                <w:szCs w:val="20"/>
              </w:rPr>
              <w:t>603,987</w:t>
            </w:r>
          </w:p>
        </w:tc>
        <w:tc>
          <w:tcPr>
            <w:tcW w:w="614" w:type="pct"/>
            <w:tcBorders>
              <w:top w:val="nil"/>
              <w:left w:val="nil"/>
              <w:bottom w:val="nil"/>
              <w:right w:val="nil"/>
            </w:tcBorders>
            <w:shd w:val="clear" w:color="auto" w:fill="auto"/>
            <w:noWrap/>
            <w:vAlign w:val="center"/>
            <w:hideMark/>
          </w:tcPr>
          <w:p w14:paraId="5ED1A65F" w14:textId="77777777" w:rsidR="0073600D" w:rsidRPr="00C508B7" w:rsidRDefault="0073600D" w:rsidP="00C508B7">
            <w:pPr>
              <w:jc w:val="center"/>
              <w:rPr>
                <w:color w:val="000000"/>
                <w:sz w:val="20"/>
                <w:szCs w:val="20"/>
              </w:rPr>
            </w:pPr>
            <w:r w:rsidRPr="00C508B7">
              <w:rPr>
                <w:color w:val="000000"/>
                <w:sz w:val="20"/>
                <w:szCs w:val="20"/>
              </w:rPr>
              <w:t>466,905</w:t>
            </w:r>
          </w:p>
        </w:tc>
        <w:tc>
          <w:tcPr>
            <w:tcW w:w="415" w:type="pct"/>
            <w:tcBorders>
              <w:top w:val="nil"/>
              <w:left w:val="nil"/>
              <w:bottom w:val="nil"/>
              <w:right w:val="nil"/>
            </w:tcBorders>
            <w:shd w:val="clear" w:color="auto" w:fill="auto"/>
            <w:noWrap/>
            <w:vAlign w:val="center"/>
            <w:hideMark/>
          </w:tcPr>
          <w:p w14:paraId="2BE86DB8" w14:textId="77777777" w:rsidR="0073600D" w:rsidRPr="00C508B7" w:rsidRDefault="0073600D" w:rsidP="00C508B7">
            <w:pPr>
              <w:jc w:val="center"/>
              <w:rPr>
                <w:color w:val="000000"/>
                <w:sz w:val="20"/>
                <w:szCs w:val="20"/>
              </w:rPr>
            </w:pPr>
            <w:r w:rsidRPr="00C508B7">
              <w:rPr>
                <w:color w:val="000000"/>
                <w:sz w:val="20"/>
                <w:szCs w:val="20"/>
              </w:rPr>
              <w:t>2.53</w:t>
            </w:r>
          </w:p>
        </w:tc>
      </w:tr>
      <w:tr w:rsidR="00C508B7" w:rsidRPr="00C508B7" w14:paraId="05B85786" w14:textId="77777777" w:rsidTr="00C508B7">
        <w:trPr>
          <w:trHeight w:val="240"/>
        </w:trPr>
        <w:tc>
          <w:tcPr>
            <w:tcW w:w="319" w:type="pct"/>
            <w:tcBorders>
              <w:top w:val="nil"/>
              <w:left w:val="nil"/>
              <w:bottom w:val="nil"/>
              <w:right w:val="nil"/>
            </w:tcBorders>
            <w:shd w:val="clear" w:color="auto" w:fill="auto"/>
            <w:noWrap/>
            <w:vAlign w:val="center"/>
            <w:hideMark/>
          </w:tcPr>
          <w:p w14:paraId="5AE97DDF" w14:textId="77777777" w:rsidR="0073600D" w:rsidRPr="00C508B7" w:rsidRDefault="0073600D" w:rsidP="00C508B7">
            <w:pPr>
              <w:rPr>
                <w:color w:val="000000"/>
                <w:sz w:val="20"/>
                <w:szCs w:val="20"/>
              </w:rPr>
            </w:pPr>
            <w:r w:rsidRPr="00C508B7">
              <w:rPr>
                <w:color w:val="000000"/>
                <w:sz w:val="20"/>
                <w:szCs w:val="20"/>
              </w:rPr>
              <w:t>6</w:t>
            </w:r>
          </w:p>
        </w:tc>
        <w:tc>
          <w:tcPr>
            <w:tcW w:w="1197" w:type="pct"/>
            <w:tcBorders>
              <w:top w:val="nil"/>
              <w:left w:val="nil"/>
              <w:bottom w:val="nil"/>
              <w:right w:val="nil"/>
            </w:tcBorders>
            <w:shd w:val="clear" w:color="auto" w:fill="auto"/>
            <w:noWrap/>
            <w:vAlign w:val="center"/>
            <w:hideMark/>
          </w:tcPr>
          <w:p w14:paraId="4A8EAAB4" w14:textId="77777777" w:rsidR="0073600D" w:rsidRPr="00C508B7" w:rsidRDefault="0073600D" w:rsidP="00C508B7">
            <w:pPr>
              <w:rPr>
                <w:color w:val="000000"/>
                <w:sz w:val="20"/>
                <w:szCs w:val="20"/>
              </w:rPr>
            </w:pPr>
            <w:r w:rsidRPr="00C508B7">
              <w:rPr>
                <w:color w:val="000000"/>
                <w:sz w:val="20"/>
                <w:szCs w:val="20"/>
              </w:rPr>
              <w:t>Learning disability</w:t>
            </w:r>
          </w:p>
        </w:tc>
        <w:tc>
          <w:tcPr>
            <w:tcW w:w="614" w:type="pct"/>
            <w:tcBorders>
              <w:top w:val="nil"/>
              <w:left w:val="nil"/>
              <w:bottom w:val="nil"/>
              <w:right w:val="nil"/>
            </w:tcBorders>
            <w:shd w:val="clear" w:color="auto" w:fill="auto"/>
            <w:noWrap/>
            <w:vAlign w:val="center"/>
            <w:hideMark/>
          </w:tcPr>
          <w:p w14:paraId="5E379B4C" w14:textId="77777777" w:rsidR="0073600D" w:rsidRPr="00C508B7" w:rsidRDefault="0073600D" w:rsidP="00C508B7">
            <w:pPr>
              <w:jc w:val="center"/>
              <w:rPr>
                <w:color w:val="000000"/>
                <w:sz w:val="20"/>
                <w:szCs w:val="20"/>
              </w:rPr>
            </w:pPr>
            <w:r w:rsidRPr="00C508B7">
              <w:rPr>
                <w:color w:val="000000"/>
                <w:sz w:val="20"/>
                <w:szCs w:val="20"/>
              </w:rPr>
              <w:t>55,110</w:t>
            </w:r>
          </w:p>
        </w:tc>
        <w:tc>
          <w:tcPr>
            <w:tcW w:w="614" w:type="pct"/>
            <w:tcBorders>
              <w:top w:val="nil"/>
              <w:left w:val="nil"/>
              <w:bottom w:val="nil"/>
              <w:right w:val="nil"/>
            </w:tcBorders>
            <w:shd w:val="clear" w:color="auto" w:fill="auto"/>
            <w:noWrap/>
            <w:vAlign w:val="center"/>
            <w:hideMark/>
          </w:tcPr>
          <w:p w14:paraId="164D9FA2" w14:textId="77777777" w:rsidR="0073600D" w:rsidRPr="00C508B7" w:rsidRDefault="0073600D" w:rsidP="00C508B7">
            <w:pPr>
              <w:jc w:val="center"/>
              <w:rPr>
                <w:color w:val="000000"/>
                <w:sz w:val="20"/>
                <w:szCs w:val="20"/>
              </w:rPr>
            </w:pPr>
            <w:r w:rsidRPr="00C508B7">
              <w:rPr>
                <w:color w:val="000000"/>
                <w:sz w:val="20"/>
                <w:szCs w:val="20"/>
              </w:rPr>
              <w:t>44,280</w:t>
            </w:r>
          </w:p>
        </w:tc>
        <w:tc>
          <w:tcPr>
            <w:tcW w:w="613" w:type="pct"/>
            <w:tcBorders>
              <w:top w:val="nil"/>
              <w:left w:val="nil"/>
              <w:bottom w:val="nil"/>
              <w:right w:val="nil"/>
            </w:tcBorders>
            <w:shd w:val="clear" w:color="auto" w:fill="auto"/>
            <w:noWrap/>
            <w:vAlign w:val="center"/>
            <w:hideMark/>
          </w:tcPr>
          <w:p w14:paraId="3AF1C858" w14:textId="77777777" w:rsidR="0073600D" w:rsidRPr="00C508B7" w:rsidRDefault="0073600D" w:rsidP="00C508B7">
            <w:pPr>
              <w:jc w:val="center"/>
              <w:rPr>
                <w:color w:val="000000"/>
                <w:sz w:val="20"/>
                <w:szCs w:val="20"/>
              </w:rPr>
            </w:pPr>
            <w:r w:rsidRPr="00C508B7">
              <w:rPr>
                <w:color w:val="000000"/>
                <w:sz w:val="20"/>
                <w:szCs w:val="20"/>
              </w:rPr>
              <w:t>43,390</w:t>
            </w:r>
          </w:p>
        </w:tc>
        <w:tc>
          <w:tcPr>
            <w:tcW w:w="614" w:type="pct"/>
            <w:tcBorders>
              <w:top w:val="nil"/>
              <w:left w:val="nil"/>
              <w:bottom w:val="nil"/>
              <w:right w:val="nil"/>
            </w:tcBorders>
            <w:shd w:val="clear" w:color="auto" w:fill="auto"/>
            <w:noWrap/>
            <w:vAlign w:val="center"/>
            <w:hideMark/>
          </w:tcPr>
          <w:p w14:paraId="689F9E2D" w14:textId="77777777" w:rsidR="0073600D" w:rsidRPr="00C508B7" w:rsidRDefault="0073600D" w:rsidP="00C508B7">
            <w:pPr>
              <w:jc w:val="center"/>
              <w:rPr>
                <w:color w:val="000000"/>
                <w:sz w:val="20"/>
                <w:szCs w:val="20"/>
              </w:rPr>
            </w:pPr>
            <w:r w:rsidRPr="00C508B7">
              <w:rPr>
                <w:color w:val="000000"/>
                <w:sz w:val="20"/>
                <w:szCs w:val="20"/>
              </w:rPr>
              <w:t>28,797</w:t>
            </w:r>
          </w:p>
        </w:tc>
        <w:tc>
          <w:tcPr>
            <w:tcW w:w="614" w:type="pct"/>
            <w:tcBorders>
              <w:top w:val="nil"/>
              <w:left w:val="nil"/>
              <w:bottom w:val="nil"/>
              <w:right w:val="nil"/>
            </w:tcBorders>
            <w:shd w:val="clear" w:color="auto" w:fill="auto"/>
            <w:noWrap/>
            <w:vAlign w:val="center"/>
            <w:hideMark/>
          </w:tcPr>
          <w:p w14:paraId="4E8405C1" w14:textId="77777777" w:rsidR="0073600D" w:rsidRPr="00C508B7" w:rsidRDefault="0073600D" w:rsidP="00C508B7">
            <w:pPr>
              <w:jc w:val="center"/>
              <w:rPr>
                <w:color w:val="000000"/>
                <w:sz w:val="20"/>
                <w:szCs w:val="20"/>
              </w:rPr>
            </w:pPr>
            <w:r w:rsidRPr="00C508B7">
              <w:rPr>
                <w:color w:val="000000"/>
                <w:sz w:val="20"/>
                <w:szCs w:val="20"/>
              </w:rPr>
              <w:t>21,897</w:t>
            </w:r>
          </w:p>
        </w:tc>
        <w:tc>
          <w:tcPr>
            <w:tcW w:w="415" w:type="pct"/>
            <w:tcBorders>
              <w:top w:val="nil"/>
              <w:left w:val="nil"/>
              <w:bottom w:val="nil"/>
              <w:right w:val="nil"/>
            </w:tcBorders>
            <w:shd w:val="clear" w:color="auto" w:fill="auto"/>
            <w:noWrap/>
            <w:vAlign w:val="center"/>
            <w:hideMark/>
          </w:tcPr>
          <w:p w14:paraId="39DD9C0C" w14:textId="77777777" w:rsidR="0073600D" w:rsidRPr="00C508B7" w:rsidRDefault="0073600D" w:rsidP="00C508B7">
            <w:pPr>
              <w:jc w:val="center"/>
              <w:rPr>
                <w:color w:val="000000"/>
                <w:sz w:val="20"/>
                <w:szCs w:val="20"/>
              </w:rPr>
            </w:pPr>
            <w:r w:rsidRPr="00C508B7">
              <w:rPr>
                <w:color w:val="000000"/>
                <w:sz w:val="20"/>
                <w:szCs w:val="20"/>
              </w:rPr>
              <w:t>2.52</w:t>
            </w:r>
          </w:p>
        </w:tc>
      </w:tr>
      <w:tr w:rsidR="00C508B7" w:rsidRPr="00C508B7" w14:paraId="52D14E86" w14:textId="77777777" w:rsidTr="00C508B7">
        <w:trPr>
          <w:trHeight w:val="240"/>
        </w:trPr>
        <w:tc>
          <w:tcPr>
            <w:tcW w:w="319" w:type="pct"/>
            <w:tcBorders>
              <w:top w:val="nil"/>
              <w:left w:val="nil"/>
              <w:bottom w:val="nil"/>
              <w:right w:val="nil"/>
            </w:tcBorders>
            <w:shd w:val="clear" w:color="auto" w:fill="auto"/>
            <w:noWrap/>
            <w:vAlign w:val="center"/>
            <w:hideMark/>
          </w:tcPr>
          <w:p w14:paraId="0C025705" w14:textId="77777777" w:rsidR="0073600D" w:rsidRPr="00C508B7" w:rsidRDefault="0073600D" w:rsidP="00C508B7">
            <w:pPr>
              <w:rPr>
                <w:color w:val="000000"/>
                <w:sz w:val="20"/>
                <w:szCs w:val="20"/>
              </w:rPr>
            </w:pPr>
            <w:r w:rsidRPr="00C508B7">
              <w:rPr>
                <w:color w:val="000000"/>
                <w:sz w:val="20"/>
                <w:szCs w:val="20"/>
              </w:rPr>
              <w:t>7</w:t>
            </w:r>
          </w:p>
        </w:tc>
        <w:tc>
          <w:tcPr>
            <w:tcW w:w="1197" w:type="pct"/>
            <w:tcBorders>
              <w:top w:val="nil"/>
              <w:left w:val="nil"/>
              <w:bottom w:val="nil"/>
              <w:right w:val="nil"/>
            </w:tcBorders>
            <w:shd w:val="clear" w:color="auto" w:fill="auto"/>
            <w:noWrap/>
            <w:vAlign w:val="center"/>
            <w:hideMark/>
          </w:tcPr>
          <w:p w14:paraId="50D11C27" w14:textId="77777777" w:rsidR="0073600D" w:rsidRPr="00C508B7" w:rsidRDefault="0073600D" w:rsidP="00C508B7">
            <w:pPr>
              <w:rPr>
                <w:color w:val="000000"/>
                <w:sz w:val="20"/>
                <w:szCs w:val="20"/>
              </w:rPr>
            </w:pPr>
            <w:r w:rsidRPr="00C508B7">
              <w:rPr>
                <w:color w:val="000000"/>
                <w:sz w:val="20"/>
                <w:szCs w:val="20"/>
              </w:rPr>
              <w:t>Neurological</w:t>
            </w:r>
          </w:p>
        </w:tc>
        <w:tc>
          <w:tcPr>
            <w:tcW w:w="614" w:type="pct"/>
            <w:tcBorders>
              <w:top w:val="nil"/>
              <w:left w:val="nil"/>
              <w:bottom w:val="nil"/>
              <w:right w:val="nil"/>
            </w:tcBorders>
            <w:shd w:val="clear" w:color="auto" w:fill="auto"/>
            <w:noWrap/>
            <w:vAlign w:val="center"/>
            <w:hideMark/>
          </w:tcPr>
          <w:p w14:paraId="0131ECFF" w14:textId="77777777" w:rsidR="0073600D" w:rsidRPr="00C508B7" w:rsidRDefault="0073600D" w:rsidP="00C508B7">
            <w:pPr>
              <w:jc w:val="center"/>
              <w:rPr>
                <w:color w:val="000000"/>
                <w:sz w:val="20"/>
                <w:szCs w:val="20"/>
              </w:rPr>
            </w:pPr>
            <w:r w:rsidRPr="00C508B7">
              <w:rPr>
                <w:color w:val="000000"/>
                <w:sz w:val="20"/>
                <w:szCs w:val="20"/>
              </w:rPr>
              <w:t>389,763</w:t>
            </w:r>
          </w:p>
        </w:tc>
        <w:tc>
          <w:tcPr>
            <w:tcW w:w="614" w:type="pct"/>
            <w:tcBorders>
              <w:top w:val="nil"/>
              <w:left w:val="nil"/>
              <w:bottom w:val="nil"/>
              <w:right w:val="nil"/>
            </w:tcBorders>
            <w:shd w:val="clear" w:color="auto" w:fill="auto"/>
            <w:noWrap/>
            <w:vAlign w:val="center"/>
            <w:hideMark/>
          </w:tcPr>
          <w:p w14:paraId="735DAA88" w14:textId="77777777" w:rsidR="0073600D" w:rsidRPr="00C508B7" w:rsidRDefault="0073600D" w:rsidP="00C508B7">
            <w:pPr>
              <w:jc w:val="center"/>
              <w:rPr>
                <w:color w:val="000000"/>
                <w:sz w:val="20"/>
                <w:szCs w:val="20"/>
              </w:rPr>
            </w:pPr>
            <w:r w:rsidRPr="00C508B7">
              <w:rPr>
                <w:color w:val="000000"/>
                <w:sz w:val="20"/>
                <w:szCs w:val="20"/>
              </w:rPr>
              <w:t>343,101</w:t>
            </w:r>
          </w:p>
        </w:tc>
        <w:tc>
          <w:tcPr>
            <w:tcW w:w="613" w:type="pct"/>
            <w:tcBorders>
              <w:top w:val="nil"/>
              <w:left w:val="nil"/>
              <w:bottom w:val="nil"/>
              <w:right w:val="nil"/>
            </w:tcBorders>
            <w:shd w:val="clear" w:color="auto" w:fill="auto"/>
            <w:noWrap/>
            <w:vAlign w:val="center"/>
            <w:hideMark/>
          </w:tcPr>
          <w:p w14:paraId="6B641093" w14:textId="77777777" w:rsidR="0073600D" w:rsidRPr="00C508B7" w:rsidRDefault="0073600D" w:rsidP="00C508B7">
            <w:pPr>
              <w:jc w:val="center"/>
              <w:rPr>
                <w:color w:val="000000"/>
                <w:sz w:val="20"/>
                <w:szCs w:val="20"/>
              </w:rPr>
            </w:pPr>
            <w:r w:rsidRPr="00C508B7">
              <w:rPr>
                <w:color w:val="000000"/>
                <w:sz w:val="20"/>
                <w:szCs w:val="20"/>
              </w:rPr>
              <w:t>339,122</w:t>
            </w:r>
          </w:p>
        </w:tc>
        <w:tc>
          <w:tcPr>
            <w:tcW w:w="614" w:type="pct"/>
            <w:tcBorders>
              <w:top w:val="nil"/>
              <w:left w:val="nil"/>
              <w:bottom w:val="nil"/>
              <w:right w:val="nil"/>
            </w:tcBorders>
            <w:shd w:val="clear" w:color="auto" w:fill="auto"/>
            <w:noWrap/>
            <w:vAlign w:val="center"/>
            <w:hideMark/>
          </w:tcPr>
          <w:p w14:paraId="78DCD5CE" w14:textId="77777777" w:rsidR="0073600D" w:rsidRPr="00C508B7" w:rsidRDefault="0073600D" w:rsidP="00C508B7">
            <w:pPr>
              <w:jc w:val="center"/>
              <w:rPr>
                <w:color w:val="000000"/>
                <w:sz w:val="20"/>
                <w:szCs w:val="20"/>
              </w:rPr>
            </w:pPr>
            <w:r w:rsidRPr="00C508B7">
              <w:rPr>
                <w:color w:val="000000"/>
                <w:sz w:val="20"/>
                <w:szCs w:val="20"/>
              </w:rPr>
              <w:t>293,529</w:t>
            </w:r>
          </w:p>
        </w:tc>
        <w:tc>
          <w:tcPr>
            <w:tcW w:w="614" w:type="pct"/>
            <w:tcBorders>
              <w:top w:val="nil"/>
              <w:left w:val="nil"/>
              <w:bottom w:val="nil"/>
              <w:right w:val="nil"/>
            </w:tcBorders>
            <w:shd w:val="clear" w:color="auto" w:fill="auto"/>
            <w:noWrap/>
            <w:vAlign w:val="center"/>
            <w:hideMark/>
          </w:tcPr>
          <w:p w14:paraId="4B032A29" w14:textId="77777777" w:rsidR="0073600D" w:rsidRPr="00C508B7" w:rsidRDefault="0073600D" w:rsidP="00C508B7">
            <w:pPr>
              <w:jc w:val="center"/>
              <w:rPr>
                <w:color w:val="000000"/>
                <w:sz w:val="20"/>
                <w:szCs w:val="20"/>
              </w:rPr>
            </w:pPr>
            <w:r w:rsidRPr="00C508B7">
              <w:rPr>
                <w:color w:val="000000"/>
                <w:sz w:val="20"/>
                <w:szCs w:val="20"/>
              </w:rPr>
              <w:t>262,108</w:t>
            </w:r>
          </w:p>
        </w:tc>
        <w:tc>
          <w:tcPr>
            <w:tcW w:w="415" w:type="pct"/>
            <w:tcBorders>
              <w:top w:val="nil"/>
              <w:left w:val="nil"/>
              <w:bottom w:val="nil"/>
              <w:right w:val="nil"/>
            </w:tcBorders>
            <w:shd w:val="clear" w:color="auto" w:fill="auto"/>
            <w:noWrap/>
            <w:vAlign w:val="center"/>
            <w:hideMark/>
          </w:tcPr>
          <w:p w14:paraId="53753724" w14:textId="77777777" w:rsidR="0073600D" w:rsidRPr="00C508B7" w:rsidRDefault="0073600D" w:rsidP="00C508B7">
            <w:pPr>
              <w:jc w:val="center"/>
              <w:rPr>
                <w:color w:val="000000"/>
                <w:sz w:val="20"/>
                <w:szCs w:val="20"/>
              </w:rPr>
            </w:pPr>
            <w:r w:rsidRPr="00C508B7">
              <w:rPr>
                <w:color w:val="000000"/>
                <w:sz w:val="20"/>
                <w:szCs w:val="20"/>
              </w:rPr>
              <w:t>1.49</w:t>
            </w:r>
          </w:p>
        </w:tc>
      </w:tr>
      <w:tr w:rsidR="00C508B7" w:rsidRPr="00C508B7" w14:paraId="1E20CB50" w14:textId="77777777" w:rsidTr="00C508B7">
        <w:trPr>
          <w:trHeight w:val="240"/>
        </w:trPr>
        <w:tc>
          <w:tcPr>
            <w:tcW w:w="319" w:type="pct"/>
            <w:tcBorders>
              <w:top w:val="nil"/>
              <w:left w:val="nil"/>
              <w:bottom w:val="nil"/>
              <w:right w:val="nil"/>
            </w:tcBorders>
            <w:shd w:val="clear" w:color="auto" w:fill="auto"/>
            <w:noWrap/>
            <w:vAlign w:val="center"/>
            <w:hideMark/>
          </w:tcPr>
          <w:p w14:paraId="42BE3A7A" w14:textId="77777777" w:rsidR="0073600D" w:rsidRPr="00C508B7" w:rsidRDefault="0073600D" w:rsidP="00C508B7">
            <w:pPr>
              <w:rPr>
                <w:color w:val="000000"/>
                <w:sz w:val="20"/>
                <w:szCs w:val="20"/>
              </w:rPr>
            </w:pPr>
            <w:r w:rsidRPr="00C508B7">
              <w:rPr>
                <w:color w:val="000000"/>
                <w:sz w:val="20"/>
                <w:szCs w:val="20"/>
              </w:rPr>
              <w:t>8</w:t>
            </w:r>
          </w:p>
        </w:tc>
        <w:tc>
          <w:tcPr>
            <w:tcW w:w="1197" w:type="pct"/>
            <w:tcBorders>
              <w:top w:val="nil"/>
              <w:left w:val="nil"/>
              <w:bottom w:val="nil"/>
              <w:right w:val="nil"/>
            </w:tcBorders>
            <w:shd w:val="clear" w:color="auto" w:fill="auto"/>
            <w:noWrap/>
            <w:vAlign w:val="center"/>
            <w:hideMark/>
          </w:tcPr>
          <w:p w14:paraId="16D64552" w14:textId="77777777" w:rsidR="0073600D" w:rsidRPr="00C508B7" w:rsidRDefault="0073600D" w:rsidP="00C508B7">
            <w:pPr>
              <w:rPr>
                <w:color w:val="000000"/>
                <w:sz w:val="20"/>
                <w:szCs w:val="20"/>
              </w:rPr>
            </w:pPr>
            <w:r w:rsidRPr="00C508B7">
              <w:rPr>
                <w:color w:val="000000"/>
                <w:sz w:val="20"/>
                <w:szCs w:val="20"/>
              </w:rPr>
              <w:t>Vision problems</w:t>
            </w:r>
          </w:p>
        </w:tc>
        <w:tc>
          <w:tcPr>
            <w:tcW w:w="614" w:type="pct"/>
            <w:tcBorders>
              <w:top w:val="nil"/>
              <w:left w:val="nil"/>
              <w:bottom w:val="nil"/>
              <w:right w:val="nil"/>
            </w:tcBorders>
            <w:shd w:val="clear" w:color="auto" w:fill="auto"/>
            <w:noWrap/>
            <w:vAlign w:val="center"/>
            <w:hideMark/>
          </w:tcPr>
          <w:p w14:paraId="352E1CF4" w14:textId="77777777" w:rsidR="0073600D" w:rsidRPr="00C508B7" w:rsidRDefault="0073600D" w:rsidP="00C508B7">
            <w:pPr>
              <w:jc w:val="center"/>
              <w:rPr>
                <w:color w:val="000000"/>
                <w:sz w:val="20"/>
                <w:szCs w:val="20"/>
              </w:rPr>
            </w:pPr>
            <w:r w:rsidRPr="00C508B7">
              <w:rPr>
                <w:color w:val="000000"/>
                <w:sz w:val="20"/>
                <w:szCs w:val="20"/>
              </w:rPr>
              <w:t>259,087</w:t>
            </w:r>
          </w:p>
        </w:tc>
        <w:tc>
          <w:tcPr>
            <w:tcW w:w="614" w:type="pct"/>
            <w:tcBorders>
              <w:top w:val="nil"/>
              <w:left w:val="nil"/>
              <w:bottom w:val="nil"/>
              <w:right w:val="nil"/>
            </w:tcBorders>
            <w:shd w:val="clear" w:color="auto" w:fill="auto"/>
            <w:noWrap/>
            <w:vAlign w:val="center"/>
            <w:hideMark/>
          </w:tcPr>
          <w:p w14:paraId="45197F07" w14:textId="77777777" w:rsidR="0073600D" w:rsidRPr="00C508B7" w:rsidRDefault="0073600D" w:rsidP="00C508B7">
            <w:pPr>
              <w:jc w:val="center"/>
              <w:rPr>
                <w:color w:val="000000"/>
                <w:sz w:val="20"/>
                <w:szCs w:val="20"/>
              </w:rPr>
            </w:pPr>
            <w:r w:rsidRPr="00C508B7">
              <w:rPr>
                <w:color w:val="000000"/>
                <w:sz w:val="20"/>
                <w:szCs w:val="20"/>
              </w:rPr>
              <w:t>246,621</w:t>
            </w:r>
          </w:p>
        </w:tc>
        <w:tc>
          <w:tcPr>
            <w:tcW w:w="613" w:type="pct"/>
            <w:tcBorders>
              <w:top w:val="nil"/>
              <w:left w:val="nil"/>
              <w:bottom w:val="nil"/>
              <w:right w:val="nil"/>
            </w:tcBorders>
            <w:shd w:val="clear" w:color="auto" w:fill="auto"/>
            <w:noWrap/>
            <w:vAlign w:val="center"/>
            <w:hideMark/>
          </w:tcPr>
          <w:p w14:paraId="7E2B06D5" w14:textId="77777777" w:rsidR="0073600D" w:rsidRPr="00C508B7" w:rsidRDefault="0073600D" w:rsidP="00C508B7">
            <w:pPr>
              <w:jc w:val="center"/>
              <w:rPr>
                <w:color w:val="000000"/>
                <w:sz w:val="20"/>
                <w:szCs w:val="20"/>
              </w:rPr>
            </w:pPr>
            <w:r w:rsidRPr="00C508B7">
              <w:rPr>
                <w:color w:val="000000"/>
                <w:sz w:val="20"/>
                <w:szCs w:val="20"/>
              </w:rPr>
              <w:t>248,643</w:t>
            </w:r>
          </w:p>
        </w:tc>
        <w:tc>
          <w:tcPr>
            <w:tcW w:w="614" w:type="pct"/>
            <w:tcBorders>
              <w:top w:val="nil"/>
              <w:left w:val="nil"/>
              <w:bottom w:val="nil"/>
              <w:right w:val="nil"/>
            </w:tcBorders>
            <w:shd w:val="clear" w:color="auto" w:fill="auto"/>
            <w:noWrap/>
            <w:vAlign w:val="center"/>
            <w:hideMark/>
          </w:tcPr>
          <w:p w14:paraId="53B20AAB" w14:textId="77777777" w:rsidR="0073600D" w:rsidRPr="00C508B7" w:rsidRDefault="0073600D" w:rsidP="00C508B7">
            <w:pPr>
              <w:jc w:val="center"/>
              <w:rPr>
                <w:color w:val="000000"/>
                <w:sz w:val="20"/>
                <w:szCs w:val="20"/>
              </w:rPr>
            </w:pPr>
            <w:r w:rsidRPr="00C508B7">
              <w:rPr>
                <w:color w:val="000000"/>
                <w:sz w:val="20"/>
                <w:szCs w:val="20"/>
              </w:rPr>
              <w:t>255,468</w:t>
            </w:r>
          </w:p>
        </w:tc>
        <w:tc>
          <w:tcPr>
            <w:tcW w:w="614" w:type="pct"/>
            <w:tcBorders>
              <w:top w:val="nil"/>
              <w:left w:val="nil"/>
              <w:bottom w:val="nil"/>
              <w:right w:val="nil"/>
            </w:tcBorders>
            <w:shd w:val="clear" w:color="auto" w:fill="auto"/>
            <w:noWrap/>
            <w:vAlign w:val="center"/>
            <w:hideMark/>
          </w:tcPr>
          <w:p w14:paraId="70503489" w14:textId="77777777" w:rsidR="0073600D" w:rsidRPr="00C508B7" w:rsidRDefault="0073600D" w:rsidP="00C508B7">
            <w:pPr>
              <w:jc w:val="center"/>
              <w:rPr>
                <w:color w:val="000000"/>
                <w:sz w:val="20"/>
                <w:szCs w:val="20"/>
              </w:rPr>
            </w:pPr>
            <w:r w:rsidRPr="00C508B7">
              <w:rPr>
                <w:color w:val="000000"/>
                <w:sz w:val="20"/>
                <w:szCs w:val="20"/>
              </w:rPr>
              <w:t>233,922</w:t>
            </w:r>
          </w:p>
        </w:tc>
        <w:tc>
          <w:tcPr>
            <w:tcW w:w="415" w:type="pct"/>
            <w:tcBorders>
              <w:top w:val="nil"/>
              <w:left w:val="nil"/>
              <w:bottom w:val="nil"/>
              <w:right w:val="nil"/>
            </w:tcBorders>
            <w:shd w:val="clear" w:color="auto" w:fill="auto"/>
            <w:noWrap/>
            <w:vAlign w:val="center"/>
            <w:hideMark/>
          </w:tcPr>
          <w:p w14:paraId="4FFC539F" w14:textId="77777777" w:rsidR="0073600D" w:rsidRPr="00C508B7" w:rsidRDefault="0073600D" w:rsidP="00C508B7">
            <w:pPr>
              <w:jc w:val="center"/>
              <w:rPr>
                <w:color w:val="000000"/>
                <w:sz w:val="20"/>
                <w:szCs w:val="20"/>
              </w:rPr>
            </w:pPr>
            <w:r w:rsidRPr="00C508B7">
              <w:rPr>
                <w:color w:val="000000"/>
                <w:sz w:val="20"/>
                <w:szCs w:val="20"/>
              </w:rPr>
              <w:t>1.11</w:t>
            </w:r>
          </w:p>
        </w:tc>
      </w:tr>
      <w:tr w:rsidR="00C508B7" w:rsidRPr="00C508B7" w14:paraId="2E24635A" w14:textId="77777777" w:rsidTr="00C508B7">
        <w:trPr>
          <w:trHeight w:val="240"/>
        </w:trPr>
        <w:tc>
          <w:tcPr>
            <w:tcW w:w="319" w:type="pct"/>
            <w:tcBorders>
              <w:top w:val="nil"/>
              <w:left w:val="nil"/>
              <w:bottom w:val="nil"/>
              <w:right w:val="nil"/>
            </w:tcBorders>
            <w:shd w:val="clear" w:color="auto" w:fill="auto"/>
            <w:noWrap/>
            <w:vAlign w:val="center"/>
            <w:hideMark/>
          </w:tcPr>
          <w:p w14:paraId="6B2479A7" w14:textId="77777777" w:rsidR="0073600D" w:rsidRPr="00C508B7" w:rsidRDefault="0073600D" w:rsidP="00C508B7">
            <w:pPr>
              <w:rPr>
                <w:color w:val="000000"/>
                <w:sz w:val="20"/>
                <w:szCs w:val="20"/>
              </w:rPr>
            </w:pPr>
            <w:r w:rsidRPr="00C508B7">
              <w:rPr>
                <w:color w:val="000000"/>
                <w:sz w:val="20"/>
                <w:szCs w:val="20"/>
              </w:rPr>
              <w:t>9</w:t>
            </w:r>
          </w:p>
        </w:tc>
        <w:tc>
          <w:tcPr>
            <w:tcW w:w="1197" w:type="pct"/>
            <w:tcBorders>
              <w:top w:val="nil"/>
              <w:left w:val="nil"/>
              <w:bottom w:val="nil"/>
              <w:right w:val="nil"/>
            </w:tcBorders>
            <w:shd w:val="clear" w:color="auto" w:fill="auto"/>
            <w:noWrap/>
            <w:vAlign w:val="center"/>
            <w:hideMark/>
          </w:tcPr>
          <w:p w14:paraId="715BE158" w14:textId="77777777" w:rsidR="0073600D" w:rsidRPr="00C508B7" w:rsidRDefault="0073600D" w:rsidP="00C508B7">
            <w:pPr>
              <w:rPr>
                <w:color w:val="000000"/>
                <w:sz w:val="20"/>
                <w:szCs w:val="20"/>
              </w:rPr>
            </w:pPr>
            <w:r w:rsidRPr="00C508B7">
              <w:rPr>
                <w:color w:val="000000"/>
                <w:sz w:val="20"/>
                <w:szCs w:val="20"/>
              </w:rPr>
              <w:t>Hearing problems</w:t>
            </w:r>
          </w:p>
        </w:tc>
        <w:tc>
          <w:tcPr>
            <w:tcW w:w="614" w:type="pct"/>
            <w:tcBorders>
              <w:top w:val="nil"/>
              <w:left w:val="nil"/>
              <w:bottom w:val="nil"/>
              <w:right w:val="nil"/>
            </w:tcBorders>
            <w:shd w:val="clear" w:color="auto" w:fill="auto"/>
            <w:noWrap/>
            <w:vAlign w:val="center"/>
            <w:hideMark/>
          </w:tcPr>
          <w:p w14:paraId="6CE0D98A" w14:textId="77777777" w:rsidR="0073600D" w:rsidRPr="00C508B7" w:rsidRDefault="0073600D" w:rsidP="00C508B7">
            <w:pPr>
              <w:jc w:val="center"/>
              <w:rPr>
                <w:color w:val="000000"/>
                <w:sz w:val="20"/>
                <w:szCs w:val="20"/>
              </w:rPr>
            </w:pPr>
            <w:r w:rsidRPr="00C508B7">
              <w:rPr>
                <w:color w:val="000000"/>
                <w:sz w:val="20"/>
                <w:szCs w:val="20"/>
              </w:rPr>
              <w:t>75,419</w:t>
            </w:r>
          </w:p>
        </w:tc>
        <w:tc>
          <w:tcPr>
            <w:tcW w:w="614" w:type="pct"/>
            <w:tcBorders>
              <w:top w:val="nil"/>
              <w:left w:val="nil"/>
              <w:bottom w:val="nil"/>
              <w:right w:val="nil"/>
            </w:tcBorders>
            <w:shd w:val="clear" w:color="auto" w:fill="auto"/>
            <w:noWrap/>
            <w:vAlign w:val="center"/>
            <w:hideMark/>
          </w:tcPr>
          <w:p w14:paraId="0906649E" w14:textId="77777777" w:rsidR="0073600D" w:rsidRPr="00C508B7" w:rsidRDefault="0073600D" w:rsidP="00C508B7">
            <w:pPr>
              <w:jc w:val="center"/>
              <w:rPr>
                <w:color w:val="000000"/>
                <w:sz w:val="20"/>
                <w:szCs w:val="20"/>
              </w:rPr>
            </w:pPr>
            <w:r w:rsidRPr="00C508B7">
              <w:rPr>
                <w:color w:val="000000"/>
                <w:sz w:val="20"/>
                <w:szCs w:val="20"/>
              </w:rPr>
              <w:t>69,193</w:t>
            </w:r>
          </w:p>
        </w:tc>
        <w:tc>
          <w:tcPr>
            <w:tcW w:w="613" w:type="pct"/>
            <w:tcBorders>
              <w:top w:val="nil"/>
              <w:left w:val="nil"/>
              <w:bottom w:val="nil"/>
              <w:right w:val="nil"/>
            </w:tcBorders>
            <w:shd w:val="clear" w:color="auto" w:fill="auto"/>
            <w:noWrap/>
            <w:vAlign w:val="center"/>
            <w:hideMark/>
          </w:tcPr>
          <w:p w14:paraId="554EC103" w14:textId="77777777" w:rsidR="0073600D" w:rsidRPr="00C508B7" w:rsidRDefault="0073600D" w:rsidP="00C508B7">
            <w:pPr>
              <w:jc w:val="center"/>
              <w:rPr>
                <w:color w:val="000000"/>
                <w:sz w:val="20"/>
                <w:szCs w:val="20"/>
              </w:rPr>
            </w:pPr>
            <w:r w:rsidRPr="00C508B7">
              <w:rPr>
                <w:color w:val="000000"/>
                <w:sz w:val="20"/>
                <w:szCs w:val="20"/>
              </w:rPr>
              <w:t>69,268</w:t>
            </w:r>
          </w:p>
        </w:tc>
        <w:tc>
          <w:tcPr>
            <w:tcW w:w="614" w:type="pct"/>
            <w:tcBorders>
              <w:top w:val="nil"/>
              <w:left w:val="nil"/>
              <w:bottom w:val="nil"/>
              <w:right w:val="nil"/>
            </w:tcBorders>
            <w:shd w:val="clear" w:color="auto" w:fill="auto"/>
            <w:noWrap/>
            <w:vAlign w:val="center"/>
            <w:hideMark/>
          </w:tcPr>
          <w:p w14:paraId="494F7219" w14:textId="77777777" w:rsidR="0073600D" w:rsidRPr="00C508B7" w:rsidRDefault="0073600D" w:rsidP="00C508B7">
            <w:pPr>
              <w:jc w:val="center"/>
              <w:rPr>
                <w:color w:val="000000"/>
                <w:sz w:val="20"/>
                <w:szCs w:val="20"/>
              </w:rPr>
            </w:pPr>
            <w:r w:rsidRPr="00C508B7">
              <w:rPr>
                <w:color w:val="000000"/>
                <w:sz w:val="20"/>
                <w:szCs w:val="20"/>
              </w:rPr>
              <w:t>63,735</w:t>
            </w:r>
          </w:p>
        </w:tc>
        <w:tc>
          <w:tcPr>
            <w:tcW w:w="614" w:type="pct"/>
            <w:tcBorders>
              <w:top w:val="nil"/>
              <w:left w:val="nil"/>
              <w:bottom w:val="nil"/>
              <w:right w:val="nil"/>
            </w:tcBorders>
            <w:shd w:val="clear" w:color="auto" w:fill="auto"/>
            <w:noWrap/>
            <w:vAlign w:val="center"/>
            <w:hideMark/>
          </w:tcPr>
          <w:p w14:paraId="07D8F30A" w14:textId="77777777" w:rsidR="0073600D" w:rsidRPr="00C508B7" w:rsidRDefault="0073600D" w:rsidP="00C508B7">
            <w:pPr>
              <w:jc w:val="center"/>
              <w:rPr>
                <w:color w:val="000000"/>
                <w:sz w:val="20"/>
                <w:szCs w:val="20"/>
              </w:rPr>
            </w:pPr>
            <w:r w:rsidRPr="00C508B7">
              <w:rPr>
                <w:color w:val="000000"/>
                <w:sz w:val="20"/>
                <w:szCs w:val="20"/>
              </w:rPr>
              <w:t>57,986</w:t>
            </w:r>
          </w:p>
        </w:tc>
        <w:tc>
          <w:tcPr>
            <w:tcW w:w="415" w:type="pct"/>
            <w:tcBorders>
              <w:top w:val="nil"/>
              <w:left w:val="nil"/>
              <w:bottom w:val="nil"/>
              <w:right w:val="nil"/>
            </w:tcBorders>
            <w:shd w:val="clear" w:color="auto" w:fill="auto"/>
            <w:noWrap/>
            <w:vAlign w:val="center"/>
            <w:hideMark/>
          </w:tcPr>
          <w:p w14:paraId="28F084D3" w14:textId="77777777" w:rsidR="0073600D" w:rsidRPr="00C508B7" w:rsidRDefault="0073600D" w:rsidP="00C508B7">
            <w:pPr>
              <w:jc w:val="center"/>
              <w:rPr>
                <w:color w:val="000000"/>
                <w:sz w:val="20"/>
                <w:szCs w:val="20"/>
              </w:rPr>
            </w:pPr>
            <w:r w:rsidRPr="00C508B7">
              <w:rPr>
                <w:color w:val="000000"/>
                <w:sz w:val="20"/>
                <w:szCs w:val="20"/>
              </w:rPr>
              <w:t>1.30</w:t>
            </w:r>
          </w:p>
        </w:tc>
      </w:tr>
      <w:tr w:rsidR="00C508B7" w:rsidRPr="00C508B7" w14:paraId="5C1D83B7" w14:textId="77777777" w:rsidTr="00C508B7">
        <w:trPr>
          <w:trHeight w:val="240"/>
        </w:trPr>
        <w:tc>
          <w:tcPr>
            <w:tcW w:w="319" w:type="pct"/>
            <w:tcBorders>
              <w:top w:val="nil"/>
              <w:left w:val="nil"/>
              <w:bottom w:val="nil"/>
              <w:right w:val="nil"/>
            </w:tcBorders>
            <w:shd w:val="clear" w:color="auto" w:fill="auto"/>
            <w:noWrap/>
            <w:vAlign w:val="center"/>
            <w:hideMark/>
          </w:tcPr>
          <w:p w14:paraId="45043F39" w14:textId="77777777" w:rsidR="0073600D" w:rsidRPr="00C508B7" w:rsidRDefault="0073600D" w:rsidP="00C508B7">
            <w:pPr>
              <w:rPr>
                <w:color w:val="000000"/>
                <w:sz w:val="20"/>
                <w:szCs w:val="20"/>
              </w:rPr>
            </w:pPr>
            <w:r w:rsidRPr="00C508B7">
              <w:rPr>
                <w:color w:val="000000"/>
                <w:sz w:val="20"/>
                <w:szCs w:val="20"/>
              </w:rPr>
              <w:t>10</w:t>
            </w:r>
          </w:p>
        </w:tc>
        <w:tc>
          <w:tcPr>
            <w:tcW w:w="1197" w:type="pct"/>
            <w:tcBorders>
              <w:top w:val="nil"/>
              <w:left w:val="nil"/>
              <w:bottom w:val="nil"/>
              <w:right w:val="nil"/>
            </w:tcBorders>
            <w:shd w:val="clear" w:color="auto" w:fill="auto"/>
            <w:noWrap/>
            <w:vAlign w:val="center"/>
            <w:hideMark/>
          </w:tcPr>
          <w:p w14:paraId="4EFA4B24" w14:textId="77777777" w:rsidR="0073600D" w:rsidRPr="00C508B7" w:rsidRDefault="0073600D" w:rsidP="00C508B7">
            <w:pPr>
              <w:rPr>
                <w:color w:val="000000"/>
                <w:sz w:val="20"/>
                <w:szCs w:val="20"/>
              </w:rPr>
            </w:pPr>
            <w:r w:rsidRPr="00C508B7">
              <w:rPr>
                <w:color w:val="000000"/>
                <w:sz w:val="20"/>
                <w:szCs w:val="20"/>
              </w:rPr>
              <w:t>Circulatory disease</w:t>
            </w:r>
          </w:p>
        </w:tc>
        <w:tc>
          <w:tcPr>
            <w:tcW w:w="614" w:type="pct"/>
            <w:tcBorders>
              <w:top w:val="nil"/>
              <w:left w:val="nil"/>
              <w:bottom w:val="nil"/>
              <w:right w:val="nil"/>
            </w:tcBorders>
            <w:shd w:val="clear" w:color="auto" w:fill="auto"/>
            <w:noWrap/>
            <w:vAlign w:val="center"/>
            <w:hideMark/>
          </w:tcPr>
          <w:p w14:paraId="73219152" w14:textId="77777777" w:rsidR="0073600D" w:rsidRPr="00C508B7" w:rsidRDefault="0073600D" w:rsidP="00C508B7">
            <w:pPr>
              <w:jc w:val="center"/>
              <w:rPr>
                <w:color w:val="000000"/>
                <w:sz w:val="20"/>
                <w:szCs w:val="20"/>
              </w:rPr>
            </w:pPr>
            <w:r w:rsidRPr="00C508B7">
              <w:rPr>
                <w:color w:val="000000"/>
                <w:sz w:val="20"/>
                <w:szCs w:val="20"/>
              </w:rPr>
              <w:t>2,625,616</w:t>
            </w:r>
          </w:p>
        </w:tc>
        <w:tc>
          <w:tcPr>
            <w:tcW w:w="614" w:type="pct"/>
            <w:tcBorders>
              <w:top w:val="nil"/>
              <w:left w:val="nil"/>
              <w:bottom w:val="nil"/>
              <w:right w:val="nil"/>
            </w:tcBorders>
            <w:shd w:val="clear" w:color="auto" w:fill="auto"/>
            <w:noWrap/>
            <w:vAlign w:val="center"/>
            <w:hideMark/>
          </w:tcPr>
          <w:p w14:paraId="69D0F08C" w14:textId="77777777" w:rsidR="0073600D" w:rsidRPr="00C508B7" w:rsidRDefault="0073600D" w:rsidP="00C508B7">
            <w:pPr>
              <w:jc w:val="center"/>
              <w:rPr>
                <w:color w:val="000000"/>
                <w:sz w:val="20"/>
                <w:szCs w:val="20"/>
              </w:rPr>
            </w:pPr>
            <w:r w:rsidRPr="00C508B7">
              <w:rPr>
                <w:color w:val="000000"/>
                <w:sz w:val="20"/>
                <w:szCs w:val="20"/>
              </w:rPr>
              <w:t>2,415,341</w:t>
            </w:r>
          </w:p>
        </w:tc>
        <w:tc>
          <w:tcPr>
            <w:tcW w:w="613" w:type="pct"/>
            <w:tcBorders>
              <w:top w:val="nil"/>
              <w:left w:val="nil"/>
              <w:bottom w:val="nil"/>
              <w:right w:val="nil"/>
            </w:tcBorders>
            <w:shd w:val="clear" w:color="auto" w:fill="auto"/>
            <w:noWrap/>
            <w:vAlign w:val="center"/>
            <w:hideMark/>
          </w:tcPr>
          <w:p w14:paraId="0FA90B25" w14:textId="77777777" w:rsidR="0073600D" w:rsidRPr="00C508B7" w:rsidRDefault="0073600D" w:rsidP="00C508B7">
            <w:pPr>
              <w:jc w:val="center"/>
              <w:rPr>
                <w:color w:val="000000"/>
                <w:sz w:val="20"/>
                <w:szCs w:val="20"/>
              </w:rPr>
            </w:pPr>
            <w:r w:rsidRPr="00C508B7">
              <w:rPr>
                <w:color w:val="000000"/>
                <w:sz w:val="20"/>
                <w:szCs w:val="20"/>
              </w:rPr>
              <w:t>2,422,808</w:t>
            </w:r>
          </w:p>
        </w:tc>
        <w:tc>
          <w:tcPr>
            <w:tcW w:w="614" w:type="pct"/>
            <w:tcBorders>
              <w:top w:val="nil"/>
              <w:left w:val="nil"/>
              <w:bottom w:val="nil"/>
              <w:right w:val="nil"/>
            </w:tcBorders>
            <w:shd w:val="clear" w:color="auto" w:fill="auto"/>
            <w:noWrap/>
            <w:vAlign w:val="center"/>
            <w:hideMark/>
          </w:tcPr>
          <w:p w14:paraId="631D4D93" w14:textId="77777777" w:rsidR="0073600D" w:rsidRPr="00C508B7" w:rsidRDefault="0073600D" w:rsidP="00C508B7">
            <w:pPr>
              <w:jc w:val="center"/>
              <w:rPr>
                <w:color w:val="000000"/>
                <w:sz w:val="20"/>
                <w:szCs w:val="20"/>
              </w:rPr>
            </w:pPr>
            <w:r w:rsidRPr="00C508B7">
              <w:rPr>
                <w:color w:val="000000"/>
                <w:sz w:val="20"/>
                <w:szCs w:val="20"/>
              </w:rPr>
              <w:t>2,299,099</w:t>
            </w:r>
          </w:p>
        </w:tc>
        <w:tc>
          <w:tcPr>
            <w:tcW w:w="614" w:type="pct"/>
            <w:tcBorders>
              <w:top w:val="nil"/>
              <w:left w:val="nil"/>
              <w:bottom w:val="nil"/>
              <w:right w:val="nil"/>
            </w:tcBorders>
            <w:shd w:val="clear" w:color="auto" w:fill="auto"/>
            <w:noWrap/>
            <w:vAlign w:val="center"/>
            <w:hideMark/>
          </w:tcPr>
          <w:p w14:paraId="7635F703" w14:textId="77777777" w:rsidR="0073600D" w:rsidRPr="00C508B7" w:rsidRDefault="0073600D" w:rsidP="00C508B7">
            <w:pPr>
              <w:jc w:val="center"/>
              <w:rPr>
                <w:color w:val="000000"/>
                <w:sz w:val="20"/>
                <w:szCs w:val="20"/>
              </w:rPr>
            </w:pPr>
            <w:r w:rsidRPr="00C508B7">
              <w:rPr>
                <w:color w:val="000000"/>
                <w:sz w:val="20"/>
                <w:szCs w:val="20"/>
              </w:rPr>
              <w:t>2,023,139</w:t>
            </w:r>
          </w:p>
        </w:tc>
        <w:tc>
          <w:tcPr>
            <w:tcW w:w="415" w:type="pct"/>
            <w:tcBorders>
              <w:top w:val="nil"/>
              <w:left w:val="nil"/>
              <w:bottom w:val="nil"/>
              <w:right w:val="nil"/>
            </w:tcBorders>
            <w:shd w:val="clear" w:color="auto" w:fill="auto"/>
            <w:noWrap/>
            <w:vAlign w:val="center"/>
            <w:hideMark/>
          </w:tcPr>
          <w:p w14:paraId="0F521C8A" w14:textId="77777777" w:rsidR="0073600D" w:rsidRPr="00C508B7" w:rsidRDefault="0073600D" w:rsidP="00C508B7">
            <w:pPr>
              <w:jc w:val="center"/>
              <w:rPr>
                <w:color w:val="000000"/>
                <w:sz w:val="20"/>
                <w:szCs w:val="20"/>
              </w:rPr>
            </w:pPr>
            <w:r w:rsidRPr="00C508B7">
              <w:rPr>
                <w:color w:val="000000"/>
                <w:sz w:val="20"/>
                <w:szCs w:val="20"/>
              </w:rPr>
              <w:t>1.30</w:t>
            </w:r>
          </w:p>
        </w:tc>
      </w:tr>
      <w:tr w:rsidR="00C508B7" w:rsidRPr="00C508B7" w14:paraId="3C60BB74" w14:textId="77777777" w:rsidTr="00C508B7">
        <w:trPr>
          <w:trHeight w:val="240"/>
        </w:trPr>
        <w:tc>
          <w:tcPr>
            <w:tcW w:w="319" w:type="pct"/>
            <w:tcBorders>
              <w:top w:val="nil"/>
              <w:left w:val="nil"/>
              <w:bottom w:val="nil"/>
              <w:right w:val="nil"/>
            </w:tcBorders>
            <w:shd w:val="clear" w:color="auto" w:fill="auto"/>
            <w:noWrap/>
            <w:vAlign w:val="center"/>
            <w:hideMark/>
          </w:tcPr>
          <w:p w14:paraId="7352FC69" w14:textId="77777777" w:rsidR="0073600D" w:rsidRPr="00C508B7" w:rsidRDefault="0073600D" w:rsidP="00C508B7">
            <w:pPr>
              <w:rPr>
                <w:color w:val="000000"/>
                <w:sz w:val="20"/>
                <w:szCs w:val="20"/>
              </w:rPr>
            </w:pPr>
            <w:r w:rsidRPr="00C508B7">
              <w:rPr>
                <w:color w:val="000000"/>
                <w:sz w:val="20"/>
                <w:szCs w:val="20"/>
              </w:rPr>
              <w:t>11</w:t>
            </w:r>
          </w:p>
        </w:tc>
        <w:tc>
          <w:tcPr>
            <w:tcW w:w="1197" w:type="pct"/>
            <w:tcBorders>
              <w:top w:val="nil"/>
              <w:left w:val="nil"/>
              <w:bottom w:val="nil"/>
              <w:right w:val="nil"/>
            </w:tcBorders>
            <w:shd w:val="clear" w:color="auto" w:fill="auto"/>
            <w:noWrap/>
            <w:vAlign w:val="center"/>
            <w:hideMark/>
          </w:tcPr>
          <w:p w14:paraId="51AA4ECA" w14:textId="77777777" w:rsidR="0073600D" w:rsidRPr="00C508B7" w:rsidRDefault="0073600D" w:rsidP="00C508B7">
            <w:pPr>
              <w:rPr>
                <w:color w:val="000000"/>
                <w:sz w:val="20"/>
                <w:szCs w:val="20"/>
              </w:rPr>
            </w:pPr>
            <w:r w:rsidRPr="00C508B7">
              <w:rPr>
                <w:color w:val="000000"/>
                <w:sz w:val="20"/>
                <w:szCs w:val="20"/>
              </w:rPr>
              <w:t>Respiratory disease</w:t>
            </w:r>
          </w:p>
        </w:tc>
        <w:tc>
          <w:tcPr>
            <w:tcW w:w="614" w:type="pct"/>
            <w:tcBorders>
              <w:top w:val="nil"/>
              <w:left w:val="nil"/>
              <w:bottom w:val="nil"/>
              <w:right w:val="nil"/>
            </w:tcBorders>
            <w:shd w:val="clear" w:color="auto" w:fill="auto"/>
            <w:noWrap/>
            <w:vAlign w:val="center"/>
            <w:hideMark/>
          </w:tcPr>
          <w:p w14:paraId="0D9D84F6" w14:textId="77777777" w:rsidR="0073600D" w:rsidRPr="00C508B7" w:rsidRDefault="0073600D" w:rsidP="00C508B7">
            <w:pPr>
              <w:jc w:val="center"/>
              <w:rPr>
                <w:color w:val="000000"/>
                <w:sz w:val="20"/>
                <w:szCs w:val="20"/>
              </w:rPr>
            </w:pPr>
            <w:r w:rsidRPr="00C508B7">
              <w:rPr>
                <w:color w:val="000000"/>
                <w:sz w:val="20"/>
                <w:szCs w:val="20"/>
              </w:rPr>
              <w:t>1,215,577</w:t>
            </w:r>
          </w:p>
        </w:tc>
        <w:tc>
          <w:tcPr>
            <w:tcW w:w="614" w:type="pct"/>
            <w:tcBorders>
              <w:top w:val="nil"/>
              <w:left w:val="nil"/>
              <w:bottom w:val="nil"/>
              <w:right w:val="nil"/>
            </w:tcBorders>
            <w:shd w:val="clear" w:color="auto" w:fill="auto"/>
            <w:noWrap/>
            <w:vAlign w:val="center"/>
            <w:hideMark/>
          </w:tcPr>
          <w:p w14:paraId="6F028238" w14:textId="77777777" w:rsidR="0073600D" w:rsidRPr="00C508B7" w:rsidRDefault="0073600D" w:rsidP="00C508B7">
            <w:pPr>
              <w:jc w:val="center"/>
              <w:rPr>
                <w:color w:val="000000"/>
                <w:sz w:val="20"/>
                <w:szCs w:val="20"/>
              </w:rPr>
            </w:pPr>
            <w:r w:rsidRPr="00C508B7">
              <w:rPr>
                <w:color w:val="000000"/>
                <w:sz w:val="20"/>
                <w:szCs w:val="20"/>
              </w:rPr>
              <w:t>1,050,923</w:t>
            </w:r>
          </w:p>
        </w:tc>
        <w:tc>
          <w:tcPr>
            <w:tcW w:w="613" w:type="pct"/>
            <w:tcBorders>
              <w:top w:val="nil"/>
              <w:left w:val="nil"/>
              <w:bottom w:val="nil"/>
              <w:right w:val="nil"/>
            </w:tcBorders>
            <w:shd w:val="clear" w:color="auto" w:fill="auto"/>
            <w:noWrap/>
            <w:vAlign w:val="center"/>
            <w:hideMark/>
          </w:tcPr>
          <w:p w14:paraId="4E4A88AB" w14:textId="77777777" w:rsidR="0073600D" w:rsidRPr="00C508B7" w:rsidRDefault="0073600D" w:rsidP="00C508B7">
            <w:pPr>
              <w:jc w:val="center"/>
              <w:rPr>
                <w:color w:val="000000"/>
                <w:sz w:val="20"/>
                <w:szCs w:val="20"/>
              </w:rPr>
            </w:pPr>
            <w:r w:rsidRPr="00C508B7">
              <w:rPr>
                <w:color w:val="000000"/>
                <w:sz w:val="20"/>
                <w:szCs w:val="20"/>
              </w:rPr>
              <w:t>1,046,605</w:t>
            </w:r>
          </w:p>
        </w:tc>
        <w:tc>
          <w:tcPr>
            <w:tcW w:w="614" w:type="pct"/>
            <w:tcBorders>
              <w:top w:val="nil"/>
              <w:left w:val="nil"/>
              <w:bottom w:val="nil"/>
              <w:right w:val="nil"/>
            </w:tcBorders>
            <w:shd w:val="clear" w:color="auto" w:fill="auto"/>
            <w:noWrap/>
            <w:vAlign w:val="center"/>
            <w:hideMark/>
          </w:tcPr>
          <w:p w14:paraId="1C69D85F" w14:textId="77777777" w:rsidR="0073600D" w:rsidRPr="00C508B7" w:rsidRDefault="0073600D" w:rsidP="00C508B7">
            <w:pPr>
              <w:jc w:val="center"/>
              <w:rPr>
                <w:color w:val="000000"/>
                <w:sz w:val="20"/>
                <w:szCs w:val="20"/>
              </w:rPr>
            </w:pPr>
            <w:r w:rsidRPr="00C508B7">
              <w:rPr>
                <w:color w:val="000000"/>
                <w:sz w:val="20"/>
                <w:szCs w:val="20"/>
              </w:rPr>
              <w:t>840,736</w:t>
            </w:r>
          </w:p>
        </w:tc>
        <w:tc>
          <w:tcPr>
            <w:tcW w:w="614" w:type="pct"/>
            <w:tcBorders>
              <w:top w:val="nil"/>
              <w:left w:val="nil"/>
              <w:bottom w:val="nil"/>
              <w:right w:val="nil"/>
            </w:tcBorders>
            <w:shd w:val="clear" w:color="auto" w:fill="auto"/>
            <w:noWrap/>
            <w:vAlign w:val="center"/>
            <w:hideMark/>
          </w:tcPr>
          <w:p w14:paraId="239E7C98" w14:textId="77777777" w:rsidR="0073600D" w:rsidRPr="00C508B7" w:rsidRDefault="0073600D" w:rsidP="00C508B7">
            <w:pPr>
              <w:jc w:val="center"/>
              <w:rPr>
                <w:color w:val="000000"/>
                <w:sz w:val="20"/>
                <w:szCs w:val="20"/>
              </w:rPr>
            </w:pPr>
            <w:r w:rsidRPr="00C508B7">
              <w:rPr>
                <w:color w:val="000000"/>
                <w:sz w:val="20"/>
                <w:szCs w:val="20"/>
              </w:rPr>
              <w:t>710,081</w:t>
            </w:r>
          </w:p>
        </w:tc>
        <w:tc>
          <w:tcPr>
            <w:tcW w:w="415" w:type="pct"/>
            <w:tcBorders>
              <w:top w:val="nil"/>
              <w:left w:val="nil"/>
              <w:bottom w:val="nil"/>
              <w:right w:val="nil"/>
            </w:tcBorders>
            <w:shd w:val="clear" w:color="auto" w:fill="auto"/>
            <w:noWrap/>
            <w:vAlign w:val="center"/>
            <w:hideMark/>
          </w:tcPr>
          <w:p w14:paraId="121EA305" w14:textId="77777777" w:rsidR="0073600D" w:rsidRPr="00C508B7" w:rsidRDefault="0073600D" w:rsidP="00C508B7">
            <w:pPr>
              <w:jc w:val="center"/>
              <w:rPr>
                <w:color w:val="000000"/>
                <w:sz w:val="20"/>
                <w:szCs w:val="20"/>
              </w:rPr>
            </w:pPr>
            <w:r w:rsidRPr="00C508B7">
              <w:rPr>
                <w:color w:val="000000"/>
                <w:sz w:val="20"/>
                <w:szCs w:val="20"/>
              </w:rPr>
              <w:t>1.71</w:t>
            </w:r>
          </w:p>
        </w:tc>
      </w:tr>
      <w:tr w:rsidR="00C508B7" w:rsidRPr="00C508B7" w14:paraId="5E87CC1C" w14:textId="77777777" w:rsidTr="00C508B7">
        <w:trPr>
          <w:trHeight w:val="240"/>
        </w:trPr>
        <w:tc>
          <w:tcPr>
            <w:tcW w:w="319" w:type="pct"/>
            <w:tcBorders>
              <w:top w:val="nil"/>
              <w:left w:val="nil"/>
              <w:bottom w:val="nil"/>
              <w:right w:val="nil"/>
            </w:tcBorders>
            <w:shd w:val="clear" w:color="auto" w:fill="auto"/>
            <w:noWrap/>
            <w:vAlign w:val="center"/>
            <w:hideMark/>
          </w:tcPr>
          <w:p w14:paraId="6604134D" w14:textId="77777777" w:rsidR="0073600D" w:rsidRPr="00C508B7" w:rsidRDefault="0073600D" w:rsidP="00C508B7">
            <w:pPr>
              <w:rPr>
                <w:color w:val="000000"/>
                <w:sz w:val="20"/>
                <w:szCs w:val="20"/>
              </w:rPr>
            </w:pPr>
            <w:r w:rsidRPr="00C508B7">
              <w:rPr>
                <w:color w:val="000000"/>
                <w:sz w:val="20"/>
                <w:szCs w:val="20"/>
              </w:rPr>
              <w:t>12</w:t>
            </w:r>
          </w:p>
        </w:tc>
        <w:tc>
          <w:tcPr>
            <w:tcW w:w="1197" w:type="pct"/>
            <w:tcBorders>
              <w:top w:val="nil"/>
              <w:left w:val="nil"/>
              <w:bottom w:val="nil"/>
              <w:right w:val="nil"/>
            </w:tcBorders>
            <w:shd w:val="clear" w:color="auto" w:fill="auto"/>
            <w:noWrap/>
            <w:vAlign w:val="center"/>
            <w:hideMark/>
          </w:tcPr>
          <w:p w14:paraId="456559B9" w14:textId="77777777" w:rsidR="0073600D" w:rsidRPr="00C508B7" w:rsidRDefault="0073600D" w:rsidP="00C508B7">
            <w:pPr>
              <w:rPr>
                <w:color w:val="000000"/>
                <w:sz w:val="20"/>
                <w:szCs w:val="20"/>
              </w:rPr>
            </w:pPr>
            <w:r w:rsidRPr="00C508B7">
              <w:rPr>
                <w:color w:val="000000"/>
                <w:sz w:val="20"/>
                <w:szCs w:val="20"/>
              </w:rPr>
              <w:t>Dental problems</w:t>
            </w:r>
          </w:p>
        </w:tc>
        <w:tc>
          <w:tcPr>
            <w:tcW w:w="614" w:type="pct"/>
            <w:tcBorders>
              <w:top w:val="nil"/>
              <w:left w:val="nil"/>
              <w:bottom w:val="nil"/>
              <w:right w:val="nil"/>
            </w:tcBorders>
            <w:shd w:val="clear" w:color="auto" w:fill="auto"/>
            <w:noWrap/>
            <w:vAlign w:val="center"/>
            <w:hideMark/>
          </w:tcPr>
          <w:p w14:paraId="5C2FE57F" w14:textId="77777777" w:rsidR="0073600D" w:rsidRPr="00C508B7" w:rsidRDefault="0073600D" w:rsidP="00C508B7">
            <w:pPr>
              <w:jc w:val="center"/>
              <w:rPr>
                <w:color w:val="000000"/>
                <w:sz w:val="20"/>
                <w:szCs w:val="20"/>
              </w:rPr>
            </w:pPr>
            <w:r w:rsidRPr="00C508B7">
              <w:rPr>
                <w:color w:val="000000"/>
                <w:sz w:val="20"/>
                <w:szCs w:val="20"/>
              </w:rPr>
              <w:t>79,505</w:t>
            </w:r>
          </w:p>
        </w:tc>
        <w:tc>
          <w:tcPr>
            <w:tcW w:w="614" w:type="pct"/>
            <w:tcBorders>
              <w:top w:val="nil"/>
              <w:left w:val="nil"/>
              <w:bottom w:val="nil"/>
              <w:right w:val="nil"/>
            </w:tcBorders>
            <w:shd w:val="clear" w:color="auto" w:fill="auto"/>
            <w:noWrap/>
            <w:vAlign w:val="center"/>
            <w:hideMark/>
          </w:tcPr>
          <w:p w14:paraId="34842A6E" w14:textId="77777777" w:rsidR="0073600D" w:rsidRPr="00C508B7" w:rsidRDefault="0073600D" w:rsidP="00C508B7">
            <w:pPr>
              <w:jc w:val="center"/>
              <w:rPr>
                <w:color w:val="000000"/>
                <w:sz w:val="20"/>
                <w:szCs w:val="20"/>
              </w:rPr>
            </w:pPr>
            <w:r w:rsidRPr="00C508B7">
              <w:rPr>
                <w:color w:val="000000"/>
                <w:sz w:val="20"/>
                <w:szCs w:val="20"/>
              </w:rPr>
              <w:t>74,205</w:t>
            </w:r>
          </w:p>
        </w:tc>
        <w:tc>
          <w:tcPr>
            <w:tcW w:w="613" w:type="pct"/>
            <w:tcBorders>
              <w:top w:val="nil"/>
              <w:left w:val="nil"/>
              <w:bottom w:val="nil"/>
              <w:right w:val="nil"/>
            </w:tcBorders>
            <w:shd w:val="clear" w:color="auto" w:fill="auto"/>
            <w:noWrap/>
            <w:vAlign w:val="center"/>
            <w:hideMark/>
          </w:tcPr>
          <w:p w14:paraId="4D5C8A03" w14:textId="77777777" w:rsidR="0073600D" w:rsidRPr="00C508B7" w:rsidRDefault="0073600D" w:rsidP="00C508B7">
            <w:pPr>
              <w:jc w:val="center"/>
              <w:rPr>
                <w:color w:val="000000"/>
                <w:sz w:val="20"/>
                <w:szCs w:val="20"/>
              </w:rPr>
            </w:pPr>
            <w:r w:rsidRPr="00C508B7">
              <w:rPr>
                <w:color w:val="000000"/>
                <w:sz w:val="20"/>
                <w:szCs w:val="20"/>
              </w:rPr>
              <w:t>72,900</w:t>
            </w:r>
          </w:p>
        </w:tc>
        <w:tc>
          <w:tcPr>
            <w:tcW w:w="614" w:type="pct"/>
            <w:tcBorders>
              <w:top w:val="nil"/>
              <w:left w:val="nil"/>
              <w:bottom w:val="nil"/>
              <w:right w:val="nil"/>
            </w:tcBorders>
            <w:shd w:val="clear" w:color="auto" w:fill="auto"/>
            <w:noWrap/>
            <w:vAlign w:val="center"/>
            <w:hideMark/>
          </w:tcPr>
          <w:p w14:paraId="72277CF0" w14:textId="77777777" w:rsidR="0073600D" w:rsidRPr="00C508B7" w:rsidRDefault="0073600D" w:rsidP="00C508B7">
            <w:pPr>
              <w:jc w:val="center"/>
              <w:rPr>
                <w:color w:val="000000"/>
                <w:sz w:val="20"/>
                <w:szCs w:val="20"/>
              </w:rPr>
            </w:pPr>
            <w:r w:rsidRPr="00C508B7">
              <w:rPr>
                <w:color w:val="000000"/>
                <w:sz w:val="20"/>
                <w:szCs w:val="20"/>
              </w:rPr>
              <w:t>50,626</w:t>
            </w:r>
          </w:p>
        </w:tc>
        <w:tc>
          <w:tcPr>
            <w:tcW w:w="614" w:type="pct"/>
            <w:tcBorders>
              <w:top w:val="nil"/>
              <w:left w:val="nil"/>
              <w:bottom w:val="nil"/>
              <w:right w:val="nil"/>
            </w:tcBorders>
            <w:shd w:val="clear" w:color="auto" w:fill="auto"/>
            <w:noWrap/>
            <w:vAlign w:val="center"/>
            <w:hideMark/>
          </w:tcPr>
          <w:p w14:paraId="6FF0F9F2" w14:textId="77777777" w:rsidR="0073600D" w:rsidRPr="00C508B7" w:rsidRDefault="0073600D" w:rsidP="00C508B7">
            <w:pPr>
              <w:jc w:val="center"/>
              <w:rPr>
                <w:color w:val="000000"/>
                <w:sz w:val="20"/>
                <w:szCs w:val="20"/>
              </w:rPr>
            </w:pPr>
            <w:r w:rsidRPr="00C508B7">
              <w:rPr>
                <w:color w:val="000000"/>
                <w:sz w:val="20"/>
                <w:szCs w:val="20"/>
              </w:rPr>
              <w:t>43,713</w:t>
            </w:r>
          </w:p>
        </w:tc>
        <w:tc>
          <w:tcPr>
            <w:tcW w:w="415" w:type="pct"/>
            <w:tcBorders>
              <w:top w:val="nil"/>
              <w:left w:val="nil"/>
              <w:bottom w:val="nil"/>
              <w:right w:val="nil"/>
            </w:tcBorders>
            <w:shd w:val="clear" w:color="auto" w:fill="auto"/>
            <w:noWrap/>
            <w:vAlign w:val="center"/>
            <w:hideMark/>
          </w:tcPr>
          <w:p w14:paraId="0AB1B560" w14:textId="77777777" w:rsidR="0073600D" w:rsidRPr="00C508B7" w:rsidRDefault="0073600D" w:rsidP="00C508B7">
            <w:pPr>
              <w:jc w:val="center"/>
              <w:rPr>
                <w:color w:val="000000"/>
                <w:sz w:val="20"/>
                <w:szCs w:val="20"/>
              </w:rPr>
            </w:pPr>
            <w:r w:rsidRPr="00C508B7">
              <w:rPr>
                <w:color w:val="000000"/>
                <w:sz w:val="20"/>
                <w:szCs w:val="20"/>
              </w:rPr>
              <w:t>1.82</w:t>
            </w:r>
          </w:p>
        </w:tc>
      </w:tr>
      <w:tr w:rsidR="00C508B7" w:rsidRPr="00C508B7" w14:paraId="382A8633" w14:textId="77777777" w:rsidTr="00C508B7">
        <w:trPr>
          <w:trHeight w:val="240"/>
        </w:trPr>
        <w:tc>
          <w:tcPr>
            <w:tcW w:w="319" w:type="pct"/>
            <w:tcBorders>
              <w:top w:val="nil"/>
              <w:left w:val="nil"/>
              <w:bottom w:val="nil"/>
              <w:right w:val="nil"/>
            </w:tcBorders>
            <w:shd w:val="clear" w:color="auto" w:fill="auto"/>
            <w:noWrap/>
            <w:vAlign w:val="center"/>
            <w:hideMark/>
          </w:tcPr>
          <w:p w14:paraId="1AAE3CC5" w14:textId="77777777" w:rsidR="0073600D" w:rsidRPr="00C508B7" w:rsidRDefault="0073600D" w:rsidP="00C508B7">
            <w:pPr>
              <w:rPr>
                <w:color w:val="000000"/>
                <w:sz w:val="20"/>
                <w:szCs w:val="20"/>
              </w:rPr>
            </w:pPr>
            <w:r w:rsidRPr="00C508B7">
              <w:rPr>
                <w:color w:val="000000"/>
                <w:sz w:val="20"/>
                <w:szCs w:val="20"/>
              </w:rPr>
              <w:t>13</w:t>
            </w:r>
          </w:p>
        </w:tc>
        <w:tc>
          <w:tcPr>
            <w:tcW w:w="1197" w:type="pct"/>
            <w:tcBorders>
              <w:top w:val="nil"/>
              <w:left w:val="nil"/>
              <w:bottom w:val="nil"/>
              <w:right w:val="nil"/>
            </w:tcBorders>
            <w:shd w:val="clear" w:color="auto" w:fill="auto"/>
            <w:noWrap/>
            <w:vAlign w:val="center"/>
            <w:hideMark/>
          </w:tcPr>
          <w:p w14:paraId="295E08F1" w14:textId="77777777" w:rsidR="0073600D" w:rsidRPr="00C508B7" w:rsidRDefault="0073600D" w:rsidP="00C508B7">
            <w:pPr>
              <w:rPr>
                <w:color w:val="000000"/>
                <w:sz w:val="20"/>
                <w:szCs w:val="20"/>
              </w:rPr>
            </w:pPr>
            <w:r w:rsidRPr="00C508B7">
              <w:rPr>
                <w:color w:val="000000"/>
                <w:sz w:val="20"/>
                <w:szCs w:val="20"/>
              </w:rPr>
              <w:t>Gastrointestinal system</w:t>
            </w:r>
          </w:p>
        </w:tc>
        <w:tc>
          <w:tcPr>
            <w:tcW w:w="614" w:type="pct"/>
            <w:tcBorders>
              <w:top w:val="nil"/>
              <w:left w:val="nil"/>
              <w:bottom w:val="nil"/>
              <w:right w:val="nil"/>
            </w:tcBorders>
            <w:shd w:val="clear" w:color="auto" w:fill="auto"/>
            <w:noWrap/>
            <w:vAlign w:val="center"/>
            <w:hideMark/>
          </w:tcPr>
          <w:p w14:paraId="1789C1F2" w14:textId="77777777" w:rsidR="0073600D" w:rsidRPr="00C508B7" w:rsidRDefault="0073600D" w:rsidP="00C508B7">
            <w:pPr>
              <w:jc w:val="center"/>
              <w:rPr>
                <w:color w:val="000000"/>
                <w:sz w:val="20"/>
                <w:szCs w:val="20"/>
              </w:rPr>
            </w:pPr>
            <w:r w:rsidRPr="00C508B7">
              <w:rPr>
                <w:color w:val="000000"/>
                <w:sz w:val="20"/>
                <w:szCs w:val="20"/>
              </w:rPr>
              <w:t>1,288,223</w:t>
            </w:r>
          </w:p>
        </w:tc>
        <w:tc>
          <w:tcPr>
            <w:tcW w:w="614" w:type="pct"/>
            <w:tcBorders>
              <w:top w:val="nil"/>
              <w:left w:val="nil"/>
              <w:bottom w:val="nil"/>
              <w:right w:val="nil"/>
            </w:tcBorders>
            <w:shd w:val="clear" w:color="auto" w:fill="auto"/>
            <w:noWrap/>
            <w:vAlign w:val="center"/>
            <w:hideMark/>
          </w:tcPr>
          <w:p w14:paraId="1AE223D4" w14:textId="77777777" w:rsidR="0073600D" w:rsidRPr="00C508B7" w:rsidRDefault="0073600D" w:rsidP="00C508B7">
            <w:pPr>
              <w:jc w:val="center"/>
              <w:rPr>
                <w:color w:val="000000"/>
                <w:sz w:val="20"/>
                <w:szCs w:val="20"/>
              </w:rPr>
            </w:pPr>
            <w:r w:rsidRPr="00C508B7">
              <w:rPr>
                <w:color w:val="000000"/>
                <w:sz w:val="20"/>
                <w:szCs w:val="20"/>
              </w:rPr>
              <w:t>1,160,694</w:t>
            </w:r>
          </w:p>
        </w:tc>
        <w:tc>
          <w:tcPr>
            <w:tcW w:w="613" w:type="pct"/>
            <w:tcBorders>
              <w:top w:val="nil"/>
              <w:left w:val="nil"/>
              <w:bottom w:val="nil"/>
              <w:right w:val="nil"/>
            </w:tcBorders>
            <w:shd w:val="clear" w:color="auto" w:fill="auto"/>
            <w:noWrap/>
            <w:vAlign w:val="center"/>
            <w:hideMark/>
          </w:tcPr>
          <w:p w14:paraId="7085375B" w14:textId="77777777" w:rsidR="0073600D" w:rsidRPr="00C508B7" w:rsidRDefault="0073600D" w:rsidP="00C508B7">
            <w:pPr>
              <w:jc w:val="center"/>
              <w:rPr>
                <w:color w:val="000000"/>
                <w:sz w:val="20"/>
                <w:szCs w:val="20"/>
              </w:rPr>
            </w:pPr>
            <w:r w:rsidRPr="00C508B7">
              <w:rPr>
                <w:color w:val="000000"/>
                <w:sz w:val="20"/>
                <w:szCs w:val="20"/>
              </w:rPr>
              <w:t>1,170,376</w:t>
            </w:r>
          </w:p>
        </w:tc>
        <w:tc>
          <w:tcPr>
            <w:tcW w:w="614" w:type="pct"/>
            <w:tcBorders>
              <w:top w:val="nil"/>
              <w:left w:val="nil"/>
              <w:bottom w:val="nil"/>
              <w:right w:val="nil"/>
            </w:tcBorders>
            <w:shd w:val="clear" w:color="auto" w:fill="auto"/>
            <w:noWrap/>
            <w:vAlign w:val="center"/>
            <w:hideMark/>
          </w:tcPr>
          <w:p w14:paraId="41A998DE" w14:textId="77777777" w:rsidR="0073600D" w:rsidRPr="00C508B7" w:rsidRDefault="0073600D" w:rsidP="00C508B7">
            <w:pPr>
              <w:jc w:val="center"/>
              <w:rPr>
                <w:color w:val="000000"/>
                <w:sz w:val="20"/>
                <w:szCs w:val="20"/>
              </w:rPr>
            </w:pPr>
            <w:r w:rsidRPr="00C508B7">
              <w:rPr>
                <w:color w:val="000000"/>
                <w:sz w:val="20"/>
                <w:szCs w:val="20"/>
              </w:rPr>
              <w:t>1,051,384</w:t>
            </w:r>
          </w:p>
        </w:tc>
        <w:tc>
          <w:tcPr>
            <w:tcW w:w="614" w:type="pct"/>
            <w:tcBorders>
              <w:top w:val="nil"/>
              <w:left w:val="nil"/>
              <w:bottom w:val="nil"/>
              <w:right w:val="nil"/>
            </w:tcBorders>
            <w:shd w:val="clear" w:color="auto" w:fill="auto"/>
            <w:noWrap/>
            <w:vAlign w:val="center"/>
            <w:hideMark/>
          </w:tcPr>
          <w:p w14:paraId="225A4B66" w14:textId="77777777" w:rsidR="0073600D" w:rsidRPr="00C508B7" w:rsidRDefault="0073600D" w:rsidP="00C508B7">
            <w:pPr>
              <w:jc w:val="center"/>
              <w:rPr>
                <w:color w:val="000000"/>
                <w:sz w:val="20"/>
                <w:szCs w:val="20"/>
              </w:rPr>
            </w:pPr>
            <w:r w:rsidRPr="00C508B7">
              <w:rPr>
                <w:color w:val="000000"/>
                <w:sz w:val="20"/>
                <w:szCs w:val="20"/>
              </w:rPr>
              <w:t>954,478</w:t>
            </w:r>
          </w:p>
        </w:tc>
        <w:tc>
          <w:tcPr>
            <w:tcW w:w="415" w:type="pct"/>
            <w:tcBorders>
              <w:top w:val="nil"/>
              <w:left w:val="nil"/>
              <w:bottom w:val="nil"/>
              <w:right w:val="nil"/>
            </w:tcBorders>
            <w:shd w:val="clear" w:color="auto" w:fill="auto"/>
            <w:noWrap/>
            <w:vAlign w:val="center"/>
            <w:hideMark/>
          </w:tcPr>
          <w:p w14:paraId="7D0B5E38" w14:textId="77777777" w:rsidR="0073600D" w:rsidRPr="00C508B7" w:rsidRDefault="0073600D" w:rsidP="00C508B7">
            <w:pPr>
              <w:jc w:val="center"/>
              <w:rPr>
                <w:color w:val="000000"/>
                <w:sz w:val="20"/>
                <w:szCs w:val="20"/>
              </w:rPr>
            </w:pPr>
            <w:r w:rsidRPr="00C508B7">
              <w:rPr>
                <w:color w:val="000000"/>
                <w:sz w:val="20"/>
                <w:szCs w:val="20"/>
              </w:rPr>
              <w:t>1.35</w:t>
            </w:r>
          </w:p>
        </w:tc>
      </w:tr>
      <w:tr w:rsidR="00C508B7" w:rsidRPr="00C508B7" w14:paraId="15685A0F" w14:textId="77777777" w:rsidTr="00C508B7">
        <w:trPr>
          <w:trHeight w:val="240"/>
        </w:trPr>
        <w:tc>
          <w:tcPr>
            <w:tcW w:w="319" w:type="pct"/>
            <w:tcBorders>
              <w:top w:val="nil"/>
              <w:left w:val="nil"/>
              <w:bottom w:val="nil"/>
              <w:right w:val="nil"/>
            </w:tcBorders>
            <w:shd w:val="clear" w:color="auto" w:fill="auto"/>
            <w:noWrap/>
            <w:vAlign w:val="center"/>
            <w:hideMark/>
          </w:tcPr>
          <w:p w14:paraId="526B361B" w14:textId="77777777" w:rsidR="0073600D" w:rsidRPr="00C508B7" w:rsidRDefault="0073600D" w:rsidP="00C508B7">
            <w:pPr>
              <w:rPr>
                <w:color w:val="000000"/>
                <w:sz w:val="20"/>
                <w:szCs w:val="20"/>
              </w:rPr>
            </w:pPr>
            <w:r w:rsidRPr="00C508B7">
              <w:rPr>
                <w:color w:val="000000"/>
                <w:sz w:val="20"/>
                <w:szCs w:val="20"/>
              </w:rPr>
              <w:t>14</w:t>
            </w:r>
          </w:p>
        </w:tc>
        <w:tc>
          <w:tcPr>
            <w:tcW w:w="1197" w:type="pct"/>
            <w:tcBorders>
              <w:top w:val="nil"/>
              <w:left w:val="nil"/>
              <w:bottom w:val="nil"/>
              <w:right w:val="nil"/>
            </w:tcBorders>
            <w:shd w:val="clear" w:color="auto" w:fill="auto"/>
            <w:noWrap/>
            <w:vAlign w:val="center"/>
            <w:hideMark/>
          </w:tcPr>
          <w:p w14:paraId="76079301" w14:textId="77777777" w:rsidR="0073600D" w:rsidRPr="00C508B7" w:rsidRDefault="0073600D" w:rsidP="00C508B7">
            <w:pPr>
              <w:rPr>
                <w:color w:val="000000"/>
                <w:sz w:val="20"/>
                <w:szCs w:val="20"/>
              </w:rPr>
            </w:pPr>
            <w:r w:rsidRPr="00C508B7">
              <w:rPr>
                <w:color w:val="000000"/>
                <w:sz w:val="20"/>
                <w:szCs w:val="20"/>
              </w:rPr>
              <w:t>Skin problems</w:t>
            </w:r>
          </w:p>
        </w:tc>
        <w:tc>
          <w:tcPr>
            <w:tcW w:w="614" w:type="pct"/>
            <w:tcBorders>
              <w:top w:val="nil"/>
              <w:left w:val="nil"/>
              <w:bottom w:val="nil"/>
              <w:right w:val="nil"/>
            </w:tcBorders>
            <w:shd w:val="clear" w:color="auto" w:fill="auto"/>
            <w:noWrap/>
            <w:vAlign w:val="center"/>
            <w:hideMark/>
          </w:tcPr>
          <w:p w14:paraId="1B9F8E78" w14:textId="77777777" w:rsidR="0073600D" w:rsidRPr="00C508B7" w:rsidRDefault="0073600D" w:rsidP="00C508B7">
            <w:pPr>
              <w:jc w:val="center"/>
              <w:rPr>
                <w:color w:val="000000"/>
                <w:sz w:val="20"/>
                <w:szCs w:val="20"/>
              </w:rPr>
            </w:pPr>
            <w:r w:rsidRPr="00C508B7">
              <w:rPr>
                <w:color w:val="000000"/>
                <w:sz w:val="20"/>
                <w:szCs w:val="20"/>
              </w:rPr>
              <w:t>287,882</w:t>
            </w:r>
          </w:p>
        </w:tc>
        <w:tc>
          <w:tcPr>
            <w:tcW w:w="614" w:type="pct"/>
            <w:tcBorders>
              <w:top w:val="nil"/>
              <w:left w:val="nil"/>
              <w:bottom w:val="nil"/>
              <w:right w:val="nil"/>
            </w:tcBorders>
            <w:shd w:val="clear" w:color="auto" w:fill="auto"/>
            <w:noWrap/>
            <w:vAlign w:val="center"/>
            <w:hideMark/>
          </w:tcPr>
          <w:p w14:paraId="532943DF" w14:textId="77777777" w:rsidR="0073600D" w:rsidRPr="00C508B7" w:rsidRDefault="0073600D" w:rsidP="00C508B7">
            <w:pPr>
              <w:jc w:val="center"/>
              <w:rPr>
                <w:color w:val="000000"/>
                <w:sz w:val="20"/>
                <w:szCs w:val="20"/>
              </w:rPr>
            </w:pPr>
            <w:r w:rsidRPr="00C508B7">
              <w:rPr>
                <w:color w:val="000000"/>
                <w:sz w:val="20"/>
                <w:szCs w:val="20"/>
              </w:rPr>
              <w:t>255,144</w:t>
            </w:r>
          </w:p>
        </w:tc>
        <w:tc>
          <w:tcPr>
            <w:tcW w:w="613" w:type="pct"/>
            <w:tcBorders>
              <w:top w:val="nil"/>
              <w:left w:val="nil"/>
              <w:bottom w:val="nil"/>
              <w:right w:val="nil"/>
            </w:tcBorders>
            <w:shd w:val="clear" w:color="auto" w:fill="auto"/>
            <w:noWrap/>
            <w:vAlign w:val="center"/>
            <w:hideMark/>
          </w:tcPr>
          <w:p w14:paraId="711D9747" w14:textId="77777777" w:rsidR="0073600D" w:rsidRPr="00C508B7" w:rsidRDefault="0073600D" w:rsidP="00C508B7">
            <w:pPr>
              <w:jc w:val="center"/>
              <w:rPr>
                <w:color w:val="000000"/>
                <w:sz w:val="20"/>
                <w:szCs w:val="20"/>
              </w:rPr>
            </w:pPr>
            <w:r w:rsidRPr="00C508B7">
              <w:rPr>
                <w:color w:val="000000"/>
                <w:sz w:val="20"/>
                <w:szCs w:val="20"/>
              </w:rPr>
              <w:t>251,871</w:t>
            </w:r>
          </w:p>
        </w:tc>
        <w:tc>
          <w:tcPr>
            <w:tcW w:w="614" w:type="pct"/>
            <w:tcBorders>
              <w:top w:val="nil"/>
              <w:left w:val="nil"/>
              <w:bottom w:val="nil"/>
              <w:right w:val="nil"/>
            </w:tcBorders>
            <w:shd w:val="clear" w:color="auto" w:fill="auto"/>
            <w:noWrap/>
            <w:vAlign w:val="center"/>
            <w:hideMark/>
          </w:tcPr>
          <w:p w14:paraId="174173C2" w14:textId="77777777" w:rsidR="0073600D" w:rsidRPr="00C508B7" w:rsidRDefault="0073600D" w:rsidP="00C508B7">
            <w:pPr>
              <w:jc w:val="center"/>
              <w:rPr>
                <w:color w:val="000000"/>
                <w:sz w:val="20"/>
                <w:szCs w:val="20"/>
              </w:rPr>
            </w:pPr>
            <w:r w:rsidRPr="00C508B7">
              <w:rPr>
                <w:color w:val="000000"/>
                <w:sz w:val="20"/>
                <w:szCs w:val="20"/>
              </w:rPr>
              <w:t>213,796</w:t>
            </w:r>
          </w:p>
        </w:tc>
        <w:tc>
          <w:tcPr>
            <w:tcW w:w="614" w:type="pct"/>
            <w:tcBorders>
              <w:top w:val="nil"/>
              <w:left w:val="nil"/>
              <w:bottom w:val="nil"/>
              <w:right w:val="nil"/>
            </w:tcBorders>
            <w:shd w:val="clear" w:color="auto" w:fill="auto"/>
            <w:noWrap/>
            <w:vAlign w:val="center"/>
            <w:hideMark/>
          </w:tcPr>
          <w:p w14:paraId="4502A1C8" w14:textId="77777777" w:rsidR="0073600D" w:rsidRPr="00C508B7" w:rsidRDefault="0073600D" w:rsidP="00C508B7">
            <w:pPr>
              <w:jc w:val="center"/>
              <w:rPr>
                <w:color w:val="000000"/>
                <w:sz w:val="20"/>
                <w:szCs w:val="20"/>
              </w:rPr>
            </w:pPr>
            <w:r w:rsidRPr="00C508B7">
              <w:rPr>
                <w:color w:val="000000"/>
                <w:sz w:val="20"/>
                <w:szCs w:val="20"/>
              </w:rPr>
              <w:t>186,235</w:t>
            </w:r>
          </w:p>
        </w:tc>
        <w:tc>
          <w:tcPr>
            <w:tcW w:w="415" w:type="pct"/>
            <w:tcBorders>
              <w:top w:val="nil"/>
              <w:left w:val="nil"/>
              <w:bottom w:val="nil"/>
              <w:right w:val="nil"/>
            </w:tcBorders>
            <w:shd w:val="clear" w:color="auto" w:fill="auto"/>
            <w:noWrap/>
            <w:vAlign w:val="center"/>
            <w:hideMark/>
          </w:tcPr>
          <w:p w14:paraId="11055A5D" w14:textId="77777777" w:rsidR="0073600D" w:rsidRPr="00C508B7" w:rsidRDefault="0073600D" w:rsidP="00C508B7">
            <w:pPr>
              <w:jc w:val="center"/>
              <w:rPr>
                <w:color w:val="000000"/>
                <w:sz w:val="20"/>
                <w:szCs w:val="20"/>
              </w:rPr>
            </w:pPr>
            <w:r w:rsidRPr="00C508B7">
              <w:rPr>
                <w:color w:val="000000"/>
                <w:sz w:val="20"/>
                <w:szCs w:val="20"/>
              </w:rPr>
              <w:t>1.55</w:t>
            </w:r>
          </w:p>
        </w:tc>
      </w:tr>
      <w:tr w:rsidR="00C508B7" w:rsidRPr="00C508B7" w14:paraId="0B62ABCA" w14:textId="77777777" w:rsidTr="00C508B7">
        <w:trPr>
          <w:trHeight w:val="240"/>
        </w:trPr>
        <w:tc>
          <w:tcPr>
            <w:tcW w:w="319" w:type="pct"/>
            <w:tcBorders>
              <w:top w:val="nil"/>
              <w:left w:val="nil"/>
              <w:bottom w:val="nil"/>
              <w:right w:val="nil"/>
            </w:tcBorders>
            <w:shd w:val="clear" w:color="auto" w:fill="auto"/>
            <w:noWrap/>
            <w:vAlign w:val="center"/>
            <w:hideMark/>
          </w:tcPr>
          <w:p w14:paraId="5F53B4BC" w14:textId="77777777" w:rsidR="0073600D" w:rsidRPr="00C508B7" w:rsidRDefault="0073600D" w:rsidP="00C508B7">
            <w:pPr>
              <w:rPr>
                <w:color w:val="000000"/>
                <w:sz w:val="20"/>
                <w:szCs w:val="20"/>
              </w:rPr>
            </w:pPr>
            <w:r w:rsidRPr="00C508B7">
              <w:rPr>
                <w:color w:val="000000"/>
                <w:sz w:val="20"/>
                <w:szCs w:val="20"/>
              </w:rPr>
              <w:t>15</w:t>
            </w:r>
          </w:p>
        </w:tc>
        <w:tc>
          <w:tcPr>
            <w:tcW w:w="1197" w:type="pct"/>
            <w:tcBorders>
              <w:top w:val="nil"/>
              <w:left w:val="nil"/>
              <w:bottom w:val="nil"/>
              <w:right w:val="nil"/>
            </w:tcBorders>
            <w:shd w:val="clear" w:color="auto" w:fill="auto"/>
            <w:noWrap/>
            <w:vAlign w:val="center"/>
            <w:hideMark/>
          </w:tcPr>
          <w:p w14:paraId="29496E7C" w14:textId="77777777" w:rsidR="0073600D" w:rsidRPr="00C508B7" w:rsidRDefault="0073600D" w:rsidP="00C508B7">
            <w:pPr>
              <w:rPr>
                <w:color w:val="000000"/>
                <w:sz w:val="20"/>
                <w:szCs w:val="20"/>
              </w:rPr>
            </w:pPr>
            <w:r w:rsidRPr="00C508B7">
              <w:rPr>
                <w:color w:val="000000"/>
                <w:sz w:val="20"/>
                <w:szCs w:val="20"/>
              </w:rPr>
              <w:t>Musculoskeletal system</w:t>
            </w:r>
          </w:p>
        </w:tc>
        <w:tc>
          <w:tcPr>
            <w:tcW w:w="614" w:type="pct"/>
            <w:tcBorders>
              <w:top w:val="nil"/>
              <w:left w:val="nil"/>
              <w:bottom w:val="nil"/>
              <w:right w:val="nil"/>
            </w:tcBorders>
            <w:shd w:val="clear" w:color="auto" w:fill="auto"/>
            <w:noWrap/>
            <w:vAlign w:val="center"/>
            <w:hideMark/>
          </w:tcPr>
          <w:p w14:paraId="01204AE4" w14:textId="77777777" w:rsidR="0073600D" w:rsidRPr="00C508B7" w:rsidRDefault="0073600D" w:rsidP="00C508B7">
            <w:pPr>
              <w:jc w:val="center"/>
              <w:rPr>
                <w:color w:val="000000"/>
                <w:sz w:val="20"/>
                <w:szCs w:val="20"/>
              </w:rPr>
            </w:pPr>
            <w:r w:rsidRPr="00C508B7">
              <w:rPr>
                <w:color w:val="000000"/>
                <w:sz w:val="20"/>
                <w:szCs w:val="20"/>
              </w:rPr>
              <w:t>894,024</w:t>
            </w:r>
          </w:p>
        </w:tc>
        <w:tc>
          <w:tcPr>
            <w:tcW w:w="614" w:type="pct"/>
            <w:tcBorders>
              <w:top w:val="nil"/>
              <w:left w:val="nil"/>
              <w:bottom w:val="nil"/>
              <w:right w:val="nil"/>
            </w:tcBorders>
            <w:shd w:val="clear" w:color="auto" w:fill="auto"/>
            <w:noWrap/>
            <w:vAlign w:val="center"/>
            <w:hideMark/>
          </w:tcPr>
          <w:p w14:paraId="4EE5B703" w14:textId="77777777" w:rsidR="0073600D" w:rsidRPr="00C508B7" w:rsidRDefault="0073600D" w:rsidP="00C508B7">
            <w:pPr>
              <w:jc w:val="center"/>
              <w:rPr>
                <w:color w:val="000000"/>
                <w:sz w:val="20"/>
                <w:szCs w:val="20"/>
              </w:rPr>
            </w:pPr>
            <w:r w:rsidRPr="00C508B7">
              <w:rPr>
                <w:color w:val="000000"/>
                <w:sz w:val="20"/>
                <w:szCs w:val="20"/>
              </w:rPr>
              <w:t>827,430</w:t>
            </w:r>
          </w:p>
        </w:tc>
        <w:tc>
          <w:tcPr>
            <w:tcW w:w="613" w:type="pct"/>
            <w:tcBorders>
              <w:top w:val="nil"/>
              <w:left w:val="nil"/>
              <w:bottom w:val="nil"/>
              <w:right w:val="nil"/>
            </w:tcBorders>
            <w:shd w:val="clear" w:color="auto" w:fill="auto"/>
            <w:noWrap/>
            <w:vAlign w:val="center"/>
            <w:hideMark/>
          </w:tcPr>
          <w:p w14:paraId="5DAAD20B" w14:textId="77777777" w:rsidR="0073600D" w:rsidRPr="00C508B7" w:rsidRDefault="0073600D" w:rsidP="00C508B7">
            <w:pPr>
              <w:jc w:val="center"/>
              <w:rPr>
                <w:color w:val="000000"/>
                <w:sz w:val="20"/>
                <w:szCs w:val="20"/>
              </w:rPr>
            </w:pPr>
            <w:r w:rsidRPr="00C508B7">
              <w:rPr>
                <w:color w:val="000000"/>
                <w:sz w:val="20"/>
                <w:szCs w:val="20"/>
              </w:rPr>
              <w:t>829,136</w:t>
            </w:r>
          </w:p>
        </w:tc>
        <w:tc>
          <w:tcPr>
            <w:tcW w:w="614" w:type="pct"/>
            <w:tcBorders>
              <w:top w:val="nil"/>
              <w:left w:val="nil"/>
              <w:bottom w:val="nil"/>
              <w:right w:val="nil"/>
            </w:tcBorders>
            <w:shd w:val="clear" w:color="auto" w:fill="auto"/>
            <w:noWrap/>
            <w:vAlign w:val="center"/>
            <w:hideMark/>
          </w:tcPr>
          <w:p w14:paraId="7D48E122" w14:textId="77777777" w:rsidR="0073600D" w:rsidRPr="00C508B7" w:rsidRDefault="0073600D" w:rsidP="00C508B7">
            <w:pPr>
              <w:jc w:val="center"/>
              <w:rPr>
                <w:color w:val="000000"/>
                <w:sz w:val="20"/>
                <w:szCs w:val="20"/>
              </w:rPr>
            </w:pPr>
            <w:r w:rsidRPr="00C508B7">
              <w:rPr>
                <w:color w:val="000000"/>
                <w:sz w:val="20"/>
                <w:szCs w:val="20"/>
              </w:rPr>
              <w:t>784,789</w:t>
            </w:r>
          </w:p>
        </w:tc>
        <w:tc>
          <w:tcPr>
            <w:tcW w:w="614" w:type="pct"/>
            <w:tcBorders>
              <w:top w:val="nil"/>
              <w:left w:val="nil"/>
              <w:bottom w:val="nil"/>
              <w:right w:val="nil"/>
            </w:tcBorders>
            <w:shd w:val="clear" w:color="auto" w:fill="auto"/>
            <w:noWrap/>
            <w:vAlign w:val="center"/>
            <w:hideMark/>
          </w:tcPr>
          <w:p w14:paraId="6FF1E031" w14:textId="77777777" w:rsidR="0073600D" w:rsidRPr="00C508B7" w:rsidRDefault="0073600D" w:rsidP="00C508B7">
            <w:pPr>
              <w:jc w:val="center"/>
              <w:rPr>
                <w:color w:val="000000"/>
                <w:sz w:val="20"/>
                <w:szCs w:val="20"/>
              </w:rPr>
            </w:pPr>
            <w:r w:rsidRPr="00C508B7">
              <w:rPr>
                <w:color w:val="000000"/>
                <w:sz w:val="20"/>
                <w:szCs w:val="20"/>
              </w:rPr>
              <w:t>712,146</w:t>
            </w:r>
          </w:p>
        </w:tc>
        <w:tc>
          <w:tcPr>
            <w:tcW w:w="415" w:type="pct"/>
            <w:tcBorders>
              <w:top w:val="nil"/>
              <w:left w:val="nil"/>
              <w:bottom w:val="nil"/>
              <w:right w:val="nil"/>
            </w:tcBorders>
            <w:shd w:val="clear" w:color="auto" w:fill="auto"/>
            <w:noWrap/>
            <w:vAlign w:val="center"/>
            <w:hideMark/>
          </w:tcPr>
          <w:p w14:paraId="2D32A7F8" w14:textId="77777777" w:rsidR="0073600D" w:rsidRPr="00C508B7" w:rsidRDefault="0073600D" w:rsidP="00C508B7">
            <w:pPr>
              <w:jc w:val="center"/>
              <w:rPr>
                <w:color w:val="000000"/>
                <w:sz w:val="20"/>
                <w:szCs w:val="20"/>
              </w:rPr>
            </w:pPr>
            <w:r w:rsidRPr="00C508B7">
              <w:rPr>
                <w:color w:val="000000"/>
                <w:sz w:val="20"/>
                <w:szCs w:val="20"/>
              </w:rPr>
              <w:t>1.26</w:t>
            </w:r>
          </w:p>
        </w:tc>
      </w:tr>
      <w:tr w:rsidR="00C508B7" w:rsidRPr="00C508B7" w14:paraId="5ADD4256" w14:textId="77777777" w:rsidTr="00C508B7">
        <w:trPr>
          <w:trHeight w:val="240"/>
        </w:trPr>
        <w:tc>
          <w:tcPr>
            <w:tcW w:w="319" w:type="pct"/>
            <w:tcBorders>
              <w:top w:val="nil"/>
              <w:left w:val="nil"/>
              <w:bottom w:val="nil"/>
              <w:right w:val="nil"/>
            </w:tcBorders>
            <w:shd w:val="clear" w:color="auto" w:fill="auto"/>
            <w:noWrap/>
            <w:vAlign w:val="center"/>
            <w:hideMark/>
          </w:tcPr>
          <w:p w14:paraId="63651DED" w14:textId="77777777" w:rsidR="0073600D" w:rsidRPr="00C508B7" w:rsidRDefault="0073600D" w:rsidP="00C508B7">
            <w:pPr>
              <w:rPr>
                <w:color w:val="000000"/>
                <w:sz w:val="20"/>
                <w:szCs w:val="20"/>
              </w:rPr>
            </w:pPr>
            <w:r w:rsidRPr="00C508B7">
              <w:rPr>
                <w:color w:val="000000"/>
                <w:sz w:val="20"/>
                <w:szCs w:val="20"/>
              </w:rPr>
              <w:t>17</w:t>
            </w:r>
          </w:p>
        </w:tc>
        <w:tc>
          <w:tcPr>
            <w:tcW w:w="1197" w:type="pct"/>
            <w:tcBorders>
              <w:top w:val="nil"/>
              <w:left w:val="nil"/>
              <w:bottom w:val="nil"/>
              <w:right w:val="nil"/>
            </w:tcBorders>
            <w:shd w:val="clear" w:color="auto" w:fill="auto"/>
            <w:noWrap/>
            <w:vAlign w:val="center"/>
            <w:hideMark/>
          </w:tcPr>
          <w:p w14:paraId="3939FA1E" w14:textId="77777777" w:rsidR="0073600D" w:rsidRPr="00C508B7" w:rsidRDefault="0073600D" w:rsidP="00C508B7">
            <w:pPr>
              <w:rPr>
                <w:color w:val="000000"/>
                <w:sz w:val="20"/>
                <w:szCs w:val="20"/>
              </w:rPr>
            </w:pPr>
            <w:r w:rsidRPr="00C508B7">
              <w:rPr>
                <w:color w:val="000000"/>
                <w:sz w:val="20"/>
                <w:szCs w:val="20"/>
              </w:rPr>
              <w:t>Genitourinary system</w:t>
            </w:r>
          </w:p>
        </w:tc>
        <w:tc>
          <w:tcPr>
            <w:tcW w:w="614" w:type="pct"/>
            <w:tcBorders>
              <w:top w:val="nil"/>
              <w:left w:val="nil"/>
              <w:bottom w:val="nil"/>
              <w:right w:val="nil"/>
            </w:tcBorders>
            <w:shd w:val="clear" w:color="auto" w:fill="auto"/>
            <w:noWrap/>
            <w:vAlign w:val="center"/>
            <w:hideMark/>
          </w:tcPr>
          <w:p w14:paraId="003D35C2" w14:textId="77777777" w:rsidR="0073600D" w:rsidRPr="00C508B7" w:rsidRDefault="0073600D" w:rsidP="00C508B7">
            <w:pPr>
              <w:jc w:val="center"/>
              <w:rPr>
                <w:color w:val="000000"/>
                <w:sz w:val="20"/>
                <w:szCs w:val="20"/>
              </w:rPr>
            </w:pPr>
            <w:r w:rsidRPr="00C508B7">
              <w:rPr>
                <w:color w:val="000000"/>
                <w:sz w:val="20"/>
                <w:szCs w:val="20"/>
              </w:rPr>
              <w:t>1,086,429</w:t>
            </w:r>
          </w:p>
        </w:tc>
        <w:tc>
          <w:tcPr>
            <w:tcW w:w="614" w:type="pct"/>
            <w:tcBorders>
              <w:top w:val="nil"/>
              <w:left w:val="nil"/>
              <w:bottom w:val="nil"/>
              <w:right w:val="nil"/>
            </w:tcBorders>
            <w:shd w:val="clear" w:color="auto" w:fill="auto"/>
            <w:noWrap/>
            <w:vAlign w:val="center"/>
            <w:hideMark/>
          </w:tcPr>
          <w:p w14:paraId="4743F352" w14:textId="77777777" w:rsidR="0073600D" w:rsidRPr="00C508B7" w:rsidRDefault="0073600D" w:rsidP="00C508B7">
            <w:pPr>
              <w:jc w:val="center"/>
              <w:rPr>
                <w:color w:val="000000"/>
                <w:sz w:val="20"/>
                <w:szCs w:val="20"/>
              </w:rPr>
            </w:pPr>
            <w:r w:rsidRPr="00C508B7">
              <w:rPr>
                <w:color w:val="000000"/>
                <w:sz w:val="20"/>
                <w:szCs w:val="20"/>
              </w:rPr>
              <w:t>1,001,856</w:t>
            </w:r>
          </w:p>
        </w:tc>
        <w:tc>
          <w:tcPr>
            <w:tcW w:w="613" w:type="pct"/>
            <w:tcBorders>
              <w:top w:val="nil"/>
              <w:left w:val="nil"/>
              <w:bottom w:val="nil"/>
              <w:right w:val="nil"/>
            </w:tcBorders>
            <w:shd w:val="clear" w:color="auto" w:fill="auto"/>
            <w:noWrap/>
            <w:vAlign w:val="center"/>
            <w:hideMark/>
          </w:tcPr>
          <w:p w14:paraId="14DA7233" w14:textId="77777777" w:rsidR="0073600D" w:rsidRPr="00C508B7" w:rsidRDefault="0073600D" w:rsidP="00C508B7">
            <w:pPr>
              <w:jc w:val="center"/>
              <w:rPr>
                <w:color w:val="000000"/>
                <w:sz w:val="20"/>
                <w:szCs w:val="20"/>
              </w:rPr>
            </w:pPr>
            <w:r w:rsidRPr="00C508B7">
              <w:rPr>
                <w:color w:val="000000"/>
                <w:sz w:val="20"/>
                <w:szCs w:val="20"/>
              </w:rPr>
              <w:t>1,001,596</w:t>
            </w:r>
          </w:p>
        </w:tc>
        <w:tc>
          <w:tcPr>
            <w:tcW w:w="614" w:type="pct"/>
            <w:tcBorders>
              <w:top w:val="nil"/>
              <w:left w:val="nil"/>
              <w:bottom w:val="nil"/>
              <w:right w:val="nil"/>
            </w:tcBorders>
            <w:shd w:val="clear" w:color="auto" w:fill="auto"/>
            <w:noWrap/>
            <w:vAlign w:val="center"/>
            <w:hideMark/>
          </w:tcPr>
          <w:p w14:paraId="1B5BD57D" w14:textId="77777777" w:rsidR="0073600D" w:rsidRPr="00C508B7" w:rsidRDefault="0073600D" w:rsidP="00C508B7">
            <w:pPr>
              <w:jc w:val="center"/>
              <w:rPr>
                <w:color w:val="000000"/>
                <w:sz w:val="20"/>
                <w:szCs w:val="20"/>
              </w:rPr>
            </w:pPr>
            <w:r w:rsidRPr="00C508B7">
              <w:rPr>
                <w:color w:val="000000"/>
                <w:sz w:val="20"/>
                <w:szCs w:val="20"/>
              </w:rPr>
              <w:t>860,605</w:t>
            </w:r>
          </w:p>
        </w:tc>
        <w:tc>
          <w:tcPr>
            <w:tcW w:w="614" w:type="pct"/>
            <w:tcBorders>
              <w:top w:val="nil"/>
              <w:left w:val="nil"/>
              <w:bottom w:val="nil"/>
              <w:right w:val="nil"/>
            </w:tcBorders>
            <w:shd w:val="clear" w:color="auto" w:fill="auto"/>
            <w:noWrap/>
            <w:vAlign w:val="center"/>
            <w:hideMark/>
          </w:tcPr>
          <w:p w14:paraId="2D19D069" w14:textId="77777777" w:rsidR="0073600D" w:rsidRPr="00C508B7" w:rsidRDefault="0073600D" w:rsidP="00C508B7">
            <w:pPr>
              <w:jc w:val="center"/>
              <w:rPr>
                <w:color w:val="000000"/>
                <w:sz w:val="20"/>
                <w:szCs w:val="20"/>
              </w:rPr>
            </w:pPr>
            <w:r w:rsidRPr="00C508B7">
              <w:rPr>
                <w:color w:val="000000"/>
                <w:sz w:val="20"/>
                <w:szCs w:val="20"/>
              </w:rPr>
              <w:t>740,267</w:t>
            </w:r>
          </w:p>
        </w:tc>
        <w:tc>
          <w:tcPr>
            <w:tcW w:w="415" w:type="pct"/>
            <w:tcBorders>
              <w:top w:val="nil"/>
              <w:left w:val="nil"/>
              <w:bottom w:val="nil"/>
              <w:right w:val="nil"/>
            </w:tcBorders>
            <w:shd w:val="clear" w:color="auto" w:fill="auto"/>
            <w:noWrap/>
            <w:vAlign w:val="center"/>
            <w:hideMark/>
          </w:tcPr>
          <w:p w14:paraId="525D283B" w14:textId="77777777" w:rsidR="0073600D" w:rsidRPr="00C508B7" w:rsidRDefault="0073600D" w:rsidP="00C508B7">
            <w:pPr>
              <w:jc w:val="center"/>
              <w:rPr>
                <w:color w:val="000000"/>
                <w:sz w:val="20"/>
                <w:szCs w:val="20"/>
              </w:rPr>
            </w:pPr>
            <w:r w:rsidRPr="00C508B7">
              <w:rPr>
                <w:color w:val="000000"/>
                <w:sz w:val="20"/>
                <w:szCs w:val="20"/>
              </w:rPr>
              <w:t>1.47</w:t>
            </w:r>
          </w:p>
        </w:tc>
      </w:tr>
      <w:tr w:rsidR="00C508B7" w:rsidRPr="00C508B7" w14:paraId="5CF5B06D" w14:textId="77777777" w:rsidTr="00C508B7">
        <w:trPr>
          <w:trHeight w:val="240"/>
        </w:trPr>
        <w:tc>
          <w:tcPr>
            <w:tcW w:w="319" w:type="pct"/>
            <w:tcBorders>
              <w:top w:val="nil"/>
              <w:left w:val="nil"/>
              <w:bottom w:val="nil"/>
              <w:right w:val="nil"/>
            </w:tcBorders>
            <w:shd w:val="clear" w:color="auto" w:fill="auto"/>
            <w:noWrap/>
            <w:vAlign w:val="center"/>
            <w:hideMark/>
          </w:tcPr>
          <w:p w14:paraId="7546D473" w14:textId="77777777" w:rsidR="0073600D" w:rsidRPr="00C508B7" w:rsidRDefault="0073600D" w:rsidP="00C508B7">
            <w:pPr>
              <w:rPr>
                <w:color w:val="000000"/>
                <w:sz w:val="20"/>
                <w:szCs w:val="20"/>
              </w:rPr>
            </w:pPr>
            <w:r w:rsidRPr="00C508B7">
              <w:rPr>
                <w:color w:val="000000"/>
                <w:sz w:val="20"/>
                <w:szCs w:val="20"/>
              </w:rPr>
              <w:t>18</w:t>
            </w:r>
          </w:p>
        </w:tc>
        <w:tc>
          <w:tcPr>
            <w:tcW w:w="1197" w:type="pct"/>
            <w:tcBorders>
              <w:top w:val="nil"/>
              <w:left w:val="nil"/>
              <w:bottom w:val="nil"/>
              <w:right w:val="nil"/>
            </w:tcBorders>
            <w:shd w:val="clear" w:color="auto" w:fill="auto"/>
            <w:noWrap/>
            <w:vAlign w:val="center"/>
            <w:hideMark/>
          </w:tcPr>
          <w:p w14:paraId="39513F9B" w14:textId="77777777" w:rsidR="0073600D" w:rsidRPr="00C508B7" w:rsidRDefault="0073600D" w:rsidP="00C508B7">
            <w:pPr>
              <w:rPr>
                <w:color w:val="000000"/>
                <w:sz w:val="20"/>
                <w:szCs w:val="20"/>
              </w:rPr>
            </w:pPr>
            <w:r w:rsidRPr="00C508B7">
              <w:rPr>
                <w:color w:val="000000"/>
                <w:sz w:val="20"/>
                <w:szCs w:val="20"/>
              </w:rPr>
              <w:t>Maternity</w:t>
            </w:r>
          </w:p>
        </w:tc>
        <w:tc>
          <w:tcPr>
            <w:tcW w:w="614" w:type="pct"/>
            <w:tcBorders>
              <w:top w:val="nil"/>
              <w:left w:val="nil"/>
              <w:bottom w:val="nil"/>
              <w:right w:val="nil"/>
            </w:tcBorders>
            <w:shd w:val="clear" w:color="auto" w:fill="auto"/>
            <w:noWrap/>
            <w:vAlign w:val="center"/>
            <w:hideMark/>
          </w:tcPr>
          <w:p w14:paraId="7D01F2A6" w14:textId="77777777" w:rsidR="0073600D" w:rsidRPr="00C508B7" w:rsidRDefault="0073600D" w:rsidP="00C508B7">
            <w:pPr>
              <w:jc w:val="center"/>
              <w:rPr>
                <w:color w:val="000000"/>
                <w:sz w:val="20"/>
                <w:szCs w:val="20"/>
              </w:rPr>
            </w:pPr>
            <w:r w:rsidRPr="00C508B7">
              <w:rPr>
                <w:color w:val="000000"/>
                <w:sz w:val="20"/>
                <w:szCs w:val="20"/>
              </w:rPr>
              <w:t>534,888</w:t>
            </w:r>
          </w:p>
        </w:tc>
        <w:tc>
          <w:tcPr>
            <w:tcW w:w="614" w:type="pct"/>
            <w:tcBorders>
              <w:top w:val="nil"/>
              <w:left w:val="nil"/>
              <w:bottom w:val="nil"/>
              <w:right w:val="nil"/>
            </w:tcBorders>
            <w:shd w:val="clear" w:color="auto" w:fill="auto"/>
            <w:noWrap/>
            <w:vAlign w:val="center"/>
            <w:hideMark/>
          </w:tcPr>
          <w:p w14:paraId="4EC6C63C" w14:textId="77777777" w:rsidR="0073600D" w:rsidRPr="00C508B7" w:rsidRDefault="0073600D" w:rsidP="00C508B7">
            <w:pPr>
              <w:jc w:val="center"/>
              <w:rPr>
                <w:color w:val="000000"/>
                <w:sz w:val="20"/>
                <w:szCs w:val="20"/>
              </w:rPr>
            </w:pPr>
            <w:r w:rsidRPr="00C508B7">
              <w:rPr>
                <w:color w:val="000000"/>
                <w:sz w:val="20"/>
                <w:szCs w:val="20"/>
              </w:rPr>
              <w:t>474,522</w:t>
            </w:r>
          </w:p>
        </w:tc>
        <w:tc>
          <w:tcPr>
            <w:tcW w:w="613" w:type="pct"/>
            <w:tcBorders>
              <w:top w:val="nil"/>
              <w:left w:val="nil"/>
              <w:bottom w:val="nil"/>
              <w:right w:val="nil"/>
            </w:tcBorders>
            <w:shd w:val="clear" w:color="auto" w:fill="auto"/>
            <w:noWrap/>
            <w:vAlign w:val="center"/>
            <w:hideMark/>
          </w:tcPr>
          <w:p w14:paraId="3AAFD66C" w14:textId="77777777" w:rsidR="0073600D" w:rsidRPr="00C508B7" w:rsidRDefault="0073600D" w:rsidP="00C508B7">
            <w:pPr>
              <w:jc w:val="center"/>
              <w:rPr>
                <w:color w:val="000000"/>
                <w:sz w:val="20"/>
                <w:szCs w:val="20"/>
              </w:rPr>
            </w:pPr>
            <w:r w:rsidRPr="00C508B7">
              <w:rPr>
                <w:color w:val="000000"/>
                <w:sz w:val="20"/>
                <w:szCs w:val="20"/>
              </w:rPr>
              <w:t>461,860</w:t>
            </w:r>
          </w:p>
        </w:tc>
        <w:tc>
          <w:tcPr>
            <w:tcW w:w="614" w:type="pct"/>
            <w:tcBorders>
              <w:top w:val="nil"/>
              <w:left w:val="nil"/>
              <w:bottom w:val="nil"/>
              <w:right w:val="nil"/>
            </w:tcBorders>
            <w:shd w:val="clear" w:color="auto" w:fill="auto"/>
            <w:noWrap/>
            <w:vAlign w:val="center"/>
            <w:hideMark/>
          </w:tcPr>
          <w:p w14:paraId="06C1B2EC" w14:textId="77777777" w:rsidR="0073600D" w:rsidRPr="00C508B7" w:rsidRDefault="0073600D" w:rsidP="00C508B7">
            <w:pPr>
              <w:jc w:val="center"/>
              <w:rPr>
                <w:color w:val="000000"/>
                <w:sz w:val="20"/>
                <w:szCs w:val="20"/>
              </w:rPr>
            </w:pPr>
            <w:r w:rsidRPr="00C508B7">
              <w:rPr>
                <w:color w:val="000000"/>
                <w:sz w:val="20"/>
                <w:szCs w:val="20"/>
              </w:rPr>
              <w:t>309,722</w:t>
            </w:r>
          </w:p>
        </w:tc>
        <w:tc>
          <w:tcPr>
            <w:tcW w:w="614" w:type="pct"/>
            <w:tcBorders>
              <w:top w:val="nil"/>
              <w:left w:val="nil"/>
              <w:bottom w:val="nil"/>
              <w:right w:val="nil"/>
            </w:tcBorders>
            <w:shd w:val="clear" w:color="auto" w:fill="auto"/>
            <w:noWrap/>
            <w:vAlign w:val="center"/>
            <w:hideMark/>
          </w:tcPr>
          <w:p w14:paraId="4FF9B85D" w14:textId="77777777" w:rsidR="0073600D" w:rsidRPr="00C508B7" w:rsidRDefault="0073600D" w:rsidP="00C508B7">
            <w:pPr>
              <w:jc w:val="center"/>
              <w:rPr>
                <w:color w:val="000000"/>
                <w:sz w:val="20"/>
                <w:szCs w:val="20"/>
              </w:rPr>
            </w:pPr>
            <w:r w:rsidRPr="00C508B7">
              <w:rPr>
                <w:color w:val="000000"/>
                <w:sz w:val="20"/>
                <w:szCs w:val="20"/>
              </w:rPr>
              <w:t>279,065</w:t>
            </w:r>
          </w:p>
        </w:tc>
        <w:tc>
          <w:tcPr>
            <w:tcW w:w="415" w:type="pct"/>
            <w:tcBorders>
              <w:top w:val="nil"/>
              <w:left w:val="nil"/>
              <w:bottom w:val="nil"/>
              <w:right w:val="nil"/>
            </w:tcBorders>
            <w:shd w:val="clear" w:color="auto" w:fill="auto"/>
            <w:noWrap/>
            <w:vAlign w:val="center"/>
            <w:hideMark/>
          </w:tcPr>
          <w:p w14:paraId="3A229D34" w14:textId="77777777" w:rsidR="0073600D" w:rsidRPr="00C508B7" w:rsidRDefault="0073600D" w:rsidP="00C508B7">
            <w:pPr>
              <w:jc w:val="center"/>
              <w:rPr>
                <w:color w:val="000000"/>
                <w:sz w:val="20"/>
                <w:szCs w:val="20"/>
              </w:rPr>
            </w:pPr>
            <w:r w:rsidRPr="00C508B7">
              <w:rPr>
                <w:color w:val="000000"/>
                <w:sz w:val="20"/>
                <w:szCs w:val="20"/>
              </w:rPr>
              <w:t>1.92</w:t>
            </w:r>
          </w:p>
        </w:tc>
      </w:tr>
      <w:tr w:rsidR="00C508B7" w:rsidRPr="00C508B7" w14:paraId="56F40038" w14:textId="77777777" w:rsidTr="00C508B7">
        <w:trPr>
          <w:trHeight w:val="240"/>
        </w:trPr>
        <w:tc>
          <w:tcPr>
            <w:tcW w:w="319" w:type="pct"/>
            <w:tcBorders>
              <w:top w:val="nil"/>
              <w:left w:val="nil"/>
              <w:bottom w:val="nil"/>
              <w:right w:val="nil"/>
            </w:tcBorders>
            <w:shd w:val="clear" w:color="auto" w:fill="auto"/>
            <w:noWrap/>
            <w:vAlign w:val="center"/>
            <w:hideMark/>
          </w:tcPr>
          <w:p w14:paraId="587E2BF3" w14:textId="77777777" w:rsidR="0073600D" w:rsidRPr="00C508B7" w:rsidRDefault="0073600D" w:rsidP="00C508B7">
            <w:pPr>
              <w:rPr>
                <w:color w:val="000000"/>
                <w:sz w:val="20"/>
                <w:szCs w:val="20"/>
              </w:rPr>
            </w:pPr>
            <w:r w:rsidRPr="00C508B7">
              <w:rPr>
                <w:color w:val="000000"/>
                <w:sz w:val="20"/>
                <w:szCs w:val="20"/>
              </w:rPr>
              <w:t>19</w:t>
            </w:r>
          </w:p>
        </w:tc>
        <w:tc>
          <w:tcPr>
            <w:tcW w:w="1197" w:type="pct"/>
            <w:tcBorders>
              <w:top w:val="nil"/>
              <w:left w:val="nil"/>
              <w:bottom w:val="nil"/>
              <w:right w:val="nil"/>
            </w:tcBorders>
            <w:shd w:val="clear" w:color="auto" w:fill="auto"/>
            <w:noWrap/>
            <w:vAlign w:val="center"/>
            <w:hideMark/>
          </w:tcPr>
          <w:p w14:paraId="7B68E7C2" w14:textId="77777777" w:rsidR="0073600D" w:rsidRPr="00C508B7" w:rsidRDefault="0073600D" w:rsidP="00C508B7">
            <w:pPr>
              <w:rPr>
                <w:color w:val="000000"/>
                <w:sz w:val="20"/>
                <w:szCs w:val="20"/>
              </w:rPr>
            </w:pPr>
            <w:r w:rsidRPr="00C508B7">
              <w:rPr>
                <w:color w:val="000000"/>
                <w:sz w:val="20"/>
                <w:szCs w:val="20"/>
              </w:rPr>
              <w:t>Neonate</w:t>
            </w:r>
          </w:p>
        </w:tc>
        <w:tc>
          <w:tcPr>
            <w:tcW w:w="614" w:type="pct"/>
            <w:tcBorders>
              <w:top w:val="nil"/>
              <w:left w:val="nil"/>
              <w:bottom w:val="nil"/>
              <w:right w:val="nil"/>
            </w:tcBorders>
            <w:shd w:val="clear" w:color="auto" w:fill="auto"/>
            <w:noWrap/>
            <w:vAlign w:val="center"/>
            <w:hideMark/>
          </w:tcPr>
          <w:p w14:paraId="028FFF8E" w14:textId="77777777" w:rsidR="0073600D" w:rsidRPr="00C508B7" w:rsidRDefault="0073600D" w:rsidP="00C508B7">
            <w:pPr>
              <w:jc w:val="center"/>
              <w:rPr>
                <w:color w:val="000000"/>
                <w:sz w:val="20"/>
                <w:szCs w:val="20"/>
              </w:rPr>
            </w:pPr>
            <w:r w:rsidRPr="00C508B7">
              <w:rPr>
                <w:color w:val="000000"/>
                <w:sz w:val="20"/>
                <w:szCs w:val="20"/>
              </w:rPr>
              <w:t>227,315</w:t>
            </w:r>
          </w:p>
        </w:tc>
        <w:tc>
          <w:tcPr>
            <w:tcW w:w="614" w:type="pct"/>
            <w:tcBorders>
              <w:top w:val="nil"/>
              <w:left w:val="nil"/>
              <w:bottom w:val="nil"/>
              <w:right w:val="nil"/>
            </w:tcBorders>
            <w:shd w:val="clear" w:color="auto" w:fill="auto"/>
            <w:noWrap/>
            <w:vAlign w:val="center"/>
            <w:hideMark/>
          </w:tcPr>
          <w:p w14:paraId="694BAAA6" w14:textId="77777777" w:rsidR="0073600D" w:rsidRPr="00C508B7" w:rsidRDefault="0073600D" w:rsidP="00C508B7">
            <w:pPr>
              <w:jc w:val="center"/>
              <w:rPr>
                <w:color w:val="000000"/>
                <w:sz w:val="20"/>
                <w:szCs w:val="20"/>
              </w:rPr>
            </w:pPr>
            <w:r w:rsidRPr="00C508B7">
              <w:rPr>
                <w:color w:val="000000"/>
                <w:sz w:val="20"/>
                <w:szCs w:val="20"/>
              </w:rPr>
              <w:t>129,349</w:t>
            </w:r>
          </w:p>
        </w:tc>
        <w:tc>
          <w:tcPr>
            <w:tcW w:w="613" w:type="pct"/>
            <w:tcBorders>
              <w:top w:val="nil"/>
              <w:left w:val="nil"/>
              <w:bottom w:val="nil"/>
              <w:right w:val="nil"/>
            </w:tcBorders>
            <w:shd w:val="clear" w:color="auto" w:fill="auto"/>
            <w:noWrap/>
            <w:vAlign w:val="center"/>
            <w:hideMark/>
          </w:tcPr>
          <w:p w14:paraId="16DE87C3" w14:textId="77777777" w:rsidR="0073600D" w:rsidRPr="00C508B7" w:rsidRDefault="0073600D" w:rsidP="00C508B7">
            <w:pPr>
              <w:jc w:val="center"/>
              <w:rPr>
                <w:color w:val="000000"/>
                <w:sz w:val="20"/>
                <w:szCs w:val="20"/>
              </w:rPr>
            </w:pPr>
            <w:r w:rsidRPr="00C508B7">
              <w:rPr>
                <w:color w:val="000000"/>
                <w:sz w:val="20"/>
                <w:szCs w:val="20"/>
              </w:rPr>
              <w:t>124,651</w:t>
            </w:r>
          </w:p>
        </w:tc>
        <w:tc>
          <w:tcPr>
            <w:tcW w:w="614" w:type="pct"/>
            <w:tcBorders>
              <w:top w:val="nil"/>
              <w:left w:val="nil"/>
              <w:bottom w:val="nil"/>
              <w:right w:val="nil"/>
            </w:tcBorders>
            <w:shd w:val="clear" w:color="auto" w:fill="auto"/>
            <w:noWrap/>
            <w:vAlign w:val="center"/>
            <w:hideMark/>
          </w:tcPr>
          <w:p w14:paraId="720B0C11" w14:textId="77777777" w:rsidR="0073600D" w:rsidRPr="00C508B7" w:rsidRDefault="0073600D" w:rsidP="00C508B7">
            <w:pPr>
              <w:jc w:val="center"/>
              <w:rPr>
                <w:color w:val="000000"/>
                <w:sz w:val="20"/>
                <w:szCs w:val="20"/>
              </w:rPr>
            </w:pPr>
            <w:r w:rsidRPr="00C508B7">
              <w:rPr>
                <w:color w:val="000000"/>
                <w:sz w:val="20"/>
                <w:szCs w:val="20"/>
              </w:rPr>
              <w:t>87,885</w:t>
            </w:r>
          </w:p>
        </w:tc>
        <w:tc>
          <w:tcPr>
            <w:tcW w:w="614" w:type="pct"/>
            <w:tcBorders>
              <w:top w:val="nil"/>
              <w:left w:val="nil"/>
              <w:bottom w:val="nil"/>
              <w:right w:val="nil"/>
            </w:tcBorders>
            <w:shd w:val="clear" w:color="auto" w:fill="auto"/>
            <w:noWrap/>
            <w:vAlign w:val="center"/>
            <w:hideMark/>
          </w:tcPr>
          <w:p w14:paraId="2CDAEC47" w14:textId="77777777" w:rsidR="0073600D" w:rsidRPr="00C508B7" w:rsidRDefault="0073600D" w:rsidP="00C508B7">
            <w:pPr>
              <w:jc w:val="center"/>
              <w:rPr>
                <w:color w:val="000000"/>
                <w:sz w:val="20"/>
                <w:szCs w:val="20"/>
              </w:rPr>
            </w:pPr>
            <w:r w:rsidRPr="00C508B7">
              <w:rPr>
                <w:color w:val="000000"/>
                <w:sz w:val="20"/>
                <w:szCs w:val="20"/>
              </w:rPr>
              <w:t>79,231</w:t>
            </w:r>
          </w:p>
        </w:tc>
        <w:tc>
          <w:tcPr>
            <w:tcW w:w="415" w:type="pct"/>
            <w:tcBorders>
              <w:top w:val="nil"/>
              <w:left w:val="nil"/>
              <w:bottom w:val="nil"/>
              <w:right w:val="nil"/>
            </w:tcBorders>
            <w:shd w:val="clear" w:color="auto" w:fill="auto"/>
            <w:noWrap/>
            <w:vAlign w:val="center"/>
            <w:hideMark/>
          </w:tcPr>
          <w:p w14:paraId="65A71C42" w14:textId="77777777" w:rsidR="0073600D" w:rsidRPr="00C508B7" w:rsidRDefault="0073600D" w:rsidP="00C508B7">
            <w:pPr>
              <w:jc w:val="center"/>
              <w:rPr>
                <w:color w:val="000000"/>
                <w:sz w:val="20"/>
                <w:szCs w:val="20"/>
              </w:rPr>
            </w:pPr>
            <w:r w:rsidRPr="00C508B7">
              <w:rPr>
                <w:color w:val="000000"/>
                <w:sz w:val="20"/>
                <w:szCs w:val="20"/>
              </w:rPr>
              <w:t>2.87</w:t>
            </w:r>
          </w:p>
        </w:tc>
      </w:tr>
      <w:tr w:rsidR="00C508B7" w:rsidRPr="00C508B7" w14:paraId="430187AD" w14:textId="77777777" w:rsidTr="00C508B7">
        <w:trPr>
          <w:trHeight w:val="240"/>
        </w:trPr>
        <w:tc>
          <w:tcPr>
            <w:tcW w:w="319" w:type="pct"/>
            <w:tcBorders>
              <w:top w:val="nil"/>
              <w:left w:val="nil"/>
              <w:bottom w:val="nil"/>
              <w:right w:val="nil"/>
            </w:tcBorders>
            <w:shd w:val="clear" w:color="auto" w:fill="auto"/>
            <w:noWrap/>
            <w:vAlign w:val="center"/>
            <w:hideMark/>
          </w:tcPr>
          <w:p w14:paraId="69B941ED" w14:textId="77777777" w:rsidR="0073600D" w:rsidRPr="00C508B7" w:rsidRDefault="0073600D" w:rsidP="00C508B7">
            <w:pPr>
              <w:rPr>
                <w:color w:val="000000"/>
                <w:sz w:val="20"/>
                <w:szCs w:val="20"/>
              </w:rPr>
            </w:pPr>
            <w:r w:rsidRPr="00C508B7">
              <w:rPr>
                <w:color w:val="000000"/>
                <w:sz w:val="20"/>
                <w:szCs w:val="20"/>
              </w:rPr>
              <w:t>20</w:t>
            </w:r>
          </w:p>
        </w:tc>
        <w:tc>
          <w:tcPr>
            <w:tcW w:w="1197" w:type="pct"/>
            <w:tcBorders>
              <w:top w:val="nil"/>
              <w:left w:val="nil"/>
              <w:bottom w:val="nil"/>
              <w:right w:val="nil"/>
            </w:tcBorders>
            <w:shd w:val="clear" w:color="auto" w:fill="auto"/>
            <w:noWrap/>
            <w:vAlign w:val="center"/>
            <w:hideMark/>
          </w:tcPr>
          <w:p w14:paraId="03231C49" w14:textId="77777777" w:rsidR="0073600D" w:rsidRPr="00C508B7" w:rsidRDefault="0073600D" w:rsidP="00C508B7">
            <w:pPr>
              <w:rPr>
                <w:color w:val="000000"/>
                <w:sz w:val="20"/>
                <w:szCs w:val="20"/>
              </w:rPr>
            </w:pPr>
            <w:r w:rsidRPr="00C508B7">
              <w:rPr>
                <w:color w:val="000000"/>
                <w:sz w:val="20"/>
                <w:szCs w:val="20"/>
              </w:rPr>
              <w:t>Poisoning</w:t>
            </w:r>
          </w:p>
        </w:tc>
        <w:tc>
          <w:tcPr>
            <w:tcW w:w="614" w:type="pct"/>
            <w:tcBorders>
              <w:top w:val="nil"/>
              <w:left w:val="nil"/>
              <w:bottom w:val="nil"/>
              <w:right w:val="nil"/>
            </w:tcBorders>
            <w:shd w:val="clear" w:color="auto" w:fill="auto"/>
            <w:noWrap/>
            <w:vAlign w:val="center"/>
            <w:hideMark/>
          </w:tcPr>
          <w:p w14:paraId="7500C14E" w14:textId="77777777" w:rsidR="0073600D" w:rsidRPr="00C508B7" w:rsidRDefault="0073600D" w:rsidP="00C508B7">
            <w:pPr>
              <w:jc w:val="center"/>
              <w:rPr>
                <w:color w:val="000000"/>
                <w:sz w:val="20"/>
                <w:szCs w:val="20"/>
              </w:rPr>
            </w:pPr>
            <w:r w:rsidRPr="00C508B7">
              <w:rPr>
                <w:color w:val="000000"/>
                <w:sz w:val="20"/>
                <w:szCs w:val="20"/>
              </w:rPr>
              <w:t>21,984</w:t>
            </w:r>
          </w:p>
        </w:tc>
        <w:tc>
          <w:tcPr>
            <w:tcW w:w="614" w:type="pct"/>
            <w:tcBorders>
              <w:top w:val="nil"/>
              <w:left w:val="nil"/>
              <w:bottom w:val="nil"/>
              <w:right w:val="nil"/>
            </w:tcBorders>
            <w:shd w:val="clear" w:color="auto" w:fill="auto"/>
            <w:noWrap/>
            <w:vAlign w:val="center"/>
            <w:hideMark/>
          </w:tcPr>
          <w:p w14:paraId="3904D4A9" w14:textId="77777777" w:rsidR="0073600D" w:rsidRPr="00C508B7" w:rsidRDefault="0073600D" w:rsidP="00C508B7">
            <w:pPr>
              <w:jc w:val="center"/>
              <w:rPr>
                <w:color w:val="000000"/>
                <w:sz w:val="20"/>
                <w:szCs w:val="20"/>
              </w:rPr>
            </w:pPr>
            <w:r w:rsidRPr="00C508B7">
              <w:rPr>
                <w:color w:val="000000"/>
                <w:sz w:val="20"/>
                <w:szCs w:val="20"/>
              </w:rPr>
              <w:t>18,753</w:t>
            </w:r>
          </w:p>
        </w:tc>
        <w:tc>
          <w:tcPr>
            <w:tcW w:w="613" w:type="pct"/>
            <w:tcBorders>
              <w:top w:val="nil"/>
              <w:left w:val="nil"/>
              <w:bottom w:val="nil"/>
              <w:right w:val="nil"/>
            </w:tcBorders>
            <w:shd w:val="clear" w:color="auto" w:fill="auto"/>
            <w:noWrap/>
            <w:vAlign w:val="center"/>
            <w:hideMark/>
          </w:tcPr>
          <w:p w14:paraId="095F239A" w14:textId="77777777" w:rsidR="0073600D" w:rsidRPr="00C508B7" w:rsidRDefault="0073600D" w:rsidP="00C508B7">
            <w:pPr>
              <w:jc w:val="center"/>
              <w:rPr>
                <w:color w:val="000000"/>
                <w:sz w:val="20"/>
                <w:szCs w:val="20"/>
              </w:rPr>
            </w:pPr>
            <w:r w:rsidRPr="00C508B7">
              <w:rPr>
                <w:color w:val="000000"/>
                <w:sz w:val="20"/>
                <w:szCs w:val="20"/>
              </w:rPr>
              <w:t>19,307</w:t>
            </w:r>
          </w:p>
        </w:tc>
        <w:tc>
          <w:tcPr>
            <w:tcW w:w="614" w:type="pct"/>
            <w:tcBorders>
              <w:top w:val="nil"/>
              <w:left w:val="nil"/>
              <w:bottom w:val="nil"/>
              <w:right w:val="nil"/>
            </w:tcBorders>
            <w:shd w:val="clear" w:color="auto" w:fill="auto"/>
            <w:noWrap/>
            <w:vAlign w:val="center"/>
            <w:hideMark/>
          </w:tcPr>
          <w:p w14:paraId="21E57402" w14:textId="77777777" w:rsidR="0073600D" w:rsidRPr="00C508B7" w:rsidRDefault="0073600D" w:rsidP="00C508B7">
            <w:pPr>
              <w:jc w:val="center"/>
              <w:rPr>
                <w:color w:val="000000"/>
                <w:sz w:val="20"/>
                <w:szCs w:val="20"/>
              </w:rPr>
            </w:pPr>
            <w:r w:rsidRPr="00C508B7">
              <w:rPr>
                <w:color w:val="000000"/>
                <w:sz w:val="20"/>
                <w:szCs w:val="20"/>
              </w:rPr>
              <w:t>15,167</w:t>
            </w:r>
          </w:p>
        </w:tc>
        <w:tc>
          <w:tcPr>
            <w:tcW w:w="614" w:type="pct"/>
            <w:tcBorders>
              <w:top w:val="nil"/>
              <w:left w:val="nil"/>
              <w:bottom w:val="nil"/>
              <w:right w:val="nil"/>
            </w:tcBorders>
            <w:shd w:val="clear" w:color="auto" w:fill="auto"/>
            <w:noWrap/>
            <w:vAlign w:val="center"/>
            <w:hideMark/>
          </w:tcPr>
          <w:p w14:paraId="7AA038E1" w14:textId="77777777" w:rsidR="0073600D" w:rsidRPr="00C508B7" w:rsidRDefault="0073600D" w:rsidP="00C508B7">
            <w:pPr>
              <w:jc w:val="center"/>
              <w:rPr>
                <w:color w:val="000000"/>
                <w:sz w:val="20"/>
                <w:szCs w:val="20"/>
              </w:rPr>
            </w:pPr>
            <w:r w:rsidRPr="00C508B7">
              <w:rPr>
                <w:color w:val="000000"/>
                <w:sz w:val="20"/>
                <w:szCs w:val="20"/>
              </w:rPr>
              <w:t>13,946</w:t>
            </w:r>
          </w:p>
        </w:tc>
        <w:tc>
          <w:tcPr>
            <w:tcW w:w="415" w:type="pct"/>
            <w:tcBorders>
              <w:top w:val="nil"/>
              <w:left w:val="nil"/>
              <w:bottom w:val="nil"/>
              <w:right w:val="nil"/>
            </w:tcBorders>
            <w:shd w:val="clear" w:color="auto" w:fill="auto"/>
            <w:noWrap/>
            <w:vAlign w:val="center"/>
            <w:hideMark/>
          </w:tcPr>
          <w:p w14:paraId="6FB30CDE" w14:textId="77777777" w:rsidR="0073600D" w:rsidRPr="00C508B7" w:rsidRDefault="0073600D" w:rsidP="00C508B7">
            <w:pPr>
              <w:jc w:val="center"/>
              <w:rPr>
                <w:color w:val="000000"/>
                <w:sz w:val="20"/>
                <w:szCs w:val="20"/>
              </w:rPr>
            </w:pPr>
            <w:r w:rsidRPr="00C508B7">
              <w:rPr>
                <w:color w:val="000000"/>
                <w:sz w:val="20"/>
                <w:szCs w:val="20"/>
              </w:rPr>
              <w:t>1.58</w:t>
            </w:r>
          </w:p>
        </w:tc>
      </w:tr>
      <w:tr w:rsidR="00C508B7" w:rsidRPr="00C508B7" w14:paraId="7C29D52D" w14:textId="77777777" w:rsidTr="00C508B7">
        <w:trPr>
          <w:trHeight w:val="240"/>
        </w:trPr>
        <w:tc>
          <w:tcPr>
            <w:tcW w:w="319" w:type="pct"/>
            <w:tcBorders>
              <w:top w:val="nil"/>
              <w:left w:val="nil"/>
              <w:bottom w:val="nil"/>
              <w:right w:val="nil"/>
            </w:tcBorders>
            <w:shd w:val="clear" w:color="auto" w:fill="auto"/>
            <w:noWrap/>
            <w:vAlign w:val="center"/>
            <w:hideMark/>
          </w:tcPr>
          <w:p w14:paraId="2CBEC866" w14:textId="77777777" w:rsidR="0073600D" w:rsidRPr="00C508B7" w:rsidRDefault="0073600D" w:rsidP="00C508B7">
            <w:pPr>
              <w:rPr>
                <w:color w:val="000000"/>
                <w:sz w:val="20"/>
                <w:szCs w:val="20"/>
              </w:rPr>
            </w:pPr>
            <w:r w:rsidRPr="00C508B7">
              <w:rPr>
                <w:color w:val="000000"/>
                <w:sz w:val="20"/>
                <w:szCs w:val="20"/>
              </w:rPr>
              <w:t>21</w:t>
            </w:r>
          </w:p>
        </w:tc>
        <w:tc>
          <w:tcPr>
            <w:tcW w:w="1197" w:type="pct"/>
            <w:tcBorders>
              <w:top w:val="nil"/>
              <w:left w:val="nil"/>
              <w:bottom w:val="nil"/>
              <w:right w:val="nil"/>
            </w:tcBorders>
            <w:shd w:val="clear" w:color="auto" w:fill="auto"/>
            <w:noWrap/>
            <w:vAlign w:val="center"/>
            <w:hideMark/>
          </w:tcPr>
          <w:p w14:paraId="2E1AAEA6" w14:textId="77777777" w:rsidR="0073600D" w:rsidRPr="00C508B7" w:rsidRDefault="0073600D" w:rsidP="00C508B7">
            <w:pPr>
              <w:rPr>
                <w:color w:val="000000"/>
                <w:sz w:val="20"/>
                <w:szCs w:val="20"/>
              </w:rPr>
            </w:pPr>
            <w:r w:rsidRPr="00C508B7">
              <w:rPr>
                <w:color w:val="000000"/>
                <w:sz w:val="20"/>
                <w:szCs w:val="20"/>
              </w:rPr>
              <w:t>Healthy individuals</w:t>
            </w:r>
          </w:p>
        </w:tc>
        <w:tc>
          <w:tcPr>
            <w:tcW w:w="614" w:type="pct"/>
            <w:tcBorders>
              <w:top w:val="nil"/>
              <w:left w:val="nil"/>
              <w:bottom w:val="nil"/>
              <w:right w:val="nil"/>
            </w:tcBorders>
            <w:shd w:val="clear" w:color="auto" w:fill="auto"/>
            <w:noWrap/>
            <w:vAlign w:val="center"/>
            <w:hideMark/>
          </w:tcPr>
          <w:p w14:paraId="50AAD59E" w14:textId="77777777" w:rsidR="0073600D" w:rsidRPr="00C508B7" w:rsidRDefault="0073600D" w:rsidP="00C508B7">
            <w:pPr>
              <w:jc w:val="center"/>
              <w:rPr>
                <w:color w:val="000000"/>
                <w:sz w:val="20"/>
                <w:szCs w:val="20"/>
              </w:rPr>
            </w:pPr>
            <w:r w:rsidRPr="00C508B7">
              <w:rPr>
                <w:color w:val="000000"/>
                <w:sz w:val="20"/>
                <w:szCs w:val="20"/>
              </w:rPr>
              <w:t>340,182</w:t>
            </w:r>
          </w:p>
        </w:tc>
        <w:tc>
          <w:tcPr>
            <w:tcW w:w="614" w:type="pct"/>
            <w:tcBorders>
              <w:top w:val="nil"/>
              <w:left w:val="nil"/>
              <w:bottom w:val="nil"/>
              <w:right w:val="nil"/>
            </w:tcBorders>
            <w:shd w:val="clear" w:color="auto" w:fill="auto"/>
            <w:noWrap/>
            <w:vAlign w:val="center"/>
            <w:hideMark/>
          </w:tcPr>
          <w:p w14:paraId="44D1FAE5" w14:textId="77777777" w:rsidR="0073600D" w:rsidRPr="00C508B7" w:rsidRDefault="0073600D" w:rsidP="00C508B7">
            <w:pPr>
              <w:jc w:val="center"/>
              <w:rPr>
                <w:color w:val="000000"/>
                <w:sz w:val="20"/>
                <w:szCs w:val="20"/>
              </w:rPr>
            </w:pPr>
            <w:r w:rsidRPr="00C508B7">
              <w:rPr>
                <w:color w:val="000000"/>
                <w:sz w:val="20"/>
                <w:szCs w:val="20"/>
              </w:rPr>
              <w:t>313,719</w:t>
            </w:r>
          </w:p>
        </w:tc>
        <w:tc>
          <w:tcPr>
            <w:tcW w:w="613" w:type="pct"/>
            <w:tcBorders>
              <w:top w:val="nil"/>
              <w:left w:val="nil"/>
              <w:bottom w:val="nil"/>
              <w:right w:val="nil"/>
            </w:tcBorders>
            <w:shd w:val="clear" w:color="auto" w:fill="auto"/>
            <w:noWrap/>
            <w:vAlign w:val="center"/>
            <w:hideMark/>
          </w:tcPr>
          <w:p w14:paraId="4692FDA1" w14:textId="77777777" w:rsidR="0073600D" w:rsidRPr="00C508B7" w:rsidRDefault="0073600D" w:rsidP="00C508B7">
            <w:pPr>
              <w:jc w:val="center"/>
              <w:rPr>
                <w:color w:val="000000"/>
                <w:sz w:val="20"/>
                <w:szCs w:val="20"/>
              </w:rPr>
            </w:pPr>
            <w:r w:rsidRPr="00C508B7">
              <w:rPr>
                <w:color w:val="000000"/>
                <w:sz w:val="20"/>
                <w:szCs w:val="20"/>
              </w:rPr>
              <w:t>305,312</w:t>
            </w:r>
          </w:p>
        </w:tc>
        <w:tc>
          <w:tcPr>
            <w:tcW w:w="614" w:type="pct"/>
            <w:tcBorders>
              <w:top w:val="nil"/>
              <w:left w:val="nil"/>
              <w:bottom w:val="nil"/>
              <w:right w:val="nil"/>
            </w:tcBorders>
            <w:shd w:val="clear" w:color="auto" w:fill="auto"/>
            <w:noWrap/>
            <w:vAlign w:val="center"/>
            <w:hideMark/>
          </w:tcPr>
          <w:p w14:paraId="1018EC8C" w14:textId="77777777" w:rsidR="0073600D" w:rsidRPr="00C508B7" w:rsidRDefault="0073600D" w:rsidP="00C508B7">
            <w:pPr>
              <w:jc w:val="center"/>
              <w:rPr>
                <w:color w:val="000000"/>
                <w:sz w:val="20"/>
                <w:szCs w:val="20"/>
              </w:rPr>
            </w:pPr>
            <w:r w:rsidRPr="00C508B7">
              <w:rPr>
                <w:color w:val="000000"/>
                <w:sz w:val="20"/>
                <w:szCs w:val="20"/>
              </w:rPr>
              <w:t>242,280</w:t>
            </w:r>
          </w:p>
        </w:tc>
        <w:tc>
          <w:tcPr>
            <w:tcW w:w="614" w:type="pct"/>
            <w:tcBorders>
              <w:top w:val="nil"/>
              <w:left w:val="nil"/>
              <w:bottom w:val="nil"/>
              <w:right w:val="nil"/>
            </w:tcBorders>
            <w:shd w:val="clear" w:color="auto" w:fill="auto"/>
            <w:noWrap/>
            <w:vAlign w:val="center"/>
            <w:hideMark/>
          </w:tcPr>
          <w:p w14:paraId="27376F48" w14:textId="77777777" w:rsidR="0073600D" w:rsidRPr="00C508B7" w:rsidRDefault="0073600D" w:rsidP="00C508B7">
            <w:pPr>
              <w:jc w:val="center"/>
              <w:rPr>
                <w:color w:val="000000"/>
                <w:sz w:val="20"/>
                <w:szCs w:val="20"/>
              </w:rPr>
            </w:pPr>
            <w:r w:rsidRPr="00C508B7">
              <w:rPr>
                <w:color w:val="000000"/>
                <w:sz w:val="20"/>
                <w:szCs w:val="20"/>
              </w:rPr>
              <w:t>209,867</w:t>
            </w:r>
          </w:p>
        </w:tc>
        <w:tc>
          <w:tcPr>
            <w:tcW w:w="415" w:type="pct"/>
            <w:tcBorders>
              <w:top w:val="nil"/>
              <w:left w:val="nil"/>
              <w:bottom w:val="nil"/>
              <w:right w:val="nil"/>
            </w:tcBorders>
            <w:shd w:val="clear" w:color="auto" w:fill="auto"/>
            <w:noWrap/>
            <w:vAlign w:val="center"/>
            <w:hideMark/>
          </w:tcPr>
          <w:p w14:paraId="14B4EE62" w14:textId="77777777" w:rsidR="0073600D" w:rsidRPr="00C508B7" w:rsidRDefault="0073600D" w:rsidP="00C508B7">
            <w:pPr>
              <w:jc w:val="center"/>
              <w:rPr>
                <w:color w:val="000000"/>
                <w:sz w:val="20"/>
                <w:szCs w:val="20"/>
              </w:rPr>
            </w:pPr>
            <w:r w:rsidRPr="00C508B7">
              <w:rPr>
                <w:color w:val="000000"/>
                <w:sz w:val="20"/>
                <w:szCs w:val="20"/>
              </w:rPr>
              <w:t>1.62</w:t>
            </w:r>
          </w:p>
        </w:tc>
      </w:tr>
      <w:tr w:rsidR="00C508B7" w:rsidRPr="00C508B7" w14:paraId="06DBC4B9" w14:textId="77777777" w:rsidTr="00C508B7">
        <w:trPr>
          <w:trHeight w:val="240"/>
        </w:trPr>
        <w:tc>
          <w:tcPr>
            <w:tcW w:w="319" w:type="pct"/>
            <w:tcBorders>
              <w:top w:val="nil"/>
              <w:left w:val="nil"/>
              <w:bottom w:val="single" w:sz="4" w:space="0" w:color="auto"/>
              <w:right w:val="nil"/>
            </w:tcBorders>
            <w:shd w:val="clear" w:color="auto" w:fill="auto"/>
            <w:noWrap/>
            <w:vAlign w:val="center"/>
            <w:hideMark/>
          </w:tcPr>
          <w:p w14:paraId="6BE42CA9" w14:textId="77777777" w:rsidR="0073600D" w:rsidRPr="00C508B7" w:rsidRDefault="0073600D" w:rsidP="00C508B7">
            <w:pPr>
              <w:rPr>
                <w:b/>
                <w:bCs/>
                <w:color w:val="000000"/>
                <w:sz w:val="20"/>
                <w:szCs w:val="20"/>
              </w:rPr>
            </w:pPr>
            <w:r w:rsidRPr="00C508B7">
              <w:rPr>
                <w:b/>
                <w:bCs/>
                <w:color w:val="000000"/>
                <w:sz w:val="20"/>
                <w:szCs w:val="20"/>
              </w:rPr>
              <w:t> </w:t>
            </w:r>
          </w:p>
        </w:tc>
        <w:tc>
          <w:tcPr>
            <w:tcW w:w="1197" w:type="pct"/>
            <w:tcBorders>
              <w:top w:val="nil"/>
              <w:left w:val="nil"/>
              <w:bottom w:val="single" w:sz="4" w:space="0" w:color="auto"/>
              <w:right w:val="nil"/>
            </w:tcBorders>
            <w:shd w:val="clear" w:color="auto" w:fill="auto"/>
            <w:noWrap/>
            <w:vAlign w:val="center"/>
            <w:hideMark/>
          </w:tcPr>
          <w:p w14:paraId="2B923F6A" w14:textId="77777777" w:rsidR="0073600D" w:rsidRPr="00C508B7" w:rsidRDefault="0073600D" w:rsidP="00C508B7">
            <w:pPr>
              <w:rPr>
                <w:b/>
                <w:bCs/>
                <w:color w:val="000000"/>
                <w:sz w:val="20"/>
                <w:szCs w:val="20"/>
              </w:rPr>
            </w:pPr>
            <w:r w:rsidRPr="00C508B7">
              <w:rPr>
                <w:b/>
                <w:bCs/>
                <w:color w:val="000000"/>
                <w:sz w:val="20"/>
                <w:szCs w:val="20"/>
              </w:rPr>
              <w:t>Total</w:t>
            </w:r>
          </w:p>
        </w:tc>
        <w:tc>
          <w:tcPr>
            <w:tcW w:w="614" w:type="pct"/>
            <w:tcBorders>
              <w:top w:val="nil"/>
              <w:left w:val="nil"/>
              <w:bottom w:val="single" w:sz="4" w:space="0" w:color="auto"/>
              <w:right w:val="nil"/>
            </w:tcBorders>
            <w:shd w:val="clear" w:color="auto" w:fill="auto"/>
            <w:noWrap/>
            <w:vAlign w:val="center"/>
            <w:hideMark/>
          </w:tcPr>
          <w:p w14:paraId="24978E44" w14:textId="77777777" w:rsidR="0073600D" w:rsidRPr="00C508B7" w:rsidRDefault="0073600D" w:rsidP="00C508B7">
            <w:pPr>
              <w:jc w:val="center"/>
              <w:rPr>
                <w:b/>
                <w:bCs/>
                <w:color w:val="000000"/>
                <w:sz w:val="20"/>
                <w:szCs w:val="20"/>
              </w:rPr>
            </w:pPr>
            <w:r w:rsidRPr="00C508B7">
              <w:rPr>
                <w:b/>
                <w:bCs/>
                <w:color w:val="000000"/>
                <w:sz w:val="20"/>
                <w:szCs w:val="20"/>
              </w:rPr>
              <w:t>12,701,996</w:t>
            </w:r>
          </w:p>
        </w:tc>
        <w:tc>
          <w:tcPr>
            <w:tcW w:w="614" w:type="pct"/>
            <w:tcBorders>
              <w:top w:val="nil"/>
              <w:left w:val="nil"/>
              <w:bottom w:val="single" w:sz="4" w:space="0" w:color="auto"/>
              <w:right w:val="nil"/>
            </w:tcBorders>
            <w:shd w:val="clear" w:color="auto" w:fill="auto"/>
            <w:noWrap/>
            <w:vAlign w:val="center"/>
            <w:hideMark/>
          </w:tcPr>
          <w:p w14:paraId="6539887D" w14:textId="77777777" w:rsidR="0073600D" w:rsidRPr="00C508B7" w:rsidRDefault="0073600D" w:rsidP="00C508B7">
            <w:pPr>
              <w:jc w:val="center"/>
              <w:rPr>
                <w:b/>
                <w:bCs/>
                <w:color w:val="000000"/>
                <w:sz w:val="20"/>
                <w:szCs w:val="20"/>
              </w:rPr>
            </w:pPr>
            <w:r w:rsidRPr="00C508B7">
              <w:rPr>
                <w:b/>
                <w:bCs/>
                <w:color w:val="000000"/>
                <w:sz w:val="20"/>
                <w:szCs w:val="20"/>
              </w:rPr>
              <w:t>11,345,003</w:t>
            </w:r>
          </w:p>
        </w:tc>
        <w:tc>
          <w:tcPr>
            <w:tcW w:w="613" w:type="pct"/>
            <w:tcBorders>
              <w:top w:val="nil"/>
              <w:left w:val="nil"/>
              <w:bottom w:val="single" w:sz="4" w:space="0" w:color="auto"/>
              <w:right w:val="nil"/>
            </w:tcBorders>
            <w:shd w:val="clear" w:color="auto" w:fill="auto"/>
            <w:noWrap/>
            <w:vAlign w:val="center"/>
            <w:hideMark/>
          </w:tcPr>
          <w:p w14:paraId="6B360FAE" w14:textId="77777777" w:rsidR="0073600D" w:rsidRPr="00C508B7" w:rsidRDefault="0073600D" w:rsidP="00C508B7">
            <w:pPr>
              <w:jc w:val="center"/>
              <w:rPr>
                <w:b/>
                <w:bCs/>
                <w:color w:val="000000"/>
                <w:sz w:val="20"/>
                <w:szCs w:val="20"/>
              </w:rPr>
            </w:pPr>
            <w:r w:rsidRPr="00C508B7">
              <w:rPr>
                <w:b/>
                <w:bCs/>
                <w:color w:val="000000"/>
                <w:sz w:val="20"/>
                <w:szCs w:val="20"/>
              </w:rPr>
              <w:t>11,328,959</w:t>
            </w:r>
          </w:p>
        </w:tc>
        <w:tc>
          <w:tcPr>
            <w:tcW w:w="614" w:type="pct"/>
            <w:tcBorders>
              <w:top w:val="nil"/>
              <w:left w:val="nil"/>
              <w:bottom w:val="single" w:sz="4" w:space="0" w:color="auto"/>
              <w:right w:val="nil"/>
            </w:tcBorders>
            <w:shd w:val="clear" w:color="auto" w:fill="auto"/>
            <w:noWrap/>
            <w:vAlign w:val="center"/>
            <w:hideMark/>
          </w:tcPr>
          <w:p w14:paraId="1404721C" w14:textId="77777777" w:rsidR="0073600D" w:rsidRPr="00C508B7" w:rsidRDefault="0073600D" w:rsidP="00C508B7">
            <w:pPr>
              <w:jc w:val="center"/>
              <w:rPr>
                <w:b/>
                <w:bCs/>
                <w:color w:val="000000"/>
                <w:sz w:val="20"/>
                <w:szCs w:val="20"/>
              </w:rPr>
            </w:pPr>
            <w:r w:rsidRPr="00C508B7">
              <w:rPr>
                <w:b/>
                <w:bCs/>
                <w:color w:val="000000"/>
                <w:sz w:val="20"/>
                <w:szCs w:val="20"/>
              </w:rPr>
              <w:t>9,889,118</w:t>
            </w:r>
          </w:p>
        </w:tc>
        <w:tc>
          <w:tcPr>
            <w:tcW w:w="614" w:type="pct"/>
            <w:tcBorders>
              <w:top w:val="nil"/>
              <w:left w:val="nil"/>
              <w:bottom w:val="single" w:sz="4" w:space="0" w:color="auto"/>
              <w:right w:val="nil"/>
            </w:tcBorders>
            <w:shd w:val="clear" w:color="auto" w:fill="auto"/>
            <w:noWrap/>
            <w:vAlign w:val="center"/>
            <w:hideMark/>
          </w:tcPr>
          <w:p w14:paraId="099A653B" w14:textId="77777777" w:rsidR="0073600D" w:rsidRPr="00C508B7" w:rsidRDefault="0073600D" w:rsidP="00C508B7">
            <w:pPr>
              <w:jc w:val="center"/>
              <w:rPr>
                <w:b/>
                <w:bCs/>
                <w:color w:val="000000"/>
                <w:sz w:val="20"/>
                <w:szCs w:val="20"/>
              </w:rPr>
            </w:pPr>
            <w:r w:rsidRPr="00C508B7">
              <w:rPr>
                <w:b/>
                <w:bCs/>
                <w:color w:val="000000"/>
                <w:sz w:val="20"/>
                <w:szCs w:val="20"/>
              </w:rPr>
              <w:t>8,701,414</w:t>
            </w:r>
          </w:p>
        </w:tc>
        <w:tc>
          <w:tcPr>
            <w:tcW w:w="415" w:type="pct"/>
            <w:tcBorders>
              <w:top w:val="nil"/>
              <w:left w:val="nil"/>
              <w:bottom w:val="single" w:sz="4" w:space="0" w:color="auto"/>
              <w:right w:val="nil"/>
            </w:tcBorders>
            <w:shd w:val="clear" w:color="auto" w:fill="auto"/>
            <w:noWrap/>
            <w:vAlign w:val="center"/>
            <w:hideMark/>
          </w:tcPr>
          <w:p w14:paraId="032A3FBC" w14:textId="77777777" w:rsidR="0073600D" w:rsidRPr="00C508B7" w:rsidRDefault="0073600D" w:rsidP="00C508B7">
            <w:pPr>
              <w:jc w:val="center"/>
              <w:rPr>
                <w:b/>
                <w:bCs/>
                <w:color w:val="000000"/>
                <w:sz w:val="20"/>
                <w:szCs w:val="20"/>
              </w:rPr>
            </w:pPr>
            <w:r w:rsidRPr="00C508B7">
              <w:rPr>
                <w:b/>
                <w:bCs/>
                <w:color w:val="000000"/>
                <w:sz w:val="20"/>
                <w:szCs w:val="20"/>
              </w:rPr>
              <w:t>1.46</w:t>
            </w:r>
          </w:p>
        </w:tc>
      </w:tr>
    </w:tbl>
    <w:p w14:paraId="3816B43E" w14:textId="77777777" w:rsidR="0073600D" w:rsidRDefault="0073600D" w:rsidP="00C508B7">
      <w:pPr>
        <w:rPr>
          <w:sz w:val="20"/>
          <w:szCs w:val="20"/>
        </w:rPr>
      </w:pPr>
      <w:r w:rsidRPr="00E834E5">
        <w:rPr>
          <w:b/>
          <w:sz w:val="20"/>
          <w:szCs w:val="20"/>
        </w:rPr>
        <w:t>Note</w:t>
      </w:r>
      <w:r>
        <w:rPr>
          <w:sz w:val="20"/>
          <w:szCs w:val="20"/>
        </w:rPr>
        <w:t>s:</w:t>
      </w:r>
    </w:p>
    <w:p w14:paraId="5A0D807C" w14:textId="77777777" w:rsidR="0073600D" w:rsidRPr="00E95AC7" w:rsidRDefault="0073600D" w:rsidP="00C508B7">
      <w:pPr>
        <w:pStyle w:val="ListParagraph"/>
        <w:numPr>
          <w:ilvl w:val="6"/>
          <w:numId w:val="2"/>
        </w:numPr>
        <w:ind w:left="714" w:hanging="357"/>
        <w:rPr>
          <w:rFonts w:eastAsia="Times New Roman" w:cs="Times New Roman"/>
          <w:color w:val="000000"/>
          <w:sz w:val="20"/>
          <w:szCs w:val="20"/>
        </w:rPr>
      </w:pPr>
      <w:r>
        <w:rPr>
          <w:rFonts w:eastAsia="Times New Roman" w:cs="Times New Roman"/>
          <w:color w:val="000000"/>
          <w:sz w:val="20"/>
          <w:szCs w:val="20"/>
        </w:rPr>
        <w:t>IMD 1 = most deprived; IMD 5 = least deprived</w:t>
      </w:r>
    </w:p>
    <w:p w14:paraId="5306FB06" w14:textId="77777777" w:rsidR="0073600D" w:rsidRPr="00E95AC7" w:rsidRDefault="0073600D" w:rsidP="00C508B7">
      <w:pPr>
        <w:pStyle w:val="ListParagraph"/>
        <w:numPr>
          <w:ilvl w:val="6"/>
          <w:numId w:val="2"/>
        </w:numPr>
        <w:ind w:left="714" w:hanging="357"/>
        <w:rPr>
          <w:rFonts w:eastAsia="Times New Roman" w:cs="Times New Roman"/>
          <w:color w:val="000000"/>
          <w:sz w:val="20"/>
          <w:szCs w:val="20"/>
        </w:rPr>
      </w:pPr>
      <w:r w:rsidRPr="00E95AC7">
        <w:rPr>
          <w:sz w:val="20"/>
          <w:szCs w:val="20"/>
        </w:rPr>
        <w:t xml:space="preserve">Episodes are attributed to a PBC/IMD group if they appear in any of its respective diagnosis codes. Counts therefore exceed the episode total of </w:t>
      </w:r>
      <w:r w:rsidRPr="00E95AC7">
        <w:rPr>
          <w:rFonts w:eastAsia="Times New Roman" w:cs="Times New Roman"/>
          <w:color w:val="000000"/>
          <w:sz w:val="20"/>
          <w:szCs w:val="20"/>
        </w:rPr>
        <w:t>19,407,655</w:t>
      </w:r>
    </w:p>
    <w:p w14:paraId="0632A742" w14:textId="77777777" w:rsidR="0073600D" w:rsidRDefault="0073600D" w:rsidP="00C508B7">
      <w:pPr>
        <w:rPr>
          <w:b/>
        </w:rPr>
      </w:pPr>
    </w:p>
    <w:p w14:paraId="272F4070" w14:textId="1154C86F" w:rsidR="00C508B7" w:rsidRDefault="00C508B7">
      <w:pPr>
        <w:spacing w:after="160" w:line="259" w:lineRule="auto"/>
        <w:rPr>
          <w:b/>
        </w:rPr>
      </w:pPr>
      <w:r>
        <w:rPr>
          <w:b/>
        </w:rPr>
        <w:br w:type="page"/>
      </w:r>
    </w:p>
    <w:p w14:paraId="7C99F33B" w14:textId="77777777" w:rsidR="0073600D" w:rsidRDefault="0073600D" w:rsidP="00C508B7">
      <w:pPr>
        <w:rPr>
          <w:b/>
        </w:rPr>
      </w:pPr>
    </w:p>
    <w:p w14:paraId="67C77BF4" w14:textId="388A2C37" w:rsidR="0052383D" w:rsidRPr="0073600D" w:rsidRDefault="0052383D" w:rsidP="00C508B7">
      <w:r w:rsidRPr="0073600D">
        <w:t>Table A</w:t>
      </w:r>
      <w:r w:rsidR="0073600D" w:rsidRPr="0073600D">
        <w:t>2</w:t>
      </w:r>
      <w:r w:rsidRPr="0073600D">
        <w:t>: ICD codes covered by the disease included in the Quality and Outcomes Framework dataset</w:t>
      </w:r>
    </w:p>
    <w:tbl>
      <w:tblPr>
        <w:tblW w:w="5000" w:type="pct"/>
        <w:tblBorders>
          <w:top w:val="single" w:sz="4" w:space="0" w:color="auto"/>
          <w:bottom w:val="single" w:sz="4" w:space="0" w:color="auto"/>
        </w:tblBorders>
        <w:tblLook w:val="04A0" w:firstRow="1" w:lastRow="0" w:firstColumn="1" w:lastColumn="0" w:noHBand="0" w:noVBand="1"/>
      </w:tblPr>
      <w:tblGrid>
        <w:gridCol w:w="5708"/>
        <w:gridCol w:w="3534"/>
      </w:tblGrid>
      <w:tr w:rsidR="0052383D" w:rsidRPr="00073549" w14:paraId="1611D40F" w14:textId="77777777" w:rsidTr="00476DA6">
        <w:trPr>
          <w:trHeight w:val="300"/>
        </w:trPr>
        <w:tc>
          <w:tcPr>
            <w:tcW w:w="3088" w:type="pct"/>
            <w:tcBorders>
              <w:top w:val="single" w:sz="4" w:space="0" w:color="auto"/>
              <w:bottom w:val="single" w:sz="4" w:space="0" w:color="auto"/>
            </w:tcBorders>
            <w:shd w:val="clear" w:color="auto" w:fill="auto"/>
            <w:noWrap/>
            <w:vAlign w:val="bottom"/>
            <w:hideMark/>
          </w:tcPr>
          <w:p w14:paraId="6AEB331A" w14:textId="77777777" w:rsidR="0052383D" w:rsidRPr="00073549" w:rsidRDefault="0052383D" w:rsidP="00C508B7">
            <w:pPr>
              <w:rPr>
                <w:b/>
                <w:color w:val="000000"/>
                <w:sz w:val="20"/>
                <w:szCs w:val="20"/>
              </w:rPr>
            </w:pPr>
            <w:r w:rsidRPr="00073549">
              <w:rPr>
                <w:b/>
                <w:color w:val="000000"/>
                <w:sz w:val="20"/>
                <w:szCs w:val="20"/>
              </w:rPr>
              <w:t>Disease</w:t>
            </w:r>
          </w:p>
        </w:tc>
        <w:tc>
          <w:tcPr>
            <w:tcW w:w="1912" w:type="pct"/>
            <w:tcBorders>
              <w:top w:val="single" w:sz="4" w:space="0" w:color="auto"/>
              <w:bottom w:val="single" w:sz="4" w:space="0" w:color="auto"/>
            </w:tcBorders>
            <w:shd w:val="clear" w:color="auto" w:fill="auto"/>
            <w:noWrap/>
            <w:vAlign w:val="bottom"/>
            <w:hideMark/>
          </w:tcPr>
          <w:p w14:paraId="5C146920" w14:textId="77777777" w:rsidR="0052383D" w:rsidRPr="00073549" w:rsidRDefault="0052383D" w:rsidP="00C508B7">
            <w:pPr>
              <w:rPr>
                <w:b/>
                <w:color w:val="000000"/>
                <w:sz w:val="20"/>
                <w:szCs w:val="20"/>
              </w:rPr>
            </w:pPr>
            <w:r w:rsidRPr="00073549">
              <w:rPr>
                <w:b/>
                <w:color w:val="000000"/>
                <w:sz w:val="20"/>
                <w:szCs w:val="20"/>
              </w:rPr>
              <w:t>ICD Codes</w:t>
            </w:r>
          </w:p>
        </w:tc>
      </w:tr>
      <w:tr w:rsidR="0052383D" w:rsidRPr="00073549" w14:paraId="44F041E1" w14:textId="77777777" w:rsidTr="00476DA6">
        <w:trPr>
          <w:trHeight w:val="300"/>
        </w:trPr>
        <w:tc>
          <w:tcPr>
            <w:tcW w:w="3088" w:type="pct"/>
            <w:tcBorders>
              <w:top w:val="single" w:sz="4" w:space="0" w:color="auto"/>
            </w:tcBorders>
            <w:shd w:val="clear" w:color="auto" w:fill="auto"/>
            <w:noWrap/>
            <w:vAlign w:val="bottom"/>
            <w:hideMark/>
          </w:tcPr>
          <w:p w14:paraId="4500F859" w14:textId="77777777" w:rsidR="0052383D" w:rsidRPr="00073549" w:rsidRDefault="0052383D" w:rsidP="00C508B7">
            <w:pPr>
              <w:rPr>
                <w:color w:val="000000"/>
                <w:sz w:val="20"/>
                <w:szCs w:val="20"/>
              </w:rPr>
            </w:pPr>
            <w:r w:rsidRPr="00073549">
              <w:rPr>
                <w:color w:val="000000"/>
                <w:sz w:val="20"/>
                <w:szCs w:val="20"/>
              </w:rPr>
              <w:t>Asthma</w:t>
            </w:r>
          </w:p>
        </w:tc>
        <w:tc>
          <w:tcPr>
            <w:tcW w:w="1912" w:type="pct"/>
            <w:tcBorders>
              <w:top w:val="single" w:sz="4" w:space="0" w:color="auto"/>
            </w:tcBorders>
            <w:shd w:val="clear" w:color="auto" w:fill="auto"/>
            <w:noWrap/>
            <w:vAlign w:val="bottom"/>
            <w:hideMark/>
          </w:tcPr>
          <w:p w14:paraId="51445150" w14:textId="77777777" w:rsidR="0052383D" w:rsidRPr="00073549" w:rsidRDefault="0052383D" w:rsidP="00C508B7">
            <w:pPr>
              <w:rPr>
                <w:color w:val="000000"/>
                <w:sz w:val="20"/>
                <w:szCs w:val="20"/>
              </w:rPr>
            </w:pPr>
            <w:r w:rsidRPr="00073549">
              <w:rPr>
                <w:color w:val="000000"/>
                <w:sz w:val="20"/>
                <w:szCs w:val="20"/>
              </w:rPr>
              <w:t>J45</w:t>
            </w:r>
          </w:p>
        </w:tc>
      </w:tr>
      <w:tr w:rsidR="0052383D" w:rsidRPr="00073549" w14:paraId="564391A3" w14:textId="77777777" w:rsidTr="00476DA6">
        <w:trPr>
          <w:trHeight w:val="300"/>
        </w:trPr>
        <w:tc>
          <w:tcPr>
            <w:tcW w:w="3088" w:type="pct"/>
            <w:shd w:val="clear" w:color="auto" w:fill="auto"/>
            <w:noWrap/>
            <w:vAlign w:val="bottom"/>
            <w:hideMark/>
          </w:tcPr>
          <w:p w14:paraId="501C2A15" w14:textId="77777777" w:rsidR="0052383D" w:rsidRPr="00073549" w:rsidRDefault="0052383D" w:rsidP="00C508B7">
            <w:pPr>
              <w:rPr>
                <w:color w:val="000000"/>
                <w:sz w:val="20"/>
                <w:szCs w:val="20"/>
              </w:rPr>
            </w:pPr>
            <w:r w:rsidRPr="00073549">
              <w:rPr>
                <w:color w:val="000000"/>
                <w:sz w:val="20"/>
                <w:szCs w:val="20"/>
              </w:rPr>
              <w:t>Atrial Fib</w:t>
            </w:r>
            <w:r>
              <w:rPr>
                <w:color w:val="000000"/>
                <w:sz w:val="20"/>
                <w:szCs w:val="20"/>
              </w:rPr>
              <w:t>rillation</w:t>
            </w:r>
          </w:p>
        </w:tc>
        <w:tc>
          <w:tcPr>
            <w:tcW w:w="1912" w:type="pct"/>
            <w:shd w:val="clear" w:color="auto" w:fill="auto"/>
            <w:noWrap/>
            <w:vAlign w:val="bottom"/>
            <w:hideMark/>
          </w:tcPr>
          <w:p w14:paraId="63873D32" w14:textId="77777777" w:rsidR="0052383D" w:rsidRPr="00073549" w:rsidRDefault="0052383D" w:rsidP="00C508B7">
            <w:pPr>
              <w:rPr>
                <w:color w:val="000000"/>
                <w:sz w:val="20"/>
                <w:szCs w:val="20"/>
              </w:rPr>
            </w:pPr>
            <w:r w:rsidRPr="00073549">
              <w:rPr>
                <w:color w:val="000000"/>
                <w:sz w:val="20"/>
                <w:szCs w:val="20"/>
              </w:rPr>
              <w:t>I48</w:t>
            </w:r>
          </w:p>
        </w:tc>
      </w:tr>
      <w:tr w:rsidR="0052383D" w:rsidRPr="00073549" w14:paraId="7E4815B5" w14:textId="77777777" w:rsidTr="00476DA6">
        <w:trPr>
          <w:trHeight w:val="300"/>
        </w:trPr>
        <w:tc>
          <w:tcPr>
            <w:tcW w:w="3088" w:type="pct"/>
            <w:shd w:val="clear" w:color="auto" w:fill="auto"/>
            <w:noWrap/>
            <w:vAlign w:val="bottom"/>
            <w:hideMark/>
          </w:tcPr>
          <w:p w14:paraId="7936F852" w14:textId="77777777" w:rsidR="0052383D" w:rsidRPr="00073549" w:rsidRDefault="0052383D" w:rsidP="00C508B7">
            <w:pPr>
              <w:rPr>
                <w:color w:val="000000"/>
                <w:sz w:val="20"/>
                <w:szCs w:val="20"/>
              </w:rPr>
            </w:pPr>
            <w:r w:rsidRPr="00073549">
              <w:rPr>
                <w:color w:val="000000"/>
                <w:sz w:val="20"/>
                <w:szCs w:val="20"/>
              </w:rPr>
              <w:t>CHD</w:t>
            </w:r>
          </w:p>
        </w:tc>
        <w:tc>
          <w:tcPr>
            <w:tcW w:w="1912" w:type="pct"/>
            <w:shd w:val="clear" w:color="auto" w:fill="auto"/>
            <w:noWrap/>
            <w:vAlign w:val="bottom"/>
            <w:hideMark/>
          </w:tcPr>
          <w:p w14:paraId="4CE16763" w14:textId="77777777" w:rsidR="0052383D" w:rsidRPr="00073549" w:rsidRDefault="0052383D" w:rsidP="00C508B7">
            <w:pPr>
              <w:rPr>
                <w:color w:val="000000"/>
                <w:sz w:val="20"/>
                <w:szCs w:val="20"/>
              </w:rPr>
            </w:pPr>
            <w:r w:rsidRPr="00073549">
              <w:rPr>
                <w:color w:val="000000"/>
                <w:sz w:val="20"/>
                <w:szCs w:val="20"/>
              </w:rPr>
              <w:t>I20-25</w:t>
            </w:r>
          </w:p>
        </w:tc>
      </w:tr>
      <w:tr w:rsidR="0052383D" w:rsidRPr="00073549" w14:paraId="02112395" w14:textId="77777777" w:rsidTr="00476DA6">
        <w:trPr>
          <w:trHeight w:val="300"/>
        </w:trPr>
        <w:tc>
          <w:tcPr>
            <w:tcW w:w="3088" w:type="pct"/>
            <w:shd w:val="clear" w:color="auto" w:fill="auto"/>
            <w:noWrap/>
            <w:vAlign w:val="bottom"/>
            <w:hideMark/>
          </w:tcPr>
          <w:p w14:paraId="2E75AB4E" w14:textId="77777777" w:rsidR="0052383D" w:rsidRPr="00073549" w:rsidRDefault="0052383D" w:rsidP="00C508B7">
            <w:pPr>
              <w:rPr>
                <w:color w:val="000000"/>
                <w:sz w:val="20"/>
                <w:szCs w:val="20"/>
              </w:rPr>
            </w:pPr>
            <w:r w:rsidRPr="00073549">
              <w:rPr>
                <w:color w:val="000000"/>
                <w:sz w:val="20"/>
                <w:szCs w:val="20"/>
              </w:rPr>
              <w:t>CKD</w:t>
            </w:r>
          </w:p>
        </w:tc>
        <w:tc>
          <w:tcPr>
            <w:tcW w:w="1912" w:type="pct"/>
            <w:shd w:val="clear" w:color="auto" w:fill="auto"/>
            <w:noWrap/>
            <w:vAlign w:val="bottom"/>
            <w:hideMark/>
          </w:tcPr>
          <w:p w14:paraId="73398E33" w14:textId="77777777" w:rsidR="0052383D" w:rsidRPr="00073549" w:rsidRDefault="0052383D" w:rsidP="00C508B7">
            <w:pPr>
              <w:rPr>
                <w:color w:val="000000"/>
                <w:sz w:val="20"/>
                <w:szCs w:val="20"/>
              </w:rPr>
            </w:pPr>
            <w:r w:rsidRPr="00073549">
              <w:rPr>
                <w:color w:val="000000"/>
                <w:sz w:val="20"/>
                <w:szCs w:val="20"/>
              </w:rPr>
              <w:t>N18</w:t>
            </w:r>
          </w:p>
        </w:tc>
      </w:tr>
      <w:tr w:rsidR="0052383D" w:rsidRPr="00073549" w14:paraId="63F69561" w14:textId="77777777" w:rsidTr="00476DA6">
        <w:trPr>
          <w:trHeight w:val="300"/>
        </w:trPr>
        <w:tc>
          <w:tcPr>
            <w:tcW w:w="3088" w:type="pct"/>
            <w:shd w:val="clear" w:color="auto" w:fill="auto"/>
            <w:noWrap/>
            <w:vAlign w:val="bottom"/>
            <w:hideMark/>
          </w:tcPr>
          <w:p w14:paraId="668EB1B7" w14:textId="77777777" w:rsidR="0052383D" w:rsidRPr="00073549" w:rsidRDefault="0052383D" w:rsidP="00C508B7">
            <w:pPr>
              <w:rPr>
                <w:color w:val="000000"/>
                <w:sz w:val="20"/>
                <w:szCs w:val="20"/>
              </w:rPr>
            </w:pPr>
            <w:r w:rsidRPr="00073549">
              <w:rPr>
                <w:color w:val="000000"/>
                <w:sz w:val="20"/>
                <w:szCs w:val="20"/>
              </w:rPr>
              <w:t>COPD</w:t>
            </w:r>
          </w:p>
        </w:tc>
        <w:tc>
          <w:tcPr>
            <w:tcW w:w="1912" w:type="pct"/>
            <w:shd w:val="clear" w:color="auto" w:fill="auto"/>
            <w:noWrap/>
            <w:vAlign w:val="bottom"/>
            <w:hideMark/>
          </w:tcPr>
          <w:p w14:paraId="0B44A83B" w14:textId="77777777" w:rsidR="0052383D" w:rsidRPr="00073549" w:rsidRDefault="0052383D" w:rsidP="00C508B7">
            <w:pPr>
              <w:rPr>
                <w:color w:val="000000"/>
                <w:sz w:val="20"/>
                <w:szCs w:val="20"/>
              </w:rPr>
            </w:pPr>
            <w:r w:rsidRPr="00073549">
              <w:rPr>
                <w:color w:val="000000"/>
                <w:sz w:val="20"/>
                <w:szCs w:val="20"/>
              </w:rPr>
              <w:t>J40-44, J47</w:t>
            </w:r>
          </w:p>
        </w:tc>
      </w:tr>
      <w:tr w:rsidR="0052383D" w:rsidRPr="00073549" w14:paraId="5BA578D7" w14:textId="77777777" w:rsidTr="00476DA6">
        <w:trPr>
          <w:trHeight w:val="300"/>
        </w:trPr>
        <w:tc>
          <w:tcPr>
            <w:tcW w:w="3088" w:type="pct"/>
            <w:shd w:val="clear" w:color="auto" w:fill="auto"/>
            <w:noWrap/>
            <w:vAlign w:val="bottom"/>
            <w:hideMark/>
          </w:tcPr>
          <w:p w14:paraId="05CDA20D" w14:textId="77777777" w:rsidR="0052383D" w:rsidRPr="00073549" w:rsidRDefault="0052383D" w:rsidP="00C508B7">
            <w:pPr>
              <w:rPr>
                <w:color w:val="000000"/>
                <w:sz w:val="20"/>
                <w:szCs w:val="20"/>
              </w:rPr>
            </w:pPr>
            <w:r w:rsidRPr="00073549">
              <w:rPr>
                <w:color w:val="000000"/>
                <w:sz w:val="20"/>
                <w:szCs w:val="20"/>
              </w:rPr>
              <w:t>Dementia</w:t>
            </w:r>
          </w:p>
        </w:tc>
        <w:tc>
          <w:tcPr>
            <w:tcW w:w="1912" w:type="pct"/>
            <w:shd w:val="clear" w:color="auto" w:fill="auto"/>
            <w:noWrap/>
            <w:vAlign w:val="bottom"/>
            <w:hideMark/>
          </w:tcPr>
          <w:p w14:paraId="3CCE9135" w14:textId="77777777" w:rsidR="0052383D" w:rsidRPr="00073549" w:rsidRDefault="0052383D" w:rsidP="00C508B7">
            <w:pPr>
              <w:rPr>
                <w:color w:val="000000"/>
                <w:sz w:val="20"/>
                <w:szCs w:val="20"/>
              </w:rPr>
            </w:pPr>
            <w:r w:rsidRPr="00073549">
              <w:rPr>
                <w:color w:val="000000"/>
                <w:sz w:val="20"/>
                <w:szCs w:val="20"/>
              </w:rPr>
              <w:t>F00-F07</w:t>
            </w:r>
          </w:p>
        </w:tc>
      </w:tr>
      <w:tr w:rsidR="0052383D" w:rsidRPr="00073549" w14:paraId="22FE762C" w14:textId="77777777" w:rsidTr="00476DA6">
        <w:trPr>
          <w:trHeight w:val="300"/>
        </w:trPr>
        <w:tc>
          <w:tcPr>
            <w:tcW w:w="3088" w:type="pct"/>
            <w:shd w:val="clear" w:color="auto" w:fill="auto"/>
            <w:noWrap/>
            <w:vAlign w:val="bottom"/>
            <w:hideMark/>
          </w:tcPr>
          <w:p w14:paraId="7619C118" w14:textId="77777777" w:rsidR="0052383D" w:rsidRPr="00073549" w:rsidRDefault="0052383D" w:rsidP="00C508B7">
            <w:pPr>
              <w:rPr>
                <w:color w:val="000000"/>
                <w:sz w:val="20"/>
                <w:szCs w:val="20"/>
              </w:rPr>
            </w:pPr>
            <w:r w:rsidRPr="00073549">
              <w:rPr>
                <w:color w:val="000000"/>
                <w:sz w:val="20"/>
                <w:szCs w:val="20"/>
              </w:rPr>
              <w:t>Depression</w:t>
            </w:r>
          </w:p>
        </w:tc>
        <w:tc>
          <w:tcPr>
            <w:tcW w:w="1912" w:type="pct"/>
            <w:shd w:val="clear" w:color="auto" w:fill="auto"/>
            <w:noWrap/>
            <w:vAlign w:val="bottom"/>
            <w:hideMark/>
          </w:tcPr>
          <w:p w14:paraId="5511B2A0" w14:textId="77777777" w:rsidR="0052383D" w:rsidRPr="00073549" w:rsidRDefault="0052383D" w:rsidP="00C508B7">
            <w:pPr>
              <w:rPr>
                <w:color w:val="000000"/>
                <w:sz w:val="20"/>
                <w:szCs w:val="20"/>
              </w:rPr>
            </w:pPr>
            <w:r w:rsidRPr="00073549">
              <w:rPr>
                <w:color w:val="000000"/>
                <w:sz w:val="20"/>
                <w:szCs w:val="20"/>
              </w:rPr>
              <w:t>F32</w:t>
            </w:r>
          </w:p>
        </w:tc>
      </w:tr>
      <w:tr w:rsidR="0052383D" w:rsidRPr="00073549" w14:paraId="67231456" w14:textId="77777777" w:rsidTr="00476DA6">
        <w:trPr>
          <w:trHeight w:val="300"/>
        </w:trPr>
        <w:tc>
          <w:tcPr>
            <w:tcW w:w="3088" w:type="pct"/>
            <w:shd w:val="clear" w:color="auto" w:fill="auto"/>
            <w:noWrap/>
            <w:vAlign w:val="bottom"/>
            <w:hideMark/>
          </w:tcPr>
          <w:p w14:paraId="17084BDB" w14:textId="77777777" w:rsidR="0052383D" w:rsidRPr="00073549" w:rsidRDefault="0052383D" w:rsidP="00C508B7">
            <w:pPr>
              <w:rPr>
                <w:color w:val="000000"/>
                <w:sz w:val="20"/>
                <w:szCs w:val="20"/>
              </w:rPr>
            </w:pPr>
            <w:r w:rsidRPr="00073549">
              <w:rPr>
                <w:color w:val="000000"/>
                <w:sz w:val="20"/>
                <w:szCs w:val="20"/>
              </w:rPr>
              <w:t>Diabetes</w:t>
            </w:r>
          </w:p>
        </w:tc>
        <w:tc>
          <w:tcPr>
            <w:tcW w:w="1912" w:type="pct"/>
            <w:shd w:val="clear" w:color="auto" w:fill="auto"/>
            <w:noWrap/>
            <w:vAlign w:val="bottom"/>
            <w:hideMark/>
          </w:tcPr>
          <w:p w14:paraId="3452CA2E" w14:textId="77777777" w:rsidR="0052383D" w:rsidRPr="00073549" w:rsidRDefault="0052383D" w:rsidP="00C508B7">
            <w:pPr>
              <w:rPr>
                <w:color w:val="000000"/>
                <w:sz w:val="20"/>
                <w:szCs w:val="20"/>
              </w:rPr>
            </w:pPr>
            <w:r w:rsidRPr="00073549">
              <w:rPr>
                <w:color w:val="000000"/>
                <w:sz w:val="20"/>
                <w:szCs w:val="20"/>
              </w:rPr>
              <w:t>E10-14</w:t>
            </w:r>
          </w:p>
        </w:tc>
      </w:tr>
      <w:tr w:rsidR="0052383D" w:rsidRPr="00073549" w14:paraId="21EAF54E" w14:textId="77777777" w:rsidTr="00476DA6">
        <w:trPr>
          <w:trHeight w:val="300"/>
        </w:trPr>
        <w:tc>
          <w:tcPr>
            <w:tcW w:w="3088" w:type="pct"/>
            <w:shd w:val="clear" w:color="auto" w:fill="auto"/>
            <w:noWrap/>
            <w:vAlign w:val="bottom"/>
            <w:hideMark/>
          </w:tcPr>
          <w:p w14:paraId="47D007F9" w14:textId="77777777" w:rsidR="0052383D" w:rsidRPr="00073549" w:rsidRDefault="0052383D" w:rsidP="00C508B7">
            <w:pPr>
              <w:rPr>
                <w:color w:val="000000"/>
                <w:sz w:val="20"/>
                <w:szCs w:val="20"/>
              </w:rPr>
            </w:pPr>
            <w:r w:rsidRPr="00073549">
              <w:rPr>
                <w:color w:val="000000"/>
                <w:sz w:val="20"/>
                <w:szCs w:val="20"/>
              </w:rPr>
              <w:t>Epilepsy</w:t>
            </w:r>
          </w:p>
        </w:tc>
        <w:tc>
          <w:tcPr>
            <w:tcW w:w="1912" w:type="pct"/>
            <w:shd w:val="clear" w:color="auto" w:fill="auto"/>
            <w:noWrap/>
            <w:vAlign w:val="bottom"/>
            <w:hideMark/>
          </w:tcPr>
          <w:p w14:paraId="12CEC868" w14:textId="77777777" w:rsidR="0052383D" w:rsidRPr="00073549" w:rsidRDefault="0052383D" w:rsidP="00C508B7">
            <w:pPr>
              <w:rPr>
                <w:color w:val="000000"/>
                <w:sz w:val="20"/>
                <w:szCs w:val="20"/>
              </w:rPr>
            </w:pPr>
            <w:r w:rsidRPr="00073549">
              <w:rPr>
                <w:color w:val="000000"/>
                <w:sz w:val="20"/>
                <w:szCs w:val="20"/>
              </w:rPr>
              <w:t>G40-41</w:t>
            </w:r>
          </w:p>
        </w:tc>
      </w:tr>
      <w:tr w:rsidR="0052383D" w:rsidRPr="00073549" w14:paraId="2FBE6CD7" w14:textId="77777777" w:rsidTr="00476DA6">
        <w:trPr>
          <w:trHeight w:val="300"/>
        </w:trPr>
        <w:tc>
          <w:tcPr>
            <w:tcW w:w="3088" w:type="pct"/>
            <w:shd w:val="clear" w:color="auto" w:fill="auto"/>
            <w:noWrap/>
            <w:vAlign w:val="bottom"/>
            <w:hideMark/>
          </w:tcPr>
          <w:p w14:paraId="4DD17BAA" w14:textId="77777777" w:rsidR="0052383D" w:rsidRPr="00073549" w:rsidRDefault="0052383D" w:rsidP="00C508B7">
            <w:pPr>
              <w:rPr>
                <w:color w:val="000000"/>
                <w:sz w:val="20"/>
                <w:szCs w:val="20"/>
              </w:rPr>
            </w:pPr>
            <w:r w:rsidRPr="00073549">
              <w:rPr>
                <w:color w:val="000000"/>
                <w:sz w:val="20"/>
                <w:szCs w:val="20"/>
              </w:rPr>
              <w:t>Heart Fail</w:t>
            </w:r>
            <w:r>
              <w:rPr>
                <w:color w:val="000000"/>
                <w:sz w:val="20"/>
                <w:szCs w:val="20"/>
              </w:rPr>
              <w:t>ure</w:t>
            </w:r>
          </w:p>
        </w:tc>
        <w:tc>
          <w:tcPr>
            <w:tcW w:w="1912" w:type="pct"/>
            <w:shd w:val="clear" w:color="auto" w:fill="auto"/>
            <w:noWrap/>
            <w:vAlign w:val="bottom"/>
            <w:hideMark/>
          </w:tcPr>
          <w:p w14:paraId="788209C9" w14:textId="77777777" w:rsidR="0052383D" w:rsidRPr="00073549" w:rsidRDefault="0052383D" w:rsidP="00C508B7">
            <w:pPr>
              <w:rPr>
                <w:color w:val="000000"/>
                <w:sz w:val="20"/>
                <w:szCs w:val="20"/>
              </w:rPr>
            </w:pPr>
            <w:r w:rsidRPr="00073549">
              <w:rPr>
                <w:color w:val="000000"/>
                <w:sz w:val="20"/>
                <w:szCs w:val="20"/>
              </w:rPr>
              <w:t>I50</w:t>
            </w:r>
          </w:p>
        </w:tc>
      </w:tr>
      <w:tr w:rsidR="0052383D" w:rsidRPr="00073549" w14:paraId="220193D1" w14:textId="77777777" w:rsidTr="00476DA6">
        <w:trPr>
          <w:trHeight w:val="300"/>
        </w:trPr>
        <w:tc>
          <w:tcPr>
            <w:tcW w:w="3088" w:type="pct"/>
            <w:shd w:val="clear" w:color="auto" w:fill="auto"/>
            <w:noWrap/>
            <w:vAlign w:val="bottom"/>
            <w:hideMark/>
          </w:tcPr>
          <w:p w14:paraId="376241A8" w14:textId="77777777" w:rsidR="0052383D" w:rsidRPr="00073549" w:rsidRDefault="0052383D" w:rsidP="00C508B7">
            <w:pPr>
              <w:rPr>
                <w:color w:val="000000"/>
                <w:sz w:val="20"/>
                <w:szCs w:val="20"/>
              </w:rPr>
            </w:pPr>
            <w:r w:rsidRPr="00073549">
              <w:rPr>
                <w:color w:val="000000"/>
                <w:sz w:val="20"/>
                <w:szCs w:val="20"/>
              </w:rPr>
              <w:t>Hypertension</w:t>
            </w:r>
          </w:p>
        </w:tc>
        <w:tc>
          <w:tcPr>
            <w:tcW w:w="1912" w:type="pct"/>
            <w:shd w:val="clear" w:color="auto" w:fill="auto"/>
            <w:noWrap/>
            <w:vAlign w:val="bottom"/>
            <w:hideMark/>
          </w:tcPr>
          <w:p w14:paraId="4F7DA3CB" w14:textId="77777777" w:rsidR="0052383D" w:rsidRPr="00073549" w:rsidRDefault="0052383D" w:rsidP="00C508B7">
            <w:pPr>
              <w:rPr>
                <w:color w:val="000000"/>
                <w:sz w:val="20"/>
                <w:szCs w:val="20"/>
              </w:rPr>
            </w:pPr>
            <w:r w:rsidRPr="00073549">
              <w:rPr>
                <w:color w:val="000000"/>
                <w:sz w:val="20"/>
                <w:szCs w:val="20"/>
              </w:rPr>
              <w:t>I10-15</w:t>
            </w:r>
          </w:p>
        </w:tc>
      </w:tr>
      <w:tr w:rsidR="0052383D" w:rsidRPr="00073549" w14:paraId="5F94F963" w14:textId="77777777" w:rsidTr="00476DA6">
        <w:trPr>
          <w:trHeight w:val="300"/>
        </w:trPr>
        <w:tc>
          <w:tcPr>
            <w:tcW w:w="3088" w:type="pct"/>
            <w:shd w:val="clear" w:color="auto" w:fill="auto"/>
            <w:noWrap/>
            <w:vAlign w:val="bottom"/>
            <w:hideMark/>
          </w:tcPr>
          <w:p w14:paraId="31907013" w14:textId="77777777" w:rsidR="0052383D" w:rsidRPr="00073549" w:rsidRDefault="0052383D" w:rsidP="00C508B7">
            <w:pPr>
              <w:rPr>
                <w:color w:val="000000"/>
                <w:sz w:val="20"/>
                <w:szCs w:val="20"/>
              </w:rPr>
            </w:pPr>
            <w:r>
              <w:rPr>
                <w:color w:val="000000"/>
                <w:sz w:val="20"/>
                <w:szCs w:val="20"/>
              </w:rPr>
              <w:t>Learning disability</w:t>
            </w:r>
          </w:p>
        </w:tc>
        <w:tc>
          <w:tcPr>
            <w:tcW w:w="1912" w:type="pct"/>
            <w:shd w:val="clear" w:color="auto" w:fill="auto"/>
            <w:noWrap/>
            <w:vAlign w:val="bottom"/>
            <w:hideMark/>
          </w:tcPr>
          <w:p w14:paraId="0D2856C2" w14:textId="77777777" w:rsidR="0052383D" w:rsidRPr="00073549" w:rsidRDefault="0052383D" w:rsidP="00C508B7">
            <w:pPr>
              <w:rPr>
                <w:color w:val="000000"/>
                <w:sz w:val="20"/>
                <w:szCs w:val="20"/>
              </w:rPr>
            </w:pPr>
            <w:r w:rsidRPr="00073549">
              <w:rPr>
                <w:color w:val="000000"/>
                <w:sz w:val="20"/>
                <w:szCs w:val="20"/>
              </w:rPr>
              <w:t>F82</w:t>
            </w:r>
          </w:p>
        </w:tc>
      </w:tr>
      <w:tr w:rsidR="0052383D" w:rsidRPr="00073549" w14:paraId="0040C2C8" w14:textId="77777777" w:rsidTr="00476DA6">
        <w:trPr>
          <w:trHeight w:val="300"/>
        </w:trPr>
        <w:tc>
          <w:tcPr>
            <w:tcW w:w="3088" w:type="pct"/>
            <w:shd w:val="clear" w:color="auto" w:fill="auto"/>
            <w:noWrap/>
            <w:vAlign w:val="bottom"/>
            <w:hideMark/>
          </w:tcPr>
          <w:p w14:paraId="71302B8B" w14:textId="77777777" w:rsidR="0052383D" w:rsidRPr="00073549" w:rsidRDefault="0052383D" w:rsidP="00C508B7">
            <w:pPr>
              <w:rPr>
                <w:color w:val="000000"/>
                <w:sz w:val="20"/>
                <w:szCs w:val="20"/>
              </w:rPr>
            </w:pPr>
            <w:r w:rsidRPr="00073549">
              <w:rPr>
                <w:color w:val="000000"/>
                <w:sz w:val="20"/>
                <w:szCs w:val="20"/>
              </w:rPr>
              <w:t>Obesity</w:t>
            </w:r>
          </w:p>
        </w:tc>
        <w:tc>
          <w:tcPr>
            <w:tcW w:w="1912" w:type="pct"/>
            <w:shd w:val="clear" w:color="auto" w:fill="auto"/>
            <w:noWrap/>
            <w:vAlign w:val="bottom"/>
            <w:hideMark/>
          </w:tcPr>
          <w:p w14:paraId="600378DE" w14:textId="77777777" w:rsidR="0052383D" w:rsidRPr="00073549" w:rsidRDefault="0052383D" w:rsidP="00C508B7">
            <w:pPr>
              <w:rPr>
                <w:color w:val="000000"/>
                <w:sz w:val="20"/>
                <w:szCs w:val="20"/>
              </w:rPr>
            </w:pPr>
            <w:r w:rsidRPr="00073549">
              <w:rPr>
                <w:color w:val="000000"/>
                <w:sz w:val="20"/>
                <w:szCs w:val="20"/>
              </w:rPr>
              <w:t>E66</w:t>
            </w:r>
          </w:p>
        </w:tc>
      </w:tr>
      <w:tr w:rsidR="0052383D" w:rsidRPr="00073549" w14:paraId="47ECE3AE" w14:textId="77777777" w:rsidTr="00476DA6">
        <w:trPr>
          <w:trHeight w:val="300"/>
        </w:trPr>
        <w:tc>
          <w:tcPr>
            <w:tcW w:w="3088" w:type="pct"/>
            <w:shd w:val="clear" w:color="auto" w:fill="auto"/>
            <w:noWrap/>
            <w:vAlign w:val="bottom"/>
            <w:hideMark/>
          </w:tcPr>
          <w:p w14:paraId="4F7D15DF" w14:textId="77777777" w:rsidR="0052383D" w:rsidRPr="00073549" w:rsidRDefault="0052383D" w:rsidP="00C508B7">
            <w:pPr>
              <w:rPr>
                <w:color w:val="000000"/>
                <w:sz w:val="20"/>
                <w:szCs w:val="20"/>
              </w:rPr>
            </w:pPr>
            <w:r w:rsidRPr="00073549">
              <w:rPr>
                <w:color w:val="000000"/>
                <w:sz w:val="20"/>
                <w:szCs w:val="20"/>
              </w:rPr>
              <w:t>Osteoperosis</w:t>
            </w:r>
          </w:p>
        </w:tc>
        <w:tc>
          <w:tcPr>
            <w:tcW w:w="1912" w:type="pct"/>
            <w:shd w:val="clear" w:color="auto" w:fill="auto"/>
            <w:noWrap/>
            <w:vAlign w:val="bottom"/>
            <w:hideMark/>
          </w:tcPr>
          <w:p w14:paraId="0CBCF418" w14:textId="77777777" w:rsidR="0052383D" w:rsidRPr="00073549" w:rsidRDefault="0052383D" w:rsidP="00C508B7">
            <w:pPr>
              <w:rPr>
                <w:color w:val="000000"/>
                <w:sz w:val="20"/>
                <w:szCs w:val="20"/>
              </w:rPr>
            </w:pPr>
            <w:r w:rsidRPr="00073549">
              <w:rPr>
                <w:color w:val="000000"/>
                <w:sz w:val="20"/>
                <w:szCs w:val="20"/>
              </w:rPr>
              <w:t>M81-82</w:t>
            </w:r>
          </w:p>
        </w:tc>
      </w:tr>
      <w:tr w:rsidR="0052383D" w:rsidRPr="00073549" w14:paraId="03E2AAB8" w14:textId="77777777" w:rsidTr="00476DA6">
        <w:trPr>
          <w:trHeight w:val="300"/>
        </w:trPr>
        <w:tc>
          <w:tcPr>
            <w:tcW w:w="3088" w:type="pct"/>
            <w:shd w:val="clear" w:color="auto" w:fill="auto"/>
            <w:noWrap/>
            <w:vAlign w:val="bottom"/>
            <w:hideMark/>
          </w:tcPr>
          <w:p w14:paraId="65E7756E" w14:textId="77777777" w:rsidR="0052383D" w:rsidRPr="00073549" w:rsidRDefault="0052383D" w:rsidP="00C508B7">
            <w:pPr>
              <w:rPr>
                <w:color w:val="000000"/>
                <w:sz w:val="20"/>
                <w:szCs w:val="20"/>
              </w:rPr>
            </w:pPr>
            <w:r w:rsidRPr="00073549">
              <w:rPr>
                <w:color w:val="000000"/>
                <w:sz w:val="20"/>
                <w:szCs w:val="20"/>
              </w:rPr>
              <w:t>PAD</w:t>
            </w:r>
          </w:p>
        </w:tc>
        <w:tc>
          <w:tcPr>
            <w:tcW w:w="1912" w:type="pct"/>
            <w:shd w:val="clear" w:color="auto" w:fill="auto"/>
            <w:noWrap/>
            <w:vAlign w:val="bottom"/>
            <w:hideMark/>
          </w:tcPr>
          <w:p w14:paraId="7B90FA63" w14:textId="77777777" w:rsidR="0052383D" w:rsidRPr="00073549" w:rsidRDefault="0052383D" w:rsidP="00C508B7">
            <w:pPr>
              <w:rPr>
                <w:color w:val="000000"/>
                <w:sz w:val="20"/>
                <w:szCs w:val="20"/>
              </w:rPr>
            </w:pPr>
            <w:r w:rsidRPr="00073549">
              <w:rPr>
                <w:color w:val="000000"/>
                <w:sz w:val="20"/>
                <w:szCs w:val="20"/>
              </w:rPr>
              <w:t>I73</w:t>
            </w:r>
          </w:p>
        </w:tc>
      </w:tr>
      <w:tr w:rsidR="0052383D" w:rsidRPr="00073549" w14:paraId="7AD62D39" w14:textId="77777777" w:rsidTr="00476DA6">
        <w:trPr>
          <w:trHeight w:val="300"/>
        </w:trPr>
        <w:tc>
          <w:tcPr>
            <w:tcW w:w="3088" w:type="pct"/>
            <w:shd w:val="clear" w:color="auto" w:fill="auto"/>
            <w:noWrap/>
            <w:vAlign w:val="bottom"/>
            <w:hideMark/>
          </w:tcPr>
          <w:p w14:paraId="29BC06F9" w14:textId="77777777" w:rsidR="0052383D" w:rsidRPr="00073549" w:rsidRDefault="0052383D" w:rsidP="00C508B7">
            <w:pPr>
              <w:rPr>
                <w:color w:val="000000"/>
                <w:sz w:val="20"/>
                <w:szCs w:val="20"/>
              </w:rPr>
            </w:pPr>
            <w:r>
              <w:rPr>
                <w:color w:val="000000"/>
                <w:sz w:val="20"/>
                <w:szCs w:val="20"/>
              </w:rPr>
              <w:t>Rheumatoid</w:t>
            </w:r>
            <w:r w:rsidRPr="00073549">
              <w:rPr>
                <w:color w:val="000000"/>
                <w:sz w:val="20"/>
                <w:szCs w:val="20"/>
              </w:rPr>
              <w:t xml:space="preserve"> Arth</w:t>
            </w:r>
            <w:r>
              <w:rPr>
                <w:color w:val="000000"/>
                <w:sz w:val="20"/>
                <w:szCs w:val="20"/>
              </w:rPr>
              <w:t>ritis</w:t>
            </w:r>
          </w:p>
        </w:tc>
        <w:tc>
          <w:tcPr>
            <w:tcW w:w="1912" w:type="pct"/>
            <w:shd w:val="clear" w:color="auto" w:fill="auto"/>
            <w:noWrap/>
            <w:vAlign w:val="bottom"/>
            <w:hideMark/>
          </w:tcPr>
          <w:p w14:paraId="2D6445CA" w14:textId="77777777" w:rsidR="0052383D" w:rsidRPr="00073549" w:rsidRDefault="0052383D" w:rsidP="00C508B7">
            <w:pPr>
              <w:rPr>
                <w:color w:val="000000"/>
                <w:sz w:val="20"/>
                <w:szCs w:val="20"/>
              </w:rPr>
            </w:pPr>
            <w:r w:rsidRPr="00073549">
              <w:rPr>
                <w:color w:val="000000"/>
                <w:sz w:val="20"/>
                <w:szCs w:val="20"/>
              </w:rPr>
              <w:t>M05-06</w:t>
            </w:r>
          </w:p>
        </w:tc>
      </w:tr>
      <w:tr w:rsidR="0052383D" w:rsidRPr="00073549" w14:paraId="791CEC57" w14:textId="77777777" w:rsidTr="00476DA6">
        <w:trPr>
          <w:trHeight w:val="300"/>
        </w:trPr>
        <w:tc>
          <w:tcPr>
            <w:tcW w:w="3088" w:type="pct"/>
            <w:shd w:val="clear" w:color="auto" w:fill="auto"/>
            <w:noWrap/>
            <w:vAlign w:val="bottom"/>
            <w:hideMark/>
          </w:tcPr>
          <w:p w14:paraId="0591D18E" w14:textId="77777777" w:rsidR="0052383D" w:rsidRPr="00073549" w:rsidRDefault="0052383D" w:rsidP="00C508B7">
            <w:pPr>
              <w:rPr>
                <w:color w:val="000000"/>
                <w:sz w:val="20"/>
                <w:szCs w:val="20"/>
              </w:rPr>
            </w:pPr>
            <w:r w:rsidRPr="00073549">
              <w:rPr>
                <w:color w:val="000000"/>
                <w:sz w:val="20"/>
                <w:szCs w:val="20"/>
              </w:rPr>
              <w:t>Stroke</w:t>
            </w:r>
          </w:p>
        </w:tc>
        <w:tc>
          <w:tcPr>
            <w:tcW w:w="1912" w:type="pct"/>
            <w:shd w:val="clear" w:color="auto" w:fill="auto"/>
            <w:noWrap/>
            <w:vAlign w:val="bottom"/>
            <w:hideMark/>
          </w:tcPr>
          <w:p w14:paraId="4620F327" w14:textId="77777777" w:rsidR="0052383D" w:rsidRPr="00073549" w:rsidRDefault="0052383D" w:rsidP="00C508B7">
            <w:pPr>
              <w:rPr>
                <w:color w:val="000000"/>
                <w:sz w:val="20"/>
                <w:szCs w:val="20"/>
              </w:rPr>
            </w:pPr>
            <w:r w:rsidRPr="00073549">
              <w:rPr>
                <w:color w:val="000000"/>
                <w:sz w:val="20"/>
                <w:szCs w:val="20"/>
              </w:rPr>
              <w:t>I61-64, G45</w:t>
            </w:r>
          </w:p>
        </w:tc>
      </w:tr>
      <w:tr w:rsidR="0052383D" w:rsidRPr="00073549" w14:paraId="7D8F963D" w14:textId="77777777" w:rsidTr="00476DA6">
        <w:trPr>
          <w:trHeight w:val="300"/>
        </w:trPr>
        <w:tc>
          <w:tcPr>
            <w:tcW w:w="3088" w:type="pct"/>
            <w:shd w:val="clear" w:color="auto" w:fill="auto"/>
            <w:noWrap/>
            <w:vAlign w:val="bottom"/>
            <w:hideMark/>
          </w:tcPr>
          <w:p w14:paraId="65A3C941" w14:textId="77777777" w:rsidR="0052383D" w:rsidRPr="00073549" w:rsidRDefault="0052383D" w:rsidP="00C508B7">
            <w:pPr>
              <w:rPr>
                <w:color w:val="000000"/>
                <w:sz w:val="20"/>
                <w:szCs w:val="20"/>
              </w:rPr>
            </w:pPr>
            <w:r>
              <w:rPr>
                <w:color w:val="000000"/>
                <w:sz w:val="20"/>
                <w:szCs w:val="20"/>
              </w:rPr>
              <w:t>Hypot</w:t>
            </w:r>
            <w:r w:rsidRPr="00073549">
              <w:rPr>
                <w:color w:val="000000"/>
                <w:sz w:val="20"/>
                <w:szCs w:val="20"/>
              </w:rPr>
              <w:t>hyroid</w:t>
            </w:r>
            <w:r>
              <w:rPr>
                <w:color w:val="000000"/>
                <w:sz w:val="20"/>
                <w:szCs w:val="20"/>
              </w:rPr>
              <w:t>ism</w:t>
            </w:r>
          </w:p>
        </w:tc>
        <w:tc>
          <w:tcPr>
            <w:tcW w:w="1912" w:type="pct"/>
            <w:shd w:val="clear" w:color="auto" w:fill="auto"/>
            <w:noWrap/>
            <w:vAlign w:val="bottom"/>
            <w:hideMark/>
          </w:tcPr>
          <w:p w14:paraId="576CA1FF" w14:textId="77777777" w:rsidR="0052383D" w:rsidRPr="00073549" w:rsidRDefault="0052383D" w:rsidP="00C508B7">
            <w:pPr>
              <w:rPr>
                <w:color w:val="000000"/>
                <w:sz w:val="20"/>
                <w:szCs w:val="20"/>
              </w:rPr>
            </w:pPr>
            <w:r w:rsidRPr="00073549">
              <w:rPr>
                <w:color w:val="000000"/>
                <w:sz w:val="20"/>
                <w:szCs w:val="20"/>
              </w:rPr>
              <w:t>E00-07</w:t>
            </w:r>
          </w:p>
        </w:tc>
      </w:tr>
    </w:tbl>
    <w:p w14:paraId="4601D149" w14:textId="26469C87" w:rsidR="00940A75" w:rsidRDefault="00940A75" w:rsidP="00C508B7"/>
    <w:p w14:paraId="6D681A29" w14:textId="5A684EBA" w:rsidR="001B09D5" w:rsidRPr="001B09D5" w:rsidRDefault="001B09D5" w:rsidP="00C508B7">
      <w:pPr>
        <w:widowControl w:val="0"/>
        <w:autoSpaceDE w:val="0"/>
        <w:autoSpaceDN w:val="0"/>
        <w:adjustRightInd w:val="0"/>
        <w:ind w:left="640" w:hanging="640"/>
        <w:rPr>
          <w:b/>
        </w:rPr>
      </w:pPr>
    </w:p>
    <w:sectPr w:rsidR="001B09D5" w:rsidRPr="001B0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9C56" w14:textId="77777777" w:rsidR="000D1D14" w:rsidRDefault="000D1D14" w:rsidP="000D50AC">
      <w:r>
        <w:separator/>
      </w:r>
    </w:p>
  </w:endnote>
  <w:endnote w:type="continuationSeparator" w:id="0">
    <w:p w14:paraId="7DCA948A" w14:textId="77777777" w:rsidR="000D1D14" w:rsidRDefault="000D1D14" w:rsidP="000D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823C" w14:textId="77777777" w:rsidR="000D1D14" w:rsidRDefault="000D1D14" w:rsidP="000D50AC">
      <w:r>
        <w:separator/>
      </w:r>
    </w:p>
  </w:footnote>
  <w:footnote w:type="continuationSeparator" w:id="0">
    <w:p w14:paraId="03E4CA27" w14:textId="77777777" w:rsidR="000D1D14" w:rsidRDefault="000D1D14" w:rsidP="000D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8F"/>
    <w:multiLevelType w:val="hybridMultilevel"/>
    <w:tmpl w:val="07FE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0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403E71"/>
    <w:multiLevelType w:val="hybridMultilevel"/>
    <w:tmpl w:val="A1C0E18A"/>
    <w:lvl w:ilvl="0" w:tplc="A4140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953DB"/>
    <w:multiLevelType w:val="hybridMultilevel"/>
    <w:tmpl w:val="5F34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4199"/>
    <w:multiLevelType w:val="hybridMultilevel"/>
    <w:tmpl w:val="9564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63B0"/>
    <w:multiLevelType w:val="hybridMultilevel"/>
    <w:tmpl w:val="00F4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B4ECB"/>
    <w:multiLevelType w:val="hybridMultilevel"/>
    <w:tmpl w:val="2F3EA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58F"/>
    <w:multiLevelType w:val="hybridMultilevel"/>
    <w:tmpl w:val="ED9C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9327F"/>
    <w:multiLevelType w:val="hybridMultilevel"/>
    <w:tmpl w:val="CF3C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3657E"/>
    <w:multiLevelType w:val="hybridMultilevel"/>
    <w:tmpl w:val="558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3774A"/>
    <w:multiLevelType w:val="multilevel"/>
    <w:tmpl w:val="663C6A4C"/>
    <w:lvl w:ilvl="0">
      <w:start w:val="1"/>
      <w:numFmt w:val="decimal"/>
      <w:lvlText w:val="Chapter %1:"/>
      <w:lvlJc w:val="left"/>
      <w:pPr>
        <w:ind w:left="360" w:hanging="360"/>
      </w:pPr>
      <w:rPr>
        <w:rFonts w:ascii="Times New Roman" w:hAnsi="Times New Roman" w:hint="default"/>
        <w:b/>
        <w:bCs/>
        <w:i w:val="0"/>
        <w:iCs w:val="0"/>
        <w:color w:val="auto"/>
        <w:sz w:val="28"/>
        <w:szCs w:val="28"/>
      </w:rPr>
    </w:lvl>
    <w:lvl w:ilvl="1">
      <w:start w:val="1"/>
      <w:numFmt w:val="decimal"/>
      <w:lvlText w:val="%2."/>
      <w:lvlJc w:val="left"/>
      <w:pPr>
        <w:ind w:left="720" w:hanging="720"/>
      </w:pPr>
      <w:rPr>
        <w:rFonts w:ascii="Times New Roman" w:hAnsi="Times New Roman" w:hint="default"/>
        <w:b/>
        <w:bCs/>
        <w:i w:val="0"/>
        <w:iCs w:val="0"/>
        <w:sz w:val="24"/>
        <w:szCs w:val="24"/>
      </w:rPr>
    </w:lvl>
    <w:lvl w:ilvl="2">
      <w:start w:val="1"/>
      <w:numFmt w:val="decimal"/>
      <w:lvlText w:val="%2.%3"/>
      <w:lvlJc w:val="left"/>
      <w:pPr>
        <w:ind w:left="1080" w:hanging="1080"/>
      </w:pPr>
      <w:rPr>
        <w:rFonts w:ascii="Times New Roman" w:hAnsi="Times New Roman" w:hint="default"/>
        <w:b/>
        <w:bCs/>
        <w:i/>
        <w:iCs/>
        <w:sz w:val="24"/>
        <w:szCs w:val="24"/>
      </w:rPr>
    </w:lvl>
    <w:lvl w:ilvl="3">
      <w:start w:val="1"/>
      <w:numFmt w:val="decimal"/>
      <w:lvlText w:val="%2.%3.%4"/>
      <w:lvlJc w:val="left"/>
      <w:pPr>
        <w:ind w:left="1440" w:hanging="1440"/>
      </w:pPr>
      <w:rPr>
        <w:rFonts w:ascii="Times New Roman" w:hAnsi="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C977EA"/>
    <w:multiLevelType w:val="hybridMultilevel"/>
    <w:tmpl w:val="4D1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9392F"/>
    <w:multiLevelType w:val="hybridMultilevel"/>
    <w:tmpl w:val="126C12C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0F">
      <w:start w:val="1"/>
      <w:numFmt w:val="decimal"/>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3763C91"/>
    <w:multiLevelType w:val="hybridMultilevel"/>
    <w:tmpl w:val="B6B0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6DCE"/>
    <w:multiLevelType w:val="hybridMultilevel"/>
    <w:tmpl w:val="B41E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D4BC0"/>
    <w:multiLevelType w:val="hybridMultilevel"/>
    <w:tmpl w:val="7F2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32632"/>
    <w:multiLevelType w:val="hybridMultilevel"/>
    <w:tmpl w:val="10A051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D15F0A"/>
    <w:multiLevelType w:val="multilevel"/>
    <w:tmpl w:val="EF845C20"/>
    <w:lvl w:ilvl="0">
      <w:start w:val="1"/>
      <w:numFmt w:val="decimal"/>
      <w:lvlText w:val="Chapter %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720"/>
      </w:pPr>
      <w:rPr>
        <w:rFonts w:ascii="Times New Roman" w:hAnsi="Times New Roman" w:hint="default"/>
        <w:b/>
        <w:bCs/>
        <w:i w:val="0"/>
        <w:iCs w:val="0"/>
        <w:sz w:val="24"/>
        <w:szCs w:val="24"/>
      </w:rPr>
    </w:lvl>
    <w:lvl w:ilvl="2">
      <w:start w:val="1"/>
      <w:numFmt w:val="decimal"/>
      <w:lvlText w:val="%2.%3"/>
      <w:lvlJc w:val="left"/>
      <w:pPr>
        <w:ind w:left="1080" w:hanging="1080"/>
      </w:pPr>
      <w:rPr>
        <w:rFonts w:ascii="Times New Roman" w:hAnsi="Times New Roman" w:hint="default"/>
        <w:b/>
        <w:bCs/>
        <w:i/>
        <w:iCs/>
        <w:sz w:val="24"/>
        <w:szCs w:val="24"/>
      </w:rPr>
    </w:lvl>
    <w:lvl w:ilvl="3">
      <w:start w:val="1"/>
      <w:numFmt w:val="decimal"/>
      <w:lvlText w:val="%2.%3.%4"/>
      <w:lvlJc w:val="left"/>
      <w:pPr>
        <w:ind w:left="1440" w:hanging="1440"/>
      </w:pPr>
      <w:rPr>
        <w:rFonts w:ascii="Times New Roman" w:hAnsi="Times New Roman" w:hint="default"/>
        <w:b w:val="0"/>
        <w:bCs w:val="0"/>
        <w:i/>
        <w:iCs/>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0D4E02"/>
    <w:multiLevelType w:val="multilevel"/>
    <w:tmpl w:val="E642314E"/>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80" w:hanging="180"/>
      </w:pPr>
      <w:rPr>
        <w:rFonts w:hint="default"/>
      </w:rPr>
    </w:lvl>
    <w:lvl w:ilvl="3">
      <w:start w:val="1"/>
      <w:numFmt w:val="decimal"/>
      <w:pStyle w:val="Heading4"/>
      <w:lvlText w:val="%1.%2.%3.%4"/>
      <w:lvlJc w:val="center"/>
      <w:pPr>
        <w:tabs>
          <w:tab w:val="num" w:pos="1191"/>
        </w:tabs>
        <w:ind w:left="0" w:firstLine="357"/>
      </w:pPr>
      <w:rPr>
        <w:rFonts w:hint="default"/>
      </w:rPr>
    </w:lvl>
    <w:lvl w:ilvl="4">
      <w:start w:val="1"/>
      <w:numFmt w:val="lowerLetter"/>
      <w:lvlText w:val="%5."/>
      <w:lvlJc w:val="left"/>
      <w:pPr>
        <w:ind w:left="1620" w:hanging="360"/>
      </w:pPr>
      <w:rPr>
        <w:rFonts w:hint="default"/>
      </w:rPr>
    </w:lvl>
    <w:lvl w:ilvl="5">
      <w:start w:val="1"/>
      <w:numFmt w:val="lowerRoman"/>
      <w:lvlText w:val="%6."/>
      <w:lvlJc w:val="right"/>
      <w:pPr>
        <w:ind w:left="2340" w:hanging="18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right"/>
      <w:pPr>
        <w:ind w:left="4500" w:hanging="180"/>
      </w:pPr>
      <w:rPr>
        <w:rFonts w:hint="default"/>
      </w:rPr>
    </w:lvl>
  </w:abstractNum>
  <w:abstractNum w:abstractNumId="19" w15:restartNumberingAfterBreak="0">
    <w:nsid w:val="54F9256A"/>
    <w:multiLevelType w:val="hybridMultilevel"/>
    <w:tmpl w:val="A7F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A3279"/>
    <w:multiLevelType w:val="hybridMultilevel"/>
    <w:tmpl w:val="558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95244"/>
    <w:multiLevelType w:val="hybridMultilevel"/>
    <w:tmpl w:val="FEA8FCC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42CEE"/>
    <w:multiLevelType w:val="hybridMultilevel"/>
    <w:tmpl w:val="F3FA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900C9"/>
    <w:multiLevelType w:val="hybridMultilevel"/>
    <w:tmpl w:val="A1C0E18A"/>
    <w:lvl w:ilvl="0" w:tplc="A4140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750B8"/>
    <w:multiLevelType w:val="hybridMultilevel"/>
    <w:tmpl w:val="A7F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F5DC0"/>
    <w:multiLevelType w:val="hybridMultilevel"/>
    <w:tmpl w:val="CF86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8"/>
  </w:num>
  <w:num w:numId="5">
    <w:abstractNumId w:val="14"/>
  </w:num>
  <w:num w:numId="6">
    <w:abstractNumId w:val="11"/>
  </w:num>
  <w:num w:numId="7">
    <w:abstractNumId w:val="25"/>
  </w:num>
  <w:num w:numId="8">
    <w:abstractNumId w:val="0"/>
  </w:num>
  <w:num w:numId="9">
    <w:abstractNumId w:val="1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21"/>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4"/>
  </w:num>
  <w:num w:numId="21">
    <w:abstractNumId w:val="5"/>
  </w:num>
  <w:num w:numId="22">
    <w:abstractNumId w:val="20"/>
  </w:num>
  <w:num w:numId="23">
    <w:abstractNumId w:val="9"/>
  </w:num>
  <w:num w:numId="24">
    <w:abstractNumId w:val="13"/>
  </w:num>
  <w:num w:numId="25">
    <w:abstractNumId w:val="22"/>
  </w:num>
  <w:num w:numId="26">
    <w:abstractNumId w:val="16"/>
  </w:num>
  <w:num w:numId="27">
    <w:abstractNumId w:val="15"/>
  </w:num>
  <w:num w:numId="28">
    <w:abstractNumId w:val="3"/>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AC"/>
    <w:rsid w:val="00031D53"/>
    <w:rsid w:val="00066445"/>
    <w:rsid w:val="00083B4C"/>
    <w:rsid w:val="000D1D14"/>
    <w:rsid w:val="000D50AC"/>
    <w:rsid w:val="000D714B"/>
    <w:rsid w:val="000F6DF6"/>
    <w:rsid w:val="001047E4"/>
    <w:rsid w:val="001162D8"/>
    <w:rsid w:val="0015636C"/>
    <w:rsid w:val="001706C0"/>
    <w:rsid w:val="001919B3"/>
    <w:rsid w:val="001B09D5"/>
    <w:rsid w:val="001E3CB8"/>
    <w:rsid w:val="002129FA"/>
    <w:rsid w:val="002136E0"/>
    <w:rsid w:val="002242C2"/>
    <w:rsid w:val="002267AA"/>
    <w:rsid w:val="002355E3"/>
    <w:rsid w:val="00260FB9"/>
    <w:rsid w:val="002906AA"/>
    <w:rsid w:val="002B4305"/>
    <w:rsid w:val="002C774E"/>
    <w:rsid w:val="002D4F91"/>
    <w:rsid w:val="002F4A53"/>
    <w:rsid w:val="002F61C9"/>
    <w:rsid w:val="00310856"/>
    <w:rsid w:val="003118B4"/>
    <w:rsid w:val="00325F50"/>
    <w:rsid w:val="003441EB"/>
    <w:rsid w:val="00360736"/>
    <w:rsid w:val="00384714"/>
    <w:rsid w:val="003C2ED4"/>
    <w:rsid w:val="003C5DE0"/>
    <w:rsid w:val="004019F2"/>
    <w:rsid w:val="0042339B"/>
    <w:rsid w:val="0042749C"/>
    <w:rsid w:val="00476DA6"/>
    <w:rsid w:val="0049457C"/>
    <w:rsid w:val="004D7085"/>
    <w:rsid w:val="0052383D"/>
    <w:rsid w:val="00562788"/>
    <w:rsid w:val="00567C6A"/>
    <w:rsid w:val="0057237A"/>
    <w:rsid w:val="00595527"/>
    <w:rsid w:val="005B286B"/>
    <w:rsid w:val="005C2AC5"/>
    <w:rsid w:val="005C2BE3"/>
    <w:rsid w:val="005E1CDC"/>
    <w:rsid w:val="00634D55"/>
    <w:rsid w:val="00662043"/>
    <w:rsid w:val="00681EB9"/>
    <w:rsid w:val="00693907"/>
    <w:rsid w:val="006A0D1C"/>
    <w:rsid w:val="006A0ED0"/>
    <w:rsid w:val="006A521A"/>
    <w:rsid w:val="006B3C17"/>
    <w:rsid w:val="006F0A5C"/>
    <w:rsid w:val="00705D2A"/>
    <w:rsid w:val="00714AC5"/>
    <w:rsid w:val="007206B3"/>
    <w:rsid w:val="0073600D"/>
    <w:rsid w:val="00745111"/>
    <w:rsid w:val="007467E9"/>
    <w:rsid w:val="00754AEE"/>
    <w:rsid w:val="007A4CBF"/>
    <w:rsid w:val="007B7D3E"/>
    <w:rsid w:val="007C01A2"/>
    <w:rsid w:val="007C2A31"/>
    <w:rsid w:val="007D7181"/>
    <w:rsid w:val="00802C62"/>
    <w:rsid w:val="00810349"/>
    <w:rsid w:val="00812BAD"/>
    <w:rsid w:val="00816282"/>
    <w:rsid w:val="00827825"/>
    <w:rsid w:val="00840A9E"/>
    <w:rsid w:val="008449AE"/>
    <w:rsid w:val="008466CF"/>
    <w:rsid w:val="008E3DAD"/>
    <w:rsid w:val="008E6AD0"/>
    <w:rsid w:val="009135C1"/>
    <w:rsid w:val="009304C4"/>
    <w:rsid w:val="00940A75"/>
    <w:rsid w:val="009503C2"/>
    <w:rsid w:val="009760CF"/>
    <w:rsid w:val="00985992"/>
    <w:rsid w:val="0099069C"/>
    <w:rsid w:val="009C4CDE"/>
    <w:rsid w:val="009D1707"/>
    <w:rsid w:val="009D4568"/>
    <w:rsid w:val="009E24C4"/>
    <w:rsid w:val="009F28CA"/>
    <w:rsid w:val="00A32E8A"/>
    <w:rsid w:val="00A334C1"/>
    <w:rsid w:val="00A3508D"/>
    <w:rsid w:val="00A438BE"/>
    <w:rsid w:val="00A65191"/>
    <w:rsid w:val="00A73A1E"/>
    <w:rsid w:val="00A75BFA"/>
    <w:rsid w:val="00AB2978"/>
    <w:rsid w:val="00AC7124"/>
    <w:rsid w:val="00B568D7"/>
    <w:rsid w:val="00B7604C"/>
    <w:rsid w:val="00BD32B0"/>
    <w:rsid w:val="00BF0EFB"/>
    <w:rsid w:val="00BF15BE"/>
    <w:rsid w:val="00BF2EF0"/>
    <w:rsid w:val="00C17E51"/>
    <w:rsid w:val="00C24894"/>
    <w:rsid w:val="00C37781"/>
    <w:rsid w:val="00C4565C"/>
    <w:rsid w:val="00C508B7"/>
    <w:rsid w:val="00C5785B"/>
    <w:rsid w:val="00C633EF"/>
    <w:rsid w:val="00C77D0B"/>
    <w:rsid w:val="00C800F0"/>
    <w:rsid w:val="00C82416"/>
    <w:rsid w:val="00C8717D"/>
    <w:rsid w:val="00C9385C"/>
    <w:rsid w:val="00D27A33"/>
    <w:rsid w:val="00D877B3"/>
    <w:rsid w:val="00DA3BB3"/>
    <w:rsid w:val="00DF6EB3"/>
    <w:rsid w:val="00E32247"/>
    <w:rsid w:val="00E41289"/>
    <w:rsid w:val="00E4386A"/>
    <w:rsid w:val="00E52099"/>
    <w:rsid w:val="00E53C4C"/>
    <w:rsid w:val="00E65B1D"/>
    <w:rsid w:val="00E747E1"/>
    <w:rsid w:val="00E905FF"/>
    <w:rsid w:val="00F1457C"/>
    <w:rsid w:val="00F16E9D"/>
    <w:rsid w:val="00F24111"/>
    <w:rsid w:val="00F32217"/>
    <w:rsid w:val="00F65DC1"/>
    <w:rsid w:val="00FB36DF"/>
    <w:rsid w:val="00FF7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78199"/>
  <w15:docId w15:val="{6863BA09-BAB3-4529-B332-7E35226D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A6"/>
    <w:pPr>
      <w:spacing w:after="0" w:line="240" w:lineRule="auto"/>
    </w:pPr>
    <w:rPr>
      <w:rFonts w:eastAsia="Times New Roman" w:cs="Times New Roman"/>
      <w:color w:val="auto"/>
      <w:szCs w:val="24"/>
    </w:rPr>
  </w:style>
  <w:style w:type="paragraph" w:styleId="Heading1">
    <w:name w:val="heading 1"/>
    <w:basedOn w:val="Normal"/>
    <w:next w:val="Normal"/>
    <w:link w:val="Heading1Char"/>
    <w:uiPriority w:val="9"/>
    <w:qFormat/>
    <w:rsid w:val="000D50AC"/>
    <w:pPr>
      <w:spacing w:line="360" w:lineRule="auto"/>
      <w:contextualSpacing/>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D50AC"/>
    <w:pPr>
      <w:spacing w:line="360" w:lineRule="auto"/>
      <w:contextualSpacing/>
      <w:jc w:val="both"/>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0D50AC"/>
    <w:pPr>
      <w:spacing w:line="360" w:lineRule="auto"/>
      <w:contextualSpacing/>
      <w:jc w:val="both"/>
      <w:outlineLvl w:val="2"/>
    </w:pPr>
    <w:rPr>
      <w:rFonts w:eastAsiaTheme="majorEastAsia" w:cstheme="majorBidi"/>
      <w:bCs/>
      <w:i/>
      <w:color w:val="000000" w:themeColor="text1"/>
      <w:szCs w:val="22"/>
    </w:rPr>
  </w:style>
  <w:style w:type="paragraph" w:styleId="Heading4">
    <w:name w:val="heading 4"/>
    <w:basedOn w:val="Normal"/>
    <w:next w:val="Normal"/>
    <w:link w:val="Heading4Char"/>
    <w:uiPriority w:val="9"/>
    <w:unhideWhenUsed/>
    <w:qFormat/>
    <w:rsid w:val="000D50AC"/>
    <w:pPr>
      <w:numPr>
        <w:ilvl w:val="3"/>
        <w:numId w:val="1"/>
      </w:numPr>
      <w:spacing w:line="360" w:lineRule="auto"/>
      <w:contextualSpacing/>
      <w:jc w:val="both"/>
      <w:outlineLvl w:val="3"/>
    </w:pPr>
    <w:rPr>
      <w:rFonts w:eastAsiaTheme="majorEastAsia" w:cstheme="majorBidi"/>
      <w:bCs/>
      <w:i/>
      <w:iCs/>
      <w:color w:val="000000" w:themeColor="text1"/>
      <w:szCs w:val="22"/>
    </w:rPr>
  </w:style>
  <w:style w:type="paragraph" w:styleId="Heading5">
    <w:name w:val="heading 5"/>
    <w:basedOn w:val="Normal"/>
    <w:next w:val="Normal"/>
    <w:link w:val="Heading5Char"/>
    <w:uiPriority w:val="9"/>
    <w:semiHidden/>
    <w:unhideWhenUsed/>
    <w:qFormat/>
    <w:rsid w:val="000D50AC"/>
    <w:pPr>
      <w:spacing w:before="200" w:line="360" w:lineRule="auto"/>
      <w:contextualSpacing/>
      <w:jc w:val="both"/>
      <w:outlineLvl w:val="4"/>
    </w:pPr>
    <w:rPr>
      <w:rFonts w:asciiTheme="majorHAnsi" w:eastAsiaTheme="majorEastAsia" w:hAnsiTheme="majorHAnsi" w:cstheme="majorBidi"/>
      <w:b/>
      <w:bCs/>
      <w:color w:val="7F7F7F" w:themeColor="text1" w:themeTint="80"/>
      <w:szCs w:val="22"/>
    </w:rPr>
  </w:style>
  <w:style w:type="paragraph" w:styleId="Heading6">
    <w:name w:val="heading 6"/>
    <w:basedOn w:val="Normal"/>
    <w:next w:val="Normal"/>
    <w:link w:val="Heading6Char"/>
    <w:uiPriority w:val="9"/>
    <w:semiHidden/>
    <w:unhideWhenUsed/>
    <w:qFormat/>
    <w:rsid w:val="000D50AC"/>
    <w:pPr>
      <w:spacing w:line="271" w:lineRule="auto"/>
      <w:contextualSpacing/>
      <w:jc w:val="both"/>
      <w:outlineLvl w:val="5"/>
    </w:pPr>
    <w:rPr>
      <w:rFonts w:asciiTheme="majorHAnsi" w:eastAsiaTheme="majorEastAsia" w:hAnsiTheme="majorHAnsi" w:cstheme="majorBidi"/>
      <w:b/>
      <w:bCs/>
      <w:i/>
      <w:iCs/>
      <w:color w:val="7F7F7F" w:themeColor="text1" w:themeTint="80"/>
      <w:szCs w:val="22"/>
    </w:rPr>
  </w:style>
  <w:style w:type="paragraph" w:styleId="Heading7">
    <w:name w:val="heading 7"/>
    <w:basedOn w:val="Normal"/>
    <w:next w:val="Normal"/>
    <w:link w:val="Heading7Char"/>
    <w:uiPriority w:val="9"/>
    <w:semiHidden/>
    <w:unhideWhenUsed/>
    <w:qFormat/>
    <w:rsid w:val="000D50AC"/>
    <w:pPr>
      <w:spacing w:line="360" w:lineRule="auto"/>
      <w:contextualSpacing/>
      <w:jc w:val="both"/>
      <w:outlineLvl w:val="6"/>
    </w:pPr>
    <w:rPr>
      <w:rFonts w:asciiTheme="majorHAnsi" w:eastAsiaTheme="majorEastAsia" w:hAnsiTheme="majorHAnsi" w:cstheme="majorBidi"/>
      <w:i/>
      <w:iCs/>
      <w:color w:val="000000" w:themeColor="text1"/>
      <w:szCs w:val="22"/>
    </w:rPr>
  </w:style>
  <w:style w:type="paragraph" w:styleId="Heading8">
    <w:name w:val="heading 8"/>
    <w:basedOn w:val="Normal"/>
    <w:next w:val="Normal"/>
    <w:link w:val="Heading8Char"/>
    <w:uiPriority w:val="9"/>
    <w:semiHidden/>
    <w:unhideWhenUsed/>
    <w:qFormat/>
    <w:rsid w:val="000D50AC"/>
    <w:pPr>
      <w:spacing w:line="360" w:lineRule="auto"/>
      <w:contextualSpacing/>
      <w:jc w:val="both"/>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0D50AC"/>
    <w:pPr>
      <w:spacing w:line="360" w:lineRule="auto"/>
      <w:contextualSpacing/>
      <w:jc w:val="both"/>
      <w:outlineLvl w:val="8"/>
    </w:pPr>
    <w:rPr>
      <w:rFonts w:asciiTheme="majorHAnsi" w:eastAsiaTheme="majorEastAsia" w:hAnsiTheme="majorHAnsi" w:cstheme="majorBidi"/>
      <w:i/>
      <w:iCs/>
      <w:color w:val="000000" w:themeColor="text1"/>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0AC"/>
    <w:rPr>
      <w:rFonts w:eastAsiaTheme="majorEastAsia" w:cstheme="majorBidi"/>
      <w:b/>
      <w:bCs/>
      <w:szCs w:val="28"/>
    </w:rPr>
  </w:style>
  <w:style w:type="character" w:customStyle="1" w:styleId="Heading2Char">
    <w:name w:val="Heading 2 Char"/>
    <w:basedOn w:val="DefaultParagraphFont"/>
    <w:link w:val="Heading2"/>
    <w:uiPriority w:val="9"/>
    <w:rsid w:val="000D50AC"/>
    <w:rPr>
      <w:rFonts w:eastAsiaTheme="majorEastAsia" w:cstheme="majorBidi"/>
      <w:b/>
      <w:bCs/>
      <w:i/>
      <w:szCs w:val="26"/>
    </w:rPr>
  </w:style>
  <w:style w:type="character" w:customStyle="1" w:styleId="Heading3Char">
    <w:name w:val="Heading 3 Char"/>
    <w:basedOn w:val="DefaultParagraphFont"/>
    <w:link w:val="Heading3"/>
    <w:uiPriority w:val="9"/>
    <w:rsid w:val="000D50AC"/>
    <w:rPr>
      <w:rFonts w:eastAsiaTheme="majorEastAsia" w:cstheme="majorBidi"/>
      <w:bCs/>
      <w:i/>
    </w:rPr>
  </w:style>
  <w:style w:type="character" w:customStyle="1" w:styleId="Heading4Char">
    <w:name w:val="Heading 4 Char"/>
    <w:basedOn w:val="DefaultParagraphFont"/>
    <w:link w:val="Heading4"/>
    <w:uiPriority w:val="9"/>
    <w:rsid w:val="000D50AC"/>
    <w:rPr>
      <w:rFonts w:ascii="Times New Roman" w:eastAsiaTheme="majorEastAsia" w:hAnsi="Times New Roman" w:cstheme="majorBidi"/>
      <w:bCs/>
      <w:i/>
      <w:iCs/>
      <w:color w:val="000000" w:themeColor="text1"/>
      <w:sz w:val="24"/>
      <w:lang w:eastAsia="en-GB"/>
    </w:rPr>
  </w:style>
  <w:style w:type="character" w:customStyle="1" w:styleId="Heading5Char">
    <w:name w:val="Heading 5 Char"/>
    <w:basedOn w:val="DefaultParagraphFont"/>
    <w:link w:val="Heading5"/>
    <w:uiPriority w:val="9"/>
    <w:semiHidden/>
    <w:rsid w:val="000D50AC"/>
    <w:rPr>
      <w:rFonts w:asciiTheme="majorHAnsi" w:eastAsiaTheme="majorEastAsia" w:hAnsiTheme="majorHAnsi" w:cstheme="majorBidi"/>
      <w:b/>
      <w:bCs/>
      <w:color w:val="7F7F7F" w:themeColor="text1" w:themeTint="80"/>
      <w:sz w:val="24"/>
      <w:lang w:eastAsia="en-GB"/>
    </w:rPr>
  </w:style>
  <w:style w:type="character" w:customStyle="1" w:styleId="Heading6Char">
    <w:name w:val="Heading 6 Char"/>
    <w:basedOn w:val="DefaultParagraphFont"/>
    <w:link w:val="Heading6"/>
    <w:uiPriority w:val="9"/>
    <w:semiHidden/>
    <w:rsid w:val="000D50AC"/>
    <w:rPr>
      <w:rFonts w:asciiTheme="majorHAnsi" w:eastAsiaTheme="majorEastAsia" w:hAnsiTheme="majorHAnsi" w:cstheme="majorBidi"/>
      <w:b/>
      <w:bCs/>
      <w:i/>
      <w:iCs/>
      <w:color w:val="7F7F7F" w:themeColor="text1" w:themeTint="80"/>
      <w:sz w:val="24"/>
      <w:lang w:eastAsia="en-GB"/>
    </w:rPr>
  </w:style>
  <w:style w:type="character" w:customStyle="1" w:styleId="Heading7Char">
    <w:name w:val="Heading 7 Char"/>
    <w:basedOn w:val="DefaultParagraphFont"/>
    <w:link w:val="Heading7"/>
    <w:uiPriority w:val="9"/>
    <w:semiHidden/>
    <w:rsid w:val="000D50AC"/>
    <w:rPr>
      <w:rFonts w:asciiTheme="majorHAnsi" w:eastAsiaTheme="majorEastAsia" w:hAnsiTheme="majorHAnsi" w:cstheme="majorBidi"/>
      <w:i/>
      <w:iCs/>
      <w:color w:val="000000" w:themeColor="text1"/>
      <w:sz w:val="24"/>
      <w:lang w:eastAsia="en-GB"/>
    </w:rPr>
  </w:style>
  <w:style w:type="character" w:customStyle="1" w:styleId="Heading8Char">
    <w:name w:val="Heading 8 Char"/>
    <w:basedOn w:val="DefaultParagraphFont"/>
    <w:link w:val="Heading8"/>
    <w:uiPriority w:val="9"/>
    <w:semiHidden/>
    <w:rsid w:val="000D50AC"/>
    <w:rPr>
      <w:rFonts w:asciiTheme="majorHAnsi" w:eastAsiaTheme="majorEastAsia" w:hAnsiTheme="majorHAnsi" w:cstheme="majorBidi"/>
      <w:color w:val="000000" w:themeColor="text1"/>
      <w:sz w:val="20"/>
      <w:szCs w:val="20"/>
      <w:lang w:eastAsia="en-GB"/>
    </w:rPr>
  </w:style>
  <w:style w:type="character" w:customStyle="1" w:styleId="Heading9Char">
    <w:name w:val="Heading 9 Char"/>
    <w:basedOn w:val="DefaultParagraphFont"/>
    <w:link w:val="Heading9"/>
    <w:uiPriority w:val="9"/>
    <w:semiHidden/>
    <w:rsid w:val="000D50AC"/>
    <w:rPr>
      <w:rFonts w:asciiTheme="majorHAnsi" w:eastAsiaTheme="majorEastAsia" w:hAnsiTheme="majorHAnsi" w:cstheme="majorBidi"/>
      <w:i/>
      <w:iCs/>
      <w:color w:val="000000" w:themeColor="text1"/>
      <w:spacing w:val="5"/>
      <w:sz w:val="20"/>
      <w:szCs w:val="20"/>
      <w:lang w:eastAsia="en-GB"/>
    </w:rPr>
  </w:style>
  <w:style w:type="paragraph" w:styleId="Header">
    <w:name w:val="header"/>
    <w:basedOn w:val="Normal"/>
    <w:link w:val="HeaderChar"/>
    <w:uiPriority w:val="99"/>
    <w:unhideWhenUsed/>
    <w:rsid w:val="000D50AC"/>
    <w:pPr>
      <w:tabs>
        <w:tab w:val="center" w:pos="4513"/>
        <w:tab w:val="right" w:pos="9026"/>
      </w:tabs>
      <w:contextualSpacing/>
      <w:jc w:val="both"/>
    </w:pPr>
    <w:rPr>
      <w:rFonts w:eastAsiaTheme="minorHAnsi" w:cstheme="minorBidi"/>
      <w:color w:val="000000" w:themeColor="text1"/>
      <w:szCs w:val="22"/>
    </w:rPr>
  </w:style>
  <w:style w:type="character" w:customStyle="1" w:styleId="HeaderChar">
    <w:name w:val="Header Char"/>
    <w:basedOn w:val="DefaultParagraphFont"/>
    <w:link w:val="Header"/>
    <w:uiPriority w:val="99"/>
    <w:rsid w:val="000D50AC"/>
    <w:rPr>
      <w:rFonts w:ascii="Times New Roman" w:eastAsiaTheme="minorEastAsia" w:hAnsi="Times New Roman"/>
      <w:color w:val="000000" w:themeColor="text1"/>
      <w:sz w:val="24"/>
      <w:lang w:eastAsia="en-GB"/>
    </w:rPr>
  </w:style>
  <w:style w:type="paragraph" w:styleId="Footer">
    <w:name w:val="footer"/>
    <w:basedOn w:val="Normal"/>
    <w:link w:val="FooterChar"/>
    <w:uiPriority w:val="99"/>
    <w:unhideWhenUsed/>
    <w:rsid w:val="000D50AC"/>
    <w:pPr>
      <w:tabs>
        <w:tab w:val="center" w:pos="4513"/>
        <w:tab w:val="right" w:pos="9026"/>
      </w:tabs>
      <w:contextualSpacing/>
      <w:jc w:val="center"/>
    </w:pPr>
    <w:rPr>
      <w:rFonts w:eastAsiaTheme="minorHAnsi" w:cstheme="minorBidi"/>
      <w:color w:val="000000" w:themeColor="text1"/>
      <w:szCs w:val="22"/>
    </w:rPr>
  </w:style>
  <w:style w:type="character" w:customStyle="1" w:styleId="FooterChar">
    <w:name w:val="Footer Char"/>
    <w:basedOn w:val="DefaultParagraphFont"/>
    <w:link w:val="Footer"/>
    <w:uiPriority w:val="99"/>
    <w:rsid w:val="000D50AC"/>
    <w:rPr>
      <w:rFonts w:ascii="Times New Roman" w:eastAsiaTheme="minorEastAsia" w:hAnsi="Times New Roman"/>
      <w:color w:val="000000" w:themeColor="text1"/>
      <w:sz w:val="24"/>
      <w:lang w:eastAsia="en-GB"/>
    </w:rPr>
  </w:style>
  <w:style w:type="paragraph" w:styleId="Quote">
    <w:name w:val="Quote"/>
    <w:basedOn w:val="Normal"/>
    <w:next w:val="Normal"/>
    <w:link w:val="QuoteChar"/>
    <w:uiPriority w:val="29"/>
    <w:qFormat/>
    <w:rsid w:val="000D50AC"/>
    <w:pPr>
      <w:spacing w:before="120" w:line="360" w:lineRule="auto"/>
      <w:ind w:left="567" w:right="567"/>
      <w:contextualSpacing/>
      <w:jc w:val="both"/>
    </w:pPr>
    <w:rPr>
      <w:rFonts w:eastAsiaTheme="minorHAnsi" w:cstheme="minorBidi"/>
      <w:i/>
      <w:iCs/>
      <w:color w:val="000000" w:themeColor="text1"/>
      <w:szCs w:val="22"/>
    </w:rPr>
  </w:style>
  <w:style w:type="character" w:customStyle="1" w:styleId="QuoteChar">
    <w:name w:val="Quote Char"/>
    <w:basedOn w:val="DefaultParagraphFont"/>
    <w:link w:val="Quote"/>
    <w:uiPriority w:val="29"/>
    <w:rsid w:val="000D50AC"/>
    <w:rPr>
      <w:rFonts w:ascii="Times New Roman" w:eastAsiaTheme="minorEastAsia" w:hAnsi="Times New Roman"/>
      <w:i/>
      <w:iCs/>
      <w:color w:val="000000" w:themeColor="text1"/>
      <w:sz w:val="24"/>
      <w:lang w:eastAsia="en-GB"/>
    </w:rPr>
  </w:style>
  <w:style w:type="paragraph" w:styleId="Title">
    <w:name w:val="Title"/>
    <w:basedOn w:val="Normal"/>
    <w:next w:val="Normal"/>
    <w:link w:val="TitleChar"/>
    <w:uiPriority w:val="10"/>
    <w:qFormat/>
    <w:rsid w:val="000D50AC"/>
    <w:pPr>
      <w:spacing w:after="120"/>
      <w:contextualSpacing/>
      <w:jc w:val="both"/>
    </w:pPr>
    <w:rPr>
      <w:rFonts w:eastAsiaTheme="majorEastAsia" w:cstheme="majorBidi"/>
      <w:color w:val="000000" w:themeColor="text1"/>
      <w:spacing w:val="5"/>
      <w:sz w:val="28"/>
      <w:szCs w:val="52"/>
    </w:rPr>
  </w:style>
  <w:style w:type="character" w:customStyle="1" w:styleId="TitleChar">
    <w:name w:val="Title Char"/>
    <w:basedOn w:val="DefaultParagraphFont"/>
    <w:link w:val="Title"/>
    <w:uiPriority w:val="10"/>
    <w:rsid w:val="000D50AC"/>
    <w:rPr>
      <w:rFonts w:ascii="Times New Roman" w:eastAsiaTheme="majorEastAsia" w:hAnsi="Times New Roman" w:cstheme="majorBidi"/>
      <w:color w:val="000000" w:themeColor="text1"/>
      <w:spacing w:val="5"/>
      <w:sz w:val="28"/>
      <w:szCs w:val="52"/>
      <w:lang w:eastAsia="en-GB"/>
    </w:rPr>
  </w:style>
  <w:style w:type="paragraph" w:styleId="Subtitle">
    <w:name w:val="Subtitle"/>
    <w:basedOn w:val="Normal"/>
    <w:next w:val="Normal"/>
    <w:link w:val="SubtitleChar"/>
    <w:uiPriority w:val="11"/>
    <w:qFormat/>
    <w:rsid w:val="000D50AC"/>
    <w:pPr>
      <w:spacing w:after="600" w:line="360" w:lineRule="auto"/>
      <w:contextualSpacing/>
      <w:jc w:val="both"/>
    </w:pPr>
    <w:rPr>
      <w:rFonts w:asciiTheme="majorHAnsi" w:eastAsiaTheme="majorEastAsia" w:hAnsiTheme="majorHAnsi" w:cstheme="majorBidi"/>
      <w:i/>
      <w:iCs/>
      <w:color w:val="000000" w:themeColor="text1"/>
      <w:spacing w:val="13"/>
    </w:rPr>
  </w:style>
  <w:style w:type="character" w:customStyle="1" w:styleId="SubtitleChar">
    <w:name w:val="Subtitle Char"/>
    <w:basedOn w:val="DefaultParagraphFont"/>
    <w:link w:val="Subtitle"/>
    <w:uiPriority w:val="11"/>
    <w:rsid w:val="000D50AC"/>
    <w:rPr>
      <w:rFonts w:asciiTheme="majorHAnsi" w:eastAsiaTheme="majorEastAsia" w:hAnsiTheme="majorHAnsi" w:cstheme="majorBidi"/>
      <w:i/>
      <w:iCs/>
      <w:color w:val="000000" w:themeColor="text1"/>
      <w:spacing w:val="13"/>
      <w:sz w:val="24"/>
      <w:szCs w:val="24"/>
      <w:lang w:eastAsia="en-GB"/>
    </w:rPr>
  </w:style>
  <w:style w:type="character" w:styleId="Strong">
    <w:name w:val="Strong"/>
    <w:uiPriority w:val="22"/>
    <w:qFormat/>
    <w:rsid w:val="000D50AC"/>
    <w:rPr>
      <w:b/>
      <w:bCs/>
    </w:rPr>
  </w:style>
  <w:style w:type="character" w:styleId="Emphasis">
    <w:name w:val="Emphasis"/>
    <w:uiPriority w:val="20"/>
    <w:qFormat/>
    <w:rsid w:val="000D50AC"/>
    <w:rPr>
      <w:b/>
      <w:bCs/>
      <w:i/>
      <w:iCs/>
      <w:spacing w:val="10"/>
      <w:bdr w:val="none" w:sz="0" w:space="0" w:color="auto"/>
      <w:shd w:val="clear" w:color="auto" w:fill="auto"/>
    </w:rPr>
  </w:style>
  <w:style w:type="paragraph" w:styleId="NoSpacing">
    <w:name w:val="No Spacing"/>
    <w:basedOn w:val="Normal"/>
    <w:uiPriority w:val="1"/>
    <w:qFormat/>
    <w:rsid w:val="000D50AC"/>
    <w:pPr>
      <w:contextualSpacing/>
      <w:jc w:val="both"/>
    </w:pPr>
    <w:rPr>
      <w:rFonts w:eastAsiaTheme="minorHAnsi" w:cstheme="minorBidi"/>
      <w:color w:val="000000" w:themeColor="text1"/>
      <w:szCs w:val="22"/>
    </w:rPr>
  </w:style>
  <w:style w:type="paragraph" w:styleId="ListParagraph">
    <w:name w:val="List Paragraph"/>
    <w:basedOn w:val="Normal"/>
    <w:uiPriority w:val="34"/>
    <w:qFormat/>
    <w:rsid w:val="000D50AC"/>
    <w:pPr>
      <w:spacing w:line="360" w:lineRule="auto"/>
      <w:ind w:left="720"/>
      <w:contextualSpacing/>
      <w:jc w:val="both"/>
    </w:pPr>
    <w:rPr>
      <w:rFonts w:eastAsiaTheme="minorHAnsi" w:cstheme="minorBidi"/>
      <w:color w:val="000000" w:themeColor="text1"/>
      <w:szCs w:val="22"/>
    </w:rPr>
  </w:style>
  <w:style w:type="paragraph" w:styleId="IntenseQuote">
    <w:name w:val="Intense Quote"/>
    <w:basedOn w:val="Normal"/>
    <w:next w:val="Normal"/>
    <w:link w:val="IntenseQuoteChar"/>
    <w:uiPriority w:val="30"/>
    <w:qFormat/>
    <w:rsid w:val="000D50AC"/>
    <w:pPr>
      <w:pBdr>
        <w:bottom w:val="single" w:sz="4" w:space="1" w:color="auto"/>
      </w:pBdr>
      <w:spacing w:before="200" w:after="280" w:line="360" w:lineRule="auto"/>
      <w:ind w:left="1008" w:right="1152"/>
      <w:contextualSpacing/>
      <w:jc w:val="both"/>
    </w:pPr>
    <w:rPr>
      <w:rFonts w:eastAsiaTheme="minorHAnsi" w:cstheme="minorBidi"/>
      <w:b/>
      <w:bCs/>
      <w:i/>
      <w:iCs/>
      <w:color w:val="000000" w:themeColor="text1"/>
      <w:szCs w:val="22"/>
    </w:rPr>
  </w:style>
  <w:style w:type="character" w:customStyle="1" w:styleId="IntenseQuoteChar">
    <w:name w:val="Intense Quote Char"/>
    <w:basedOn w:val="DefaultParagraphFont"/>
    <w:link w:val="IntenseQuote"/>
    <w:uiPriority w:val="30"/>
    <w:rsid w:val="000D50AC"/>
    <w:rPr>
      <w:rFonts w:ascii="Times New Roman" w:eastAsiaTheme="minorEastAsia" w:hAnsi="Times New Roman"/>
      <w:b/>
      <w:bCs/>
      <w:i/>
      <w:iCs/>
      <w:color w:val="000000" w:themeColor="text1"/>
      <w:sz w:val="24"/>
      <w:lang w:eastAsia="en-GB"/>
    </w:rPr>
  </w:style>
  <w:style w:type="character" w:styleId="SubtleEmphasis">
    <w:name w:val="Subtle Emphasis"/>
    <w:uiPriority w:val="19"/>
    <w:qFormat/>
    <w:rsid w:val="000D50AC"/>
    <w:rPr>
      <w:i/>
      <w:iCs/>
    </w:rPr>
  </w:style>
  <w:style w:type="character" w:styleId="IntenseEmphasis">
    <w:name w:val="Intense Emphasis"/>
    <w:uiPriority w:val="21"/>
    <w:qFormat/>
    <w:rsid w:val="000D50AC"/>
    <w:rPr>
      <w:b/>
      <w:bCs/>
    </w:rPr>
  </w:style>
  <w:style w:type="character" w:styleId="SubtleReference">
    <w:name w:val="Subtle Reference"/>
    <w:uiPriority w:val="31"/>
    <w:qFormat/>
    <w:rsid w:val="000D50AC"/>
    <w:rPr>
      <w:smallCaps/>
    </w:rPr>
  </w:style>
  <w:style w:type="character" w:styleId="IntenseReference">
    <w:name w:val="Intense Reference"/>
    <w:uiPriority w:val="32"/>
    <w:qFormat/>
    <w:rsid w:val="000D50AC"/>
    <w:rPr>
      <w:smallCaps/>
      <w:spacing w:val="5"/>
      <w:u w:val="single"/>
    </w:rPr>
  </w:style>
  <w:style w:type="character" w:styleId="BookTitle">
    <w:name w:val="Book Title"/>
    <w:uiPriority w:val="33"/>
    <w:qFormat/>
    <w:rsid w:val="000D50AC"/>
    <w:rPr>
      <w:i/>
      <w:iCs/>
      <w:smallCaps/>
      <w:spacing w:val="5"/>
    </w:rPr>
  </w:style>
  <w:style w:type="paragraph" w:styleId="TOCHeading">
    <w:name w:val="TOC Heading"/>
    <w:basedOn w:val="Heading1"/>
    <w:next w:val="Normal"/>
    <w:uiPriority w:val="39"/>
    <w:unhideWhenUsed/>
    <w:qFormat/>
    <w:rsid w:val="000D50AC"/>
    <w:pPr>
      <w:outlineLvl w:val="9"/>
    </w:pPr>
    <w:rPr>
      <w:lang w:bidi="en-US"/>
    </w:rPr>
  </w:style>
  <w:style w:type="paragraph" w:styleId="Caption">
    <w:name w:val="caption"/>
    <w:basedOn w:val="Normal"/>
    <w:next w:val="Normal"/>
    <w:uiPriority w:val="35"/>
    <w:unhideWhenUsed/>
    <w:qFormat/>
    <w:rsid w:val="000D50AC"/>
    <w:pPr>
      <w:spacing w:line="360" w:lineRule="auto"/>
      <w:contextualSpacing/>
      <w:jc w:val="both"/>
    </w:pPr>
    <w:rPr>
      <w:rFonts w:eastAsiaTheme="minorHAnsi" w:cstheme="minorBidi"/>
      <w:bCs/>
      <w:color w:val="000000" w:themeColor="text1"/>
      <w:szCs w:val="18"/>
    </w:rPr>
  </w:style>
  <w:style w:type="table" w:styleId="TableGrid">
    <w:name w:val="Table Grid"/>
    <w:basedOn w:val="TableNormal"/>
    <w:uiPriority w:val="59"/>
    <w:rsid w:val="000D50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D50AC"/>
    <w:pPr>
      <w:spacing w:line="360" w:lineRule="auto"/>
      <w:contextualSpacing/>
      <w:jc w:val="both"/>
    </w:pPr>
    <w:rPr>
      <w:rFonts w:eastAsiaTheme="minorHAnsi" w:cstheme="minorBidi"/>
      <w:color w:val="000000" w:themeColor="text1"/>
      <w:szCs w:val="22"/>
    </w:rPr>
  </w:style>
  <w:style w:type="character" w:styleId="Hyperlink">
    <w:name w:val="Hyperlink"/>
    <w:basedOn w:val="DefaultParagraphFont"/>
    <w:uiPriority w:val="99"/>
    <w:unhideWhenUsed/>
    <w:rsid w:val="000D50AC"/>
    <w:rPr>
      <w:color w:val="0563C1" w:themeColor="hyperlink"/>
      <w:u w:val="single"/>
    </w:rPr>
  </w:style>
  <w:style w:type="paragraph" w:styleId="TOC1">
    <w:name w:val="toc 1"/>
    <w:basedOn w:val="Normal"/>
    <w:next w:val="Normal"/>
    <w:autoRedefine/>
    <w:uiPriority w:val="39"/>
    <w:unhideWhenUsed/>
    <w:rsid w:val="000D50AC"/>
    <w:pPr>
      <w:spacing w:before="120" w:line="360" w:lineRule="auto"/>
      <w:contextualSpacing/>
      <w:jc w:val="both"/>
    </w:pPr>
    <w:rPr>
      <w:rFonts w:eastAsiaTheme="minorHAnsi" w:cstheme="minorBidi"/>
      <w:color w:val="000000" w:themeColor="text1"/>
      <w:szCs w:val="22"/>
    </w:rPr>
  </w:style>
  <w:style w:type="paragraph" w:styleId="TOC2">
    <w:name w:val="toc 2"/>
    <w:basedOn w:val="Normal"/>
    <w:next w:val="Normal"/>
    <w:autoRedefine/>
    <w:uiPriority w:val="39"/>
    <w:unhideWhenUsed/>
    <w:rsid w:val="000D50AC"/>
    <w:pPr>
      <w:spacing w:line="360" w:lineRule="auto"/>
      <w:ind w:left="221"/>
      <w:contextualSpacing/>
      <w:jc w:val="both"/>
    </w:pPr>
    <w:rPr>
      <w:rFonts w:eastAsiaTheme="minorHAnsi" w:cstheme="minorBidi"/>
      <w:color w:val="000000" w:themeColor="text1"/>
      <w:szCs w:val="22"/>
    </w:rPr>
  </w:style>
  <w:style w:type="paragraph" w:styleId="TOC3">
    <w:name w:val="toc 3"/>
    <w:basedOn w:val="Normal"/>
    <w:next w:val="Normal"/>
    <w:autoRedefine/>
    <w:uiPriority w:val="39"/>
    <w:unhideWhenUsed/>
    <w:rsid w:val="000D50AC"/>
    <w:pPr>
      <w:spacing w:line="360" w:lineRule="auto"/>
      <w:ind w:left="442"/>
      <w:contextualSpacing/>
      <w:jc w:val="both"/>
    </w:pPr>
    <w:rPr>
      <w:rFonts w:eastAsiaTheme="minorHAnsi" w:cstheme="minorBidi"/>
      <w:color w:val="000000" w:themeColor="text1"/>
      <w:szCs w:val="22"/>
    </w:rPr>
  </w:style>
  <w:style w:type="paragraph" w:styleId="NormalWeb">
    <w:name w:val="Normal (Web)"/>
    <w:basedOn w:val="Normal"/>
    <w:uiPriority w:val="99"/>
    <w:unhideWhenUsed/>
    <w:rsid w:val="000D50AC"/>
    <w:pPr>
      <w:spacing w:before="100" w:beforeAutospacing="1" w:after="100" w:afterAutospacing="1"/>
      <w:jc w:val="both"/>
    </w:pPr>
    <w:rPr>
      <w:rFonts w:ascii="Times" w:eastAsiaTheme="minorHAnsi" w:hAnsi="Times"/>
      <w:sz w:val="20"/>
      <w:szCs w:val="20"/>
    </w:rPr>
  </w:style>
  <w:style w:type="paragraph" w:styleId="DocumentMap">
    <w:name w:val="Document Map"/>
    <w:basedOn w:val="Normal"/>
    <w:link w:val="DocumentMapChar"/>
    <w:uiPriority w:val="99"/>
    <w:semiHidden/>
    <w:unhideWhenUsed/>
    <w:rsid w:val="000D50AC"/>
    <w:pPr>
      <w:contextualSpacing/>
      <w:jc w:val="both"/>
    </w:pPr>
    <w:rPr>
      <w:rFonts w:ascii="Lucida Grande" w:eastAsiaTheme="minorHAnsi" w:hAnsi="Lucida Grande" w:cs="Lucida Grande"/>
      <w:color w:val="000000" w:themeColor="text1"/>
    </w:rPr>
  </w:style>
  <w:style w:type="character" w:customStyle="1" w:styleId="DocumentMapChar">
    <w:name w:val="Document Map Char"/>
    <w:basedOn w:val="DefaultParagraphFont"/>
    <w:link w:val="DocumentMap"/>
    <w:uiPriority w:val="99"/>
    <w:semiHidden/>
    <w:rsid w:val="000D50AC"/>
    <w:rPr>
      <w:rFonts w:ascii="Lucida Grande" w:eastAsiaTheme="minorEastAsia" w:hAnsi="Lucida Grande" w:cs="Lucida Grande"/>
      <w:color w:val="000000" w:themeColor="text1"/>
      <w:sz w:val="24"/>
      <w:szCs w:val="24"/>
      <w:lang w:eastAsia="en-GB"/>
    </w:rPr>
  </w:style>
  <w:style w:type="character" w:styleId="PageNumber">
    <w:name w:val="page number"/>
    <w:basedOn w:val="DefaultParagraphFont"/>
    <w:uiPriority w:val="99"/>
    <w:semiHidden/>
    <w:unhideWhenUsed/>
    <w:rsid w:val="000D50AC"/>
  </w:style>
  <w:style w:type="paragraph" w:styleId="FootnoteText">
    <w:name w:val="footnote text"/>
    <w:basedOn w:val="Normal"/>
    <w:link w:val="FootnoteTextChar"/>
    <w:uiPriority w:val="99"/>
    <w:unhideWhenUsed/>
    <w:rsid w:val="000D50AC"/>
    <w:pPr>
      <w:spacing w:line="360" w:lineRule="auto"/>
      <w:jc w:val="both"/>
    </w:pPr>
    <w:rPr>
      <w:rFonts w:eastAsiaTheme="minorHAnsi" w:cs="Arial"/>
      <w:szCs w:val="22"/>
    </w:rPr>
  </w:style>
  <w:style w:type="character" w:customStyle="1" w:styleId="FootnoteTextChar">
    <w:name w:val="Footnote Text Char"/>
    <w:basedOn w:val="DefaultParagraphFont"/>
    <w:link w:val="FootnoteText"/>
    <w:uiPriority w:val="99"/>
    <w:rsid w:val="000D50AC"/>
    <w:rPr>
      <w:rFonts w:ascii="Times New Roman" w:eastAsiaTheme="minorEastAsia" w:hAnsi="Times New Roman" w:cs="Arial"/>
      <w:sz w:val="24"/>
    </w:rPr>
  </w:style>
  <w:style w:type="character" w:styleId="FootnoteReference">
    <w:name w:val="footnote reference"/>
    <w:basedOn w:val="DefaultParagraphFont"/>
    <w:uiPriority w:val="99"/>
    <w:unhideWhenUsed/>
    <w:rsid w:val="000D50AC"/>
    <w:rPr>
      <w:vertAlign w:val="superscript"/>
    </w:rPr>
  </w:style>
  <w:style w:type="character" w:customStyle="1" w:styleId="apple-converted-space">
    <w:name w:val="apple-converted-space"/>
    <w:basedOn w:val="DefaultParagraphFont"/>
    <w:rsid w:val="000D50AC"/>
  </w:style>
  <w:style w:type="paragraph" w:styleId="BalloonText">
    <w:name w:val="Balloon Text"/>
    <w:basedOn w:val="Normal"/>
    <w:link w:val="BalloonTextChar"/>
    <w:uiPriority w:val="99"/>
    <w:semiHidden/>
    <w:unhideWhenUsed/>
    <w:rsid w:val="000D50AC"/>
    <w:pPr>
      <w:spacing w:line="360" w:lineRule="auto"/>
      <w:jc w:val="both"/>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0D50A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D50AC"/>
    <w:rPr>
      <w:sz w:val="16"/>
      <w:szCs w:val="16"/>
    </w:rPr>
  </w:style>
  <w:style w:type="paragraph" w:styleId="CommentText">
    <w:name w:val="annotation text"/>
    <w:basedOn w:val="Normal"/>
    <w:link w:val="CommentTextChar"/>
    <w:uiPriority w:val="99"/>
    <w:unhideWhenUsed/>
    <w:rsid w:val="000D50AC"/>
    <w:pPr>
      <w:jc w:val="both"/>
    </w:pPr>
    <w:rPr>
      <w:rFonts w:eastAsiaTheme="minorHAnsi" w:cs="Arial"/>
      <w:sz w:val="20"/>
      <w:szCs w:val="20"/>
    </w:rPr>
  </w:style>
  <w:style w:type="character" w:customStyle="1" w:styleId="CommentTextChar">
    <w:name w:val="Comment Text Char"/>
    <w:basedOn w:val="DefaultParagraphFont"/>
    <w:link w:val="CommentText"/>
    <w:uiPriority w:val="99"/>
    <w:rsid w:val="000D50AC"/>
    <w:rPr>
      <w:rFonts w:ascii="Times New Roman" w:eastAsiaTheme="minorEastAsia" w:hAnsi="Times New Roman" w:cs="Arial"/>
      <w:sz w:val="20"/>
      <w:szCs w:val="20"/>
    </w:rPr>
  </w:style>
  <w:style w:type="paragraph" w:styleId="CommentSubject">
    <w:name w:val="annotation subject"/>
    <w:basedOn w:val="CommentText"/>
    <w:next w:val="CommentText"/>
    <w:link w:val="CommentSubjectChar"/>
    <w:uiPriority w:val="99"/>
    <w:semiHidden/>
    <w:unhideWhenUsed/>
    <w:rsid w:val="000D50AC"/>
    <w:rPr>
      <w:b/>
      <w:bCs/>
    </w:rPr>
  </w:style>
  <w:style w:type="character" w:customStyle="1" w:styleId="CommentSubjectChar">
    <w:name w:val="Comment Subject Char"/>
    <w:basedOn w:val="CommentTextChar"/>
    <w:link w:val="CommentSubject"/>
    <w:uiPriority w:val="99"/>
    <w:semiHidden/>
    <w:rsid w:val="000D50AC"/>
    <w:rPr>
      <w:rFonts w:ascii="Times New Roman" w:eastAsiaTheme="minorEastAsia" w:hAnsi="Times New Roman" w:cs="Arial"/>
      <w:b/>
      <w:bCs/>
      <w:sz w:val="20"/>
      <w:szCs w:val="20"/>
    </w:rPr>
  </w:style>
  <w:style w:type="paragraph" w:customStyle="1" w:styleId="TableFig">
    <w:name w:val="TableFig"/>
    <w:basedOn w:val="Normal"/>
    <w:qFormat/>
    <w:rsid w:val="000D50AC"/>
    <w:pPr>
      <w:spacing w:before="20" w:after="20"/>
      <w:contextualSpacing/>
      <w:jc w:val="both"/>
    </w:pPr>
    <w:rPr>
      <w:rFonts w:eastAsiaTheme="minorHAnsi"/>
      <w:noProof/>
    </w:rPr>
  </w:style>
  <w:style w:type="character" w:styleId="PlaceholderText">
    <w:name w:val="Placeholder Text"/>
    <w:basedOn w:val="DefaultParagraphFont"/>
    <w:uiPriority w:val="99"/>
    <w:semiHidden/>
    <w:rsid w:val="000D50AC"/>
    <w:rPr>
      <w:color w:val="808080"/>
    </w:rPr>
  </w:style>
  <w:style w:type="character" w:styleId="EndnoteReference">
    <w:name w:val="endnote reference"/>
    <w:basedOn w:val="DefaultParagraphFont"/>
    <w:uiPriority w:val="99"/>
    <w:semiHidden/>
    <w:unhideWhenUsed/>
    <w:rsid w:val="000D50AC"/>
    <w:rPr>
      <w:vertAlign w:val="superscript"/>
    </w:rPr>
  </w:style>
  <w:style w:type="paragraph" w:customStyle="1" w:styleId="ReportText">
    <w:name w:val="Report Text"/>
    <w:link w:val="ReportTextChar"/>
    <w:rsid w:val="000D50AC"/>
    <w:pPr>
      <w:spacing w:after="0" w:line="288" w:lineRule="auto"/>
      <w:jc w:val="both"/>
    </w:pPr>
    <w:rPr>
      <w:rFonts w:ascii="Arial" w:eastAsia="Times New Roman" w:hAnsi="Arial" w:cs="Times New Roman"/>
      <w:szCs w:val="24"/>
    </w:rPr>
  </w:style>
  <w:style w:type="character" w:customStyle="1" w:styleId="ReportTextChar">
    <w:name w:val="Report Text Char"/>
    <w:link w:val="ReportText"/>
    <w:locked/>
    <w:rsid w:val="000D50AC"/>
    <w:rPr>
      <w:rFonts w:ascii="Arial" w:eastAsia="Times New Roman" w:hAnsi="Arial" w:cs="Times New Roman"/>
      <w:szCs w:val="24"/>
    </w:rPr>
  </w:style>
  <w:style w:type="paragraph" w:styleId="HTMLPreformatted">
    <w:name w:val="HTML Preformatted"/>
    <w:basedOn w:val="Normal"/>
    <w:link w:val="HTMLPreformattedChar"/>
    <w:uiPriority w:val="99"/>
    <w:semiHidden/>
    <w:unhideWhenUsed/>
    <w:rsid w:val="000D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50AC"/>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0D50AC"/>
    <w:rPr>
      <w:color w:val="954F72" w:themeColor="followedHyperlink"/>
      <w:u w:val="single"/>
    </w:rPr>
  </w:style>
  <w:style w:type="paragraph" w:customStyle="1" w:styleId="Nonnumberedheading1">
    <w:name w:val="Non numbered heading 1"/>
    <w:basedOn w:val="Normal"/>
    <w:next w:val="Normal"/>
    <w:link w:val="Nonnumberedheading1Char"/>
    <w:qFormat/>
    <w:rsid w:val="000D50AC"/>
    <w:pPr>
      <w:spacing w:before="480"/>
      <w:contextualSpacing/>
      <w:jc w:val="both"/>
    </w:pPr>
    <w:rPr>
      <w:b/>
      <w:sz w:val="28"/>
      <w:szCs w:val="28"/>
    </w:rPr>
  </w:style>
  <w:style w:type="character" w:customStyle="1" w:styleId="Nonnumberedheading1Char">
    <w:name w:val="Non numbered heading 1 Char"/>
    <w:link w:val="Nonnumberedheading1"/>
    <w:rsid w:val="000D50AC"/>
    <w:rPr>
      <w:rFonts w:ascii="Times New Roman" w:eastAsia="Times New Roman" w:hAnsi="Times New Roman" w:cs="Times New Roman"/>
      <w:b/>
      <w:sz w:val="28"/>
      <w:szCs w:val="28"/>
    </w:rPr>
  </w:style>
  <w:style w:type="paragraph" w:styleId="Revision">
    <w:name w:val="Revision"/>
    <w:hidden/>
    <w:uiPriority w:val="99"/>
    <w:semiHidden/>
    <w:rsid w:val="000D50AC"/>
    <w:pPr>
      <w:spacing w:after="0" w:line="240" w:lineRule="auto"/>
    </w:pPr>
    <w:rPr>
      <w:rFonts w:ascii="Calibri" w:eastAsia="Calibri" w:hAnsi="Calibri" w:cs="Times New Roman"/>
    </w:rPr>
  </w:style>
  <w:style w:type="paragraph" w:styleId="Index1">
    <w:name w:val="index 1"/>
    <w:basedOn w:val="Normal"/>
    <w:next w:val="Normal"/>
    <w:autoRedefine/>
    <w:uiPriority w:val="99"/>
    <w:unhideWhenUsed/>
    <w:rsid w:val="000D50AC"/>
    <w:pPr>
      <w:spacing w:line="360" w:lineRule="auto"/>
      <w:ind w:left="240" w:hanging="240"/>
      <w:contextualSpacing/>
    </w:pPr>
    <w:rPr>
      <w:rFonts w:eastAsiaTheme="minorHAnsi" w:cstheme="minorBidi"/>
      <w:color w:val="000000" w:themeColor="text1"/>
      <w:sz w:val="20"/>
      <w:szCs w:val="20"/>
    </w:rPr>
  </w:style>
  <w:style w:type="paragraph" w:styleId="Index2">
    <w:name w:val="index 2"/>
    <w:basedOn w:val="Normal"/>
    <w:next w:val="Normal"/>
    <w:autoRedefine/>
    <w:uiPriority w:val="99"/>
    <w:unhideWhenUsed/>
    <w:rsid w:val="000D50AC"/>
    <w:pPr>
      <w:spacing w:line="360" w:lineRule="auto"/>
      <w:ind w:left="480" w:hanging="240"/>
      <w:contextualSpacing/>
    </w:pPr>
    <w:rPr>
      <w:rFonts w:asciiTheme="minorHAnsi" w:eastAsiaTheme="minorHAnsi" w:hAnsiTheme="minorHAnsi" w:cstheme="minorBidi"/>
      <w:color w:val="000000" w:themeColor="text1"/>
      <w:sz w:val="20"/>
      <w:szCs w:val="20"/>
    </w:rPr>
  </w:style>
  <w:style w:type="paragraph" w:styleId="Index3">
    <w:name w:val="index 3"/>
    <w:basedOn w:val="Normal"/>
    <w:next w:val="Normal"/>
    <w:autoRedefine/>
    <w:uiPriority w:val="99"/>
    <w:unhideWhenUsed/>
    <w:rsid w:val="000D50AC"/>
    <w:pPr>
      <w:spacing w:line="360" w:lineRule="auto"/>
      <w:ind w:left="720" w:hanging="240"/>
      <w:contextualSpacing/>
    </w:pPr>
    <w:rPr>
      <w:rFonts w:asciiTheme="minorHAnsi" w:eastAsiaTheme="minorHAnsi" w:hAnsiTheme="minorHAnsi" w:cstheme="minorBidi"/>
      <w:color w:val="000000" w:themeColor="text1"/>
      <w:sz w:val="20"/>
      <w:szCs w:val="20"/>
    </w:rPr>
  </w:style>
  <w:style w:type="paragraph" w:styleId="Index4">
    <w:name w:val="index 4"/>
    <w:basedOn w:val="Normal"/>
    <w:next w:val="Normal"/>
    <w:autoRedefine/>
    <w:uiPriority w:val="99"/>
    <w:unhideWhenUsed/>
    <w:rsid w:val="000D50AC"/>
    <w:pPr>
      <w:spacing w:line="360" w:lineRule="auto"/>
      <w:ind w:left="960" w:hanging="240"/>
      <w:contextualSpacing/>
    </w:pPr>
    <w:rPr>
      <w:rFonts w:asciiTheme="minorHAnsi" w:eastAsiaTheme="minorHAnsi" w:hAnsiTheme="minorHAnsi" w:cstheme="minorBidi"/>
      <w:color w:val="000000" w:themeColor="text1"/>
      <w:sz w:val="20"/>
      <w:szCs w:val="20"/>
    </w:rPr>
  </w:style>
  <w:style w:type="paragraph" w:styleId="Index5">
    <w:name w:val="index 5"/>
    <w:basedOn w:val="Normal"/>
    <w:next w:val="Normal"/>
    <w:autoRedefine/>
    <w:uiPriority w:val="99"/>
    <w:unhideWhenUsed/>
    <w:rsid w:val="000D50AC"/>
    <w:pPr>
      <w:spacing w:line="360" w:lineRule="auto"/>
      <w:ind w:left="1200" w:hanging="240"/>
      <w:contextualSpacing/>
    </w:pPr>
    <w:rPr>
      <w:rFonts w:asciiTheme="minorHAnsi" w:eastAsiaTheme="minorHAnsi" w:hAnsiTheme="minorHAnsi" w:cstheme="minorBidi"/>
      <w:color w:val="000000" w:themeColor="text1"/>
      <w:sz w:val="20"/>
      <w:szCs w:val="20"/>
    </w:rPr>
  </w:style>
  <w:style w:type="paragraph" w:styleId="Index6">
    <w:name w:val="index 6"/>
    <w:basedOn w:val="Normal"/>
    <w:next w:val="Normal"/>
    <w:autoRedefine/>
    <w:uiPriority w:val="99"/>
    <w:unhideWhenUsed/>
    <w:rsid w:val="000D50AC"/>
    <w:pPr>
      <w:spacing w:line="360" w:lineRule="auto"/>
      <w:ind w:left="1440" w:hanging="240"/>
      <w:contextualSpacing/>
    </w:pPr>
    <w:rPr>
      <w:rFonts w:asciiTheme="minorHAnsi" w:eastAsiaTheme="minorHAnsi" w:hAnsiTheme="minorHAnsi" w:cstheme="minorBidi"/>
      <w:color w:val="000000" w:themeColor="text1"/>
      <w:sz w:val="20"/>
      <w:szCs w:val="20"/>
    </w:rPr>
  </w:style>
  <w:style w:type="paragraph" w:styleId="Index7">
    <w:name w:val="index 7"/>
    <w:basedOn w:val="Normal"/>
    <w:next w:val="Normal"/>
    <w:autoRedefine/>
    <w:uiPriority w:val="99"/>
    <w:unhideWhenUsed/>
    <w:rsid w:val="000D50AC"/>
    <w:pPr>
      <w:spacing w:line="360" w:lineRule="auto"/>
      <w:ind w:left="1680" w:hanging="240"/>
      <w:contextualSpacing/>
    </w:pPr>
    <w:rPr>
      <w:rFonts w:asciiTheme="minorHAnsi" w:eastAsiaTheme="minorHAnsi" w:hAnsiTheme="minorHAnsi" w:cstheme="minorBidi"/>
      <w:color w:val="000000" w:themeColor="text1"/>
      <w:sz w:val="20"/>
      <w:szCs w:val="20"/>
    </w:rPr>
  </w:style>
  <w:style w:type="paragraph" w:styleId="Index8">
    <w:name w:val="index 8"/>
    <w:basedOn w:val="Normal"/>
    <w:next w:val="Normal"/>
    <w:autoRedefine/>
    <w:uiPriority w:val="99"/>
    <w:unhideWhenUsed/>
    <w:rsid w:val="000D50AC"/>
    <w:pPr>
      <w:spacing w:line="360" w:lineRule="auto"/>
      <w:ind w:left="1920" w:hanging="240"/>
      <w:contextualSpacing/>
    </w:pPr>
    <w:rPr>
      <w:rFonts w:asciiTheme="minorHAnsi" w:eastAsiaTheme="minorHAnsi" w:hAnsiTheme="minorHAnsi" w:cstheme="minorBidi"/>
      <w:color w:val="000000" w:themeColor="text1"/>
      <w:sz w:val="20"/>
      <w:szCs w:val="20"/>
    </w:rPr>
  </w:style>
  <w:style w:type="paragraph" w:styleId="Index9">
    <w:name w:val="index 9"/>
    <w:basedOn w:val="Normal"/>
    <w:next w:val="Normal"/>
    <w:autoRedefine/>
    <w:uiPriority w:val="99"/>
    <w:unhideWhenUsed/>
    <w:rsid w:val="000D50AC"/>
    <w:pPr>
      <w:spacing w:line="360" w:lineRule="auto"/>
      <w:ind w:left="2160" w:hanging="240"/>
      <w:contextualSpacing/>
    </w:pPr>
    <w:rPr>
      <w:rFonts w:asciiTheme="minorHAnsi" w:eastAsiaTheme="minorHAnsi" w:hAnsiTheme="minorHAnsi" w:cstheme="minorBidi"/>
      <w:color w:val="000000" w:themeColor="text1"/>
      <w:sz w:val="20"/>
      <w:szCs w:val="20"/>
    </w:rPr>
  </w:style>
  <w:style w:type="paragraph" w:styleId="IndexHeading">
    <w:name w:val="index heading"/>
    <w:basedOn w:val="Normal"/>
    <w:next w:val="Index1"/>
    <w:uiPriority w:val="99"/>
    <w:unhideWhenUsed/>
    <w:rsid w:val="000D50AC"/>
    <w:pPr>
      <w:spacing w:before="120" w:after="120" w:line="360" w:lineRule="auto"/>
      <w:contextualSpacing/>
    </w:pPr>
    <w:rPr>
      <w:rFonts w:asciiTheme="minorHAnsi" w:eastAsiaTheme="minorHAnsi" w:hAnsiTheme="minorHAnsi" w:cstheme="minorBidi"/>
      <w:i/>
      <w:color w:val="000000" w:themeColor="text1"/>
      <w:sz w:val="20"/>
      <w:szCs w:val="20"/>
    </w:rPr>
  </w:style>
  <w:style w:type="paragraph" w:styleId="TOC4">
    <w:name w:val="toc 4"/>
    <w:basedOn w:val="Normal"/>
    <w:next w:val="Normal"/>
    <w:autoRedefine/>
    <w:uiPriority w:val="39"/>
    <w:unhideWhenUsed/>
    <w:rsid w:val="000D50AC"/>
    <w:pPr>
      <w:spacing w:line="360" w:lineRule="auto"/>
      <w:ind w:left="720"/>
      <w:contextualSpacing/>
    </w:pPr>
    <w:rPr>
      <w:rFonts w:eastAsiaTheme="minorHAnsi" w:cstheme="minorBidi"/>
      <w:color w:val="000000" w:themeColor="text1"/>
      <w:sz w:val="18"/>
      <w:szCs w:val="18"/>
    </w:rPr>
  </w:style>
  <w:style w:type="paragraph" w:styleId="TOC5">
    <w:name w:val="toc 5"/>
    <w:basedOn w:val="Normal"/>
    <w:next w:val="Normal"/>
    <w:autoRedefine/>
    <w:uiPriority w:val="39"/>
    <w:unhideWhenUsed/>
    <w:rsid w:val="000D50AC"/>
    <w:pPr>
      <w:spacing w:line="360" w:lineRule="auto"/>
      <w:ind w:left="960"/>
      <w:contextualSpacing/>
    </w:pPr>
    <w:rPr>
      <w:rFonts w:asciiTheme="minorHAnsi" w:eastAsiaTheme="minorHAnsi" w:hAnsiTheme="minorHAnsi" w:cstheme="minorBidi"/>
      <w:color w:val="000000" w:themeColor="text1"/>
      <w:sz w:val="18"/>
      <w:szCs w:val="18"/>
    </w:rPr>
  </w:style>
  <w:style w:type="paragraph" w:styleId="TOC6">
    <w:name w:val="toc 6"/>
    <w:basedOn w:val="Normal"/>
    <w:next w:val="Normal"/>
    <w:autoRedefine/>
    <w:uiPriority w:val="39"/>
    <w:unhideWhenUsed/>
    <w:rsid w:val="000D50AC"/>
    <w:pPr>
      <w:spacing w:line="360" w:lineRule="auto"/>
      <w:ind w:left="1200"/>
      <w:contextualSpacing/>
    </w:pPr>
    <w:rPr>
      <w:rFonts w:asciiTheme="minorHAnsi" w:eastAsiaTheme="minorHAnsi" w:hAnsiTheme="minorHAnsi" w:cstheme="minorBidi"/>
      <w:color w:val="000000" w:themeColor="text1"/>
      <w:sz w:val="18"/>
      <w:szCs w:val="18"/>
    </w:rPr>
  </w:style>
  <w:style w:type="paragraph" w:styleId="TOC7">
    <w:name w:val="toc 7"/>
    <w:basedOn w:val="Normal"/>
    <w:next w:val="Normal"/>
    <w:autoRedefine/>
    <w:uiPriority w:val="39"/>
    <w:unhideWhenUsed/>
    <w:rsid w:val="000D50AC"/>
    <w:pPr>
      <w:spacing w:line="360" w:lineRule="auto"/>
      <w:ind w:left="1440"/>
      <w:contextualSpacing/>
    </w:pPr>
    <w:rPr>
      <w:rFonts w:asciiTheme="minorHAnsi" w:eastAsiaTheme="minorHAnsi" w:hAnsiTheme="minorHAnsi" w:cstheme="minorBidi"/>
      <w:color w:val="000000" w:themeColor="text1"/>
      <w:sz w:val="18"/>
      <w:szCs w:val="18"/>
    </w:rPr>
  </w:style>
  <w:style w:type="paragraph" w:styleId="TOC8">
    <w:name w:val="toc 8"/>
    <w:basedOn w:val="Normal"/>
    <w:next w:val="Normal"/>
    <w:autoRedefine/>
    <w:uiPriority w:val="39"/>
    <w:unhideWhenUsed/>
    <w:rsid w:val="000D50AC"/>
    <w:pPr>
      <w:spacing w:line="360" w:lineRule="auto"/>
      <w:ind w:left="1680"/>
      <w:contextualSpacing/>
    </w:pPr>
    <w:rPr>
      <w:rFonts w:asciiTheme="minorHAnsi" w:eastAsiaTheme="minorHAnsi" w:hAnsiTheme="minorHAnsi" w:cstheme="minorBidi"/>
      <w:color w:val="000000" w:themeColor="text1"/>
      <w:sz w:val="18"/>
      <w:szCs w:val="18"/>
    </w:rPr>
  </w:style>
  <w:style w:type="paragraph" w:styleId="TOC9">
    <w:name w:val="toc 9"/>
    <w:basedOn w:val="Normal"/>
    <w:next w:val="Normal"/>
    <w:autoRedefine/>
    <w:uiPriority w:val="39"/>
    <w:unhideWhenUsed/>
    <w:rsid w:val="000D50AC"/>
    <w:pPr>
      <w:spacing w:line="360" w:lineRule="auto"/>
      <w:ind w:left="1920"/>
      <w:contextualSpacing/>
    </w:pPr>
    <w:rPr>
      <w:rFonts w:asciiTheme="minorHAnsi" w:eastAsiaTheme="minorHAnsi" w:hAnsiTheme="minorHAnsi" w:cstheme="minorBidi"/>
      <w:color w:val="000000" w:themeColor="text1"/>
      <w:sz w:val="18"/>
      <w:szCs w:val="18"/>
    </w:rPr>
  </w:style>
  <w:style w:type="character" w:customStyle="1" w:styleId="il">
    <w:name w:val="il"/>
    <w:basedOn w:val="DefaultParagraphFont"/>
    <w:rsid w:val="000D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43">
      <w:marLeft w:val="0"/>
      <w:marRight w:val="0"/>
      <w:marTop w:val="0"/>
      <w:marBottom w:val="0"/>
      <w:divBdr>
        <w:top w:val="none" w:sz="0" w:space="0" w:color="auto"/>
        <w:left w:val="none" w:sz="0" w:space="0" w:color="auto"/>
        <w:bottom w:val="none" w:sz="0" w:space="0" w:color="auto"/>
        <w:right w:val="none" w:sz="0" w:space="0" w:color="auto"/>
      </w:divBdr>
    </w:div>
    <w:div w:id="15232133">
      <w:marLeft w:val="0"/>
      <w:marRight w:val="0"/>
      <w:marTop w:val="0"/>
      <w:marBottom w:val="0"/>
      <w:divBdr>
        <w:top w:val="none" w:sz="0" w:space="0" w:color="auto"/>
        <w:left w:val="none" w:sz="0" w:space="0" w:color="auto"/>
        <w:bottom w:val="none" w:sz="0" w:space="0" w:color="auto"/>
        <w:right w:val="none" w:sz="0" w:space="0" w:color="auto"/>
      </w:divBdr>
    </w:div>
    <w:div w:id="49117001">
      <w:bodyDiv w:val="1"/>
      <w:marLeft w:val="0"/>
      <w:marRight w:val="0"/>
      <w:marTop w:val="0"/>
      <w:marBottom w:val="0"/>
      <w:divBdr>
        <w:top w:val="none" w:sz="0" w:space="0" w:color="auto"/>
        <w:left w:val="none" w:sz="0" w:space="0" w:color="auto"/>
        <w:bottom w:val="none" w:sz="0" w:space="0" w:color="auto"/>
        <w:right w:val="none" w:sz="0" w:space="0" w:color="auto"/>
      </w:divBdr>
    </w:div>
    <w:div w:id="51736000">
      <w:marLeft w:val="0"/>
      <w:marRight w:val="0"/>
      <w:marTop w:val="0"/>
      <w:marBottom w:val="0"/>
      <w:divBdr>
        <w:top w:val="none" w:sz="0" w:space="0" w:color="auto"/>
        <w:left w:val="none" w:sz="0" w:space="0" w:color="auto"/>
        <w:bottom w:val="none" w:sz="0" w:space="0" w:color="auto"/>
        <w:right w:val="none" w:sz="0" w:space="0" w:color="auto"/>
      </w:divBdr>
    </w:div>
    <w:div w:id="86317474">
      <w:bodyDiv w:val="1"/>
      <w:marLeft w:val="0"/>
      <w:marRight w:val="0"/>
      <w:marTop w:val="0"/>
      <w:marBottom w:val="0"/>
      <w:divBdr>
        <w:top w:val="none" w:sz="0" w:space="0" w:color="auto"/>
        <w:left w:val="none" w:sz="0" w:space="0" w:color="auto"/>
        <w:bottom w:val="none" w:sz="0" w:space="0" w:color="auto"/>
        <w:right w:val="none" w:sz="0" w:space="0" w:color="auto"/>
      </w:divBdr>
    </w:div>
    <w:div w:id="93212324">
      <w:marLeft w:val="0"/>
      <w:marRight w:val="0"/>
      <w:marTop w:val="0"/>
      <w:marBottom w:val="0"/>
      <w:divBdr>
        <w:top w:val="none" w:sz="0" w:space="0" w:color="auto"/>
        <w:left w:val="none" w:sz="0" w:space="0" w:color="auto"/>
        <w:bottom w:val="none" w:sz="0" w:space="0" w:color="auto"/>
        <w:right w:val="none" w:sz="0" w:space="0" w:color="auto"/>
      </w:divBdr>
    </w:div>
    <w:div w:id="95179748">
      <w:marLeft w:val="0"/>
      <w:marRight w:val="0"/>
      <w:marTop w:val="0"/>
      <w:marBottom w:val="0"/>
      <w:divBdr>
        <w:top w:val="none" w:sz="0" w:space="0" w:color="auto"/>
        <w:left w:val="none" w:sz="0" w:space="0" w:color="auto"/>
        <w:bottom w:val="none" w:sz="0" w:space="0" w:color="auto"/>
        <w:right w:val="none" w:sz="0" w:space="0" w:color="auto"/>
      </w:divBdr>
    </w:div>
    <w:div w:id="102042465">
      <w:marLeft w:val="0"/>
      <w:marRight w:val="0"/>
      <w:marTop w:val="0"/>
      <w:marBottom w:val="0"/>
      <w:divBdr>
        <w:top w:val="none" w:sz="0" w:space="0" w:color="auto"/>
        <w:left w:val="none" w:sz="0" w:space="0" w:color="auto"/>
        <w:bottom w:val="none" w:sz="0" w:space="0" w:color="auto"/>
        <w:right w:val="none" w:sz="0" w:space="0" w:color="auto"/>
      </w:divBdr>
    </w:div>
    <w:div w:id="132526655">
      <w:marLeft w:val="0"/>
      <w:marRight w:val="0"/>
      <w:marTop w:val="0"/>
      <w:marBottom w:val="0"/>
      <w:divBdr>
        <w:top w:val="none" w:sz="0" w:space="0" w:color="auto"/>
        <w:left w:val="none" w:sz="0" w:space="0" w:color="auto"/>
        <w:bottom w:val="none" w:sz="0" w:space="0" w:color="auto"/>
        <w:right w:val="none" w:sz="0" w:space="0" w:color="auto"/>
      </w:divBdr>
    </w:div>
    <w:div w:id="182407077">
      <w:marLeft w:val="0"/>
      <w:marRight w:val="0"/>
      <w:marTop w:val="0"/>
      <w:marBottom w:val="0"/>
      <w:divBdr>
        <w:top w:val="none" w:sz="0" w:space="0" w:color="auto"/>
        <w:left w:val="none" w:sz="0" w:space="0" w:color="auto"/>
        <w:bottom w:val="none" w:sz="0" w:space="0" w:color="auto"/>
        <w:right w:val="none" w:sz="0" w:space="0" w:color="auto"/>
      </w:divBdr>
    </w:div>
    <w:div w:id="229116854">
      <w:marLeft w:val="0"/>
      <w:marRight w:val="0"/>
      <w:marTop w:val="0"/>
      <w:marBottom w:val="0"/>
      <w:divBdr>
        <w:top w:val="none" w:sz="0" w:space="0" w:color="auto"/>
        <w:left w:val="none" w:sz="0" w:space="0" w:color="auto"/>
        <w:bottom w:val="none" w:sz="0" w:space="0" w:color="auto"/>
        <w:right w:val="none" w:sz="0" w:space="0" w:color="auto"/>
      </w:divBdr>
    </w:div>
    <w:div w:id="285819973">
      <w:marLeft w:val="0"/>
      <w:marRight w:val="0"/>
      <w:marTop w:val="0"/>
      <w:marBottom w:val="0"/>
      <w:divBdr>
        <w:top w:val="none" w:sz="0" w:space="0" w:color="auto"/>
        <w:left w:val="none" w:sz="0" w:space="0" w:color="auto"/>
        <w:bottom w:val="none" w:sz="0" w:space="0" w:color="auto"/>
        <w:right w:val="none" w:sz="0" w:space="0" w:color="auto"/>
      </w:divBdr>
    </w:div>
    <w:div w:id="302736863">
      <w:marLeft w:val="0"/>
      <w:marRight w:val="0"/>
      <w:marTop w:val="0"/>
      <w:marBottom w:val="0"/>
      <w:divBdr>
        <w:top w:val="none" w:sz="0" w:space="0" w:color="auto"/>
        <w:left w:val="none" w:sz="0" w:space="0" w:color="auto"/>
        <w:bottom w:val="none" w:sz="0" w:space="0" w:color="auto"/>
        <w:right w:val="none" w:sz="0" w:space="0" w:color="auto"/>
      </w:divBdr>
    </w:div>
    <w:div w:id="348528200">
      <w:marLeft w:val="0"/>
      <w:marRight w:val="0"/>
      <w:marTop w:val="0"/>
      <w:marBottom w:val="0"/>
      <w:divBdr>
        <w:top w:val="none" w:sz="0" w:space="0" w:color="auto"/>
        <w:left w:val="none" w:sz="0" w:space="0" w:color="auto"/>
        <w:bottom w:val="none" w:sz="0" w:space="0" w:color="auto"/>
        <w:right w:val="none" w:sz="0" w:space="0" w:color="auto"/>
      </w:divBdr>
    </w:div>
    <w:div w:id="362901701">
      <w:marLeft w:val="0"/>
      <w:marRight w:val="0"/>
      <w:marTop w:val="0"/>
      <w:marBottom w:val="0"/>
      <w:divBdr>
        <w:top w:val="none" w:sz="0" w:space="0" w:color="auto"/>
        <w:left w:val="none" w:sz="0" w:space="0" w:color="auto"/>
        <w:bottom w:val="none" w:sz="0" w:space="0" w:color="auto"/>
        <w:right w:val="none" w:sz="0" w:space="0" w:color="auto"/>
      </w:divBdr>
    </w:div>
    <w:div w:id="363753103">
      <w:marLeft w:val="0"/>
      <w:marRight w:val="0"/>
      <w:marTop w:val="0"/>
      <w:marBottom w:val="0"/>
      <w:divBdr>
        <w:top w:val="none" w:sz="0" w:space="0" w:color="auto"/>
        <w:left w:val="none" w:sz="0" w:space="0" w:color="auto"/>
        <w:bottom w:val="none" w:sz="0" w:space="0" w:color="auto"/>
        <w:right w:val="none" w:sz="0" w:space="0" w:color="auto"/>
      </w:divBdr>
    </w:div>
    <w:div w:id="371157593">
      <w:marLeft w:val="0"/>
      <w:marRight w:val="0"/>
      <w:marTop w:val="0"/>
      <w:marBottom w:val="0"/>
      <w:divBdr>
        <w:top w:val="none" w:sz="0" w:space="0" w:color="auto"/>
        <w:left w:val="none" w:sz="0" w:space="0" w:color="auto"/>
        <w:bottom w:val="none" w:sz="0" w:space="0" w:color="auto"/>
        <w:right w:val="none" w:sz="0" w:space="0" w:color="auto"/>
      </w:divBdr>
    </w:div>
    <w:div w:id="394741236">
      <w:marLeft w:val="0"/>
      <w:marRight w:val="0"/>
      <w:marTop w:val="0"/>
      <w:marBottom w:val="0"/>
      <w:divBdr>
        <w:top w:val="none" w:sz="0" w:space="0" w:color="auto"/>
        <w:left w:val="none" w:sz="0" w:space="0" w:color="auto"/>
        <w:bottom w:val="none" w:sz="0" w:space="0" w:color="auto"/>
        <w:right w:val="none" w:sz="0" w:space="0" w:color="auto"/>
      </w:divBdr>
      <w:divsChild>
        <w:div w:id="397019254">
          <w:marLeft w:val="0"/>
          <w:marRight w:val="0"/>
          <w:marTop w:val="0"/>
          <w:marBottom w:val="0"/>
          <w:divBdr>
            <w:top w:val="none" w:sz="0" w:space="0" w:color="auto"/>
            <w:left w:val="none" w:sz="0" w:space="0" w:color="auto"/>
            <w:bottom w:val="none" w:sz="0" w:space="0" w:color="auto"/>
            <w:right w:val="none" w:sz="0" w:space="0" w:color="auto"/>
          </w:divBdr>
        </w:div>
      </w:divsChild>
    </w:div>
    <w:div w:id="420179327">
      <w:marLeft w:val="0"/>
      <w:marRight w:val="0"/>
      <w:marTop w:val="0"/>
      <w:marBottom w:val="0"/>
      <w:divBdr>
        <w:top w:val="none" w:sz="0" w:space="0" w:color="auto"/>
        <w:left w:val="none" w:sz="0" w:space="0" w:color="auto"/>
        <w:bottom w:val="none" w:sz="0" w:space="0" w:color="auto"/>
        <w:right w:val="none" w:sz="0" w:space="0" w:color="auto"/>
      </w:divBdr>
    </w:div>
    <w:div w:id="421490304">
      <w:bodyDiv w:val="1"/>
      <w:marLeft w:val="0"/>
      <w:marRight w:val="0"/>
      <w:marTop w:val="0"/>
      <w:marBottom w:val="0"/>
      <w:divBdr>
        <w:top w:val="none" w:sz="0" w:space="0" w:color="auto"/>
        <w:left w:val="none" w:sz="0" w:space="0" w:color="auto"/>
        <w:bottom w:val="none" w:sz="0" w:space="0" w:color="auto"/>
        <w:right w:val="none" w:sz="0" w:space="0" w:color="auto"/>
      </w:divBdr>
    </w:div>
    <w:div w:id="433552153">
      <w:marLeft w:val="0"/>
      <w:marRight w:val="0"/>
      <w:marTop w:val="0"/>
      <w:marBottom w:val="0"/>
      <w:divBdr>
        <w:top w:val="none" w:sz="0" w:space="0" w:color="auto"/>
        <w:left w:val="none" w:sz="0" w:space="0" w:color="auto"/>
        <w:bottom w:val="none" w:sz="0" w:space="0" w:color="auto"/>
        <w:right w:val="none" w:sz="0" w:space="0" w:color="auto"/>
      </w:divBdr>
    </w:div>
    <w:div w:id="443576601">
      <w:marLeft w:val="0"/>
      <w:marRight w:val="0"/>
      <w:marTop w:val="0"/>
      <w:marBottom w:val="0"/>
      <w:divBdr>
        <w:top w:val="none" w:sz="0" w:space="0" w:color="auto"/>
        <w:left w:val="none" w:sz="0" w:space="0" w:color="auto"/>
        <w:bottom w:val="none" w:sz="0" w:space="0" w:color="auto"/>
        <w:right w:val="none" w:sz="0" w:space="0" w:color="auto"/>
      </w:divBdr>
    </w:div>
    <w:div w:id="450782873">
      <w:marLeft w:val="0"/>
      <w:marRight w:val="0"/>
      <w:marTop w:val="0"/>
      <w:marBottom w:val="0"/>
      <w:divBdr>
        <w:top w:val="none" w:sz="0" w:space="0" w:color="auto"/>
        <w:left w:val="none" w:sz="0" w:space="0" w:color="auto"/>
        <w:bottom w:val="none" w:sz="0" w:space="0" w:color="auto"/>
        <w:right w:val="none" w:sz="0" w:space="0" w:color="auto"/>
      </w:divBdr>
    </w:div>
    <w:div w:id="45849243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98496981">
      <w:marLeft w:val="0"/>
      <w:marRight w:val="0"/>
      <w:marTop w:val="0"/>
      <w:marBottom w:val="0"/>
      <w:divBdr>
        <w:top w:val="none" w:sz="0" w:space="0" w:color="auto"/>
        <w:left w:val="none" w:sz="0" w:space="0" w:color="auto"/>
        <w:bottom w:val="none" w:sz="0" w:space="0" w:color="auto"/>
        <w:right w:val="none" w:sz="0" w:space="0" w:color="auto"/>
      </w:divBdr>
    </w:div>
    <w:div w:id="525948661">
      <w:marLeft w:val="0"/>
      <w:marRight w:val="0"/>
      <w:marTop w:val="0"/>
      <w:marBottom w:val="0"/>
      <w:divBdr>
        <w:top w:val="none" w:sz="0" w:space="0" w:color="auto"/>
        <w:left w:val="none" w:sz="0" w:space="0" w:color="auto"/>
        <w:bottom w:val="none" w:sz="0" w:space="0" w:color="auto"/>
        <w:right w:val="none" w:sz="0" w:space="0" w:color="auto"/>
      </w:divBdr>
    </w:div>
    <w:div w:id="528302660">
      <w:marLeft w:val="0"/>
      <w:marRight w:val="0"/>
      <w:marTop w:val="0"/>
      <w:marBottom w:val="0"/>
      <w:divBdr>
        <w:top w:val="none" w:sz="0" w:space="0" w:color="auto"/>
        <w:left w:val="none" w:sz="0" w:space="0" w:color="auto"/>
        <w:bottom w:val="none" w:sz="0" w:space="0" w:color="auto"/>
        <w:right w:val="none" w:sz="0" w:space="0" w:color="auto"/>
      </w:divBdr>
    </w:div>
    <w:div w:id="541555517">
      <w:marLeft w:val="0"/>
      <w:marRight w:val="0"/>
      <w:marTop w:val="0"/>
      <w:marBottom w:val="0"/>
      <w:divBdr>
        <w:top w:val="none" w:sz="0" w:space="0" w:color="auto"/>
        <w:left w:val="none" w:sz="0" w:space="0" w:color="auto"/>
        <w:bottom w:val="none" w:sz="0" w:space="0" w:color="auto"/>
        <w:right w:val="none" w:sz="0" w:space="0" w:color="auto"/>
      </w:divBdr>
    </w:div>
    <w:div w:id="554196495">
      <w:marLeft w:val="0"/>
      <w:marRight w:val="0"/>
      <w:marTop w:val="0"/>
      <w:marBottom w:val="0"/>
      <w:divBdr>
        <w:top w:val="none" w:sz="0" w:space="0" w:color="auto"/>
        <w:left w:val="none" w:sz="0" w:space="0" w:color="auto"/>
        <w:bottom w:val="none" w:sz="0" w:space="0" w:color="auto"/>
        <w:right w:val="none" w:sz="0" w:space="0" w:color="auto"/>
      </w:divBdr>
    </w:div>
    <w:div w:id="568274333">
      <w:marLeft w:val="0"/>
      <w:marRight w:val="0"/>
      <w:marTop w:val="0"/>
      <w:marBottom w:val="0"/>
      <w:divBdr>
        <w:top w:val="none" w:sz="0" w:space="0" w:color="auto"/>
        <w:left w:val="none" w:sz="0" w:space="0" w:color="auto"/>
        <w:bottom w:val="none" w:sz="0" w:space="0" w:color="auto"/>
        <w:right w:val="none" w:sz="0" w:space="0" w:color="auto"/>
      </w:divBdr>
    </w:div>
    <w:div w:id="578293879">
      <w:marLeft w:val="0"/>
      <w:marRight w:val="0"/>
      <w:marTop w:val="0"/>
      <w:marBottom w:val="0"/>
      <w:divBdr>
        <w:top w:val="none" w:sz="0" w:space="0" w:color="auto"/>
        <w:left w:val="none" w:sz="0" w:space="0" w:color="auto"/>
        <w:bottom w:val="none" w:sz="0" w:space="0" w:color="auto"/>
        <w:right w:val="none" w:sz="0" w:space="0" w:color="auto"/>
      </w:divBdr>
    </w:div>
    <w:div w:id="580527784">
      <w:marLeft w:val="0"/>
      <w:marRight w:val="0"/>
      <w:marTop w:val="0"/>
      <w:marBottom w:val="0"/>
      <w:divBdr>
        <w:top w:val="none" w:sz="0" w:space="0" w:color="auto"/>
        <w:left w:val="none" w:sz="0" w:space="0" w:color="auto"/>
        <w:bottom w:val="none" w:sz="0" w:space="0" w:color="auto"/>
        <w:right w:val="none" w:sz="0" w:space="0" w:color="auto"/>
      </w:divBdr>
      <w:divsChild>
        <w:div w:id="698312388">
          <w:marLeft w:val="0"/>
          <w:marRight w:val="0"/>
          <w:marTop w:val="0"/>
          <w:marBottom w:val="0"/>
          <w:divBdr>
            <w:top w:val="none" w:sz="0" w:space="0" w:color="auto"/>
            <w:left w:val="none" w:sz="0" w:space="0" w:color="auto"/>
            <w:bottom w:val="none" w:sz="0" w:space="0" w:color="auto"/>
            <w:right w:val="none" w:sz="0" w:space="0" w:color="auto"/>
          </w:divBdr>
        </w:div>
      </w:divsChild>
    </w:div>
    <w:div w:id="585922705">
      <w:marLeft w:val="0"/>
      <w:marRight w:val="0"/>
      <w:marTop w:val="0"/>
      <w:marBottom w:val="0"/>
      <w:divBdr>
        <w:top w:val="none" w:sz="0" w:space="0" w:color="auto"/>
        <w:left w:val="none" w:sz="0" w:space="0" w:color="auto"/>
        <w:bottom w:val="none" w:sz="0" w:space="0" w:color="auto"/>
        <w:right w:val="none" w:sz="0" w:space="0" w:color="auto"/>
      </w:divBdr>
    </w:div>
    <w:div w:id="588972829">
      <w:marLeft w:val="0"/>
      <w:marRight w:val="0"/>
      <w:marTop w:val="0"/>
      <w:marBottom w:val="0"/>
      <w:divBdr>
        <w:top w:val="none" w:sz="0" w:space="0" w:color="auto"/>
        <w:left w:val="none" w:sz="0" w:space="0" w:color="auto"/>
        <w:bottom w:val="none" w:sz="0" w:space="0" w:color="auto"/>
        <w:right w:val="none" w:sz="0" w:space="0" w:color="auto"/>
      </w:divBdr>
    </w:div>
    <w:div w:id="597494010">
      <w:marLeft w:val="0"/>
      <w:marRight w:val="0"/>
      <w:marTop w:val="0"/>
      <w:marBottom w:val="0"/>
      <w:divBdr>
        <w:top w:val="none" w:sz="0" w:space="0" w:color="auto"/>
        <w:left w:val="none" w:sz="0" w:space="0" w:color="auto"/>
        <w:bottom w:val="none" w:sz="0" w:space="0" w:color="auto"/>
        <w:right w:val="none" w:sz="0" w:space="0" w:color="auto"/>
      </w:divBdr>
    </w:div>
    <w:div w:id="598366383">
      <w:marLeft w:val="0"/>
      <w:marRight w:val="0"/>
      <w:marTop w:val="0"/>
      <w:marBottom w:val="0"/>
      <w:divBdr>
        <w:top w:val="none" w:sz="0" w:space="0" w:color="auto"/>
        <w:left w:val="none" w:sz="0" w:space="0" w:color="auto"/>
        <w:bottom w:val="none" w:sz="0" w:space="0" w:color="auto"/>
        <w:right w:val="none" w:sz="0" w:space="0" w:color="auto"/>
      </w:divBdr>
      <w:divsChild>
        <w:div w:id="1347443559">
          <w:marLeft w:val="0"/>
          <w:marRight w:val="0"/>
          <w:marTop w:val="0"/>
          <w:marBottom w:val="0"/>
          <w:divBdr>
            <w:top w:val="none" w:sz="0" w:space="0" w:color="auto"/>
            <w:left w:val="none" w:sz="0" w:space="0" w:color="auto"/>
            <w:bottom w:val="none" w:sz="0" w:space="0" w:color="auto"/>
            <w:right w:val="none" w:sz="0" w:space="0" w:color="auto"/>
          </w:divBdr>
        </w:div>
      </w:divsChild>
    </w:div>
    <w:div w:id="666829949">
      <w:marLeft w:val="0"/>
      <w:marRight w:val="0"/>
      <w:marTop w:val="0"/>
      <w:marBottom w:val="0"/>
      <w:divBdr>
        <w:top w:val="none" w:sz="0" w:space="0" w:color="auto"/>
        <w:left w:val="none" w:sz="0" w:space="0" w:color="auto"/>
        <w:bottom w:val="none" w:sz="0" w:space="0" w:color="auto"/>
        <w:right w:val="none" w:sz="0" w:space="0" w:color="auto"/>
      </w:divBdr>
    </w:div>
    <w:div w:id="678390356">
      <w:marLeft w:val="0"/>
      <w:marRight w:val="0"/>
      <w:marTop w:val="0"/>
      <w:marBottom w:val="0"/>
      <w:divBdr>
        <w:top w:val="none" w:sz="0" w:space="0" w:color="auto"/>
        <w:left w:val="none" w:sz="0" w:space="0" w:color="auto"/>
        <w:bottom w:val="none" w:sz="0" w:space="0" w:color="auto"/>
        <w:right w:val="none" w:sz="0" w:space="0" w:color="auto"/>
      </w:divBdr>
    </w:div>
    <w:div w:id="688946155">
      <w:marLeft w:val="0"/>
      <w:marRight w:val="0"/>
      <w:marTop w:val="0"/>
      <w:marBottom w:val="0"/>
      <w:divBdr>
        <w:top w:val="none" w:sz="0" w:space="0" w:color="auto"/>
        <w:left w:val="none" w:sz="0" w:space="0" w:color="auto"/>
        <w:bottom w:val="none" w:sz="0" w:space="0" w:color="auto"/>
        <w:right w:val="none" w:sz="0" w:space="0" w:color="auto"/>
      </w:divBdr>
      <w:divsChild>
        <w:div w:id="921337435">
          <w:marLeft w:val="0"/>
          <w:marRight w:val="0"/>
          <w:marTop w:val="0"/>
          <w:marBottom w:val="0"/>
          <w:divBdr>
            <w:top w:val="none" w:sz="0" w:space="0" w:color="auto"/>
            <w:left w:val="none" w:sz="0" w:space="0" w:color="auto"/>
            <w:bottom w:val="none" w:sz="0" w:space="0" w:color="auto"/>
            <w:right w:val="none" w:sz="0" w:space="0" w:color="auto"/>
          </w:divBdr>
        </w:div>
      </w:divsChild>
    </w:div>
    <w:div w:id="692919213">
      <w:marLeft w:val="0"/>
      <w:marRight w:val="0"/>
      <w:marTop w:val="0"/>
      <w:marBottom w:val="0"/>
      <w:divBdr>
        <w:top w:val="none" w:sz="0" w:space="0" w:color="auto"/>
        <w:left w:val="none" w:sz="0" w:space="0" w:color="auto"/>
        <w:bottom w:val="none" w:sz="0" w:space="0" w:color="auto"/>
        <w:right w:val="none" w:sz="0" w:space="0" w:color="auto"/>
      </w:divBdr>
    </w:div>
    <w:div w:id="704212013">
      <w:marLeft w:val="0"/>
      <w:marRight w:val="0"/>
      <w:marTop w:val="0"/>
      <w:marBottom w:val="0"/>
      <w:divBdr>
        <w:top w:val="none" w:sz="0" w:space="0" w:color="auto"/>
        <w:left w:val="none" w:sz="0" w:space="0" w:color="auto"/>
        <w:bottom w:val="none" w:sz="0" w:space="0" w:color="auto"/>
        <w:right w:val="none" w:sz="0" w:space="0" w:color="auto"/>
      </w:divBdr>
    </w:div>
    <w:div w:id="719783916">
      <w:marLeft w:val="0"/>
      <w:marRight w:val="0"/>
      <w:marTop w:val="0"/>
      <w:marBottom w:val="0"/>
      <w:divBdr>
        <w:top w:val="none" w:sz="0" w:space="0" w:color="auto"/>
        <w:left w:val="none" w:sz="0" w:space="0" w:color="auto"/>
        <w:bottom w:val="none" w:sz="0" w:space="0" w:color="auto"/>
        <w:right w:val="none" w:sz="0" w:space="0" w:color="auto"/>
      </w:divBdr>
    </w:div>
    <w:div w:id="729157124">
      <w:marLeft w:val="0"/>
      <w:marRight w:val="0"/>
      <w:marTop w:val="0"/>
      <w:marBottom w:val="0"/>
      <w:divBdr>
        <w:top w:val="none" w:sz="0" w:space="0" w:color="auto"/>
        <w:left w:val="none" w:sz="0" w:space="0" w:color="auto"/>
        <w:bottom w:val="none" w:sz="0" w:space="0" w:color="auto"/>
        <w:right w:val="none" w:sz="0" w:space="0" w:color="auto"/>
      </w:divBdr>
    </w:div>
    <w:div w:id="733743050">
      <w:marLeft w:val="0"/>
      <w:marRight w:val="0"/>
      <w:marTop w:val="0"/>
      <w:marBottom w:val="0"/>
      <w:divBdr>
        <w:top w:val="none" w:sz="0" w:space="0" w:color="auto"/>
        <w:left w:val="none" w:sz="0" w:space="0" w:color="auto"/>
        <w:bottom w:val="none" w:sz="0" w:space="0" w:color="auto"/>
        <w:right w:val="none" w:sz="0" w:space="0" w:color="auto"/>
      </w:divBdr>
      <w:divsChild>
        <w:div w:id="1631864718">
          <w:marLeft w:val="0"/>
          <w:marRight w:val="0"/>
          <w:marTop w:val="0"/>
          <w:marBottom w:val="0"/>
          <w:divBdr>
            <w:top w:val="none" w:sz="0" w:space="0" w:color="auto"/>
            <w:left w:val="none" w:sz="0" w:space="0" w:color="auto"/>
            <w:bottom w:val="none" w:sz="0" w:space="0" w:color="auto"/>
            <w:right w:val="none" w:sz="0" w:space="0" w:color="auto"/>
          </w:divBdr>
        </w:div>
      </w:divsChild>
    </w:div>
    <w:div w:id="780565127">
      <w:marLeft w:val="0"/>
      <w:marRight w:val="0"/>
      <w:marTop w:val="0"/>
      <w:marBottom w:val="0"/>
      <w:divBdr>
        <w:top w:val="none" w:sz="0" w:space="0" w:color="auto"/>
        <w:left w:val="none" w:sz="0" w:space="0" w:color="auto"/>
        <w:bottom w:val="none" w:sz="0" w:space="0" w:color="auto"/>
        <w:right w:val="none" w:sz="0" w:space="0" w:color="auto"/>
      </w:divBdr>
    </w:div>
    <w:div w:id="814839262">
      <w:marLeft w:val="0"/>
      <w:marRight w:val="0"/>
      <w:marTop w:val="0"/>
      <w:marBottom w:val="0"/>
      <w:divBdr>
        <w:top w:val="none" w:sz="0" w:space="0" w:color="auto"/>
        <w:left w:val="none" w:sz="0" w:space="0" w:color="auto"/>
        <w:bottom w:val="none" w:sz="0" w:space="0" w:color="auto"/>
        <w:right w:val="none" w:sz="0" w:space="0" w:color="auto"/>
      </w:divBdr>
    </w:div>
    <w:div w:id="828980143">
      <w:marLeft w:val="0"/>
      <w:marRight w:val="0"/>
      <w:marTop w:val="0"/>
      <w:marBottom w:val="0"/>
      <w:divBdr>
        <w:top w:val="none" w:sz="0" w:space="0" w:color="auto"/>
        <w:left w:val="none" w:sz="0" w:space="0" w:color="auto"/>
        <w:bottom w:val="none" w:sz="0" w:space="0" w:color="auto"/>
        <w:right w:val="none" w:sz="0" w:space="0" w:color="auto"/>
      </w:divBdr>
      <w:divsChild>
        <w:div w:id="407650546">
          <w:marLeft w:val="0"/>
          <w:marRight w:val="0"/>
          <w:marTop w:val="0"/>
          <w:marBottom w:val="0"/>
          <w:divBdr>
            <w:top w:val="none" w:sz="0" w:space="0" w:color="auto"/>
            <w:left w:val="none" w:sz="0" w:space="0" w:color="auto"/>
            <w:bottom w:val="none" w:sz="0" w:space="0" w:color="auto"/>
            <w:right w:val="none" w:sz="0" w:space="0" w:color="auto"/>
          </w:divBdr>
        </w:div>
      </w:divsChild>
    </w:div>
    <w:div w:id="846554444">
      <w:marLeft w:val="0"/>
      <w:marRight w:val="0"/>
      <w:marTop w:val="0"/>
      <w:marBottom w:val="0"/>
      <w:divBdr>
        <w:top w:val="none" w:sz="0" w:space="0" w:color="auto"/>
        <w:left w:val="none" w:sz="0" w:space="0" w:color="auto"/>
        <w:bottom w:val="none" w:sz="0" w:space="0" w:color="auto"/>
        <w:right w:val="none" w:sz="0" w:space="0" w:color="auto"/>
      </w:divBdr>
    </w:div>
    <w:div w:id="864094547">
      <w:marLeft w:val="0"/>
      <w:marRight w:val="0"/>
      <w:marTop w:val="0"/>
      <w:marBottom w:val="0"/>
      <w:divBdr>
        <w:top w:val="none" w:sz="0" w:space="0" w:color="auto"/>
        <w:left w:val="none" w:sz="0" w:space="0" w:color="auto"/>
        <w:bottom w:val="none" w:sz="0" w:space="0" w:color="auto"/>
        <w:right w:val="none" w:sz="0" w:space="0" w:color="auto"/>
      </w:divBdr>
    </w:div>
    <w:div w:id="898711659">
      <w:marLeft w:val="0"/>
      <w:marRight w:val="0"/>
      <w:marTop w:val="0"/>
      <w:marBottom w:val="0"/>
      <w:divBdr>
        <w:top w:val="none" w:sz="0" w:space="0" w:color="auto"/>
        <w:left w:val="none" w:sz="0" w:space="0" w:color="auto"/>
        <w:bottom w:val="none" w:sz="0" w:space="0" w:color="auto"/>
        <w:right w:val="none" w:sz="0" w:space="0" w:color="auto"/>
      </w:divBdr>
    </w:div>
    <w:div w:id="904879932">
      <w:marLeft w:val="0"/>
      <w:marRight w:val="0"/>
      <w:marTop w:val="0"/>
      <w:marBottom w:val="0"/>
      <w:divBdr>
        <w:top w:val="none" w:sz="0" w:space="0" w:color="auto"/>
        <w:left w:val="none" w:sz="0" w:space="0" w:color="auto"/>
        <w:bottom w:val="none" w:sz="0" w:space="0" w:color="auto"/>
        <w:right w:val="none" w:sz="0" w:space="0" w:color="auto"/>
      </w:divBdr>
      <w:divsChild>
        <w:div w:id="1074166370">
          <w:marLeft w:val="0"/>
          <w:marRight w:val="0"/>
          <w:marTop w:val="0"/>
          <w:marBottom w:val="0"/>
          <w:divBdr>
            <w:top w:val="none" w:sz="0" w:space="0" w:color="auto"/>
            <w:left w:val="none" w:sz="0" w:space="0" w:color="auto"/>
            <w:bottom w:val="none" w:sz="0" w:space="0" w:color="auto"/>
            <w:right w:val="none" w:sz="0" w:space="0" w:color="auto"/>
          </w:divBdr>
        </w:div>
      </w:divsChild>
    </w:div>
    <w:div w:id="953173725">
      <w:marLeft w:val="0"/>
      <w:marRight w:val="0"/>
      <w:marTop w:val="0"/>
      <w:marBottom w:val="0"/>
      <w:divBdr>
        <w:top w:val="none" w:sz="0" w:space="0" w:color="auto"/>
        <w:left w:val="none" w:sz="0" w:space="0" w:color="auto"/>
        <w:bottom w:val="none" w:sz="0" w:space="0" w:color="auto"/>
        <w:right w:val="none" w:sz="0" w:space="0" w:color="auto"/>
      </w:divBdr>
    </w:div>
    <w:div w:id="970093260">
      <w:marLeft w:val="0"/>
      <w:marRight w:val="0"/>
      <w:marTop w:val="0"/>
      <w:marBottom w:val="0"/>
      <w:divBdr>
        <w:top w:val="none" w:sz="0" w:space="0" w:color="auto"/>
        <w:left w:val="none" w:sz="0" w:space="0" w:color="auto"/>
        <w:bottom w:val="none" w:sz="0" w:space="0" w:color="auto"/>
        <w:right w:val="none" w:sz="0" w:space="0" w:color="auto"/>
      </w:divBdr>
    </w:div>
    <w:div w:id="980882720">
      <w:marLeft w:val="0"/>
      <w:marRight w:val="0"/>
      <w:marTop w:val="0"/>
      <w:marBottom w:val="0"/>
      <w:divBdr>
        <w:top w:val="none" w:sz="0" w:space="0" w:color="auto"/>
        <w:left w:val="none" w:sz="0" w:space="0" w:color="auto"/>
        <w:bottom w:val="none" w:sz="0" w:space="0" w:color="auto"/>
        <w:right w:val="none" w:sz="0" w:space="0" w:color="auto"/>
      </w:divBdr>
    </w:div>
    <w:div w:id="983898552">
      <w:marLeft w:val="0"/>
      <w:marRight w:val="0"/>
      <w:marTop w:val="0"/>
      <w:marBottom w:val="0"/>
      <w:divBdr>
        <w:top w:val="none" w:sz="0" w:space="0" w:color="auto"/>
        <w:left w:val="none" w:sz="0" w:space="0" w:color="auto"/>
        <w:bottom w:val="none" w:sz="0" w:space="0" w:color="auto"/>
        <w:right w:val="none" w:sz="0" w:space="0" w:color="auto"/>
      </w:divBdr>
    </w:div>
    <w:div w:id="1003362338">
      <w:marLeft w:val="0"/>
      <w:marRight w:val="0"/>
      <w:marTop w:val="0"/>
      <w:marBottom w:val="0"/>
      <w:divBdr>
        <w:top w:val="none" w:sz="0" w:space="0" w:color="auto"/>
        <w:left w:val="none" w:sz="0" w:space="0" w:color="auto"/>
        <w:bottom w:val="none" w:sz="0" w:space="0" w:color="auto"/>
        <w:right w:val="none" w:sz="0" w:space="0" w:color="auto"/>
      </w:divBdr>
    </w:div>
    <w:div w:id="1038824423">
      <w:marLeft w:val="0"/>
      <w:marRight w:val="0"/>
      <w:marTop w:val="0"/>
      <w:marBottom w:val="0"/>
      <w:divBdr>
        <w:top w:val="none" w:sz="0" w:space="0" w:color="auto"/>
        <w:left w:val="none" w:sz="0" w:space="0" w:color="auto"/>
        <w:bottom w:val="none" w:sz="0" w:space="0" w:color="auto"/>
        <w:right w:val="none" w:sz="0" w:space="0" w:color="auto"/>
      </w:divBdr>
      <w:divsChild>
        <w:div w:id="1269579892">
          <w:marLeft w:val="0"/>
          <w:marRight w:val="0"/>
          <w:marTop w:val="0"/>
          <w:marBottom w:val="0"/>
          <w:divBdr>
            <w:top w:val="none" w:sz="0" w:space="0" w:color="auto"/>
            <w:left w:val="none" w:sz="0" w:space="0" w:color="auto"/>
            <w:bottom w:val="none" w:sz="0" w:space="0" w:color="auto"/>
            <w:right w:val="none" w:sz="0" w:space="0" w:color="auto"/>
          </w:divBdr>
        </w:div>
      </w:divsChild>
    </w:div>
    <w:div w:id="1103188814">
      <w:marLeft w:val="0"/>
      <w:marRight w:val="0"/>
      <w:marTop w:val="0"/>
      <w:marBottom w:val="0"/>
      <w:divBdr>
        <w:top w:val="none" w:sz="0" w:space="0" w:color="auto"/>
        <w:left w:val="none" w:sz="0" w:space="0" w:color="auto"/>
        <w:bottom w:val="none" w:sz="0" w:space="0" w:color="auto"/>
        <w:right w:val="none" w:sz="0" w:space="0" w:color="auto"/>
      </w:divBdr>
    </w:div>
    <w:div w:id="1115177624">
      <w:marLeft w:val="0"/>
      <w:marRight w:val="0"/>
      <w:marTop w:val="0"/>
      <w:marBottom w:val="0"/>
      <w:divBdr>
        <w:top w:val="none" w:sz="0" w:space="0" w:color="auto"/>
        <w:left w:val="none" w:sz="0" w:space="0" w:color="auto"/>
        <w:bottom w:val="none" w:sz="0" w:space="0" w:color="auto"/>
        <w:right w:val="none" w:sz="0" w:space="0" w:color="auto"/>
      </w:divBdr>
    </w:div>
    <w:div w:id="1131941788">
      <w:marLeft w:val="0"/>
      <w:marRight w:val="0"/>
      <w:marTop w:val="0"/>
      <w:marBottom w:val="0"/>
      <w:divBdr>
        <w:top w:val="none" w:sz="0" w:space="0" w:color="auto"/>
        <w:left w:val="none" w:sz="0" w:space="0" w:color="auto"/>
        <w:bottom w:val="none" w:sz="0" w:space="0" w:color="auto"/>
        <w:right w:val="none" w:sz="0" w:space="0" w:color="auto"/>
      </w:divBdr>
    </w:div>
    <w:div w:id="1135371763">
      <w:marLeft w:val="0"/>
      <w:marRight w:val="0"/>
      <w:marTop w:val="0"/>
      <w:marBottom w:val="0"/>
      <w:divBdr>
        <w:top w:val="none" w:sz="0" w:space="0" w:color="auto"/>
        <w:left w:val="none" w:sz="0" w:space="0" w:color="auto"/>
        <w:bottom w:val="none" w:sz="0" w:space="0" w:color="auto"/>
        <w:right w:val="none" w:sz="0" w:space="0" w:color="auto"/>
      </w:divBdr>
    </w:div>
    <w:div w:id="1143305809">
      <w:bodyDiv w:val="1"/>
      <w:marLeft w:val="0"/>
      <w:marRight w:val="0"/>
      <w:marTop w:val="0"/>
      <w:marBottom w:val="0"/>
      <w:divBdr>
        <w:top w:val="none" w:sz="0" w:space="0" w:color="auto"/>
        <w:left w:val="none" w:sz="0" w:space="0" w:color="auto"/>
        <w:bottom w:val="none" w:sz="0" w:space="0" w:color="auto"/>
        <w:right w:val="none" w:sz="0" w:space="0" w:color="auto"/>
      </w:divBdr>
    </w:div>
    <w:div w:id="1148746632">
      <w:marLeft w:val="0"/>
      <w:marRight w:val="0"/>
      <w:marTop w:val="0"/>
      <w:marBottom w:val="0"/>
      <w:divBdr>
        <w:top w:val="none" w:sz="0" w:space="0" w:color="auto"/>
        <w:left w:val="none" w:sz="0" w:space="0" w:color="auto"/>
        <w:bottom w:val="none" w:sz="0" w:space="0" w:color="auto"/>
        <w:right w:val="none" w:sz="0" w:space="0" w:color="auto"/>
      </w:divBdr>
      <w:divsChild>
        <w:div w:id="1677684345">
          <w:marLeft w:val="0"/>
          <w:marRight w:val="0"/>
          <w:marTop w:val="0"/>
          <w:marBottom w:val="0"/>
          <w:divBdr>
            <w:top w:val="none" w:sz="0" w:space="0" w:color="auto"/>
            <w:left w:val="none" w:sz="0" w:space="0" w:color="auto"/>
            <w:bottom w:val="none" w:sz="0" w:space="0" w:color="auto"/>
            <w:right w:val="none" w:sz="0" w:space="0" w:color="auto"/>
          </w:divBdr>
        </w:div>
      </w:divsChild>
    </w:div>
    <w:div w:id="1151563239">
      <w:marLeft w:val="0"/>
      <w:marRight w:val="0"/>
      <w:marTop w:val="0"/>
      <w:marBottom w:val="0"/>
      <w:divBdr>
        <w:top w:val="none" w:sz="0" w:space="0" w:color="auto"/>
        <w:left w:val="none" w:sz="0" w:space="0" w:color="auto"/>
        <w:bottom w:val="none" w:sz="0" w:space="0" w:color="auto"/>
        <w:right w:val="none" w:sz="0" w:space="0" w:color="auto"/>
      </w:divBdr>
      <w:divsChild>
        <w:div w:id="10111663">
          <w:marLeft w:val="0"/>
          <w:marRight w:val="0"/>
          <w:marTop w:val="0"/>
          <w:marBottom w:val="0"/>
          <w:divBdr>
            <w:top w:val="none" w:sz="0" w:space="0" w:color="auto"/>
            <w:left w:val="none" w:sz="0" w:space="0" w:color="auto"/>
            <w:bottom w:val="none" w:sz="0" w:space="0" w:color="auto"/>
            <w:right w:val="none" w:sz="0" w:space="0" w:color="auto"/>
          </w:divBdr>
        </w:div>
      </w:divsChild>
    </w:div>
    <w:div w:id="1153184344">
      <w:marLeft w:val="0"/>
      <w:marRight w:val="0"/>
      <w:marTop w:val="0"/>
      <w:marBottom w:val="0"/>
      <w:divBdr>
        <w:top w:val="none" w:sz="0" w:space="0" w:color="auto"/>
        <w:left w:val="none" w:sz="0" w:space="0" w:color="auto"/>
        <w:bottom w:val="none" w:sz="0" w:space="0" w:color="auto"/>
        <w:right w:val="none" w:sz="0" w:space="0" w:color="auto"/>
      </w:divBdr>
    </w:div>
    <w:div w:id="1156998592">
      <w:marLeft w:val="0"/>
      <w:marRight w:val="0"/>
      <w:marTop w:val="0"/>
      <w:marBottom w:val="0"/>
      <w:divBdr>
        <w:top w:val="none" w:sz="0" w:space="0" w:color="auto"/>
        <w:left w:val="none" w:sz="0" w:space="0" w:color="auto"/>
        <w:bottom w:val="none" w:sz="0" w:space="0" w:color="auto"/>
        <w:right w:val="none" w:sz="0" w:space="0" w:color="auto"/>
      </w:divBdr>
    </w:div>
    <w:div w:id="1166629970">
      <w:marLeft w:val="0"/>
      <w:marRight w:val="0"/>
      <w:marTop w:val="0"/>
      <w:marBottom w:val="0"/>
      <w:divBdr>
        <w:top w:val="none" w:sz="0" w:space="0" w:color="auto"/>
        <w:left w:val="none" w:sz="0" w:space="0" w:color="auto"/>
        <w:bottom w:val="none" w:sz="0" w:space="0" w:color="auto"/>
        <w:right w:val="none" w:sz="0" w:space="0" w:color="auto"/>
      </w:divBdr>
    </w:div>
    <w:div w:id="1167359307">
      <w:marLeft w:val="0"/>
      <w:marRight w:val="0"/>
      <w:marTop w:val="0"/>
      <w:marBottom w:val="0"/>
      <w:divBdr>
        <w:top w:val="none" w:sz="0" w:space="0" w:color="auto"/>
        <w:left w:val="none" w:sz="0" w:space="0" w:color="auto"/>
        <w:bottom w:val="none" w:sz="0" w:space="0" w:color="auto"/>
        <w:right w:val="none" w:sz="0" w:space="0" w:color="auto"/>
      </w:divBdr>
    </w:div>
    <w:div w:id="1179542332">
      <w:marLeft w:val="0"/>
      <w:marRight w:val="0"/>
      <w:marTop w:val="0"/>
      <w:marBottom w:val="0"/>
      <w:divBdr>
        <w:top w:val="none" w:sz="0" w:space="0" w:color="auto"/>
        <w:left w:val="none" w:sz="0" w:space="0" w:color="auto"/>
        <w:bottom w:val="none" w:sz="0" w:space="0" w:color="auto"/>
        <w:right w:val="none" w:sz="0" w:space="0" w:color="auto"/>
      </w:divBdr>
    </w:div>
    <w:div w:id="1195268385">
      <w:marLeft w:val="0"/>
      <w:marRight w:val="0"/>
      <w:marTop w:val="0"/>
      <w:marBottom w:val="0"/>
      <w:divBdr>
        <w:top w:val="none" w:sz="0" w:space="0" w:color="auto"/>
        <w:left w:val="none" w:sz="0" w:space="0" w:color="auto"/>
        <w:bottom w:val="none" w:sz="0" w:space="0" w:color="auto"/>
        <w:right w:val="none" w:sz="0" w:space="0" w:color="auto"/>
      </w:divBdr>
    </w:div>
    <w:div w:id="1234582013">
      <w:marLeft w:val="0"/>
      <w:marRight w:val="0"/>
      <w:marTop w:val="0"/>
      <w:marBottom w:val="0"/>
      <w:divBdr>
        <w:top w:val="none" w:sz="0" w:space="0" w:color="auto"/>
        <w:left w:val="none" w:sz="0" w:space="0" w:color="auto"/>
        <w:bottom w:val="none" w:sz="0" w:space="0" w:color="auto"/>
        <w:right w:val="none" w:sz="0" w:space="0" w:color="auto"/>
      </w:divBdr>
    </w:div>
    <w:div w:id="1242369933">
      <w:marLeft w:val="0"/>
      <w:marRight w:val="0"/>
      <w:marTop w:val="0"/>
      <w:marBottom w:val="0"/>
      <w:divBdr>
        <w:top w:val="none" w:sz="0" w:space="0" w:color="auto"/>
        <w:left w:val="none" w:sz="0" w:space="0" w:color="auto"/>
        <w:bottom w:val="none" w:sz="0" w:space="0" w:color="auto"/>
        <w:right w:val="none" w:sz="0" w:space="0" w:color="auto"/>
      </w:divBdr>
    </w:div>
    <w:div w:id="1242569128">
      <w:marLeft w:val="0"/>
      <w:marRight w:val="0"/>
      <w:marTop w:val="0"/>
      <w:marBottom w:val="0"/>
      <w:divBdr>
        <w:top w:val="none" w:sz="0" w:space="0" w:color="auto"/>
        <w:left w:val="none" w:sz="0" w:space="0" w:color="auto"/>
        <w:bottom w:val="none" w:sz="0" w:space="0" w:color="auto"/>
        <w:right w:val="none" w:sz="0" w:space="0" w:color="auto"/>
      </w:divBdr>
    </w:div>
    <w:div w:id="1247960592">
      <w:marLeft w:val="0"/>
      <w:marRight w:val="0"/>
      <w:marTop w:val="0"/>
      <w:marBottom w:val="0"/>
      <w:divBdr>
        <w:top w:val="none" w:sz="0" w:space="0" w:color="auto"/>
        <w:left w:val="none" w:sz="0" w:space="0" w:color="auto"/>
        <w:bottom w:val="none" w:sz="0" w:space="0" w:color="auto"/>
        <w:right w:val="none" w:sz="0" w:space="0" w:color="auto"/>
      </w:divBdr>
    </w:div>
    <w:div w:id="1283920202">
      <w:marLeft w:val="0"/>
      <w:marRight w:val="0"/>
      <w:marTop w:val="0"/>
      <w:marBottom w:val="0"/>
      <w:divBdr>
        <w:top w:val="none" w:sz="0" w:space="0" w:color="auto"/>
        <w:left w:val="none" w:sz="0" w:space="0" w:color="auto"/>
        <w:bottom w:val="none" w:sz="0" w:space="0" w:color="auto"/>
        <w:right w:val="none" w:sz="0" w:space="0" w:color="auto"/>
      </w:divBdr>
    </w:div>
    <w:div w:id="1290864130">
      <w:marLeft w:val="0"/>
      <w:marRight w:val="0"/>
      <w:marTop w:val="0"/>
      <w:marBottom w:val="0"/>
      <w:divBdr>
        <w:top w:val="none" w:sz="0" w:space="0" w:color="auto"/>
        <w:left w:val="none" w:sz="0" w:space="0" w:color="auto"/>
        <w:bottom w:val="none" w:sz="0" w:space="0" w:color="auto"/>
        <w:right w:val="none" w:sz="0" w:space="0" w:color="auto"/>
      </w:divBdr>
    </w:div>
    <w:div w:id="1334408304">
      <w:marLeft w:val="0"/>
      <w:marRight w:val="0"/>
      <w:marTop w:val="0"/>
      <w:marBottom w:val="0"/>
      <w:divBdr>
        <w:top w:val="none" w:sz="0" w:space="0" w:color="auto"/>
        <w:left w:val="none" w:sz="0" w:space="0" w:color="auto"/>
        <w:bottom w:val="none" w:sz="0" w:space="0" w:color="auto"/>
        <w:right w:val="none" w:sz="0" w:space="0" w:color="auto"/>
      </w:divBdr>
    </w:div>
    <w:div w:id="1345667327">
      <w:marLeft w:val="0"/>
      <w:marRight w:val="0"/>
      <w:marTop w:val="0"/>
      <w:marBottom w:val="0"/>
      <w:divBdr>
        <w:top w:val="none" w:sz="0" w:space="0" w:color="auto"/>
        <w:left w:val="none" w:sz="0" w:space="0" w:color="auto"/>
        <w:bottom w:val="none" w:sz="0" w:space="0" w:color="auto"/>
        <w:right w:val="none" w:sz="0" w:space="0" w:color="auto"/>
      </w:divBdr>
    </w:div>
    <w:div w:id="1348798499">
      <w:marLeft w:val="0"/>
      <w:marRight w:val="0"/>
      <w:marTop w:val="0"/>
      <w:marBottom w:val="0"/>
      <w:divBdr>
        <w:top w:val="none" w:sz="0" w:space="0" w:color="auto"/>
        <w:left w:val="none" w:sz="0" w:space="0" w:color="auto"/>
        <w:bottom w:val="none" w:sz="0" w:space="0" w:color="auto"/>
        <w:right w:val="none" w:sz="0" w:space="0" w:color="auto"/>
      </w:divBdr>
    </w:div>
    <w:div w:id="1424649541">
      <w:marLeft w:val="0"/>
      <w:marRight w:val="0"/>
      <w:marTop w:val="0"/>
      <w:marBottom w:val="0"/>
      <w:divBdr>
        <w:top w:val="none" w:sz="0" w:space="0" w:color="auto"/>
        <w:left w:val="none" w:sz="0" w:space="0" w:color="auto"/>
        <w:bottom w:val="none" w:sz="0" w:space="0" w:color="auto"/>
        <w:right w:val="none" w:sz="0" w:space="0" w:color="auto"/>
      </w:divBdr>
    </w:div>
    <w:div w:id="1461387368">
      <w:marLeft w:val="0"/>
      <w:marRight w:val="0"/>
      <w:marTop w:val="0"/>
      <w:marBottom w:val="0"/>
      <w:divBdr>
        <w:top w:val="none" w:sz="0" w:space="0" w:color="auto"/>
        <w:left w:val="none" w:sz="0" w:space="0" w:color="auto"/>
        <w:bottom w:val="none" w:sz="0" w:space="0" w:color="auto"/>
        <w:right w:val="none" w:sz="0" w:space="0" w:color="auto"/>
      </w:divBdr>
      <w:divsChild>
        <w:div w:id="1074397506">
          <w:marLeft w:val="0"/>
          <w:marRight w:val="0"/>
          <w:marTop w:val="0"/>
          <w:marBottom w:val="0"/>
          <w:divBdr>
            <w:top w:val="none" w:sz="0" w:space="0" w:color="auto"/>
            <w:left w:val="none" w:sz="0" w:space="0" w:color="auto"/>
            <w:bottom w:val="none" w:sz="0" w:space="0" w:color="auto"/>
            <w:right w:val="none" w:sz="0" w:space="0" w:color="auto"/>
          </w:divBdr>
        </w:div>
      </w:divsChild>
    </w:div>
    <w:div w:id="1472363257">
      <w:marLeft w:val="0"/>
      <w:marRight w:val="0"/>
      <w:marTop w:val="0"/>
      <w:marBottom w:val="0"/>
      <w:divBdr>
        <w:top w:val="none" w:sz="0" w:space="0" w:color="auto"/>
        <w:left w:val="none" w:sz="0" w:space="0" w:color="auto"/>
        <w:bottom w:val="none" w:sz="0" w:space="0" w:color="auto"/>
        <w:right w:val="none" w:sz="0" w:space="0" w:color="auto"/>
      </w:divBdr>
      <w:divsChild>
        <w:div w:id="290281801">
          <w:marLeft w:val="0"/>
          <w:marRight w:val="0"/>
          <w:marTop w:val="0"/>
          <w:marBottom w:val="0"/>
          <w:divBdr>
            <w:top w:val="none" w:sz="0" w:space="0" w:color="auto"/>
            <w:left w:val="none" w:sz="0" w:space="0" w:color="auto"/>
            <w:bottom w:val="none" w:sz="0" w:space="0" w:color="auto"/>
            <w:right w:val="none" w:sz="0" w:space="0" w:color="auto"/>
          </w:divBdr>
        </w:div>
      </w:divsChild>
    </w:div>
    <w:div w:id="1504780882">
      <w:marLeft w:val="0"/>
      <w:marRight w:val="0"/>
      <w:marTop w:val="0"/>
      <w:marBottom w:val="0"/>
      <w:divBdr>
        <w:top w:val="none" w:sz="0" w:space="0" w:color="auto"/>
        <w:left w:val="none" w:sz="0" w:space="0" w:color="auto"/>
        <w:bottom w:val="none" w:sz="0" w:space="0" w:color="auto"/>
        <w:right w:val="none" w:sz="0" w:space="0" w:color="auto"/>
      </w:divBdr>
      <w:divsChild>
        <w:div w:id="855461095">
          <w:marLeft w:val="0"/>
          <w:marRight w:val="0"/>
          <w:marTop w:val="0"/>
          <w:marBottom w:val="0"/>
          <w:divBdr>
            <w:top w:val="none" w:sz="0" w:space="0" w:color="auto"/>
            <w:left w:val="none" w:sz="0" w:space="0" w:color="auto"/>
            <w:bottom w:val="none" w:sz="0" w:space="0" w:color="auto"/>
            <w:right w:val="none" w:sz="0" w:space="0" w:color="auto"/>
          </w:divBdr>
        </w:div>
      </w:divsChild>
    </w:div>
    <w:div w:id="1521090711">
      <w:marLeft w:val="0"/>
      <w:marRight w:val="0"/>
      <w:marTop w:val="0"/>
      <w:marBottom w:val="0"/>
      <w:divBdr>
        <w:top w:val="none" w:sz="0" w:space="0" w:color="auto"/>
        <w:left w:val="none" w:sz="0" w:space="0" w:color="auto"/>
        <w:bottom w:val="none" w:sz="0" w:space="0" w:color="auto"/>
        <w:right w:val="none" w:sz="0" w:space="0" w:color="auto"/>
      </w:divBdr>
    </w:div>
    <w:div w:id="1557620190">
      <w:marLeft w:val="0"/>
      <w:marRight w:val="0"/>
      <w:marTop w:val="0"/>
      <w:marBottom w:val="0"/>
      <w:divBdr>
        <w:top w:val="none" w:sz="0" w:space="0" w:color="auto"/>
        <w:left w:val="none" w:sz="0" w:space="0" w:color="auto"/>
        <w:bottom w:val="none" w:sz="0" w:space="0" w:color="auto"/>
        <w:right w:val="none" w:sz="0" w:space="0" w:color="auto"/>
      </w:divBdr>
    </w:div>
    <w:div w:id="1591692554">
      <w:marLeft w:val="0"/>
      <w:marRight w:val="0"/>
      <w:marTop w:val="0"/>
      <w:marBottom w:val="0"/>
      <w:divBdr>
        <w:top w:val="none" w:sz="0" w:space="0" w:color="auto"/>
        <w:left w:val="none" w:sz="0" w:space="0" w:color="auto"/>
        <w:bottom w:val="none" w:sz="0" w:space="0" w:color="auto"/>
        <w:right w:val="none" w:sz="0" w:space="0" w:color="auto"/>
      </w:divBdr>
    </w:div>
    <w:div w:id="1610577105">
      <w:marLeft w:val="0"/>
      <w:marRight w:val="0"/>
      <w:marTop w:val="0"/>
      <w:marBottom w:val="0"/>
      <w:divBdr>
        <w:top w:val="none" w:sz="0" w:space="0" w:color="auto"/>
        <w:left w:val="none" w:sz="0" w:space="0" w:color="auto"/>
        <w:bottom w:val="none" w:sz="0" w:space="0" w:color="auto"/>
        <w:right w:val="none" w:sz="0" w:space="0" w:color="auto"/>
      </w:divBdr>
    </w:div>
    <w:div w:id="1619217101">
      <w:marLeft w:val="0"/>
      <w:marRight w:val="0"/>
      <w:marTop w:val="0"/>
      <w:marBottom w:val="0"/>
      <w:divBdr>
        <w:top w:val="none" w:sz="0" w:space="0" w:color="auto"/>
        <w:left w:val="none" w:sz="0" w:space="0" w:color="auto"/>
        <w:bottom w:val="none" w:sz="0" w:space="0" w:color="auto"/>
        <w:right w:val="none" w:sz="0" w:space="0" w:color="auto"/>
      </w:divBdr>
    </w:div>
    <w:div w:id="1659533521">
      <w:marLeft w:val="0"/>
      <w:marRight w:val="0"/>
      <w:marTop w:val="0"/>
      <w:marBottom w:val="0"/>
      <w:divBdr>
        <w:top w:val="none" w:sz="0" w:space="0" w:color="auto"/>
        <w:left w:val="none" w:sz="0" w:space="0" w:color="auto"/>
        <w:bottom w:val="none" w:sz="0" w:space="0" w:color="auto"/>
        <w:right w:val="none" w:sz="0" w:space="0" w:color="auto"/>
      </w:divBdr>
    </w:div>
    <w:div w:id="1687247053">
      <w:marLeft w:val="0"/>
      <w:marRight w:val="0"/>
      <w:marTop w:val="0"/>
      <w:marBottom w:val="0"/>
      <w:divBdr>
        <w:top w:val="none" w:sz="0" w:space="0" w:color="auto"/>
        <w:left w:val="none" w:sz="0" w:space="0" w:color="auto"/>
        <w:bottom w:val="none" w:sz="0" w:space="0" w:color="auto"/>
        <w:right w:val="none" w:sz="0" w:space="0" w:color="auto"/>
      </w:divBdr>
    </w:div>
    <w:div w:id="1688214405">
      <w:marLeft w:val="0"/>
      <w:marRight w:val="0"/>
      <w:marTop w:val="0"/>
      <w:marBottom w:val="0"/>
      <w:divBdr>
        <w:top w:val="none" w:sz="0" w:space="0" w:color="auto"/>
        <w:left w:val="none" w:sz="0" w:space="0" w:color="auto"/>
        <w:bottom w:val="none" w:sz="0" w:space="0" w:color="auto"/>
        <w:right w:val="none" w:sz="0" w:space="0" w:color="auto"/>
      </w:divBdr>
    </w:div>
    <w:div w:id="1712337793">
      <w:marLeft w:val="0"/>
      <w:marRight w:val="0"/>
      <w:marTop w:val="0"/>
      <w:marBottom w:val="0"/>
      <w:divBdr>
        <w:top w:val="none" w:sz="0" w:space="0" w:color="auto"/>
        <w:left w:val="none" w:sz="0" w:space="0" w:color="auto"/>
        <w:bottom w:val="none" w:sz="0" w:space="0" w:color="auto"/>
        <w:right w:val="none" w:sz="0" w:space="0" w:color="auto"/>
      </w:divBdr>
    </w:div>
    <w:div w:id="1723862521">
      <w:marLeft w:val="0"/>
      <w:marRight w:val="0"/>
      <w:marTop w:val="0"/>
      <w:marBottom w:val="0"/>
      <w:divBdr>
        <w:top w:val="none" w:sz="0" w:space="0" w:color="auto"/>
        <w:left w:val="none" w:sz="0" w:space="0" w:color="auto"/>
        <w:bottom w:val="none" w:sz="0" w:space="0" w:color="auto"/>
        <w:right w:val="none" w:sz="0" w:space="0" w:color="auto"/>
      </w:divBdr>
    </w:div>
    <w:div w:id="1741514099">
      <w:marLeft w:val="0"/>
      <w:marRight w:val="0"/>
      <w:marTop w:val="0"/>
      <w:marBottom w:val="0"/>
      <w:divBdr>
        <w:top w:val="none" w:sz="0" w:space="0" w:color="auto"/>
        <w:left w:val="none" w:sz="0" w:space="0" w:color="auto"/>
        <w:bottom w:val="none" w:sz="0" w:space="0" w:color="auto"/>
        <w:right w:val="none" w:sz="0" w:space="0" w:color="auto"/>
      </w:divBdr>
    </w:div>
    <w:div w:id="1828856974">
      <w:marLeft w:val="0"/>
      <w:marRight w:val="0"/>
      <w:marTop w:val="0"/>
      <w:marBottom w:val="0"/>
      <w:divBdr>
        <w:top w:val="none" w:sz="0" w:space="0" w:color="auto"/>
        <w:left w:val="none" w:sz="0" w:space="0" w:color="auto"/>
        <w:bottom w:val="none" w:sz="0" w:space="0" w:color="auto"/>
        <w:right w:val="none" w:sz="0" w:space="0" w:color="auto"/>
      </w:divBdr>
    </w:div>
    <w:div w:id="1843084611">
      <w:marLeft w:val="0"/>
      <w:marRight w:val="0"/>
      <w:marTop w:val="0"/>
      <w:marBottom w:val="0"/>
      <w:divBdr>
        <w:top w:val="none" w:sz="0" w:space="0" w:color="auto"/>
        <w:left w:val="none" w:sz="0" w:space="0" w:color="auto"/>
        <w:bottom w:val="none" w:sz="0" w:space="0" w:color="auto"/>
        <w:right w:val="none" w:sz="0" w:space="0" w:color="auto"/>
      </w:divBdr>
    </w:div>
    <w:div w:id="1913351029">
      <w:marLeft w:val="0"/>
      <w:marRight w:val="0"/>
      <w:marTop w:val="0"/>
      <w:marBottom w:val="0"/>
      <w:divBdr>
        <w:top w:val="none" w:sz="0" w:space="0" w:color="auto"/>
        <w:left w:val="none" w:sz="0" w:space="0" w:color="auto"/>
        <w:bottom w:val="none" w:sz="0" w:space="0" w:color="auto"/>
        <w:right w:val="none" w:sz="0" w:space="0" w:color="auto"/>
      </w:divBdr>
    </w:div>
    <w:div w:id="1917396354">
      <w:marLeft w:val="0"/>
      <w:marRight w:val="0"/>
      <w:marTop w:val="0"/>
      <w:marBottom w:val="0"/>
      <w:divBdr>
        <w:top w:val="none" w:sz="0" w:space="0" w:color="auto"/>
        <w:left w:val="none" w:sz="0" w:space="0" w:color="auto"/>
        <w:bottom w:val="none" w:sz="0" w:space="0" w:color="auto"/>
        <w:right w:val="none" w:sz="0" w:space="0" w:color="auto"/>
      </w:divBdr>
    </w:div>
    <w:div w:id="1934170475">
      <w:marLeft w:val="0"/>
      <w:marRight w:val="0"/>
      <w:marTop w:val="0"/>
      <w:marBottom w:val="0"/>
      <w:divBdr>
        <w:top w:val="none" w:sz="0" w:space="0" w:color="auto"/>
        <w:left w:val="none" w:sz="0" w:space="0" w:color="auto"/>
        <w:bottom w:val="none" w:sz="0" w:space="0" w:color="auto"/>
        <w:right w:val="none" w:sz="0" w:space="0" w:color="auto"/>
      </w:divBdr>
    </w:div>
    <w:div w:id="1941714139">
      <w:marLeft w:val="0"/>
      <w:marRight w:val="0"/>
      <w:marTop w:val="0"/>
      <w:marBottom w:val="0"/>
      <w:divBdr>
        <w:top w:val="none" w:sz="0" w:space="0" w:color="auto"/>
        <w:left w:val="none" w:sz="0" w:space="0" w:color="auto"/>
        <w:bottom w:val="none" w:sz="0" w:space="0" w:color="auto"/>
        <w:right w:val="none" w:sz="0" w:space="0" w:color="auto"/>
      </w:divBdr>
      <w:divsChild>
        <w:div w:id="776097734">
          <w:marLeft w:val="0"/>
          <w:marRight w:val="0"/>
          <w:marTop w:val="0"/>
          <w:marBottom w:val="0"/>
          <w:divBdr>
            <w:top w:val="none" w:sz="0" w:space="0" w:color="auto"/>
            <w:left w:val="none" w:sz="0" w:space="0" w:color="auto"/>
            <w:bottom w:val="none" w:sz="0" w:space="0" w:color="auto"/>
            <w:right w:val="none" w:sz="0" w:space="0" w:color="auto"/>
          </w:divBdr>
        </w:div>
      </w:divsChild>
    </w:div>
    <w:div w:id="1992367924">
      <w:marLeft w:val="0"/>
      <w:marRight w:val="0"/>
      <w:marTop w:val="0"/>
      <w:marBottom w:val="0"/>
      <w:divBdr>
        <w:top w:val="none" w:sz="0" w:space="0" w:color="auto"/>
        <w:left w:val="none" w:sz="0" w:space="0" w:color="auto"/>
        <w:bottom w:val="none" w:sz="0" w:space="0" w:color="auto"/>
        <w:right w:val="none" w:sz="0" w:space="0" w:color="auto"/>
      </w:divBdr>
      <w:divsChild>
        <w:div w:id="1485512452">
          <w:marLeft w:val="0"/>
          <w:marRight w:val="0"/>
          <w:marTop w:val="0"/>
          <w:marBottom w:val="0"/>
          <w:divBdr>
            <w:top w:val="none" w:sz="0" w:space="0" w:color="auto"/>
            <w:left w:val="none" w:sz="0" w:space="0" w:color="auto"/>
            <w:bottom w:val="none" w:sz="0" w:space="0" w:color="auto"/>
            <w:right w:val="none" w:sz="0" w:space="0" w:color="auto"/>
          </w:divBdr>
        </w:div>
      </w:divsChild>
    </w:div>
    <w:div w:id="2013143877">
      <w:marLeft w:val="0"/>
      <w:marRight w:val="0"/>
      <w:marTop w:val="0"/>
      <w:marBottom w:val="0"/>
      <w:divBdr>
        <w:top w:val="none" w:sz="0" w:space="0" w:color="auto"/>
        <w:left w:val="none" w:sz="0" w:space="0" w:color="auto"/>
        <w:bottom w:val="none" w:sz="0" w:space="0" w:color="auto"/>
        <w:right w:val="none" w:sz="0" w:space="0" w:color="auto"/>
      </w:divBdr>
    </w:div>
    <w:div w:id="2029597818">
      <w:marLeft w:val="0"/>
      <w:marRight w:val="0"/>
      <w:marTop w:val="0"/>
      <w:marBottom w:val="0"/>
      <w:divBdr>
        <w:top w:val="none" w:sz="0" w:space="0" w:color="auto"/>
        <w:left w:val="none" w:sz="0" w:space="0" w:color="auto"/>
        <w:bottom w:val="none" w:sz="0" w:space="0" w:color="auto"/>
        <w:right w:val="none" w:sz="0" w:space="0" w:color="auto"/>
      </w:divBdr>
    </w:div>
    <w:div w:id="2056154437">
      <w:marLeft w:val="0"/>
      <w:marRight w:val="0"/>
      <w:marTop w:val="0"/>
      <w:marBottom w:val="0"/>
      <w:divBdr>
        <w:top w:val="none" w:sz="0" w:space="0" w:color="auto"/>
        <w:left w:val="none" w:sz="0" w:space="0" w:color="auto"/>
        <w:bottom w:val="none" w:sz="0" w:space="0" w:color="auto"/>
        <w:right w:val="none" w:sz="0" w:space="0" w:color="auto"/>
      </w:divBdr>
    </w:div>
    <w:div w:id="2073962676">
      <w:marLeft w:val="0"/>
      <w:marRight w:val="0"/>
      <w:marTop w:val="0"/>
      <w:marBottom w:val="0"/>
      <w:divBdr>
        <w:top w:val="none" w:sz="0" w:space="0" w:color="auto"/>
        <w:left w:val="none" w:sz="0" w:space="0" w:color="auto"/>
        <w:bottom w:val="none" w:sz="0" w:space="0" w:color="auto"/>
        <w:right w:val="none" w:sz="0" w:space="0" w:color="auto"/>
      </w:divBdr>
    </w:div>
    <w:div w:id="2096394739">
      <w:marLeft w:val="0"/>
      <w:marRight w:val="0"/>
      <w:marTop w:val="0"/>
      <w:marBottom w:val="0"/>
      <w:divBdr>
        <w:top w:val="none" w:sz="0" w:space="0" w:color="auto"/>
        <w:left w:val="none" w:sz="0" w:space="0" w:color="auto"/>
        <w:bottom w:val="none" w:sz="0" w:space="0" w:color="auto"/>
        <w:right w:val="none" w:sz="0" w:space="0" w:color="auto"/>
      </w:divBdr>
    </w:div>
    <w:div w:id="2116633408">
      <w:marLeft w:val="0"/>
      <w:marRight w:val="0"/>
      <w:marTop w:val="0"/>
      <w:marBottom w:val="0"/>
      <w:divBdr>
        <w:top w:val="none" w:sz="0" w:space="0" w:color="auto"/>
        <w:left w:val="none" w:sz="0" w:space="0" w:color="auto"/>
        <w:bottom w:val="none" w:sz="0" w:space="0" w:color="auto"/>
        <w:right w:val="none" w:sz="0" w:space="0" w:color="auto"/>
      </w:divBdr>
    </w:div>
    <w:div w:id="2134443171">
      <w:marLeft w:val="0"/>
      <w:marRight w:val="0"/>
      <w:marTop w:val="0"/>
      <w:marBottom w:val="0"/>
      <w:divBdr>
        <w:top w:val="none" w:sz="0" w:space="0" w:color="auto"/>
        <w:left w:val="none" w:sz="0" w:space="0" w:color="auto"/>
        <w:bottom w:val="none" w:sz="0" w:space="0" w:color="auto"/>
        <w:right w:val="none" w:sz="0" w:space="0" w:color="auto"/>
      </w:divBdr>
    </w:div>
    <w:div w:id="2141994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7783-1E92-446C-BFE7-EA17C605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Love-Koh</dc:creator>
  <cp:keywords/>
  <dc:description/>
  <cp:lastModifiedBy>James Love-Koh</cp:lastModifiedBy>
  <cp:revision>18</cp:revision>
  <dcterms:created xsi:type="dcterms:W3CDTF">2018-01-22T14:49:00Z</dcterms:created>
  <dcterms:modified xsi:type="dcterms:W3CDTF">2019-10-02T14:00:00Z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a9f6b189-ccbd-3fcf-9ba5-0ce95934e0ee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