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6379" w:rsidRPr="002420BE" w:rsidRDefault="00447319" w:rsidP="002420B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-55.5pt;margin-top:0;width:538.55pt;height:4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" filled="f" strokeweight=".5pt">
            <v:fill o:detectmouseclick="t"/>
            <v:textbox>
              <w:txbxContent>
                <w:p w:rsidR="002420BE" w:rsidRPr="008B338E" w:rsidRDefault="002420BE" w:rsidP="00FD51A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ind w:left="567" w:right="567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</w:pPr>
                  <w:bookmarkStart w:id="0" w:name="_GoBack"/>
                  <w:r w:rsidRPr="008B338E"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  <w:t xml:space="preserve">Figure 4. The explanatory model approach: a revised cultural formulation 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(Adapted from </w:t>
                  </w:r>
                  <w:r w:rsidRPr="008B338E">
                    <w:rPr>
                      <w:rFonts w:ascii="Times New Roman" w:hAnsi="Times New Roman" w:cs="Times New Roman"/>
                      <w:noProof/>
                      <w:color w:val="548DD4" w:themeColor="text2" w:themeTint="99"/>
                      <w:szCs w:val="18"/>
                    </w:rPr>
                    <w:t>Kleinman &amp; Benson, 2006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)</w:t>
                  </w:r>
                </w:p>
                <w:p w:rsidR="002420BE" w:rsidRPr="008B338E" w:rsidRDefault="002420BE" w:rsidP="00FD51A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ind w:left="567" w:right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</w:pPr>
                  <w:r w:rsidRPr="008B338E"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  <w:t>Step 1: Asking about ethnic identity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 and determining whether it is an important part of the patient’s sense of self.</w:t>
                  </w:r>
                </w:p>
                <w:p w:rsidR="002420BE" w:rsidRPr="008B338E" w:rsidRDefault="002420BE" w:rsidP="00FD51A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ind w:left="567" w:right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</w:pPr>
                  <w:r w:rsidRPr="008B338E"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  <w:t>Step 2: Evaluating what is at stake for the patient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 facing an episode of emotional distress including relationships, material resources, social commitments, and life itself.</w:t>
                  </w:r>
                </w:p>
                <w:p w:rsidR="002420BE" w:rsidRPr="008B338E" w:rsidRDefault="002420BE" w:rsidP="00FD51A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ind w:left="567" w:right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</w:pPr>
                  <w:r w:rsidRPr="008B338E"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  <w:t>Step 3: Reconstructing the patient’s illness narrative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 involving questions about one’s explanatory model to understand the meaning of illness and distress.</w:t>
                  </w:r>
                </w:p>
                <w:p w:rsidR="002420BE" w:rsidRPr="008B338E" w:rsidRDefault="002420BE" w:rsidP="00FD51A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ind w:left="567" w:right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</w:pPr>
                  <w:r w:rsidRPr="008B338E"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  <w:t>Step 4: Considering the person’s ongoing stresses and social supports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 in order to include interventions that improve life difficulties, alongside the clinical treatment.</w:t>
                  </w:r>
                </w:p>
                <w:p w:rsidR="002420BE" w:rsidRPr="008B338E" w:rsidRDefault="002420BE" w:rsidP="00FD51A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ind w:left="567" w:right="567"/>
                    <w:jc w:val="both"/>
                    <w:rPr>
                      <w:rFonts w:ascii="Times New Roman" w:hAnsi="Times New Roman" w:cs="Times New Roman"/>
                      <w:color w:val="548DD4" w:themeColor="text2" w:themeTint="99"/>
                      <w:szCs w:val="18"/>
                    </w:rPr>
                  </w:pPr>
                  <w:r w:rsidRPr="008B338E"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  <w:t>Step 5: Examining culture in terms of its influence on clinical relationships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. This step is about “training practitioners on critical self-reflection.” In the context of our study, this would include reflexive exploration of countertransference attitudes related to the Lebanese collective political history with Syria</w:t>
                  </w:r>
                  <w:r w:rsidRPr="008B338E">
                    <w:rPr>
                      <w:rFonts w:ascii="Times New Roman" w:hAnsi="Times New Roman" w:cs="Times New Roman"/>
                      <w:color w:val="548DD4" w:themeColor="text2" w:themeTint="99"/>
                      <w:szCs w:val="18"/>
                    </w:rPr>
                    <w:t>.</w:t>
                  </w:r>
                </w:p>
                <w:p w:rsidR="002420BE" w:rsidRPr="008B338E" w:rsidRDefault="002420BE" w:rsidP="00FD51A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ind w:left="567" w:right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</w:pPr>
                  <w:r w:rsidRPr="008B338E"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  <w:t>Step 6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: </w:t>
                  </w:r>
                  <w:r w:rsidRPr="008B338E">
                    <w:rPr>
                      <w:rFonts w:ascii="Times New Roman" w:hAnsi="Times New Roman" w:cs="Times New Roman"/>
                      <w:b/>
                      <w:color w:val="000000" w:themeColor="text1"/>
                      <w:szCs w:val="18"/>
                    </w:rPr>
                    <w:t>Taking into account the question of efficacy</w:t>
                  </w:r>
                  <w:r w:rsidRPr="008B338E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 – namely, “does this intervention work in this particular case?”</w:t>
                  </w:r>
                  <w:r w:rsidRPr="008B338E">
                    <w:rPr>
                      <w:rFonts w:ascii="Times New Roman" w:hAnsi="Times New Roman" w:cs="Times New Roman"/>
                      <w:color w:val="548DD4" w:themeColor="text2" w:themeTint="99"/>
                      <w:szCs w:val="18"/>
                    </w:rPr>
                    <w:t xml:space="preserve"> </w:t>
                  </w:r>
                </w:p>
                <w:p w:rsidR="002420BE" w:rsidRDefault="002420BE" w:rsidP="00FD51AB"/>
                <w:bookmarkEnd w:id="0"/>
                <w:p w:rsidR="002420BE" w:rsidRPr="00D21470" w:rsidRDefault="002420BE" w:rsidP="00D21470"/>
              </w:txbxContent>
            </v:textbox>
            <w10:wrap type="square"/>
          </v:shape>
        </w:pict>
      </w:r>
    </w:p>
    <w:sectPr w:rsidR="005C6379" w:rsidRPr="002420BE" w:rsidSect="007919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A225B"/>
    <w:rsid w:val="002420BE"/>
    <w:rsid w:val="00447319"/>
    <w:rsid w:val="008A225B"/>
    <w:rsid w:val="00A257FB"/>
    <w:rsid w:val="00B66D7C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Word 12.0.0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Kerbage</dc:creator>
  <cp:keywords/>
  <cp:lastModifiedBy>Hala Kerbage</cp:lastModifiedBy>
  <cp:revision>2</cp:revision>
  <dcterms:created xsi:type="dcterms:W3CDTF">2019-10-09T06:05:00Z</dcterms:created>
  <dcterms:modified xsi:type="dcterms:W3CDTF">2019-10-09T06:05:00Z</dcterms:modified>
</cp:coreProperties>
</file>