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31827B" w14:textId="08CF5548" w:rsidR="00185788" w:rsidRPr="00800D00" w:rsidRDefault="00185788" w:rsidP="00A80C86">
      <w:pPr>
        <w:rPr>
          <w:b/>
          <w:i/>
        </w:rPr>
      </w:pPr>
    </w:p>
    <w:p w14:paraId="31472845" w14:textId="71625925" w:rsidR="00B500B8" w:rsidRDefault="00B500B8" w:rsidP="00B500B8">
      <w:pPr>
        <w:jc w:val="center"/>
        <w:rPr>
          <w:rStyle w:val="Strong"/>
          <w:color w:val="201C0E"/>
          <w:sz w:val="28"/>
          <w:szCs w:val="28"/>
        </w:rPr>
      </w:pPr>
      <w:r w:rsidRPr="00B500B8">
        <w:rPr>
          <w:rStyle w:val="Strong"/>
          <w:color w:val="201C0E"/>
          <w:sz w:val="28"/>
          <w:szCs w:val="28"/>
        </w:rPr>
        <w:t>Web Appendix</w:t>
      </w:r>
    </w:p>
    <w:p w14:paraId="6502DB8C" w14:textId="77777777" w:rsidR="00B500B8" w:rsidRPr="00B500B8" w:rsidRDefault="00B500B8" w:rsidP="00B500B8">
      <w:pPr>
        <w:jc w:val="center"/>
        <w:rPr>
          <w:sz w:val="28"/>
          <w:szCs w:val="28"/>
        </w:rPr>
      </w:pPr>
    </w:p>
    <w:p w14:paraId="59F42EBC" w14:textId="0B5EED08" w:rsidR="00D32905" w:rsidRPr="00B500B8" w:rsidRDefault="00B500B8" w:rsidP="00B500B8">
      <w:pPr>
        <w:jc w:val="center"/>
        <w:rPr>
          <w:bCs/>
          <w:i/>
          <w:iCs/>
        </w:rPr>
      </w:pPr>
      <w:r w:rsidRPr="00B500B8">
        <w:rPr>
          <w:bCs/>
          <w:i/>
          <w:iCs/>
        </w:rPr>
        <w:t xml:space="preserve"> WEB APPENDIX W1: CHARACTERIZATION OF (OTHER) EVENT TYPES</w:t>
      </w:r>
    </w:p>
    <w:p w14:paraId="537153EC" w14:textId="77777777" w:rsidR="00B500B8" w:rsidRDefault="00B500B8" w:rsidP="00F412AF">
      <w:pPr>
        <w:jc w:val="center"/>
        <w:rPr>
          <w:b/>
        </w:rPr>
      </w:pPr>
    </w:p>
    <w:p w14:paraId="440A545C" w14:textId="53B7F651" w:rsidR="00D32905" w:rsidRPr="00800D00" w:rsidRDefault="00D32905" w:rsidP="00F412AF">
      <w:pPr>
        <w:jc w:val="center"/>
        <w:rPr>
          <w:b/>
        </w:rPr>
      </w:pPr>
      <w:r w:rsidRPr="00800D00">
        <w:rPr>
          <w:b/>
        </w:rPr>
        <w:t xml:space="preserve">TABLE </w:t>
      </w:r>
      <w:r w:rsidR="005741D7" w:rsidRPr="00800D00">
        <w:rPr>
          <w:b/>
        </w:rPr>
        <w:t>W</w:t>
      </w:r>
      <w:r w:rsidRPr="00800D00">
        <w:rPr>
          <w:b/>
        </w:rPr>
        <w:t>A1: Average Discount Depth and Advertising Spending in Event Weeks for Different Types of Events</w:t>
      </w:r>
    </w:p>
    <w:tbl>
      <w:tblPr>
        <w:tblStyle w:val="TableGrid"/>
        <w:tblW w:w="0" w:type="auto"/>
        <w:tblLook w:val="04A0" w:firstRow="1" w:lastRow="0" w:firstColumn="1" w:lastColumn="0" w:noHBand="0" w:noVBand="1"/>
      </w:tblPr>
      <w:tblGrid>
        <w:gridCol w:w="1738"/>
        <w:gridCol w:w="1450"/>
        <w:gridCol w:w="1466"/>
        <w:gridCol w:w="1465"/>
        <w:gridCol w:w="1451"/>
        <w:gridCol w:w="1446"/>
      </w:tblGrid>
      <w:tr w:rsidR="00D32905" w:rsidRPr="00800D00" w14:paraId="52AFFBE1" w14:textId="77777777" w:rsidTr="00D32905">
        <w:tc>
          <w:tcPr>
            <w:tcW w:w="1738" w:type="dxa"/>
            <w:vMerge w:val="restart"/>
          </w:tcPr>
          <w:p w14:paraId="05238C62" w14:textId="77777777" w:rsidR="00D32905" w:rsidRPr="00800D00" w:rsidRDefault="00D32905" w:rsidP="00F412AF">
            <w:pPr>
              <w:rPr>
                <w:lang w:val="en-US"/>
              </w:rPr>
            </w:pPr>
          </w:p>
        </w:tc>
        <w:tc>
          <w:tcPr>
            <w:tcW w:w="5832" w:type="dxa"/>
            <w:gridSpan w:val="4"/>
            <w:vAlign w:val="center"/>
          </w:tcPr>
          <w:p w14:paraId="625EDB0E" w14:textId="07AE9B55" w:rsidR="00D32905" w:rsidRPr="00800D00" w:rsidRDefault="00D32905" w:rsidP="00F412AF">
            <w:pPr>
              <w:jc w:val="center"/>
              <w:rPr>
                <w:lang w:val="en-US"/>
              </w:rPr>
            </w:pPr>
            <w:r w:rsidRPr="00800D00">
              <w:rPr>
                <w:lang w:val="en-US"/>
              </w:rPr>
              <w:t>Retailer</w:t>
            </w:r>
          </w:p>
        </w:tc>
        <w:tc>
          <w:tcPr>
            <w:tcW w:w="1446" w:type="dxa"/>
            <w:vMerge w:val="restart"/>
          </w:tcPr>
          <w:p w14:paraId="6C068F2F" w14:textId="4647DE67" w:rsidR="00D32905" w:rsidRPr="00800D00" w:rsidRDefault="00D32905" w:rsidP="00F412AF">
            <w:pPr>
              <w:rPr>
                <w:lang w:val="en-US"/>
              </w:rPr>
            </w:pPr>
            <w:r w:rsidRPr="00800D00">
              <w:rPr>
                <w:lang w:val="en-US"/>
              </w:rPr>
              <w:t xml:space="preserve">Overall </w:t>
            </w:r>
            <w:proofErr w:type="spellStart"/>
            <w:r w:rsidRPr="00800D00">
              <w:rPr>
                <w:lang w:val="en-US"/>
              </w:rPr>
              <w:t>Index</w:t>
            </w:r>
            <w:r w:rsidRPr="00800D00">
              <w:rPr>
                <w:vertAlign w:val="superscript"/>
                <w:lang w:val="en-US"/>
              </w:rPr>
              <w:t>a</w:t>
            </w:r>
            <w:proofErr w:type="spellEnd"/>
            <w:r w:rsidRPr="00800D00">
              <w:rPr>
                <w:lang w:val="en-US"/>
              </w:rPr>
              <w:t xml:space="preserve"> </w:t>
            </w:r>
          </w:p>
        </w:tc>
      </w:tr>
      <w:tr w:rsidR="00D32905" w:rsidRPr="00800D00" w14:paraId="79D19B80" w14:textId="77777777" w:rsidTr="00D32905">
        <w:tc>
          <w:tcPr>
            <w:tcW w:w="1738" w:type="dxa"/>
            <w:vMerge/>
          </w:tcPr>
          <w:p w14:paraId="0209BE03" w14:textId="77777777" w:rsidR="00D32905" w:rsidRPr="00800D00" w:rsidRDefault="00D32905" w:rsidP="00F412AF">
            <w:pPr>
              <w:rPr>
                <w:lang w:val="en-US"/>
              </w:rPr>
            </w:pPr>
          </w:p>
        </w:tc>
        <w:tc>
          <w:tcPr>
            <w:tcW w:w="1450" w:type="dxa"/>
          </w:tcPr>
          <w:p w14:paraId="4ACB315C" w14:textId="77777777" w:rsidR="00D32905" w:rsidRPr="00800D00" w:rsidRDefault="00D32905" w:rsidP="00397982">
            <w:pPr>
              <w:jc w:val="center"/>
              <w:rPr>
                <w:lang w:val="en-US"/>
              </w:rPr>
            </w:pPr>
            <w:r w:rsidRPr="00800D00">
              <w:rPr>
                <w:lang w:val="en-US"/>
              </w:rPr>
              <w:t>Plus</w:t>
            </w:r>
          </w:p>
        </w:tc>
        <w:tc>
          <w:tcPr>
            <w:tcW w:w="1466" w:type="dxa"/>
          </w:tcPr>
          <w:p w14:paraId="70318012" w14:textId="77777777" w:rsidR="00D32905" w:rsidRPr="00800D00" w:rsidRDefault="00D32905" w:rsidP="00397982">
            <w:pPr>
              <w:jc w:val="center"/>
              <w:rPr>
                <w:lang w:val="en-US"/>
              </w:rPr>
            </w:pPr>
            <w:r w:rsidRPr="00800D00">
              <w:rPr>
                <w:lang w:val="en-US"/>
              </w:rPr>
              <w:t>C1000</w:t>
            </w:r>
          </w:p>
        </w:tc>
        <w:tc>
          <w:tcPr>
            <w:tcW w:w="1465" w:type="dxa"/>
          </w:tcPr>
          <w:p w14:paraId="360B27BA" w14:textId="77777777" w:rsidR="00D32905" w:rsidRPr="00800D00" w:rsidRDefault="00D32905" w:rsidP="00397982">
            <w:pPr>
              <w:jc w:val="center"/>
              <w:rPr>
                <w:lang w:val="en-US"/>
              </w:rPr>
            </w:pPr>
            <w:r w:rsidRPr="00800D00">
              <w:rPr>
                <w:lang w:val="en-US"/>
              </w:rPr>
              <w:t>AH</w:t>
            </w:r>
          </w:p>
        </w:tc>
        <w:tc>
          <w:tcPr>
            <w:tcW w:w="1451" w:type="dxa"/>
          </w:tcPr>
          <w:p w14:paraId="64FFE7B4" w14:textId="77777777" w:rsidR="00D32905" w:rsidRPr="00800D00" w:rsidRDefault="00D32905" w:rsidP="00397982">
            <w:pPr>
              <w:jc w:val="center"/>
              <w:rPr>
                <w:lang w:val="en-US"/>
              </w:rPr>
            </w:pPr>
            <w:proofErr w:type="spellStart"/>
            <w:r w:rsidRPr="00800D00">
              <w:rPr>
                <w:lang w:val="en-US"/>
              </w:rPr>
              <w:t>SdB</w:t>
            </w:r>
            <w:proofErr w:type="spellEnd"/>
          </w:p>
        </w:tc>
        <w:tc>
          <w:tcPr>
            <w:tcW w:w="1446" w:type="dxa"/>
            <w:vMerge/>
          </w:tcPr>
          <w:p w14:paraId="4868DC20" w14:textId="23B733B8" w:rsidR="00D32905" w:rsidRPr="00800D00" w:rsidRDefault="00D32905" w:rsidP="00F412AF">
            <w:pPr>
              <w:rPr>
                <w:lang w:val="en-US"/>
              </w:rPr>
            </w:pPr>
          </w:p>
        </w:tc>
      </w:tr>
      <w:tr w:rsidR="00D32905" w:rsidRPr="00800D00" w14:paraId="47690BA8" w14:textId="77777777" w:rsidTr="00D32905">
        <w:tc>
          <w:tcPr>
            <w:tcW w:w="9016" w:type="dxa"/>
            <w:gridSpan w:val="6"/>
          </w:tcPr>
          <w:p w14:paraId="79478292" w14:textId="77777777" w:rsidR="00D32905" w:rsidRPr="00800D00" w:rsidRDefault="00D32905" w:rsidP="00F412AF">
            <w:pPr>
              <w:rPr>
                <w:b/>
                <w:lang w:val="en-US"/>
              </w:rPr>
            </w:pPr>
            <w:r w:rsidRPr="00800D00">
              <w:rPr>
                <w:b/>
                <w:lang w:val="en-US"/>
              </w:rPr>
              <w:t>Panel A: Discount Depth</w:t>
            </w:r>
          </w:p>
        </w:tc>
      </w:tr>
      <w:tr w:rsidR="00D32905" w:rsidRPr="00800D00" w14:paraId="21E285BC" w14:textId="77777777" w:rsidTr="00D32905">
        <w:tc>
          <w:tcPr>
            <w:tcW w:w="1738" w:type="dxa"/>
          </w:tcPr>
          <w:p w14:paraId="23F1062C" w14:textId="77777777" w:rsidR="00D32905" w:rsidRPr="00800D00" w:rsidRDefault="00D32905" w:rsidP="00F412AF">
            <w:pPr>
              <w:rPr>
                <w:lang w:val="en-US"/>
              </w:rPr>
            </w:pPr>
            <w:r w:rsidRPr="00800D00">
              <w:rPr>
                <w:lang w:val="en-US"/>
              </w:rPr>
              <w:t>Overall Average</w:t>
            </w:r>
          </w:p>
        </w:tc>
        <w:tc>
          <w:tcPr>
            <w:tcW w:w="1450" w:type="dxa"/>
          </w:tcPr>
          <w:p w14:paraId="70868D2A" w14:textId="77777777" w:rsidR="00D32905" w:rsidRPr="00800D00" w:rsidRDefault="00D32905" w:rsidP="00F412AF">
            <w:pPr>
              <w:jc w:val="center"/>
              <w:rPr>
                <w:lang w:val="en-US"/>
              </w:rPr>
            </w:pPr>
            <w:r w:rsidRPr="00800D00">
              <w:rPr>
                <w:lang w:val="en-US"/>
              </w:rPr>
              <w:t>15.08</w:t>
            </w:r>
          </w:p>
        </w:tc>
        <w:tc>
          <w:tcPr>
            <w:tcW w:w="1466" w:type="dxa"/>
          </w:tcPr>
          <w:p w14:paraId="74E27386" w14:textId="77777777" w:rsidR="00D32905" w:rsidRPr="00800D00" w:rsidRDefault="00D32905" w:rsidP="00F412AF">
            <w:pPr>
              <w:jc w:val="center"/>
              <w:rPr>
                <w:lang w:val="en-US"/>
              </w:rPr>
            </w:pPr>
            <w:r w:rsidRPr="00800D00">
              <w:rPr>
                <w:lang w:val="en-US"/>
              </w:rPr>
              <w:t>15.50</w:t>
            </w:r>
          </w:p>
        </w:tc>
        <w:tc>
          <w:tcPr>
            <w:tcW w:w="1465" w:type="dxa"/>
          </w:tcPr>
          <w:p w14:paraId="2E76D1D8" w14:textId="77777777" w:rsidR="00D32905" w:rsidRPr="00800D00" w:rsidRDefault="00D32905" w:rsidP="00F412AF">
            <w:pPr>
              <w:jc w:val="center"/>
              <w:rPr>
                <w:lang w:val="en-US"/>
              </w:rPr>
            </w:pPr>
            <w:r w:rsidRPr="00800D00">
              <w:rPr>
                <w:lang w:val="en-US"/>
              </w:rPr>
              <w:t>12.31</w:t>
            </w:r>
          </w:p>
        </w:tc>
        <w:tc>
          <w:tcPr>
            <w:tcW w:w="1451" w:type="dxa"/>
          </w:tcPr>
          <w:p w14:paraId="1F5D102E" w14:textId="77777777" w:rsidR="00D32905" w:rsidRPr="00800D00" w:rsidRDefault="00D32905" w:rsidP="00F412AF">
            <w:pPr>
              <w:jc w:val="center"/>
              <w:rPr>
                <w:lang w:val="en-US"/>
              </w:rPr>
            </w:pPr>
            <w:r w:rsidRPr="00800D00">
              <w:rPr>
                <w:lang w:val="en-US"/>
              </w:rPr>
              <w:t>15.63</w:t>
            </w:r>
          </w:p>
        </w:tc>
        <w:tc>
          <w:tcPr>
            <w:tcW w:w="1446" w:type="dxa"/>
            <w:vAlign w:val="center"/>
          </w:tcPr>
          <w:p w14:paraId="50427DD7" w14:textId="77777777" w:rsidR="00D32905" w:rsidRPr="00800D00" w:rsidRDefault="00D32905" w:rsidP="00F412AF">
            <w:pPr>
              <w:jc w:val="center"/>
              <w:rPr>
                <w:color w:val="000000"/>
                <w:sz w:val="22"/>
                <w:lang w:val="en-US"/>
              </w:rPr>
            </w:pPr>
            <w:r w:rsidRPr="00800D00">
              <w:rPr>
                <w:color w:val="000000"/>
                <w:sz w:val="22"/>
                <w:lang w:val="en-US"/>
              </w:rPr>
              <w:t>1</w:t>
            </w:r>
          </w:p>
        </w:tc>
      </w:tr>
      <w:tr w:rsidR="00D32905" w:rsidRPr="00800D00" w14:paraId="678CA013" w14:textId="77777777" w:rsidTr="00D32905">
        <w:tc>
          <w:tcPr>
            <w:tcW w:w="1738" w:type="dxa"/>
          </w:tcPr>
          <w:p w14:paraId="0A3154F7" w14:textId="34599F0C" w:rsidR="00D32905" w:rsidRPr="00800D00" w:rsidRDefault="00696D76" w:rsidP="00696D76">
            <w:pPr>
              <w:rPr>
                <w:lang w:val="en-US"/>
              </w:rPr>
            </w:pPr>
            <w:proofErr w:type="spellStart"/>
            <w:r w:rsidRPr="00800D00">
              <w:rPr>
                <w:lang w:val="en-US"/>
              </w:rPr>
              <w:t>ReTSS</w:t>
            </w:r>
            <w:proofErr w:type="spellEnd"/>
            <w:r w:rsidR="00D32905" w:rsidRPr="00800D00">
              <w:rPr>
                <w:lang w:val="en-US"/>
              </w:rPr>
              <w:t xml:space="preserve"> </w:t>
            </w:r>
          </w:p>
        </w:tc>
        <w:tc>
          <w:tcPr>
            <w:tcW w:w="1450" w:type="dxa"/>
          </w:tcPr>
          <w:p w14:paraId="21954F24" w14:textId="77777777" w:rsidR="00D32905" w:rsidRPr="00800D00" w:rsidRDefault="00D32905" w:rsidP="00F412AF">
            <w:pPr>
              <w:jc w:val="center"/>
              <w:rPr>
                <w:lang w:val="en-US"/>
              </w:rPr>
            </w:pPr>
            <w:r w:rsidRPr="00800D00">
              <w:rPr>
                <w:lang w:val="en-US"/>
              </w:rPr>
              <w:t>18.45</w:t>
            </w:r>
          </w:p>
        </w:tc>
        <w:tc>
          <w:tcPr>
            <w:tcW w:w="1466" w:type="dxa"/>
          </w:tcPr>
          <w:p w14:paraId="7809CF86" w14:textId="77777777" w:rsidR="00D32905" w:rsidRPr="00800D00" w:rsidRDefault="00D32905" w:rsidP="00F412AF">
            <w:pPr>
              <w:jc w:val="center"/>
              <w:rPr>
                <w:lang w:val="en-US"/>
              </w:rPr>
            </w:pPr>
            <w:r w:rsidRPr="00800D00">
              <w:rPr>
                <w:lang w:val="en-US"/>
              </w:rPr>
              <w:t>17.62</w:t>
            </w:r>
          </w:p>
        </w:tc>
        <w:tc>
          <w:tcPr>
            <w:tcW w:w="1465" w:type="dxa"/>
          </w:tcPr>
          <w:p w14:paraId="2B6B3168" w14:textId="77777777" w:rsidR="00D32905" w:rsidRPr="00800D00" w:rsidRDefault="00D32905" w:rsidP="00F412AF">
            <w:pPr>
              <w:jc w:val="center"/>
              <w:rPr>
                <w:lang w:val="en-US"/>
              </w:rPr>
            </w:pPr>
            <w:r w:rsidRPr="00800D00">
              <w:rPr>
                <w:lang w:val="en-US"/>
              </w:rPr>
              <w:t>16.87</w:t>
            </w:r>
          </w:p>
        </w:tc>
        <w:tc>
          <w:tcPr>
            <w:tcW w:w="1451" w:type="dxa"/>
          </w:tcPr>
          <w:p w14:paraId="4A5321A5" w14:textId="77777777" w:rsidR="00D32905" w:rsidRPr="00800D00" w:rsidRDefault="00D32905" w:rsidP="00F412AF">
            <w:pPr>
              <w:jc w:val="center"/>
              <w:rPr>
                <w:lang w:val="en-US"/>
              </w:rPr>
            </w:pPr>
            <w:r w:rsidRPr="00800D00">
              <w:rPr>
                <w:lang w:val="en-US"/>
              </w:rPr>
              <w:t>19.81</w:t>
            </w:r>
          </w:p>
        </w:tc>
        <w:tc>
          <w:tcPr>
            <w:tcW w:w="1446" w:type="dxa"/>
            <w:vAlign w:val="center"/>
          </w:tcPr>
          <w:p w14:paraId="723E9FFD" w14:textId="77777777" w:rsidR="00D32905" w:rsidRPr="00800D00" w:rsidRDefault="00D32905" w:rsidP="00F412AF">
            <w:pPr>
              <w:jc w:val="center"/>
              <w:rPr>
                <w:color w:val="000000"/>
                <w:sz w:val="22"/>
                <w:lang w:val="en-US"/>
              </w:rPr>
            </w:pPr>
            <w:r w:rsidRPr="00800D00">
              <w:rPr>
                <w:color w:val="000000"/>
                <w:sz w:val="22"/>
                <w:lang w:val="en-US"/>
              </w:rPr>
              <w:t>1.2</w:t>
            </w:r>
            <w:r w:rsidRPr="00800D00">
              <w:rPr>
                <w:color w:val="000000"/>
                <w:lang w:val="en-US"/>
              </w:rPr>
              <w:t>5</w:t>
            </w:r>
          </w:p>
        </w:tc>
      </w:tr>
      <w:tr w:rsidR="00D32905" w:rsidRPr="00800D00" w14:paraId="48605F1A" w14:textId="77777777" w:rsidTr="00D32905">
        <w:tc>
          <w:tcPr>
            <w:tcW w:w="1738" w:type="dxa"/>
          </w:tcPr>
          <w:p w14:paraId="18E5D9CA" w14:textId="77777777" w:rsidR="00D32905" w:rsidRPr="00800D00" w:rsidRDefault="00D32905" w:rsidP="00F412AF">
            <w:pPr>
              <w:rPr>
                <w:lang w:val="en-US"/>
              </w:rPr>
            </w:pPr>
            <w:r w:rsidRPr="00800D00">
              <w:rPr>
                <w:lang w:val="en-US"/>
              </w:rPr>
              <w:t>Popular Events</w:t>
            </w:r>
          </w:p>
        </w:tc>
        <w:tc>
          <w:tcPr>
            <w:tcW w:w="1450" w:type="dxa"/>
          </w:tcPr>
          <w:p w14:paraId="44E0C88A" w14:textId="77777777" w:rsidR="00D32905" w:rsidRPr="00800D00" w:rsidRDefault="00D32905" w:rsidP="00F412AF">
            <w:pPr>
              <w:jc w:val="center"/>
              <w:rPr>
                <w:lang w:val="en-US"/>
              </w:rPr>
            </w:pPr>
            <w:r w:rsidRPr="00800D00">
              <w:rPr>
                <w:lang w:val="en-US"/>
              </w:rPr>
              <w:t>14.63</w:t>
            </w:r>
          </w:p>
        </w:tc>
        <w:tc>
          <w:tcPr>
            <w:tcW w:w="1466" w:type="dxa"/>
          </w:tcPr>
          <w:p w14:paraId="7E7A2BC6" w14:textId="77777777" w:rsidR="00D32905" w:rsidRPr="00800D00" w:rsidRDefault="00D32905" w:rsidP="00F412AF">
            <w:pPr>
              <w:jc w:val="center"/>
              <w:rPr>
                <w:lang w:val="en-US"/>
              </w:rPr>
            </w:pPr>
            <w:r w:rsidRPr="00800D00">
              <w:rPr>
                <w:lang w:val="en-US"/>
              </w:rPr>
              <w:t>16.08</w:t>
            </w:r>
          </w:p>
        </w:tc>
        <w:tc>
          <w:tcPr>
            <w:tcW w:w="1465" w:type="dxa"/>
          </w:tcPr>
          <w:p w14:paraId="2FEE3C5F" w14:textId="77777777" w:rsidR="00D32905" w:rsidRPr="00800D00" w:rsidRDefault="00D32905" w:rsidP="00F412AF">
            <w:pPr>
              <w:jc w:val="center"/>
              <w:rPr>
                <w:lang w:val="en-US"/>
              </w:rPr>
            </w:pPr>
            <w:r w:rsidRPr="00800D00">
              <w:rPr>
                <w:lang w:val="en-US"/>
              </w:rPr>
              <w:t>10.97</w:t>
            </w:r>
          </w:p>
        </w:tc>
        <w:tc>
          <w:tcPr>
            <w:tcW w:w="1451" w:type="dxa"/>
          </w:tcPr>
          <w:p w14:paraId="618EE2A6" w14:textId="77777777" w:rsidR="00D32905" w:rsidRPr="00800D00" w:rsidRDefault="00D32905" w:rsidP="00F412AF">
            <w:pPr>
              <w:jc w:val="center"/>
              <w:rPr>
                <w:lang w:val="en-US"/>
              </w:rPr>
            </w:pPr>
            <w:r w:rsidRPr="00800D00">
              <w:rPr>
                <w:lang w:val="en-US"/>
              </w:rPr>
              <w:t>12.36</w:t>
            </w:r>
          </w:p>
        </w:tc>
        <w:tc>
          <w:tcPr>
            <w:tcW w:w="1446" w:type="dxa"/>
            <w:vAlign w:val="center"/>
          </w:tcPr>
          <w:p w14:paraId="4199E7DA" w14:textId="77777777" w:rsidR="00D32905" w:rsidRPr="00800D00" w:rsidRDefault="00D32905" w:rsidP="00F412AF">
            <w:pPr>
              <w:jc w:val="center"/>
              <w:rPr>
                <w:color w:val="000000"/>
                <w:sz w:val="22"/>
                <w:lang w:val="en-US"/>
              </w:rPr>
            </w:pPr>
            <w:r w:rsidRPr="00800D00">
              <w:rPr>
                <w:color w:val="000000"/>
                <w:sz w:val="22"/>
                <w:lang w:val="en-US"/>
              </w:rPr>
              <w:t>0.92</w:t>
            </w:r>
          </w:p>
        </w:tc>
      </w:tr>
      <w:tr w:rsidR="00D32905" w:rsidRPr="00800D00" w14:paraId="2C5BE66A" w14:textId="77777777" w:rsidTr="00D32905">
        <w:tc>
          <w:tcPr>
            <w:tcW w:w="1738" w:type="dxa"/>
          </w:tcPr>
          <w:p w14:paraId="342D382C" w14:textId="77777777" w:rsidR="00D32905" w:rsidRPr="00800D00" w:rsidRDefault="00D32905" w:rsidP="00F412AF">
            <w:pPr>
              <w:rPr>
                <w:lang w:val="en-US"/>
              </w:rPr>
            </w:pPr>
            <w:r w:rsidRPr="00800D00">
              <w:rPr>
                <w:lang w:val="en-US"/>
              </w:rPr>
              <w:t>Temp. Loyalty Programs</w:t>
            </w:r>
          </w:p>
        </w:tc>
        <w:tc>
          <w:tcPr>
            <w:tcW w:w="1450" w:type="dxa"/>
          </w:tcPr>
          <w:p w14:paraId="45D0ADA6" w14:textId="77777777" w:rsidR="00D32905" w:rsidRPr="00800D00" w:rsidRDefault="00D32905" w:rsidP="00F412AF">
            <w:pPr>
              <w:jc w:val="center"/>
              <w:rPr>
                <w:lang w:val="en-US"/>
              </w:rPr>
            </w:pPr>
            <w:r w:rsidRPr="00800D00">
              <w:rPr>
                <w:lang w:val="en-US"/>
              </w:rPr>
              <w:t>14.72</w:t>
            </w:r>
          </w:p>
        </w:tc>
        <w:tc>
          <w:tcPr>
            <w:tcW w:w="1466" w:type="dxa"/>
          </w:tcPr>
          <w:p w14:paraId="71A2A5F3" w14:textId="77777777" w:rsidR="00D32905" w:rsidRPr="00800D00" w:rsidRDefault="00D32905" w:rsidP="00F412AF">
            <w:pPr>
              <w:jc w:val="center"/>
              <w:rPr>
                <w:lang w:val="en-US"/>
              </w:rPr>
            </w:pPr>
            <w:r w:rsidRPr="00800D00">
              <w:rPr>
                <w:lang w:val="en-US"/>
              </w:rPr>
              <w:t>16.61</w:t>
            </w:r>
          </w:p>
        </w:tc>
        <w:tc>
          <w:tcPr>
            <w:tcW w:w="1465" w:type="dxa"/>
          </w:tcPr>
          <w:p w14:paraId="07C543A8" w14:textId="77777777" w:rsidR="00D32905" w:rsidRPr="00800D00" w:rsidRDefault="00D32905" w:rsidP="00F412AF">
            <w:pPr>
              <w:jc w:val="center"/>
              <w:rPr>
                <w:lang w:val="en-US"/>
              </w:rPr>
            </w:pPr>
            <w:r w:rsidRPr="00800D00">
              <w:rPr>
                <w:lang w:val="en-US"/>
              </w:rPr>
              <w:t>11.07</w:t>
            </w:r>
          </w:p>
        </w:tc>
        <w:tc>
          <w:tcPr>
            <w:tcW w:w="1451" w:type="dxa"/>
          </w:tcPr>
          <w:p w14:paraId="35C1388F" w14:textId="77777777" w:rsidR="00D32905" w:rsidRPr="00800D00" w:rsidRDefault="00D32905" w:rsidP="00F412AF">
            <w:pPr>
              <w:jc w:val="center"/>
              <w:rPr>
                <w:lang w:val="en-US"/>
              </w:rPr>
            </w:pPr>
            <w:r w:rsidRPr="00800D00">
              <w:rPr>
                <w:lang w:val="en-US"/>
              </w:rPr>
              <w:t>14.82</w:t>
            </w:r>
          </w:p>
        </w:tc>
        <w:tc>
          <w:tcPr>
            <w:tcW w:w="1446" w:type="dxa"/>
            <w:vAlign w:val="center"/>
          </w:tcPr>
          <w:p w14:paraId="50A38616" w14:textId="77777777" w:rsidR="00D32905" w:rsidRPr="00800D00" w:rsidRDefault="00D32905" w:rsidP="00F412AF">
            <w:pPr>
              <w:jc w:val="center"/>
              <w:rPr>
                <w:color w:val="000000"/>
                <w:sz w:val="22"/>
                <w:lang w:val="en-US"/>
              </w:rPr>
            </w:pPr>
            <w:r w:rsidRPr="00800D00">
              <w:rPr>
                <w:color w:val="000000"/>
                <w:sz w:val="22"/>
                <w:lang w:val="en-US"/>
              </w:rPr>
              <w:t>0.97</w:t>
            </w:r>
          </w:p>
        </w:tc>
      </w:tr>
      <w:tr w:rsidR="00D32905" w:rsidRPr="00800D00" w14:paraId="1286CDD0" w14:textId="77777777" w:rsidTr="00D32905">
        <w:tc>
          <w:tcPr>
            <w:tcW w:w="1738" w:type="dxa"/>
          </w:tcPr>
          <w:p w14:paraId="5CA343FA" w14:textId="77777777" w:rsidR="00D32905" w:rsidRPr="00800D00" w:rsidRDefault="00D32905" w:rsidP="00F412AF">
            <w:pPr>
              <w:rPr>
                <w:lang w:val="en-US"/>
              </w:rPr>
            </w:pPr>
            <w:r w:rsidRPr="00800D00">
              <w:rPr>
                <w:lang w:val="en-US"/>
              </w:rPr>
              <w:t>Category Events</w:t>
            </w:r>
          </w:p>
        </w:tc>
        <w:tc>
          <w:tcPr>
            <w:tcW w:w="1450" w:type="dxa"/>
          </w:tcPr>
          <w:p w14:paraId="7E73B4FE" w14:textId="77777777" w:rsidR="00D32905" w:rsidRPr="00800D00" w:rsidRDefault="00D32905" w:rsidP="00F412AF">
            <w:pPr>
              <w:jc w:val="center"/>
              <w:rPr>
                <w:lang w:val="en-US"/>
              </w:rPr>
            </w:pPr>
            <w:r w:rsidRPr="00800D00">
              <w:rPr>
                <w:lang w:val="en-US"/>
              </w:rPr>
              <w:t>14.31</w:t>
            </w:r>
          </w:p>
        </w:tc>
        <w:tc>
          <w:tcPr>
            <w:tcW w:w="1466" w:type="dxa"/>
          </w:tcPr>
          <w:p w14:paraId="37F3790C" w14:textId="77777777" w:rsidR="00D32905" w:rsidRPr="00800D00" w:rsidRDefault="00D32905" w:rsidP="00F412AF">
            <w:pPr>
              <w:jc w:val="center"/>
              <w:rPr>
                <w:lang w:val="en-US"/>
              </w:rPr>
            </w:pPr>
            <w:r w:rsidRPr="00800D00">
              <w:rPr>
                <w:lang w:val="en-US"/>
              </w:rPr>
              <w:t>13.40</w:t>
            </w:r>
          </w:p>
        </w:tc>
        <w:tc>
          <w:tcPr>
            <w:tcW w:w="1465" w:type="dxa"/>
          </w:tcPr>
          <w:p w14:paraId="1277961B" w14:textId="77777777" w:rsidR="00D32905" w:rsidRPr="00800D00" w:rsidRDefault="00D32905" w:rsidP="00F412AF">
            <w:pPr>
              <w:jc w:val="center"/>
              <w:rPr>
                <w:lang w:val="en-US"/>
              </w:rPr>
            </w:pPr>
            <w:r w:rsidRPr="00800D00">
              <w:rPr>
                <w:lang w:val="en-US"/>
              </w:rPr>
              <w:t>11.90</w:t>
            </w:r>
          </w:p>
        </w:tc>
        <w:tc>
          <w:tcPr>
            <w:tcW w:w="1451" w:type="dxa"/>
          </w:tcPr>
          <w:p w14:paraId="10C64DFF" w14:textId="77777777" w:rsidR="00D32905" w:rsidRPr="00800D00" w:rsidRDefault="00D32905" w:rsidP="00F412AF">
            <w:pPr>
              <w:jc w:val="center"/>
              <w:rPr>
                <w:lang w:val="en-US"/>
              </w:rPr>
            </w:pPr>
            <w:r w:rsidRPr="00800D00">
              <w:rPr>
                <w:lang w:val="en-US"/>
              </w:rPr>
              <w:t>12.26</w:t>
            </w:r>
          </w:p>
        </w:tc>
        <w:tc>
          <w:tcPr>
            <w:tcW w:w="1446" w:type="dxa"/>
            <w:vAlign w:val="center"/>
          </w:tcPr>
          <w:p w14:paraId="22AAEE5B" w14:textId="77777777" w:rsidR="00D32905" w:rsidRPr="00800D00" w:rsidRDefault="00D32905" w:rsidP="00F412AF">
            <w:pPr>
              <w:jc w:val="center"/>
              <w:rPr>
                <w:color w:val="000000"/>
                <w:sz w:val="22"/>
                <w:lang w:val="en-US"/>
              </w:rPr>
            </w:pPr>
            <w:r w:rsidRPr="00800D00">
              <w:rPr>
                <w:color w:val="000000"/>
                <w:sz w:val="22"/>
                <w:lang w:val="en-US"/>
              </w:rPr>
              <w:t>0.89</w:t>
            </w:r>
          </w:p>
        </w:tc>
      </w:tr>
      <w:tr w:rsidR="00D32905" w:rsidRPr="00800D00" w14:paraId="11BD009D" w14:textId="77777777" w:rsidTr="00D32905">
        <w:tc>
          <w:tcPr>
            <w:tcW w:w="1738" w:type="dxa"/>
          </w:tcPr>
          <w:p w14:paraId="5892533E" w14:textId="77777777" w:rsidR="00D32905" w:rsidRPr="00800D00" w:rsidRDefault="00D32905" w:rsidP="00F412AF">
            <w:pPr>
              <w:rPr>
                <w:lang w:val="en-US"/>
              </w:rPr>
            </w:pPr>
            <w:r w:rsidRPr="00800D00">
              <w:rPr>
                <w:lang w:val="en-US"/>
              </w:rPr>
              <w:t>Seasonal Events</w:t>
            </w:r>
          </w:p>
        </w:tc>
        <w:tc>
          <w:tcPr>
            <w:tcW w:w="1450" w:type="dxa"/>
          </w:tcPr>
          <w:p w14:paraId="00905196" w14:textId="77777777" w:rsidR="00D32905" w:rsidRPr="00800D00" w:rsidRDefault="00D32905" w:rsidP="00F412AF">
            <w:pPr>
              <w:jc w:val="center"/>
              <w:rPr>
                <w:lang w:val="en-US"/>
              </w:rPr>
            </w:pPr>
            <w:r w:rsidRPr="00800D00">
              <w:rPr>
                <w:lang w:val="en-US"/>
              </w:rPr>
              <w:t>14.87</w:t>
            </w:r>
          </w:p>
        </w:tc>
        <w:tc>
          <w:tcPr>
            <w:tcW w:w="1466" w:type="dxa"/>
          </w:tcPr>
          <w:p w14:paraId="3B9695B9" w14:textId="77777777" w:rsidR="00D32905" w:rsidRPr="00800D00" w:rsidRDefault="00D32905" w:rsidP="00F412AF">
            <w:pPr>
              <w:jc w:val="center"/>
              <w:rPr>
                <w:lang w:val="en-US"/>
              </w:rPr>
            </w:pPr>
            <w:r w:rsidRPr="00800D00">
              <w:rPr>
                <w:lang w:val="en-US"/>
              </w:rPr>
              <w:t>14.63</w:t>
            </w:r>
          </w:p>
        </w:tc>
        <w:tc>
          <w:tcPr>
            <w:tcW w:w="1465" w:type="dxa"/>
          </w:tcPr>
          <w:p w14:paraId="1AFAB6D2" w14:textId="77777777" w:rsidR="00D32905" w:rsidRPr="00800D00" w:rsidRDefault="00D32905" w:rsidP="00F412AF">
            <w:pPr>
              <w:jc w:val="center"/>
              <w:rPr>
                <w:lang w:val="en-US"/>
              </w:rPr>
            </w:pPr>
            <w:r w:rsidRPr="00800D00">
              <w:rPr>
                <w:lang w:val="en-US"/>
              </w:rPr>
              <w:t>10.99</w:t>
            </w:r>
          </w:p>
        </w:tc>
        <w:tc>
          <w:tcPr>
            <w:tcW w:w="1451" w:type="dxa"/>
          </w:tcPr>
          <w:p w14:paraId="1F4468B6" w14:textId="77777777" w:rsidR="00D32905" w:rsidRPr="00800D00" w:rsidRDefault="00D32905" w:rsidP="00F412AF">
            <w:pPr>
              <w:jc w:val="center"/>
              <w:rPr>
                <w:lang w:val="en-US"/>
              </w:rPr>
            </w:pPr>
            <w:r w:rsidRPr="00800D00">
              <w:rPr>
                <w:lang w:val="en-US"/>
              </w:rPr>
              <w:t>15.18</w:t>
            </w:r>
          </w:p>
        </w:tc>
        <w:tc>
          <w:tcPr>
            <w:tcW w:w="1446" w:type="dxa"/>
            <w:vAlign w:val="center"/>
          </w:tcPr>
          <w:p w14:paraId="1E71E077" w14:textId="5EE9DA04" w:rsidR="00D32905" w:rsidRPr="00800D00" w:rsidRDefault="00D32905" w:rsidP="00F412AF">
            <w:pPr>
              <w:jc w:val="center"/>
              <w:rPr>
                <w:color w:val="000000"/>
                <w:sz w:val="22"/>
                <w:lang w:val="en-US"/>
              </w:rPr>
            </w:pPr>
            <w:r w:rsidRPr="00800D00">
              <w:rPr>
                <w:color w:val="000000"/>
                <w:sz w:val="22"/>
                <w:lang w:val="en-US"/>
              </w:rPr>
              <w:t>0.9</w:t>
            </w:r>
            <w:r w:rsidRPr="00800D00">
              <w:rPr>
                <w:color w:val="000000"/>
                <w:lang w:val="en-US"/>
              </w:rPr>
              <w:t>5</w:t>
            </w:r>
          </w:p>
        </w:tc>
      </w:tr>
      <w:tr w:rsidR="00D32905" w:rsidRPr="00800D00" w14:paraId="4CBDD71C" w14:textId="77777777" w:rsidTr="00D32905">
        <w:tc>
          <w:tcPr>
            <w:tcW w:w="9016" w:type="dxa"/>
            <w:gridSpan w:val="6"/>
          </w:tcPr>
          <w:p w14:paraId="1ACD302C" w14:textId="43306D41" w:rsidR="00D32905" w:rsidRPr="00800D00" w:rsidRDefault="00D32905" w:rsidP="00E6391D">
            <w:pPr>
              <w:rPr>
                <w:b/>
                <w:lang w:val="en-US"/>
              </w:rPr>
            </w:pPr>
            <w:r w:rsidRPr="00800D00">
              <w:rPr>
                <w:b/>
                <w:lang w:val="en-US"/>
              </w:rPr>
              <w:t>Panel B: Mass</w:t>
            </w:r>
            <w:r w:rsidR="00E6391D" w:rsidRPr="00800D00">
              <w:rPr>
                <w:b/>
                <w:lang w:val="en-US"/>
              </w:rPr>
              <w:t xml:space="preserve"> </w:t>
            </w:r>
            <w:r w:rsidRPr="00800D00">
              <w:rPr>
                <w:b/>
                <w:lang w:val="en-US"/>
              </w:rPr>
              <w:t>Media Advertising Spending</w:t>
            </w:r>
          </w:p>
        </w:tc>
      </w:tr>
      <w:tr w:rsidR="00D32905" w:rsidRPr="00800D00" w14:paraId="04F238DD" w14:textId="77777777" w:rsidTr="00D32905">
        <w:tc>
          <w:tcPr>
            <w:tcW w:w="1738" w:type="dxa"/>
          </w:tcPr>
          <w:p w14:paraId="29F21FD2" w14:textId="77777777" w:rsidR="00D32905" w:rsidRPr="00800D00" w:rsidRDefault="00D32905" w:rsidP="00F412AF">
            <w:pPr>
              <w:rPr>
                <w:lang w:val="en-US"/>
              </w:rPr>
            </w:pPr>
            <w:r w:rsidRPr="00800D00">
              <w:rPr>
                <w:lang w:val="en-US"/>
              </w:rPr>
              <w:t>Overall Average</w:t>
            </w:r>
          </w:p>
        </w:tc>
        <w:tc>
          <w:tcPr>
            <w:tcW w:w="1450" w:type="dxa"/>
          </w:tcPr>
          <w:p w14:paraId="48BB7C2D" w14:textId="77777777" w:rsidR="00D32905" w:rsidRPr="00800D00" w:rsidRDefault="00D32905" w:rsidP="00F412AF">
            <w:pPr>
              <w:jc w:val="center"/>
              <w:rPr>
                <w:lang w:val="en-US"/>
              </w:rPr>
            </w:pPr>
            <w:r w:rsidRPr="00800D00">
              <w:rPr>
                <w:lang w:val="en-US"/>
              </w:rPr>
              <w:t>499,068</w:t>
            </w:r>
          </w:p>
        </w:tc>
        <w:tc>
          <w:tcPr>
            <w:tcW w:w="1466" w:type="dxa"/>
          </w:tcPr>
          <w:p w14:paraId="5B97AFB9" w14:textId="77777777" w:rsidR="00D32905" w:rsidRPr="00800D00" w:rsidRDefault="00D32905" w:rsidP="00F412AF">
            <w:pPr>
              <w:jc w:val="center"/>
              <w:rPr>
                <w:lang w:val="en-US"/>
              </w:rPr>
            </w:pPr>
            <w:r w:rsidRPr="00800D00">
              <w:rPr>
                <w:lang w:val="en-US"/>
              </w:rPr>
              <w:t>867,348</w:t>
            </w:r>
          </w:p>
        </w:tc>
        <w:tc>
          <w:tcPr>
            <w:tcW w:w="1465" w:type="dxa"/>
          </w:tcPr>
          <w:p w14:paraId="653D4331" w14:textId="77777777" w:rsidR="00D32905" w:rsidRPr="00800D00" w:rsidRDefault="00D32905" w:rsidP="00F412AF">
            <w:pPr>
              <w:jc w:val="center"/>
              <w:rPr>
                <w:lang w:val="en-US"/>
              </w:rPr>
            </w:pPr>
            <w:r w:rsidRPr="00800D00">
              <w:rPr>
                <w:lang w:val="en-US"/>
              </w:rPr>
              <w:t>1,070,746</w:t>
            </w:r>
          </w:p>
        </w:tc>
        <w:tc>
          <w:tcPr>
            <w:tcW w:w="1451" w:type="dxa"/>
          </w:tcPr>
          <w:p w14:paraId="7A4799B8" w14:textId="77777777" w:rsidR="00D32905" w:rsidRPr="00800D00" w:rsidRDefault="00D32905" w:rsidP="00F412AF">
            <w:pPr>
              <w:jc w:val="center"/>
              <w:rPr>
                <w:lang w:val="en-US"/>
              </w:rPr>
            </w:pPr>
            <w:r w:rsidRPr="00800D00">
              <w:rPr>
                <w:lang w:val="en-US"/>
              </w:rPr>
              <w:t>189,150</w:t>
            </w:r>
          </w:p>
        </w:tc>
        <w:tc>
          <w:tcPr>
            <w:tcW w:w="1446" w:type="dxa"/>
            <w:vAlign w:val="center"/>
          </w:tcPr>
          <w:p w14:paraId="27E12FC4" w14:textId="77777777" w:rsidR="00D32905" w:rsidRPr="00800D00" w:rsidRDefault="00D32905" w:rsidP="00F412AF">
            <w:pPr>
              <w:jc w:val="center"/>
              <w:rPr>
                <w:color w:val="000000"/>
                <w:sz w:val="22"/>
                <w:lang w:val="en-US"/>
              </w:rPr>
            </w:pPr>
            <w:r w:rsidRPr="00800D00">
              <w:rPr>
                <w:color w:val="000000"/>
                <w:sz w:val="22"/>
                <w:lang w:val="en-US"/>
              </w:rPr>
              <w:t>1</w:t>
            </w:r>
          </w:p>
        </w:tc>
      </w:tr>
      <w:tr w:rsidR="00D32905" w:rsidRPr="00800D00" w14:paraId="401AE312" w14:textId="77777777" w:rsidTr="00D32905">
        <w:tc>
          <w:tcPr>
            <w:tcW w:w="1738" w:type="dxa"/>
          </w:tcPr>
          <w:p w14:paraId="5B7C34C6" w14:textId="6D375C02" w:rsidR="00D32905" w:rsidRPr="00800D00" w:rsidRDefault="00696D76" w:rsidP="00696D76">
            <w:pPr>
              <w:rPr>
                <w:lang w:val="en-US"/>
              </w:rPr>
            </w:pPr>
            <w:proofErr w:type="spellStart"/>
            <w:r w:rsidRPr="00800D00">
              <w:rPr>
                <w:lang w:val="en-US"/>
              </w:rPr>
              <w:t>ReTSS</w:t>
            </w:r>
            <w:proofErr w:type="spellEnd"/>
            <w:r w:rsidR="00D32905" w:rsidRPr="00800D00">
              <w:rPr>
                <w:lang w:val="en-US"/>
              </w:rPr>
              <w:t xml:space="preserve"> </w:t>
            </w:r>
          </w:p>
        </w:tc>
        <w:tc>
          <w:tcPr>
            <w:tcW w:w="1450" w:type="dxa"/>
          </w:tcPr>
          <w:p w14:paraId="47017C80" w14:textId="77777777" w:rsidR="00D32905" w:rsidRPr="00800D00" w:rsidRDefault="00D32905" w:rsidP="00F412AF">
            <w:pPr>
              <w:jc w:val="center"/>
              <w:rPr>
                <w:lang w:val="en-US"/>
              </w:rPr>
            </w:pPr>
            <w:r w:rsidRPr="00800D00">
              <w:rPr>
                <w:lang w:val="en-US"/>
              </w:rPr>
              <w:t>400,074</w:t>
            </w:r>
          </w:p>
        </w:tc>
        <w:tc>
          <w:tcPr>
            <w:tcW w:w="1466" w:type="dxa"/>
          </w:tcPr>
          <w:p w14:paraId="1F121BE9" w14:textId="77777777" w:rsidR="00D32905" w:rsidRPr="00800D00" w:rsidRDefault="00D32905" w:rsidP="00F412AF">
            <w:pPr>
              <w:jc w:val="center"/>
              <w:rPr>
                <w:lang w:val="en-US"/>
              </w:rPr>
            </w:pPr>
            <w:r w:rsidRPr="00800D00">
              <w:rPr>
                <w:lang w:val="en-US"/>
              </w:rPr>
              <w:t>902,664</w:t>
            </w:r>
          </w:p>
        </w:tc>
        <w:tc>
          <w:tcPr>
            <w:tcW w:w="1465" w:type="dxa"/>
          </w:tcPr>
          <w:p w14:paraId="14C57238" w14:textId="77777777" w:rsidR="00D32905" w:rsidRPr="00800D00" w:rsidRDefault="00D32905" w:rsidP="00F412AF">
            <w:pPr>
              <w:jc w:val="center"/>
              <w:rPr>
                <w:lang w:val="en-US"/>
              </w:rPr>
            </w:pPr>
            <w:r w:rsidRPr="00800D00">
              <w:rPr>
                <w:lang w:val="en-US"/>
              </w:rPr>
              <w:t>811,428</w:t>
            </w:r>
          </w:p>
        </w:tc>
        <w:tc>
          <w:tcPr>
            <w:tcW w:w="1451" w:type="dxa"/>
          </w:tcPr>
          <w:p w14:paraId="75BB8723" w14:textId="77777777" w:rsidR="00D32905" w:rsidRPr="00800D00" w:rsidRDefault="00D32905" w:rsidP="00F412AF">
            <w:pPr>
              <w:jc w:val="center"/>
              <w:rPr>
                <w:lang w:val="en-US"/>
              </w:rPr>
            </w:pPr>
            <w:r w:rsidRPr="00800D00">
              <w:rPr>
                <w:lang w:val="en-US"/>
              </w:rPr>
              <w:t>305,510</w:t>
            </w:r>
          </w:p>
        </w:tc>
        <w:tc>
          <w:tcPr>
            <w:tcW w:w="1446" w:type="dxa"/>
            <w:vAlign w:val="center"/>
          </w:tcPr>
          <w:p w14:paraId="363C3DC8" w14:textId="77777777" w:rsidR="00D32905" w:rsidRPr="00800D00" w:rsidRDefault="00D32905" w:rsidP="00F412AF">
            <w:pPr>
              <w:jc w:val="center"/>
              <w:rPr>
                <w:color w:val="000000"/>
                <w:sz w:val="22"/>
                <w:lang w:val="en-US"/>
              </w:rPr>
            </w:pPr>
            <w:r w:rsidRPr="00800D00">
              <w:rPr>
                <w:color w:val="000000"/>
                <w:sz w:val="22"/>
                <w:lang w:val="en-US"/>
              </w:rPr>
              <w:t>1.05</w:t>
            </w:r>
          </w:p>
        </w:tc>
      </w:tr>
      <w:tr w:rsidR="00D32905" w:rsidRPr="00800D00" w14:paraId="704CCAE4" w14:textId="77777777" w:rsidTr="00D32905">
        <w:tc>
          <w:tcPr>
            <w:tcW w:w="1738" w:type="dxa"/>
          </w:tcPr>
          <w:p w14:paraId="6285F2F8" w14:textId="77777777" w:rsidR="00D32905" w:rsidRPr="00800D00" w:rsidRDefault="00D32905" w:rsidP="00F412AF">
            <w:pPr>
              <w:rPr>
                <w:lang w:val="en-US"/>
              </w:rPr>
            </w:pPr>
            <w:r w:rsidRPr="00800D00">
              <w:rPr>
                <w:lang w:val="en-US"/>
              </w:rPr>
              <w:t>Popular Events</w:t>
            </w:r>
          </w:p>
        </w:tc>
        <w:tc>
          <w:tcPr>
            <w:tcW w:w="1450" w:type="dxa"/>
          </w:tcPr>
          <w:p w14:paraId="47C6EE3B" w14:textId="77777777" w:rsidR="00D32905" w:rsidRPr="00800D00" w:rsidRDefault="00D32905" w:rsidP="00F412AF">
            <w:pPr>
              <w:jc w:val="center"/>
              <w:rPr>
                <w:lang w:val="en-US"/>
              </w:rPr>
            </w:pPr>
            <w:r w:rsidRPr="00800D00">
              <w:rPr>
                <w:lang w:val="en-US"/>
              </w:rPr>
              <w:t>831,844</w:t>
            </w:r>
          </w:p>
        </w:tc>
        <w:tc>
          <w:tcPr>
            <w:tcW w:w="1466" w:type="dxa"/>
          </w:tcPr>
          <w:p w14:paraId="35AE3AFB" w14:textId="77777777" w:rsidR="00D32905" w:rsidRPr="00800D00" w:rsidRDefault="00D32905" w:rsidP="00F412AF">
            <w:pPr>
              <w:jc w:val="center"/>
              <w:rPr>
                <w:lang w:val="en-US"/>
              </w:rPr>
            </w:pPr>
            <w:r w:rsidRPr="00800D00">
              <w:rPr>
                <w:lang w:val="en-US"/>
              </w:rPr>
              <w:t>1,449,372</w:t>
            </w:r>
          </w:p>
        </w:tc>
        <w:tc>
          <w:tcPr>
            <w:tcW w:w="1465" w:type="dxa"/>
          </w:tcPr>
          <w:p w14:paraId="78197816" w14:textId="77777777" w:rsidR="00D32905" w:rsidRPr="00800D00" w:rsidRDefault="00D32905" w:rsidP="00F412AF">
            <w:pPr>
              <w:jc w:val="center"/>
              <w:rPr>
                <w:lang w:val="en-US"/>
              </w:rPr>
            </w:pPr>
            <w:r w:rsidRPr="00800D00">
              <w:rPr>
                <w:lang w:val="en-US"/>
              </w:rPr>
              <w:t>1,359,834</w:t>
            </w:r>
          </w:p>
        </w:tc>
        <w:tc>
          <w:tcPr>
            <w:tcW w:w="1451" w:type="dxa"/>
          </w:tcPr>
          <w:p w14:paraId="0420DA15" w14:textId="77777777" w:rsidR="00D32905" w:rsidRPr="00800D00" w:rsidRDefault="00D32905" w:rsidP="00F412AF">
            <w:pPr>
              <w:jc w:val="center"/>
              <w:rPr>
                <w:lang w:val="en-US"/>
              </w:rPr>
            </w:pPr>
            <w:r w:rsidRPr="00800D00">
              <w:rPr>
                <w:lang w:val="en-US"/>
              </w:rPr>
              <w:t>550,094</w:t>
            </w:r>
          </w:p>
        </w:tc>
        <w:tc>
          <w:tcPr>
            <w:tcW w:w="1446" w:type="dxa"/>
            <w:vAlign w:val="center"/>
          </w:tcPr>
          <w:p w14:paraId="7B5B154B" w14:textId="77777777" w:rsidR="00D32905" w:rsidRPr="00800D00" w:rsidRDefault="00D32905" w:rsidP="00F412AF">
            <w:pPr>
              <w:jc w:val="center"/>
              <w:rPr>
                <w:color w:val="000000"/>
                <w:sz w:val="22"/>
                <w:lang w:val="en-US"/>
              </w:rPr>
            </w:pPr>
            <w:r w:rsidRPr="00800D00">
              <w:rPr>
                <w:color w:val="000000"/>
                <w:sz w:val="22"/>
                <w:lang w:val="en-US"/>
              </w:rPr>
              <w:t>1.8</w:t>
            </w:r>
            <w:r w:rsidRPr="00800D00">
              <w:rPr>
                <w:color w:val="000000"/>
                <w:lang w:val="en-US"/>
              </w:rPr>
              <w:t>8</w:t>
            </w:r>
          </w:p>
        </w:tc>
      </w:tr>
      <w:tr w:rsidR="00D32905" w:rsidRPr="00800D00" w14:paraId="678F6362" w14:textId="77777777" w:rsidTr="00D32905">
        <w:tc>
          <w:tcPr>
            <w:tcW w:w="1738" w:type="dxa"/>
          </w:tcPr>
          <w:p w14:paraId="4D10755A" w14:textId="77777777" w:rsidR="00D32905" w:rsidRPr="00800D00" w:rsidRDefault="00D32905" w:rsidP="00F412AF">
            <w:pPr>
              <w:rPr>
                <w:lang w:val="en-US"/>
              </w:rPr>
            </w:pPr>
            <w:r w:rsidRPr="00800D00">
              <w:rPr>
                <w:lang w:val="en-US"/>
              </w:rPr>
              <w:t>Temp. Loyalty Programs</w:t>
            </w:r>
          </w:p>
        </w:tc>
        <w:tc>
          <w:tcPr>
            <w:tcW w:w="1450" w:type="dxa"/>
          </w:tcPr>
          <w:p w14:paraId="0B72E686" w14:textId="77777777" w:rsidR="00D32905" w:rsidRPr="00800D00" w:rsidRDefault="00D32905" w:rsidP="00F412AF">
            <w:pPr>
              <w:jc w:val="center"/>
              <w:rPr>
                <w:lang w:val="en-US"/>
              </w:rPr>
            </w:pPr>
            <w:r w:rsidRPr="00800D00">
              <w:rPr>
                <w:lang w:val="en-US"/>
              </w:rPr>
              <w:t>486,284</w:t>
            </w:r>
          </w:p>
        </w:tc>
        <w:tc>
          <w:tcPr>
            <w:tcW w:w="1466" w:type="dxa"/>
          </w:tcPr>
          <w:p w14:paraId="52025A93" w14:textId="77777777" w:rsidR="00D32905" w:rsidRPr="00800D00" w:rsidRDefault="00D32905" w:rsidP="00F412AF">
            <w:pPr>
              <w:jc w:val="center"/>
              <w:rPr>
                <w:lang w:val="en-US"/>
              </w:rPr>
            </w:pPr>
            <w:r w:rsidRPr="00800D00">
              <w:rPr>
                <w:lang w:val="en-US"/>
              </w:rPr>
              <w:t>965,383</w:t>
            </w:r>
          </w:p>
        </w:tc>
        <w:tc>
          <w:tcPr>
            <w:tcW w:w="1465" w:type="dxa"/>
          </w:tcPr>
          <w:p w14:paraId="3F59A693" w14:textId="77777777" w:rsidR="00D32905" w:rsidRPr="00800D00" w:rsidRDefault="00D32905" w:rsidP="00F412AF">
            <w:pPr>
              <w:jc w:val="center"/>
              <w:rPr>
                <w:lang w:val="en-US"/>
              </w:rPr>
            </w:pPr>
            <w:r w:rsidRPr="00800D00">
              <w:rPr>
                <w:lang w:val="en-US"/>
              </w:rPr>
              <w:t>1,012,472</w:t>
            </w:r>
          </w:p>
        </w:tc>
        <w:tc>
          <w:tcPr>
            <w:tcW w:w="1451" w:type="dxa"/>
          </w:tcPr>
          <w:p w14:paraId="6D5821D4" w14:textId="77777777" w:rsidR="00D32905" w:rsidRPr="00800D00" w:rsidRDefault="00D32905" w:rsidP="00F412AF">
            <w:pPr>
              <w:jc w:val="center"/>
              <w:rPr>
                <w:lang w:val="en-US"/>
              </w:rPr>
            </w:pPr>
            <w:r w:rsidRPr="00800D00">
              <w:rPr>
                <w:lang w:val="en-US"/>
              </w:rPr>
              <w:t>207,904</w:t>
            </w:r>
          </w:p>
          <w:p w14:paraId="6916A658" w14:textId="77777777" w:rsidR="00D32905" w:rsidRPr="00800D00" w:rsidRDefault="00D32905" w:rsidP="00F412AF">
            <w:pPr>
              <w:jc w:val="center"/>
              <w:rPr>
                <w:lang w:val="en-US"/>
              </w:rPr>
            </w:pPr>
          </w:p>
        </w:tc>
        <w:tc>
          <w:tcPr>
            <w:tcW w:w="1446" w:type="dxa"/>
            <w:vAlign w:val="center"/>
          </w:tcPr>
          <w:p w14:paraId="24F86034" w14:textId="77777777" w:rsidR="00D32905" w:rsidRPr="00800D00" w:rsidRDefault="00D32905" w:rsidP="00F412AF">
            <w:pPr>
              <w:jc w:val="center"/>
              <w:rPr>
                <w:color w:val="000000"/>
                <w:sz w:val="22"/>
                <w:lang w:val="en-US"/>
              </w:rPr>
            </w:pPr>
            <w:r w:rsidRPr="00800D00">
              <w:rPr>
                <w:color w:val="000000"/>
                <w:sz w:val="22"/>
                <w:lang w:val="en-US"/>
              </w:rPr>
              <w:t>1.03</w:t>
            </w:r>
          </w:p>
        </w:tc>
      </w:tr>
      <w:tr w:rsidR="00D32905" w:rsidRPr="00800D00" w14:paraId="6D705D49" w14:textId="77777777" w:rsidTr="00D32905">
        <w:tc>
          <w:tcPr>
            <w:tcW w:w="1738" w:type="dxa"/>
          </w:tcPr>
          <w:p w14:paraId="02E4A529" w14:textId="77777777" w:rsidR="00D32905" w:rsidRPr="00800D00" w:rsidRDefault="00D32905" w:rsidP="00F412AF">
            <w:pPr>
              <w:rPr>
                <w:lang w:val="en-US"/>
              </w:rPr>
            </w:pPr>
            <w:r w:rsidRPr="00800D00">
              <w:rPr>
                <w:lang w:val="en-US"/>
              </w:rPr>
              <w:t>Category Events</w:t>
            </w:r>
          </w:p>
        </w:tc>
        <w:tc>
          <w:tcPr>
            <w:tcW w:w="1450" w:type="dxa"/>
          </w:tcPr>
          <w:p w14:paraId="18A0C15B" w14:textId="77777777" w:rsidR="00D32905" w:rsidRPr="00800D00" w:rsidRDefault="00D32905" w:rsidP="00F412AF">
            <w:pPr>
              <w:jc w:val="center"/>
              <w:rPr>
                <w:lang w:val="en-US"/>
              </w:rPr>
            </w:pPr>
            <w:r w:rsidRPr="00800D00">
              <w:rPr>
                <w:lang w:val="en-US"/>
              </w:rPr>
              <w:t>328,730</w:t>
            </w:r>
          </w:p>
        </w:tc>
        <w:tc>
          <w:tcPr>
            <w:tcW w:w="1466" w:type="dxa"/>
          </w:tcPr>
          <w:p w14:paraId="6A268106" w14:textId="77777777" w:rsidR="00D32905" w:rsidRPr="00800D00" w:rsidRDefault="00D32905" w:rsidP="00F412AF">
            <w:pPr>
              <w:jc w:val="center"/>
              <w:rPr>
                <w:lang w:val="en-US"/>
              </w:rPr>
            </w:pPr>
            <w:r w:rsidRPr="00800D00">
              <w:rPr>
                <w:lang w:val="en-US"/>
              </w:rPr>
              <w:t>658,327</w:t>
            </w:r>
          </w:p>
        </w:tc>
        <w:tc>
          <w:tcPr>
            <w:tcW w:w="1465" w:type="dxa"/>
          </w:tcPr>
          <w:p w14:paraId="6230A02A" w14:textId="77777777" w:rsidR="00D32905" w:rsidRPr="00800D00" w:rsidRDefault="00D32905" w:rsidP="00F412AF">
            <w:pPr>
              <w:jc w:val="center"/>
              <w:rPr>
                <w:lang w:val="en-US"/>
              </w:rPr>
            </w:pPr>
            <w:r w:rsidRPr="00800D00">
              <w:rPr>
                <w:lang w:val="en-US"/>
              </w:rPr>
              <w:t>1,108,442</w:t>
            </w:r>
          </w:p>
        </w:tc>
        <w:tc>
          <w:tcPr>
            <w:tcW w:w="1451" w:type="dxa"/>
          </w:tcPr>
          <w:p w14:paraId="7E7D550E" w14:textId="77777777" w:rsidR="00D32905" w:rsidRPr="00800D00" w:rsidRDefault="00D32905" w:rsidP="00F412AF">
            <w:pPr>
              <w:jc w:val="center"/>
              <w:rPr>
                <w:lang w:val="en-US"/>
              </w:rPr>
            </w:pPr>
            <w:r w:rsidRPr="00800D00">
              <w:rPr>
                <w:lang w:val="en-US"/>
              </w:rPr>
              <w:t>74,809</w:t>
            </w:r>
          </w:p>
        </w:tc>
        <w:tc>
          <w:tcPr>
            <w:tcW w:w="1446" w:type="dxa"/>
            <w:vAlign w:val="center"/>
          </w:tcPr>
          <w:p w14:paraId="2934E636" w14:textId="3F1C29DD" w:rsidR="00D32905" w:rsidRPr="00800D00" w:rsidRDefault="00D32905" w:rsidP="00F412AF">
            <w:pPr>
              <w:jc w:val="center"/>
              <w:rPr>
                <w:color w:val="000000"/>
                <w:sz w:val="22"/>
                <w:lang w:val="en-US"/>
              </w:rPr>
            </w:pPr>
            <w:r w:rsidRPr="00800D00">
              <w:rPr>
                <w:color w:val="000000"/>
                <w:sz w:val="22"/>
                <w:lang w:val="en-US"/>
              </w:rPr>
              <w:t>.71</w:t>
            </w:r>
          </w:p>
        </w:tc>
      </w:tr>
      <w:tr w:rsidR="00D32905" w:rsidRPr="00800D00" w14:paraId="5FE03DE1" w14:textId="77777777" w:rsidTr="00D32905">
        <w:tc>
          <w:tcPr>
            <w:tcW w:w="1738" w:type="dxa"/>
          </w:tcPr>
          <w:p w14:paraId="0AB7B827" w14:textId="77777777" w:rsidR="00D32905" w:rsidRPr="00800D00" w:rsidRDefault="00D32905" w:rsidP="00F412AF">
            <w:pPr>
              <w:rPr>
                <w:lang w:val="en-US"/>
              </w:rPr>
            </w:pPr>
            <w:r w:rsidRPr="00800D00">
              <w:rPr>
                <w:lang w:val="en-US"/>
              </w:rPr>
              <w:t>Seasonal Events</w:t>
            </w:r>
          </w:p>
        </w:tc>
        <w:tc>
          <w:tcPr>
            <w:tcW w:w="1450" w:type="dxa"/>
          </w:tcPr>
          <w:p w14:paraId="452062BF" w14:textId="77777777" w:rsidR="00D32905" w:rsidRPr="00800D00" w:rsidRDefault="00D32905" w:rsidP="00F412AF">
            <w:pPr>
              <w:jc w:val="center"/>
              <w:rPr>
                <w:lang w:val="en-US"/>
              </w:rPr>
            </w:pPr>
            <w:r w:rsidRPr="00800D00">
              <w:rPr>
                <w:lang w:val="en-US"/>
              </w:rPr>
              <w:t>597,243</w:t>
            </w:r>
          </w:p>
        </w:tc>
        <w:tc>
          <w:tcPr>
            <w:tcW w:w="1466" w:type="dxa"/>
          </w:tcPr>
          <w:p w14:paraId="0679042B" w14:textId="77777777" w:rsidR="00D32905" w:rsidRPr="00800D00" w:rsidRDefault="00D32905" w:rsidP="00F412AF">
            <w:pPr>
              <w:jc w:val="center"/>
              <w:rPr>
                <w:lang w:val="en-US"/>
              </w:rPr>
            </w:pPr>
            <w:r w:rsidRPr="00800D00">
              <w:rPr>
                <w:lang w:val="en-US"/>
              </w:rPr>
              <w:t>1,020,858</w:t>
            </w:r>
          </w:p>
        </w:tc>
        <w:tc>
          <w:tcPr>
            <w:tcW w:w="1465" w:type="dxa"/>
          </w:tcPr>
          <w:p w14:paraId="6BA1A3BC" w14:textId="77777777" w:rsidR="00D32905" w:rsidRPr="00800D00" w:rsidRDefault="00D32905" w:rsidP="00F412AF">
            <w:pPr>
              <w:jc w:val="center"/>
              <w:rPr>
                <w:lang w:val="en-US"/>
              </w:rPr>
            </w:pPr>
            <w:r w:rsidRPr="00800D00">
              <w:rPr>
                <w:lang w:val="en-US"/>
              </w:rPr>
              <w:t>1,475,661</w:t>
            </w:r>
          </w:p>
        </w:tc>
        <w:tc>
          <w:tcPr>
            <w:tcW w:w="1451" w:type="dxa"/>
          </w:tcPr>
          <w:p w14:paraId="33135364" w14:textId="77777777" w:rsidR="00D32905" w:rsidRPr="00800D00" w:rsidRDefault="00D32905" w:rsidP="00F412AF">
            <w:pPr>
              <w:jc w:val="center"/>
              <w:rPr>
                <w:lang w:val="en-US"/>
              </w:rPr>
            </w:pPr>
            <w:r w:rsidRPr="00800D00">
              <w:rPr>
                <w:lang w:val="en-US"/>
              </w:rPr>
              <w:t>279,094</w:t>
            </w:r>
          </w:p>
        </w:tc>
        <w:tc>
          <w:tcPr>
            <w:tcW w:w="1446" w:type="dxa"/>
            <w:vAlign w:val="center"/>
          </w:tcPr>
          <w:p w14:paraId="0772F2FB" w14:textId="6A912FF6" w:rsidR="00D32905" w:rsidRPr="00800D00" w:rsidRDefault="00D32905" w:rsidP="00F412AF">
            <w:pPr>
              <w:jc w:val="center"/>
              <w:rPr>
                <w:color w:val="000000"/>
                <w:sz w:val="22"/>
                <w:lang w:val="en-US"/>
              </w:rPr>
            </w:pPr>
            <w:r w:rsidRPr="00800D00">
              <w:rPr>
                <w:color w:val="000000"/>
                <w:sz w:val="22"/>
                <w:lang w:val="en-US"/>
              </w:rPr>
              <w:t>1.31</w:t>
            </w:r>
          </w:p>
        </w:tc>
      </w:tr>
    </w:tbl>
    <w:p w14:paraId="1986030A" w14:textId="5CC08B3E" w:rsidR="00B500B8" w:rsidRDefault="00D32905" w:rsidP="00823771">
      <w:proofErr w:type="spellStart"/>
      <w:proofErr w:type="gramStart"/>
      <w:r w:rsidRPr="00800D00">
        <w:rPr>
          <w:vertAlign w:val="superscript"/>
        </w:rPr>
        <w:t>a</w:t>
      </w:r>
      <w:proofErr w:type="spellEnd"/>
      <w:proofErr w:type="gramEnd"/>
      <w:r w:rsidRPr="00800D00">
        <w:t xml:space="preserve"> </w:t>
      </w:r>
      <w:r w:rsidRPr="00800D00">
        <w:rPr>
          <w:sz w:val="20"/>
          <w:szCs w:val="20"/>
        </w:rPr>
        <w:t>Index obtained as follows: For each retailer, and for each event type, we first calculate an index within the retailer column, i.e.</w:t>
      </w:r>
      <w:r w:rsidR="007C280E">
        <w:rPr>
          <w:sz w:val="20"/>
          <w:szCs w:val="20"/>
        </w:rPr>
        <w:t>,</w:t>
      </w:r>
      <w:r w:rsidRPr="00800D00">
        <w:rPr>
          <w:sz w:val="20"/>
          <w:szCs w:val="20"/>
        </w:rPr>
        <w:t xml:space="preserve"> we calculate the level of the discount (advertising) variable of that event type, relative to the overall average of the retailer. We then average these indices across retailers (columns) to obtain the overall index in the last column.</w:t>
      </w:r>
      <w:r w:rsidRPr="00800D00">
        <w:t xml:space="preserve"> </w:t>
      </w:r>
    </w:p>
    <w:p w14:paraId="65036026" w14:textId="77777777" w:rsidR="00FD6F9B" w:rsidRDefault="00FD6F9B" w:rsidP="00823771"/>
    <w:p w14:paraId="4CFDA92C" w14:textId="47496062" w:rsidR="00696D76" w:rsidRPr="00800D00" w:rsidRDefault="00396B04" w:rsidP="00823771">
      <w:r w:rsidRPr="00800D00">
        <w:t xml:space="preserve">Table WA1 reports the average discount depth and number of feature promotions </w:t>
      </w:r>
      <w:r w:rsidR="00696D76" w:rsidRPr="00800D00">
        <w:t xml:space="preserve">in an average week (‘Overall </w:t>
      </w:r>
      <w:r w:rsidR="00274D61" w:rsidRPr="00800D00">
        <w:t>A</w:t>
      </w:r>
      <w:r w:rsidR="00696D76" w:rsidRPr="00800D00">
        <w:t xml:space="preserve">verage’) and during weeks in which a specific type of event was run at the retailer. </w:t>
      </w:r>
      <w:r w:rsidRPr="00800D00">
        <w:t xml:space="preserve">We note that also during event weeks, the retailer offers many promotions that do not </w:t>
      </w:r>
      <w:r w:rsidR="00696D76" w:rsidRPr="00800D00">
        <w:t xml:space="preserve">belong to </w:t>
      </w:r>
      <w:r w:rsidRPr="00800D00">
        <w:t xml:space="preserve">the event. </w:t>
      </w:r>
      <w:r w:rsidR="00696D76" w:rsidRPr="00800D00">
        <w:t xml:space="preserve">The discount depths and features in the table are calculated </w:t>
      </w:r>
      <w:r w:rsidRPr="00800D00">
        <w:t xml:space="preserve">across </w:t>
      </w:r>
      <w:r w:rsidRPr="00800D00">
        <w:rPr>
          <w:i/>
        </w:rPr>
        <w:t>all</w:t>
      </w:r>
      <w:r w:rsidRPr="00800D00">
        <w:t xml:space="preserve"> items at the retailer during event weeks</w:t>
      </w:r>
      <w:r w:rsidR="00696D76" w:rsidRPr="00800D00">
        <w:t xml:space="preserve">. This explains, for instance, why the average discount depth during </w:t>
      </w:r>
      <w:proofErr w:type="spellStart"/>
      <w:r w:rsidR="00696D76" w:rsidRPr="00800D00">
        <w:t>ReTSS</w:t>
      </w:r>
      <w:proofErr w:type="spellEnd"/>
      <w:r w:rsidR="00696D76" w:rsidRPr="00800D00">
        <w:t xml:space="preserve"> weeks is so low (amounts to only 18.45% for Plus, 17.62% for C1000, etc.): it is the average of discounts that </w:t>
      </w:r>
      <w:r w:rsidR="00A27C75">
        <w:t xml:space="preserve">do and do not </w:t>
      </w:r>
      <w:r w:rsidR="00696D76" w:rsidRPr="00800D00">
        <w:t xml:space="preserve">fall under the </w:t>
      </w:r>
      <w:proofErr w:type="spellStart"/>
      <w:r w:rsidR="00696D76" w:rsidRPr="00800D00">
        <w:t>ReTSS</w:t>
      </w:r>
      <w:proofErr w:type="spellEnd"/>
      <w:r w:rsidR="00696D76" w:rsidRPr="00800D00">
        <w:t xml:space="preserve"> theme during </w:t>
      </w:r>
      <w:proofErr w:type="spellStart"/>
      <w:r w:rsidR="00696D76" w:rsidRPr="00800D00">
        <w:t>ReTSS</w:t>
      </w:r>
      <w:proofErr w:type="spellEnd"/>
      <w:r w:rsidR="00696D76" w:rsidRPr="00800D00">
        <w:t xml:space="preserve"> weeks. </w:t>
      </w:r>
    </w:p>
    <w:p w14:paraId="3E86E46A" w14:textId="2B0F45B1" w:rsidR="006A2024" w:rsidRPr="00800D00" w:rsidRDefault="006A2024" w:rsidP="00823771">
      <w:r w:rsidRPr="00800D00">
        <w:t xml:space="preserve">Keeping this in mind, the table shows in each chain, that the average discount depth during </w:t>
      </w:r>
      <w:proofErr w:type="spellStart"/>
      <w:r w:rsidRPr="00800D00">
        <w:t>ReTSS</w:t>
      </w:r>
      <w:proofErr w:type="spellEnd"/>
      <w:r w:rsidRPr="00800D00">
        <w:t xml:space="preserve"> weeks is markedly and systematically higher than average, and higher compared to weeks with other types of events. </w:t>
      </w:r>
    </w:p>
    <w:p w14:paraId="2D762D21" w14:textId="5505B662" w:rsidR="00D32905" w:rsidRPr="00800D00" w:rsidRDefault="006A2024" w:rsidP="00823771">
      <w:r w:rsidRPr="00800D00">
        <w:t xml:space="preserve">Interestingly, mass media advertising spending is highest during seasonal and popular events. A likely explanation is that such events occur at the same time for different players, such that higher budges are needed to break through the competitive clutter. </w:t>
      </w:r>
    </w:p>
    <w:p w14:paraId="42B9121F" w14:textId="71B66854" w:rsidR="009601E8" w:rsidRPr="00B500B8" w:rsidRDefault="00B500B8" w:rsidP="003A07B5">
      <w:pPr>
        <w:jc w:val="center"/>
        <w:rPr>
          <w:bCs/>
          <w:i/>
          <w:iCs/>
        </w:rPr>
      </w:pPr>
      <w:r w:rsidRPr="00B500B8">
        <w:rPr>
          <w:bCs/>
          <w:i/>
          <w:iCs/>
        </w:rPr>
        <w:lastRenderedPageBreak/>
        <w:t>WEB APPENDIX W2: MODEL SPECIFICATION AND ESTIMATION</w:t>
      </w:r>
    </w:p>
    <w:p w14:paraId="50726AE8" w14:textId="77777777" w:rsidR="002A0B15" w:rsidRDefault="002A0B15" w:rsidP="00F412AF"/>
    <w:p w14:paraId="50F90A86" w14:textId="44BAE1BA" w:rsidR="009601E8" w:rsidRPr="00800D00" w:rsidRDefault="009601E8" w:rsidP="00F412AF">
      <w:r w:rsidRPr="00800D00">
        <w:t>The likelihood for a household (</w:t>
      </w:r>
      <w:r w:rsidRPr="00A17F52">
        <w:t>h</w:t>
      </w:r>
      <w:r w:rsidRPr="00800D00">
        <w:t>) to visit a set of retailers in week (</w:t>
      </w:r>
      <w:r w:rsidRPr="00A17F52">
        <w:t>w</w:t>
      </w:r>
      <w:r w:rsidRPr="00800D00">
        <w:t>)</w:t>
      </w:r>
      <w:r w:rsidRPr="00800D00">
        <w:rPr>
          <w:i/>
        </w:rPr>
        <w:t xml:space="preserve"> </w:t>
      </w:r>
      <w:r w:rsidRPr="00800D00">
        <w:t>is given by the following equation:</w:t>
      </w:r>
    </w:p>
    <w:p w14:paraId="7D1599A8" w14:textId="75DB28EB" w:rsidR="009601E8" w:rsidRPr="00A17F52" w:rsidRDefault="00BD099B" w:rsidP="00F412AF">
      <m:oMathPara>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w</m:t>
              </m:r>
            </m:sub>
            <m:sup>
              <m:r>
                <m:rPr>
                  <m:sty m:val="p"/>
                </m:rPr>
                <w:rPr>
                  <w:rFonts w:ascii="Cambria Math" w:hAnsi="Cambria Math"/>
                </w:rPr>
                <m:t>h</m:t>
              </m:r>
            </m:sup>
          </m:sSubSup>
          <m:d>
            <m:dPr>
              <m:ctrlPr>
                <w:rPr>
                  <w:rFonts w:ascii="Cambria Math" w:hAnsi="Cambria Math"/>
                </w:rPr>
              </m:ctrlPr>
            </m:dPr>
            <m:e>
              <m:sSub>
                <m:sSubPr>
                  <m:ctrlPr>
                    <w:rPr>
                      <w:rFonts w:ascii="Cambria Math" w:hAnsi="Cambria Math"/>
                    </w:rPr>
                  </m:ctrlPr>
                </m:sSubPr>
                <m:e>
                  <m:r>
                    <m:rPr>
                      <m:sty m:val="p"/>
                    </m:rPr>
                    <w:rPr>
                      <w:rFonts w:ascii="Cambria Math" w:hAnsi="Cambria Math"/>
                    </w:rPr>
                    <m:t>ret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ret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r>
                <m:rPr>
                  <m:sty m:val="p"/>
                </m:rPr>
                <w:rPr>
                  <w:rFonts w:ascii="Cambria Math" w:hAnsi="Cambria Math"/>
                </w:rPr>
                <m:t>,</m:t>
              </m:r>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ret</m:t>
                  </m:r>
                </m:e>
                <m:sub>
                  <m:r>
                    <m:rPr>
                      <m:sty m:val="p"/>
                    </m:rPr>
                    <w:rPr>
                      <w:rFonts w:ascii="Cambria Math" w:eastAsiaTheme="minorEastAsia" w:hAnsi="Cambria Math"/>
                    </w:rPr>
                    <m:t>r</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d</m:t>
                  </m:r>
                </m:e>
                <m:sub>
                  <m:r>
                    <m:rPr>
                      <m:sty m:val="p"/>
                    </m:rPr>
                    <w:rPr>
                      <w:rFonts w:ascii="Cambria Math" w:eastAsiaTheme="minorEastAsia" w:hAnsi="Cambria Math"/>
                    </w:rPr>
                    <m:t>r</m:t>
                  </m:r>
                </m:sub>
              </m:sSub>
              <m:ctrlPr>
                <w:rPr>
                  <w:rFonts w:ascii="Cambria Math" w:eastAsiaTheme="minorEastAsia" w:hAnsi="Cambria Math"/>
                </w:rPr>
              </m:ctrlPr>
            </m:e>
          </m:d>
          <m:r>
            <m:rPr>
              <m:sty m:val="p"/>
            </m:rPr>
            <w:rPr>
              <w:rFonts w:ascii="Cambria Math" w:eastAsiaTheme="minorEastAsia" w:hAnsi="Cambria Math"/>
            </w:rPr>
            <m:t xml:space="preserve">= </m:t>
          </m:r>
          <m:d>
            <m:dPr>
              <m:begChr m:val="["/>
              <m:endChr m:val="]"/>
              <m:ctrlPr>
                <w:rPr>
                  <w:rFonts w:ascii="Cambria Math" w:eastAsiaTheme="minorEastAsia" w:hAnsi="Cambria Math"/>
                </w:rPr>
              </m:ctrlPr>
            </m:dPr>
            <m:e>
              <m:nary>
                <m:naryPr>
                  <m:chr m:val="∏"/>
                  <m:limLoc m:val="undOvr"/>
                  <m:ctrlPr>
                    <w:rPr>
                      <w:rFonts w:ascii="Cambria Math" w:eastAsiaTheme="minorEastAsia" w:hAnsi="Cambria Math"/>
                    </w:rPr>
                  </m:ctrlPr>
                </m:naryPr>
                <m:sub>
                  <m:r>
                    <m:rPr>
                      <m:sty m:val="p"/>
                    </m:rPr>
                    <w:rPr>
                      <w:rFonts w:ascii="Cambria Math" w:eastAsiaTheme="minorEastAsia" w:hAnsi="Cambria Math"/>
                    </w:rPr>
                    <m:t>r=1</m:t>
                  </m:r>
                </m:sub>
                <m:sup>
                  <m:r>
                    <m:rPr>
                      <m:sty m:val="p"/>
                    </m:rPr>
                    <w:rPr>
                      <w:rFonts w:ascii="Cambria Math" w:eastAsiaTheme="minorEastAsia" w:hAnsi="Cambria Math"/>
                    </w:rPr>
                    <m:t>R</m:t>
                  </m:r>
                </m:sup>
                <m:e>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e</m:t>
                          </m:r>
                        </m:e>
                        <m:sup>
                          <m:d>
                            <m:dPr>
                              <m:ctrlPr>
                                <w:rPr>
                                  <w:rFonts w:ascii="Cambria Math" w:eastAsiaTheme="minorEastAsia" w:hAnsi="Cambria Math"/>
                                </w:rPr>
                              </m:ctrlPr>
                            </m:dPr>
                            <m:e>
                              <m:f>
                                <m:fPr>
                                  <m:ctrlPr>
                                    <w:rPr>
                                      <w:rFonts w:ascii="Cambria Math" w:eastAsiaTheme="minorEastAsia" w:hAnsi="Cambria Math"/>
                                    </w:rPr>
                                  </m:ctrlPr>
                                </m:fPr>
                                <m:num>
                                  <m:sSubSup>
                                    <m:sSubSupPr>
                                      <m:ctrlPr>
                                        <w:rPr>
                                          <w:rFonts w:ascii="Cambria Math" w:eastAsiaTheme="minorEastAsia" w:hAnsi="Cambria Math"/>
                                        </w:rPr>
                                      </m:ctrlPr>
                                    </m:sSubSupPr>
                                    <m:e>
                                      <m:r>
                                        <m:rPr>
                                          <m:sty m:val="p"/>
                                        </m:rPr>
                                        <w:rPr>
                                          <w:rFonts w:ascii="Cambria Math" w:eastAsiaTheme="minorEastAsia" w:hAnsi="Cambria Math"/>
                                        </w:rPr>
                                        <m:t>v</m:t>
                                      </m:r>
                                    </m:e>
                                    <m:sub>
                                      <m:r>
                                        <m:rPr>
                                          <m:sty m:val="p"/>
                                        </m:rPr>
                                        <w:rPr>
                                          <w:rFonts w:ascii="Cambria Math" w:eastAsiaTheme="minorEastAsia" w:hAnsi="Cambria Math"/>
                                        </w:rPr>
                                        <m:t>wr</m:t>
                                      </m:r>
                                    </m:sub>
                                    <m:sup>
                                      <m:r>
                                        <m:rPr>
                                          <m:sty m:val="p"/>
                                        </m:rPr>
                                        <w:rPr>
                                          <w:rFonts w:ascii="Cambria Math" w:eastAsiaTheme="minorEastAsia" w:hAnsi="Cambria Math"/>
                                        </w:rPr>
                                        <m:t>h</m:t>
                                      </m:r>
                                    </m:sup>
                                  </m:sSubSup>
                                </m:num>
                                <m:den>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r</m:t>
                                      </m:r>
                                    </m:sub>
                                  </m:sSub>
                                </m:den>
                              </m:f>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d</m:t>
                              </m:r>
                            </m:e>
                            <m:sub>
                              <m:r>
                                <m:rPr>
                                  <m:sty m:val="p"/>
                                </m:rPr>
                                <w:rPr>
                                  <w:rFonts w:ascii="Cambria Math" w:eastAsiaTheme="minorEastAsia" w:hAnsi="Cambria Math"/>
                                </w:rPr>
                                <m:t>r</m:t>
                              </m:r>
                            </m:sub>
                          </m:sSub>
                        </m:sup>
                      </m:sSup>
                    </m:num>
                    <m:den>
                      <m:r>
                        <m:rPr>
                          <m:sty m:val="p"/>
                        </m:rPr>
                        <w:rPr>
                          <w:rFonts w:ascii="Cambria Math" w:eastAsiaTheme="minorEastAsia" w:hAnsi="Cambria Math"/>
                        </w:rPr>
                        <m:t>1+</m:t>
                      </m:r>
                      <m:sSup>
                        <m:sSupPr>
                          <m:ctrlPr>
                            <w:rPr>
                              <w:rFonts w:ascii="Cambria Math" w:eastAsiaTheme="minorEastAsia" w:hAnsi="Cambria Math"/>
                            </w:rPr>
                          </m:ctrlPr>
                        </m:sSupPr>
                        <m:e>
                          <m:r>
                            <m:rPr>
                              <m:sty m:val="p"/>
                            </m:rPr>
                            <w:rPr>
                              <w:rFonts w:ascii="Cambria Math" w:eastAsiaTheme="minorEastAsia" w:hAnsi="Cambria Math"/>
                            </w:rPr>
                            <m:t>e</m:t>
                          </m:r>
                        </m:e>
                        <m:sup>
                          <m:d>
                            <m:dPr>
                              <m:ctrlPr>
                                <w:rPr>
                                  <w:rFonts w:ascii="Cambria Math" w:eastAsiaTheme="minorEastAsia" w:hAnsi="Cambria Math"/>
                                </w:rPr>
                              </m:ctrlPr>
                            </m:dPr>
                            <m:e>
                              <m:f>
                                <m:fPr>
                                  <m:ctrlPr>
                                    <w:rPr>
                                      <w:rFonts w:ascii="Cambria Math" w:eastAsiaTheme="minorEastAsia" w:hAnsi="Cambria Math"/>
                                    </w:rPr>
                                  </m:ctrlPr>
                                </m:fPr>
                                <m:num>
                                  <m:sSubSup>
                                    <m:sSubSupPr>
                                      <m:ctrlPr>
                                        <w:rPr>
                                          <w:rFonts w:ascii="Cambria Math" w:eastAsiaTheme="minorEastAsia" w:hAnsi="Cambria Math"/>
                                        </w:rPr>
                                      </m:ctrlPr>
                                    </m:sSubSupPr>
                                    <m:e>
                                      <m:r>
                                        <m:rPr>
                                          <m:sty m:val="p"/>
                                        </m:rPr>
                                        <w:rPr>
                                          <w:rFonts w:ascii="Cambria Math" w:eastAsiaTheme="minorEastAsia" w:hAnsi="Cambria Math"/>
                                        </w:rPr>
                                        <m:t>v</m:t>
                                      </m:r>
                                    </m:e>
                                    <m:sub>
                                      <m:r>
                                        <m:rPr>
                                          <m:sty m:val="p"/>
                                        </m:rPr>
                                        <w:rPr>
                                          <w:rFonts w:ascii="Cambria Math" w:eastAsiaTheme="minorEastAsia" w:hAnsi="Cambria Math"/>
                                        </w:rPr>
                                        <m:t>wr</m:t>
                                      </m:r>
                                    </m:sub>
                                    <m:sup>
                                      <m:r>
                                        <m:rPr>
                                          <m:sty m:val="p"/>
                                        </m:rPr>
                                        <w:rPr>
                                          <w:rFonts w:ascii="Cambria Math" w:eastAsiaTheme="minorEastAsia" w:hAnsi="Cambria Math"/>
                                        </w:rPr>
                                        <m:t>h</m:t>
                                      </m:r>
                                    </m:sup>
                                  </m:sSubSup>
                                </m:num>
                                <m:den>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r</m:t>
                                      </m:r>
                                    </m:sub>
                                  </m:sSub>
                                </m:den>
                              </m:f>
                            </m:e>
                          </m:d>
                        </m:sup>
                      </m:sSup>
                    </m:den>
                  </m:f>
                </m:e>
              </m:nary>
            </m:e>
          </m:d>
          <m:r>
            <m:rPr>
              <m:sty m:val="p"/>
            </m:rPr>
            <w:rPr>
              <w:rFonts w:ascii="Cambria Math" w:eastAsiaTheme="minorEastAsia" w:hAnsi="Cambria Math"/>
            </w:rPr>
            <m:t>*</m:t>
          </m:r>
          <m:d>
            <m:dPr>
              <m:begChr m:val="["/>
              <m:endChr m:val="]"/>
              <m:ctrlPr>
                <w:rPr>
                  <w:rFonts w:ascii="Cambria Math" w:eastAsiaTheme="minorEastAsia" w:hAnsi="Cambria Math"/>
                </w:rPr>
              </m:ctrlPr>
            </m:dPr>
            <m:e>
              <m:r>
                <m:rPr>
                  <m:sty m:val="p"/>
                </m:rPr>
                <w:rPr>
                  <w:rFonts w:ascii="Cambria Math" w:eastAsiaTheme="minorEastAsia" w:hAnsi="Cambria Math"/>
                </w:rPr>
                <m:t>1+</m:t>
              </m:r>
              <m:nary>
                <m:naryPr>
                  <m:chr m:val="∑"/>
                  <m:limLoc m:val="undOvr"/>
                  <m:ctrlPr>
                    <w:rPr>
                      <w:rFonts w:ascii="Cambria Math" w:eastAsiaTheme="minorEastAsia" w:hAnsi="Cambria Math"/>
                    </w:rPr>
                  </m:ctrlPr>
                </m:naryPr>
                <m:sub>
                  <m:r>
                    <m:rPr>
                      <m:sty m:val="p"/>
                    </m:rPr>
                    <w:rPr>
                      <w:rFonts w:ascii="Cambria Math" w:eastAsiaTheme="minorEastAsia" w:hAnsi="Cambria Math"/>
                    </w:rPr>
                    <m:t>r=1</m:t>
                  </m:r>
                </m:sub>
                <m:sup>
                  <m:r>
                    <m:rPr>
                      <m:sty m:val="p"/>
                    </m:rPr>
                    <w:rPr>
                      <w:rFonts w:ascii="Cambria Math" w:eastAsiaTheme="minorEastAsia" w:hAnsi="Cambria Math"/>
                    </w:rPr>
                    <m:t>R-1</m:t>
                  </m:r>
                </m:sup>
                <m:e>
                  <m:nary>
                    <m:naryPr>
                      <m:chr m:val="∑"/>
                      <m:limLoc m:val="undOvr"/>
                      <m:ctrlPr>
                        <w:rPr>
                          <w:rFonts w:ascii="Cambria Math" w:eastAsiaTheme="minorEastAsia" w:hAnsi="Cambria Math"/>
                        </w:rPr>
                      </m:ctrlPr>
                    </m:naryPr>
                    <m:sub>
                      <m:r>
                        <m:rPr>
                          <m:sty m:val="p"/>
                        </m:rPr>
                        <w:rPr>
                          <w:rFonts w:ascii="Cambria Math" w:eastAsiaTheme="minorEastAsia" w:hAnsi="Cambria Math"/>
                        </w:rPr>
                        <m:t>k=r+1</m:t>
                      </m:r>
                    </m:sub>
                    <m:sup>
                      <m:r>
                        <m:rPr>
                          <m:sty m:val="p"/>
                        </m:rPr>
                        <w:rPr>
                          <w:rFonts w:ascii="Cambria Math" w:eastAsiaTheme="minorEastAsia" w:hAnsi="Cambria Math"/>
                        </w:rPr>
                        <m:t>R</m:t>
                      </m:r>
                    </m:sup>
                    <m:e>
                      <m:sSup>
                        <m:sSupPr>
                          <m:ctrlPr>
                            <w:rPr>
                              <w:rFonts w:ascii="Cambria Math" w:eastAsiaTheme="minorEastAsia" w:hAnsi="Cambria Math"/>
                            </w:rPr>
                          </m:ctrlPr>
                        </m:sSupPr>
                        <m:e>
                          <m:d>
                            <m:dPr>
                              <m:ctrlPr>
                                <w:rPr>
                                  <w:rFonts w:ascii="Cambria Math" w:eastAsiaTheme="minorEastAsia" w:hAnsi="Cambria Math"/>
                                </w:rPr>
                              </m:ctrlPr>
                            </m:dPr>
                            <m:e>
                              <m:r>
                                <m:rPr>
                                  <m:sty m:val="p"/>
                                </m:rPr>
                                <w:rPr>
                                  <w:rFonts w:ascii="Cambria Math" w:eastAsiaTheme="minorEastAsia" w:hAnsi="Cambria Math"/>
                                </w:rPr>
                                <m:t>-1</m:t>
                              </m:r>
                            </m:e>
                          </m:d>
                        </m:e>
                        <m:sup>
                          <m:sSub>
                            <m:sSubPr>
                              <m:ctrlPr>
                                <w:rPr>
                                  <w:rFonts w:ascii="Cambria Math" w:eastAsiaTheme="minorEastAsia" w:hAnsi="Cambria Math"/>
                                </w:rPr>
                              </m:ctrlPr>
                            </m:sSubPr>
                            <m:e>
                              <m:r>
                                <m:rPr>
                                  <m:sty m:val="p"/>
                                </m:rPr>
                                <w:rPr>
                                  <w:rFonts w:ascii="Cambria Math" w:eastAsiaTheme="minorEastAsia" w:hAnsi="Cambria Math"/>
                                </w:rPr>
                                <m:t>d</m:t>
                              </m:r>
                            </m:e>
                            <m:sub>
                              <m:r>
                                <m:rPr>
                                  <m:sty m:val="p"/>
                                </m:rPr>
                                <w:rPr>
                                  <w:rFonts w:ascii="Cambria Math" w:eastAsiaTheme="minorEastAsia" w:hAnsi="Cambria Math"/>
                                </w:rPr>
                                <m:t>r</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d</m:t>
                              </m:r>
                            </m:e>
                            <m:sub>
                              <m:r>
                                <m:rPr>
                                  <m:sty m:val="p"/>
                                </m:rPr>
                                <w:rPr>
                                  <w:rFonts w:ascii="Cambria Math" w:eastAsiaTheme="minorEastAsia" w:hAnsi="Cambria Math"/>
                                </w:rPr>
                                <m:t>k</m:t>
                              </m:r>
                            </m:sub>
                          </m:sSub>
                        </m:sup>
                      </m:sSup>
                      <m:r>
                        <m:rPr>
                          <m:sty m:val="p"/>
                        </m:rPr>
                        <w:rPr>
                          <w:rFonts w:ascii="Cambria Math" w:eastAsiaTheme="minorEastAsia" w:hAnsi="Cambria Math"/>
                        </w:rPr>
                        <m:t>*</m:t>
                      </m:r>
                      <m:sSub>
                        <m:sSubPr>
                          <m:ctrlPr>
                            <w:rPr>
                              <w:rFonts w:ascii="Cambria Math" w:hAnsi="Cambria Math"/>
                            </w:rPr>
                          </m:ctrlPr>
                        </m:sSubPr>
                        <m:e>
                          <m:r>
                            <m:rPr>
                              <m:sty m:val="p"/>
                            </m:rPr>
                            <w:rPr>
                              <w:rFonts w:ascii="Cambria Math" w:hAnsi="Cambria Math"/>
                            </w:rPr>
                            <m:t>θ</m:t>
                          </m:r>
                          <m:ctrlPr>
                            <w:rPr>
                              <w:rFonts w:ascii="Cambria Math" w:eastAsiaTheme="minorEastAsia" w:hAnsi="Cambria Math"/>
                            </w:rPr>
                          </m:ctrlPr>
                        </m:e>
                        <m:sub>
                          <m:r>
                            <m:rPr>
                              <m:sty m:val="p"/>
                            </m:rPr>
                            <w:rPr>
                              <w:rFonts w:ascii="Cambria Math" w:hAnsi="Cambria Math"/>
                            </w:rPr>
                            <m:t>rk</m:t>
                          </m:r>
                        </m:sub>
                      </m:sSub>
                      <m:d>
                        <m:dPr>
                          <m:begChr m:val="{"/>
                          <m:endChr m:val="}"/>
                          <m:ctrlPr>
                            <w:rPr>
                              <w:rFonts w:ascii="Cambria Math" w:hAnsi="Cambria Math"/>
                            </w:rPr>
                          </m:ctrlPr>
                        </m:dPr>
                        <m:e>
                          <m:r>
                            <m:rPr>
                              <m:sty m:val="p"/>
                            </m:rPr>
                            <w:rPr>
                              <w:rFonts w:ascii="Cambria Math" w:hAnsi="Cambria Math"/>
                            </w:rPr>
                            <m:t>1-</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e</m:t>
                                  </m:r>
                                </m:e>
                                <m:sup>
                                  <m:d>
                                    <m:dPr>
                                      <m:ctrlPr>
                                        <w:rPr>
                                          <w:rFonts w:ascii="Cambria Math" w:eastAsiaTheme="minorEastAsia" w:hAnsi="Cambria Math"/>
                                        </w:rPr>
                                      </m:ctrlPr>
                                    </m:dPr>
                                    <m:e>
                                      <m:f>
                                        <m:fPr>
                                          <m:ctrlPr>
                                            <w:rPr>
                                              <w:rFonts w:ascii="Cambria Math" w:eastAsiaTheme="minorEastAsia" w:hAnsi="Cambria Math"/>
                                            </w:rPr>
                                          </m:ctrlPr>
                                        </m:fPr>
                                        <m:num>
                                          <m:sSubSup>
                                            <m:sSubSupPr>
                                              <m:ctrlPr>
                                                <w:rPr>
                                                  <w:rFonts w:ascii="Cambria Math" w:eastAsiaTheme="minorEastAsia" w:hAnsi="Cambria Math"/>
                                                </w:rPr>
                                              </m:ctrlPr>
                                            </m:sSubSupPr>
                                            <m:e>
                                              <m:r>
                                                <m:rPr>
                                                  <m:sty m:val="p"/>
                                                </m:rPr>
                                                <w:rPr>
                                                  <w:rFonts w:ascii="Cambria Math" w:eastAsiaTheme="minorEastAsia" w:hAnsi="Cambria Math"/>
                                                </w:rPr>
                                                <m:t>v</m:t>
                                              </m:r>
                                            </m:e>
                                            <m:sub>
                                              <m:r>
                                                <m:rPr>
                                                  <m:sty m:val="p"/>
                                                </m:rPr>
                                                <w:rPr>
                                                  <w:rFonts w:ascii="Cambria Math" w:eastAsiaTheme="minorEastAsia" w:hAnsi="Cambria Math"/>
                                                </w:rPr>
                                                <m:t>wr</m:t>
                                              </m:r>
                                            </m:sub>
                                            <m:sup>
                                              <m:r>
                                                <m:rPr>
                                                  <m:sty m:val="p"/>
                                                </m:rPr>
                                                <w:rPr>
                                                  <w:rFonts w:ascii="Cambria Math" w:eastAsiaTheme="minorEastAsia" w:hAnsi="Cambria Math"/>
                                                </w:rPr>
                                                <m:t>h</m:t>
                                              </m:r>
                                            </m:sup>
                                          </m:sSubSup>
                                        </m:num>
                                        <m:den>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r</m:t>
                                              </m:r>
                                            </m:sub>
                                          </m:sSub>
                                        </m:den>
                                      </m:f>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d</m:t>
                                      </m:r>
                                    </m:e>
                                    <m:sub>
                                      <m:r>
                                        <m:rPr>
                                          <m:sty m:val="p"/>
                                        </m:rPr>
                                        <w:rPr>
                                          <w:rFonts w:ascii="Cambria Math" w:eastAsiaTheme="minorEastAsia" w:hAnsi="Cambria Math"/>
                                        </w:rPr>
                                        <m:t>r</m:t>
                                      </m:r>
                                    </m:sub>
                                  </m:sSub>
                                </m:sup>
                              </m:sSup>
                            </m:num>
                            <m:den>
                              <m:r>
                                <m:rPr>
                                  <m:sty m:val="p"/>
                                </m:rPr>
                                <w:rPr>
                                  <w:rFonts w:ascii="Cambria Math" w:eastAsiaTheme="minorEastAsia" w:hAnsi="Cambria Math"/>
                                </w:rPr>
                                <m:t>1+</m:t>
                              </m:r>
                              <m:sSup>
                                <m:sSupPr>
                                  <m:ctrlPr>
                                    <w:rPr>
                                      <w:rFonts w:ascii="Cambria Math" w:eastAsiaTheme="minorEastAsia" w:hAnsi="Cambria Math"/>
                                    </w:rPr>
                                  </m:ctrlPr>
                                </m:sSupPr>
                                <m:e>
                                  <m:r>
                                    <m:rPr>
                                      <m:sty m:val="p"/>
                                    </m:rPr>
                                    <w:rPr>
                                      <w:rFonts w:ascii="Cambria Math" w:eastAsiaTheme="minorEastAsia" w:hAnsi="Cambria Math"/>
                                    </w:rPr>
                                    <m:t>e</m:t>
                                  </m:r>
                                </m:e>
                                <m:sup>
                                  <m:d>
                                    <m:dPr>
                                      <m:ctrlPr>
                                        <w:rPr>
                                          <w:rFonts w:ascii="Cambria Math" w:eastAsiaTheme="minorEastAsia" w:hAnsi="Cambria Math"/>
                                        </w:rPr>
                                      </m:ctrlPr>
                                    </m:dPr>
                                    <m:e>
                                      <m:f>
                                        <m:fPr>
                                          <m:ctrlPr>
                                            <w:rPr>
                                              <w:rFonts w:ascii="Cambria Math" w:eastAsiaTheme="minorEastAsia" w:hAnsi="Cambria Math"/>
                                            </w:rPr>
                                          </m:ctrlPr>
                                        </m:fPr>
                                        <m:num>
                                          <m:sSubSup>
                                            <m:sSubSupPr>
                                              <m:ctrlPr>
                                                <w:rPr>
                                                  <w:rFonts w:ascii="Cambria Math" w:eastAsiaTheme="minorEastAsia" w:hAnsi="Cambria Math"/>
                                                </w:rPr>
                                              </m:ctrlPr>
                                            </m:sSubSupPr>
                                            <m:e>
                                              <m:r>
                                                <m:rPr>
                                                  <m:sty m:val="p"/>
                                                </m:rPr>
                                                <w:rPr>
                                                  <w:rFonts w:ascii="Cambria Math" w:eastAsiaTheme="minorEastAsia" w:hAnsi="Cambria Math"/>
                                                </w:rPr>
                                                <m:t>v</m:t>
                                              </m:r>
                                            </m:e>
                                            <m:sub>
                                              <m:r>
                                                <m:rPr>
                                                  <m:sty m:val="p"/>
                                                </m:rPr>
                                                <w:rPr>
                                                  <w:rFonts w:ascii="Cambria Math" w:eastAsiaTheme="minorEastAsia" w:hAnsi="Cambria Math"/>
                                                </w:rPr>
                                                <m:t>wr</m:t>
                                              </m:r>
                                            </m:sub>
                                            <m:sup>
                                              <m:r>
                                                <m:rPr>
                                                  <m:sty m:val="p"/>
                                                </m:rPr>
                                                <w:rPr>
                                                  <w:rFonts w:ascii="Cambria Math" w:eastAsiaTheme="minorEastAsia" w:hAnsi="Cambria Math"/>
                                                </w:rPr>
                                                <m:t>h</m:t>
                                              </m:r>
                                            </m:sup>
                                          </m:sSubSup>
                                        </m:num>
                                        <m:den>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r</m:t>
                                              </m:r>
                                            </m:sub>
                                          </m:sSub>
                                        </m:den>
                                      </m:f>
                                    </m:e>
                                  </m:d>
                                </m:sup>
                              </m:sSup>
                            </m:den>
                          </m:f>
                        </m:e>
                      </m:d>
                      <m:d>
                        <m:dPr>
                          <m:begChr m:val="{"/>
                          <m:endChr m:val="}"/>
                          <m:ctrlPr>
                            <w:rPr>
                              <w:rFonts w:ascii="Cambria Math" w:hAnsi="Cambria Math"/>
                            </w:rPr>
                          </m:ctrlPr>
                        </m:dPr>
                        <m:e>
                          <m:r>
                            <m:rPr>
                              <m:sty m:val="p"/>
                            </m:rPr>
                            <w:rPr>
                              <w:rFonts w:ascii="Cambria Math" w:hAnsi="Cambria Math"/>
                            </w:rPr>
                            <m:t>1-</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e</m:t>
                                  </m:r>
                                </m:e>
                                <m:sup>
                                  <m:d>
                                    <m:dPr>
                                      <m:ctrlPr>
                                        <w:rPr>
                                          <w:rFonts w:ascii="Cambria Math" w:eastAsiaTheme="minorEastAsia" w:hAnsi="Cambria Math"/>
                                        </w:rPr>
                                      </m:ctrlPr>
                                    </m:dPr>
                                    <m:e>
                                      <m:f>
                                        <m:fPr>
                                          <m:ctrlPr>
                                            <w:rPr>
                                              <w:rFonts w:ascii="Cambria Math" w:eastAsiaTheme="minorEastAsia" w:hAnsi="Cambria Math"/>
                                            </w:rPr>
                                          </m:ctrlPr>
                                        </m:fPr>
                                        <m:num>
                                          <m:sSubSup>
                                            <m:sSubSupPr>
                                              <m:ctrlPr>
                                                <w:rPr>
                                                  <w:rFonts w:ascii="Cambria Math" w:eastAsiaTheme="minorEastAsia" w:hAnsi="Cambria Math"/>
                                                </w:rPr>
                                              </m:ctrlPr>
                                            </m:sSubSupPr>
                                            <m:e>
                                              <m:r>
                                                <m:rPr>
                                                  <m:sty m:val="p"/>
                                                </m:rPr>
                                                <w:rPr>
                                                  <w:rFonts w:ascii="Cambria Math" w:eastAsiaTheme="minorEastAsia" w:hAnsi="Cambria Math"/>
                                                </w:rPr>
                                                <m:t>v</m:t>
                                              </m:r>
                                            </m:e>
                                            <m:sub>
                                              <m:r>
                                                <m:rPr>
                                                  <m:sty m:val="p"/>
                                                </m:rPr>
                                                <w:rPr>
                                                  <w:rFonts w:ascii="Cambria Math" w:eastAsiaTheme="minorEastAsia" w:hAnsi="Cambria Math"/>
                                                </w:rPr>
                                                <m:t>wk</m:t>
                                              </m:r>
                                            </m:sub>
                                            <m:sup>
                                              <m:r>
                                                <m:rPr>
                                                  <m:sty m:val="p"/>
                                                </m:rPr>
                                                <w:rPr>
                                                  <w:rFonts w:ascii="Cambria Math" w:eastAsiaTheme="minorEastAsia" w:hAnsi="Cambria Math"/>
                                                </w:rPr>
                                                <m:t>h</m:t>
                                              </m:r>
                                            </m:sup>
                                          </m:sSubSup>
                                        </m:num>
                                        <m:den>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k</m:t>
                                              </m:r>
                                            </m:sub>
                                          </m:sSub>
                                        </m:den>
                                      </m:f>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d</m:t>
                                      </m:r>
                                    </m:e>
                                    <m:sub>
                                      <m:r>
                                        <m:rPr>
                                          <m:sty m:val="p"/>
                                        </m:rPr>
                                        <w:rPr>
                                          <w:rFonts w:ascii="Cambria Math" w:eastAsiaTheme="minorEastAsia" w:hAnsi="Cambria Math"/>
                                        </w:rPr>
                                        <m:t>k</m:t>
                                      </m:r>
                                    </m:sub>
                                  </m:sSub>
                                </m:sup>
                              </m:sSup>
                            </m:num>
                            <m:den>
                              <m:r>
                                <m:rPr>
                                  <m:sty m:val="p"/>
                                </m:rPr>
                                <w:rPr>
                                  <w:rFonts w:ascii="Cambria Math" w:eastAsiaTheme="minorEastAsia" w:hAnsi="Cambria Math"/>
                                </w:rPr>
                                <m:t>1+</m:t>
                              </m:r>
                              <m:sSup>
                                <m:sSupPr>
                                  <m:ctrlPr>
                                    <w:rPr>
                                      <w:rFonts w:ascii="Cambria Math" w:eastAsiaTheme="minorEastAsia" w:hAnsi="Cambria Math"/>
                                    </w:rPr>
                                  </m:ctrlPr>
                                </m:sSupPr>
                                <m:e>
                                  <m:r>
                                    <m:rPr>
                                      <m:sty m:val="p"/>
                                    </m:rPr>
                                    <w:rPr>
                                      <w:rFonts w:ascii="Cambria Math" w:eastAsiaTheme="minorEastAsia" w:hAnsi="Cambria Math"/>
                                    </w:rPr>
                                    <m:t>e</m:t>
                                  </m:r>
                                </m:e>
                                <m:sup>
                                  <m:d>
                                    <m:dPr>
                                      <m:ctrlPr>
                                        <w:rPr>
                                          <w:rFonts w:ascii="Cambria Math" w:eastAsiaTheme="minorEastAsia" w:hAnsi="Cambria Math"/>
                                        </w:rPr>
                                      </m:ctrlPr>
                                    </m:dPr>
                                    <m:e>
                                      <m:f>
                                        <m:fPr>
                                          <m:ctrlPr>
                                            <w:rPr>
                                              <w:rFonts w:ascii="Cambria Math" w:eastAsiaTheme="minorEastAsia" w:hAnsi="Cambria Math"/>
                                            </w:rPr>
                                          </m:ctrlPr>
                                        </m:fPr>
                                        <m:num>
                                          <m:sSubSup>
                                            <m:sSubSupPr>
                                              <m:ctrlPr>
                                                <w:rPr>
                                                  <w:rFonts w:ascii="Cambria Math" w:eastAsiaTheme="minorEastAsia" w:hAnsi="Cambria Math"/>
                                                </w:rPr>
                                              </m:ctrlPr>
                                            </m:sSubSupPr>
                                            <m:e>
                                              <m:r>
                                                <m:rPr>
                                                  <m:sty m:val="p"/>
                                                </m:rPr>
                                                <w:rPr>
                                                  <w:rFonts w:ascii="Cambria Math" w:eastAsiaTheme="minorEastAsia" w:hAnsi="Cambria Math"/>
                                                </w:rPr>
                                                <m:t>v</m:t>
                                              </m:r>
                                            </m:e>
                                            <m:sub>
                                              <m:r>
                                                <m:rPr>
                                                  <m:sty m:val="p"/>
                                                </m:rPr>
                                                <w:rPr>
                                                  <w:rFonts w:ascii="Cambria Math" w:eastAsiaTheme="minorEastAsia" w:hAnsi="Cambria Math"/>
                                                </w:rPr>
                                                <m:t>wk</m:t>
                                              </m:r>
                                            </m:sub>
                                            <m:sup>
                                              <m:r>
                                                <m:rPr>
                                                  <m:sty m:val="p"/>
                                                </m:rPr>
                                                <w:rPr>
                                                  <w:rFonts w:ascii="Cambria Math" w:eastAsiaTheme="minorEastAsia" w:hAnsi="Cambria Math"/>
                                                </w:rPr>
                                                <m:t>h</m:t>
                                              </m:r>
                                            </m:sup>
                                          </m:sSubSup>
                                        </m:num>
                                        <m:den>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k</m:t>
                                              </m:r>
                                            </m:sub>
                                          </m:sSub>
                                        </m:den>
                                      </m:f>
                                    </m:e>
                                  </m:d>
                                </m:sup>
                              </m:sSup>
                            </m:den>
                          </m:f>
                        </m:e>
                      </m:d>
                    </m:e>
                  </m:nary>
                </m:e>
              </m:nary>
            </m:e>
          </m:d>
        </m:oMath>
      </m:oMathPara>
    </w:p>
    <w:p w14:paraId="40B4C036" w14:textId="6783C0D4" w:rsidR="009601E8" w:rsidRPr="00800D00" w:rsidRDefault="009601E8" w:rsidP="00F412AF">
      <w:r w:rsidRPr="00800D00">
        <w:t xml:space="preserve">Where </w:t>
      </w:r>
      <m:oMath>
        <m:sSub>
          <m:sSubPr>
            <m:ctrlPr>
              <w:rPr>
                <w:rFonts w:ascii="Cambria Math" w:eastAsiaTheme="minorEastAsia" w:hAnsi="Cambria Math"/>
              </w:rPr>
            </m:ctrlPr>
          </m:sSubPr>
          <m:e>
            <m:r>
              <m:rPr>
                <m:sty m:val="p"/>
              </m:rPr>
              <w:rPr>
                <w:rFonts w:ascii="Cambria Math" w:eastAsiaTheme="minorEastAsia" w:hAnsi="Cambria Math"/>
              </w:rPr>
              <m:t>d</m:t>
            </m:r>
          </m:e>
          <m:sub>
            <m:r>
              <m:rPr>
                <m:sty m:val="p"/>
              </m:rPr>
              <w:rPr>
                <w:rFonts w:ascii="Cambria Math" w:eastAsiaTheme="minorEastAsia" w:hAnsi="Cambria Math"/>
              </w:rPr>
              <m:t>r</m:t>
            </m:r>
          </m:sub>
        </m:sSub>
      </m:oMath>
      <w:r w:rsidRPr="00800D00">
        <w:t xml:space="preserve"> takes on the value of 1 when a retailer was visited and 0 otherwise. The correlation between the different retailers is governed by the </w:t>
      </w:r>
      <m:oMath>
        <m:sSub>
          <m:sSubPr>
            <m:ctrlPr>
              <w:rPr>
                <w:rFonts w:ascii="Cambria Math" w:hAnsi="Cambria Math"/>
              </w:rPr>
            </m:ctrlPr>
          </m:sSubPr>
          <m:e>
            <m:r>
              <m:rPr>
                <m:sty m:val="p"/>
              </m:rPr>
              <w:rPr>
                <w:rFonts w:ascii="Cambria Math" w:hAnsi="Cambria Math"/>
              </w:rPr>
              <m:t>θ</m:t>
            </m:r>
            <m:ctrlPr>
              <w:rPr>
                <w:rFonts w:ascii="Cambria Math" w:eastAsiaTheme="minorEastAsia" w:hAnsi="Cambria Math"/>
              </w:rPr>
            </m:ctrlPr>
          </m:e>
          <m:sub>
            <m:r>
              <m:rPr>
                <m:sty m:val="p"/>
              </m:rPr>
              <w:rPr>
                <w:rFonts w:ascii="Cambria Math" w:hAnsi="Cambria Math"/>
              </w:rPr>
              <m:t>rk</m:t>
            </m:r>
          </m:sub>
        </m:sSub>
      </m:oMath>
      <w:r w:rsidRPr="00800D00">
        <w:rPr>
          <w:rFonts w:eastAsiaTheme="minorEastAsia"/>
        </w:rPr>
        <w:t xml:space="preserve"> terms</w:t>
      </w:r>
      <w:r w:rsidRPr="00800D00">
        <w:t xml:space="preserve">. Specifically, we allow for different correlations between different types of retailers, by specifying </w:t>
      </w:r>
      <m:oMath>
        <m:sSub>
          <m:sSubPr>
            <m:ctrlPr>
              <w:rPr>
                <w:rFonts w:ascii="Cambria Math" w:hAnsi="Cambria Math"/>
              </w:rPr>
            </m:ctrlPr>
          </m:sSubPr>
          <m:e>
            <m:r>
              <m:rPr>
                <m:sty m:val="p"/>
              </m:rPr>
              <w:rPr>
                <w:rFonts w:ascii="Cambria Math" w:hAnsi="Cambria Math"/>
              </w:rPr>
              <m:t>θ</m:t>
            </m:r>
            <m:ctrlPr>
              <w:rPr>
                <w:rFonts w:ascii="Cambria Math" w:eastAsiaTheme="minorEastAsia" w:hAnsi="Cambria Math"/>
              </w:rPr>
            </m:ctrlPr>
          </m:e>
          <m:sub>
            <m:r>
              <m:rPr>
                <m:sty m:val="p"/>
              </m:rPr>
              <w:rPr>
                <w:rFonts w:ascii="Cambria Math" w:hAnsi="Cambria Math"/>
              </w:rPr>
              <m:t>rk</m:t>
            </m:r>
          </m:sub>
        </m:sSub>
      </m:oMath>
      <w:r w:rsidRPr="00800D00">
        <w:rPr>
          <w:rFonts w:eastAsiaTheme="minorEastAsia"/>
        </w:rPr>
        <w:t xml:space="preserve"> as:</w:t>
      </w:r>
    </w:p>
    <w:p w14:paraId="713EACF5" w14:textId="5D0C8A2F" w:rsidR="009601E8" w:rsidRPr="00A17F52" w:rsidRDefault="00BD099B" w:rsidP="00F412AF">
      <m:oMathPara>
        <m:oMath>
          <m:sSub>
            <m:sSubPr>
              <m:ctrlPr>
                <w:rPr>
                  <w:rFonts w:ascii="Cambria Math" w:hAnsi="Cambria Math"/>
                </w:rPr>
              </m:ctrlPr>
            </m:sSubPr>
            <m:e>
              <m:r>
                <m:rPr>
                  <m:sty m:val="p"/>
                </m:rPr>
                <w:rPr>
                  <w:rFonts w:ascii="Cambria Math" w:hAnsi="Cambria Math"/>
                </w:rPr>
                <m:t>θ</m:t>
              </m:r>
              <m:ctrlPr>
                <w:rPr>
                  <w:rFonts w:ascii="Cambria Math" w:eastAsiaTheme="minorEastAsia" w:hAnsi="Cambria Math"/>
                </w:rPr>
              </m:ctrlPr>
            </m:e>
            <m:sub>
              <m:r>
                <m:rPr>
                  <m:sty m:val="p"/>
                </m:rPr>
                <w:rPr>
                  <w:rFonts w:ascii="Cambria Math" w:hAnsi="Cambria Math"/>
                </w:rPr>
                <m:t>rk</m:t>
              </m:r>
            </m:sub>
          </m:sSub>
          <m:r>
            <m:rPr>
              <m:sty m:val="p"/>
            </m:rPr>
            <w:rPr>
              <w:rFonts w:ascii="Cambria Math" w:hAnsi="Cambria Math"/>
            </w:rPr>
            <m:t>=</m:t>
          </m:r>
          <m:d>
            <m:dPr>
              <m:ctrlPr>
                <w:rPr>
                  <w:rFonts w:ascii="Cambria Math" w:hAnsi="Cambria Math"/>
                </w:rPr>
              </m:ctrlPr>
            </m:dPr>
            <m:e>
              <m:r>
                <m:rPr>
                  <m:sty m:val="p"/>
                </m:rPr>
                <w:rPr>
                  <w:rFonts w:ascii="Cambria Math" w:hAnsi="Cambria Math"/>
                </w:rPr>
                <m:t>2*</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p"/>
                            </m:rPr>
                            <w:rPr>
                              <w:rFonts w:ascii="Cambria Math" w:hAnsi="Cambria Math"/>
                            </w:rPr>
                            <m:t>e</m:t>
                          </m:r>
                        </m:e>
                        <m:sup>
                          <m:sSup>
                            <m:sSupPr>
                              <m:ctrlPr>
                                <w:rPr>
                                  <w:rFonts w:ascii="Cambria Math" w:hAnsi="Cambria Math"/>
                                </w:rPr>
                              </m:ctrlPr>
                            </m:sSupPr>
                            <m:e>
                              <m:r>
                                <m:rPr>
                                  <m:sty m:val="p"/>
                                </m:rPr>
                                <w:rPr>
                                  <w:rFonts w:ascii="Cambria Math" w:hAnsi="Cambria Math"/>
                                </w:rPr>
                                <m:t>δ</m:t>
                              </m:r>
                            </m:e>
                            <m:sup>
                              <m:r>
                                <m:rPr>
                                  <m:sty m:val="p"/>
                                </m:rPr>
                                <w:rPr>
                                  <w:rFonts w:ascii="Cambria Math" w:hAnsi="Cambria Math"/>
                                </w:rPr>
                                <m:t>ts,ts</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rk</m:t>
                              </m:r>
                            </m:sub>
                            <m:sup>
                              <m:r>
                                <m:rPr>
                                  <m:sty m:val="p"/>
                                </m:rPr>
                                <w:rPr>
                                  <w:rFonts w:ascii="Cambria Math" w:hAnsi="Cambria Math"/>
                                </w:rPr>
                                <m:t>ts,ts</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δ</m:t>
                              </m:r>
                            </m:e>
                            <m:sup>
                              <m:r>
                                <m:rPr>
                                  <m:sty m:val="p"/>
                                </m:rPr>
                                <w:rPr>
                                  <w:rFonts w:ascii="Cambria Math" w:hAnsi="Cambria Math"/>
                                </w:rPr>
                                <m:t>ts,hd</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rk</m:t>
                              </m:r>
                            </m:sub>
                            <m:sup>
                              <m:r>
                                <m:rPr>
                                  <m:sty m:val="p"/>
                                </m:rPr>
                                <w:rPr>
                                  <w:rFonts w:ascii="Cambria Math" w:hAnsi="Cambria Math"/>
                                </w:rPr>
                                <m:t>ts,hd</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δ</m:t>
                              </m:r>
                            </m:e>
                            <m:sup>
                              <m:r>
                                <m:rPr>
                                  <m:sty m:val="p"/>
                                </m:rPr>
                                <w:rPr>
                                  <w:rFonts w:ascii="Cambria Math" w:hAnsi="Cambria Math"/>
                                </w:rPr>
                                <m:t>hd,hd</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rk</m:t>
                              </m:r>
                            </m:sub>
                            <m:sup>
                              <m:r>
                                <m:rPr>
                                  <m:sty m:val="p"/>
                                </m:rPr>
                                <w:rPr>
                                  <w:rFonts w:ascii="Cambria Math" w:hAnsi="Cambria Math"/>
                                </w:rPr>
                                <m:t>hd,hd</m:t>
                              </m:r>
                            </m:sup>
                          </m:sSubSup>
                        </m:sup>
                      </m:sSup>
                    </m:num>
                    <m:den>
                      <m:r>
                        <m:rPr>
                          <m:sty m:val="p"/>
                        </m:rPr>
                        <w:rPr>
                          <w:rFonts w:ascii="Cambria Math" w:hAnsi="Cambria Math"/>
                        </w:rPr>
                        <m:t>1+</m:t>
                      </m:r>
                      <m:sSup>
                        <m:sSupPr>
                          <m:ctrlPr>
                            <w:rPr>
                              <w:rFonts w:ascii="Cambria Math" w:hAnsi="Cambria Math"/>
                            </w:rPr>
                          </m:ctrlPr>
                        </m:sSupPr>
                        <m:e>
                          <m:r>
                            <m:rPr>
                              <m:sty m:val="p"/>
                            </m:rPr>
                            <w:rPr>
                              <w:rFonts w:ascii="Cambria Math" w:hAnsi="Cambria Math"/>
                            </w:rPr>
                            <m:t>e</m:t>
                          </m:r>
                        </m:e>
                        <m:sup>
                          <m:sSup>
                            <m:sSupPr>
                              <m:ctrlPr>
                                <w:rPr>
                                  <w:rFonts w:ascii="Cambria Math" w:hAnsi="Cambria Math"/>
                                </w:rPr>
                              </m:ctrlPr>
                            </m:sSupPr>
                            <m:e>
                              <m:r>
                                <m:rPr>
                                  <m:sty m:val="p"/>
                                </m:rPr>
                                <w:rPr>
                                  <w:rFonts w:ascii="Cambria Math" w:hAnsi="Cambria Math"/>
                                </w:rPr>
                                <m:t>δ</m:t>
                              </m:r>
                            </m:e>
                            <m:sup>
                              <m:r>
                                <m:rPr>
                                  <m:sty m:val="p"/>
                                </m:rPr>
                                <w:rPr>
                                  <w:rFonts w:ascii="Cambria Math" w:hAnsi="Cambria Math"/>
                                </w:rPr>
                                <m:t>ts,ts</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rk</m:t>
                              </m:r>
                            </m:sub>
                            <m:sup>
                              <m:r>
                                <m:rPr>
                                  <m:sty m:val="p"/>
                                </m:rPr>
                                <w:rPr>
                                  <w:rFonts w:ascii="Cambria Math" w:hAnsi="Cambria Math"/>
                                </w:rPr>
                                <m:t>ts,ts</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δ</m:t>
                              </m:r>
                            </m:e>
                            <m:sup>
                              <m:r>
                                <m:rPr>
                                  <m:sty m:val="p"/>
                                </m:rPr>
                                <w:rPr>
                                  <w:rFonts w:ascii="Cambria Math" w:hAnsi="Cambria Math"/>
                                </w:rPr>
                                <m:t>ts,hd</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rk</m:t>
                              </m:r>
                            </m:sub>
                            <m:sup>
                              <m:r>
                                <m:rPr>
                                  <m:sty m:val="p"/>
                                </m:rPr>
                                <w:rPr>
                                  <w:rFonts w:ascii="Cambria Math" w:hAnsi="Cambria Math"/>
                                </w:rPr>
                                <m:t>ts,hd</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δ</m:t>
                              </m:r>
                            </m:e>
                            <m:sup>
                              <m:r>
                                <m:rPr>
                                  <m:sty m:val="p"/>
                                </m:rPr>
                                <w:rPr>
                                  <w:rFonts w:ascii="Cambria Math" w:hAnsi="Cambria Math"/>
                                </w:rPr>
                                <m:t>hd,hd</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rk</m:t>
                              </m:r>
                            </m:sub>
                            <m:sup>
                              <m:r>
                                <m:rPr>
                                  <m:sty m:val="p"/>
                                </m:rPr>
                                <w:rPr>
                                  <w:rFonts w:ascii="Cambria Math" w:hAnsi="Cambria Math"/>
                                </w:rPr>
                                <m:t>hd,hd</m:t>
                              </m:r>
                            </m:sup>
                          </m:sSubSup>
                        </m:sup>
                      </m:sSup>
                    </m:den>
                  </m:f>
                </m:e>
              </m:d>
            </m:e>
          </m:d>
          <m:r>
            <m:rPr>
              <m:sty m:val="p"/>
            </m:rPr>
            <w:rPr>
              <w:rFonts w:ascii="Cambria Math" w:hAnsi="Cambria Math"/>
            </w:rPr>
            <m:t>-1</m:t>
          </m:r>
        </m:oMath>
      </m:oMathPara>
    </w:p>
    <w:p w14:paraId="0C7E2EF0" w14:textId="1B223FC5" w:rsidR="009601E8" w:rsidRPr="00800D00" w:rsidRDefault="009601E8" w:rsidP="00F412AF">
      <w:pPr>
        <w:rPr>
          <w:rFonts w:eastAsiaTheme="minorEastAsia"/>
        </w:rPr>
      </w:pPr>
      <w:r w:rsidRPr="00800D00">
        <w:t xml:space="preserve">The correlation between retailers is governed by three parameters: </w:t>
      </w:r>
      <m:oMath>
        <m:sSup>
          <m:sSupPr>
            <m:ctrlPr>
              <w:rPr>
                <w:rFonts w:ascii="Cambria Math" w:hAnsi="Cambria Math"/>
              </w:rPr>
            </m:ctrlPr>
          </m:sSupPr>
          <m:e>
            <m:r>
              <m:rPr>
                <m:sty m:val="p"/>
              </m:rPr>
              <w:rPr>
                <w:rFonts w:ascii="Cambria Math" w:hAnsi="Cambria Math"/>
              </w:rPr>
              <m:t>δ</m:t>
            </m:r>
          </m:e>
          <m:sup>
            <m:r>
              <m:rPr>
                <m:sty m:val="p"/>
              </m:rPr>
              <w:rPr>
                <w:rFonts w:ascii="Cambria Math" w:hAnsi="Cambria Math"/>
              </w:rPr>
              <m:t>ts,ts</m:t>
            </m:r>
          </m:sup>
        </m:sSup>
      </m:oMath>
      <w:r w:rsidRPr="00800D00">
        <w:rPr>
          <w:rFonts w:eastAsiaTheme="minorEastAsia"/>
        </w:rPr>
        <w:t xml:space="preserve"> , </w:t>
      </w:r>
      <m:oMath>
        <m:sSup>
          <m:sSupPr>
            <m:ctrlPr>
              <w:rPr>
                <w:rFonts w:ascii="Cambria Math" w:hAnsi="Cambria Math"/>
              </w:rPr>
            </m:ctrlPr>
          </m:sSupPr>
          <m:e>
            <m:r>
              <m:rPr>
                <m:sty m:val="p"/>
              </m:rPr>
              <w:rPr>
                <w:rFonts w:ascii="Cambria Math" w:hAnsi="Cambria Math"/>
              </w:rPr>
              <m:t>δ</m:t>
            </m:r>
          </m:e>
          <m:sup>
            <m:r>
              <m:rPr>
                <m:sty m:val="p"/>
              </m:rPr>
              <w:rPr>
                <w:rFonts w:ascii="Cambria Math" w:hAnsi="Cambria Math"/>
              </w:rPr>
              <m:t>ts,hd</m:t>
            </m:r>
          </m:sup>
        </m:sSup>
      </m:oMath>
      <w:r w:rsidRPr="00800D00">
        <w:rPr>
          <w:rFonts w:eastAsiaTheme="minorEastAsia"/>
        </w:rPr>
        <w:t xml:space="preserve">, </w:t>
      </w:r>
      <m:oMath>
        <m:sSup>
          <m:sSupPr>
            <m:ctrlPr>
              <w:rPr>
                <w:rFonts w:ascii="Cambria Math" w:hAnsi="Cambria Math"/>
              </w:rPr>
            </m:ctrlPr>
          </m:sSupPr>
          <m:e>
            <m:r>
              <m:rPr>
                <m:sty m:val="p"/>
              </m:rPr>
              <w:rPr>
                <w:rFonts w:ascii="Cambria Math" w:hAnsi="Cambria Math"/>
              </w:rPr>
              <m:t>δ</m:t>
            </m:r>
          </m:e>
          <m:sup>
            <m:r>
              <m:rPr>
                <m:sty m:val="p"/>
              </m:rPr>
              <w:rPr>
                <w:rFonts w:ascii="Cambria Math" w:hAnsi="Cambria Math"/>
              </w:rPr>
              <m:t>hd,hd</m:t>
            </m:r>
          </m:sup>
        </m:sSup>
      </m:oMath>
      <w:r w:rsidRPr="00800D00">
        <w:rPr>
          <w:rFonts w:eastAsiaTheme="minorEastAsia"/>
        </w:rPr>
        <w:t xml:space="preserve">, where superscripts </w:t>
      </w:r>
      <w:r w:rsidR="00A17F52">
        <w:rPr>
          <w:rFonts w:eastAsiaTheme="minorEastAsia"/>
        </w:rPr>
        <w:t>‘</w:t>
      </w:r>
      <w:proofErr w:type="spellStart"/>
      <w:r w:rsidRPr="00A17F52">
        <w:rPr>
          <w:rFonts w:eastAsiaTheme="minorEastAsia"/>
        </w:rPr>
        <w:t>ts</w:t>
      </w:r>
      <w:proofErr w:type="spellEnd"/>
      <w:r w:rsidR="00A17F52">
        <w:rPr>
          <w:rFonts w:eastAsiaTheme="minorEastAsia"/>
        </w:rPr>
        <w:t>’</w:t>
      </w:r>
      <w:r w:rsidRPr="00800D00">
        <w:rPr>
          <w:rFonts w:eastAsiaTheme="minorEastAsia"/>
          <w:i/>
        </w:rPr>
        <w:t xml:space="preserve"> </w:t>
      </w:r>
      <w:r w:rsidRPr="00800D00">
        <w:rPr>
          <w:rFonts w:eastAsiaTheme="minorEastAsia"/>
        </w:rPr>
        <w:t xml:space="preserve">and </w:t>
      </w:r>
      <w:r w:rsidR="00A17F52">
        <w:rPr>
          <w:rFonts w:eastAsiaTheme="minorEastAsia"/>
        </w:rPr>
        <w:t>‘</w:t>
      </w:r>
      <w:proofErr w:type="spellStart"/>
      <w:r w:rsidRPr="00A17F52">
        <w:rPr>
          <w:rFonts w:eastAsiaTheme="minorEastAsia"/>
        </w:rPr>
        <w:t>hd</w:t>
      </w:r>
      <w:proofErr w:type="spellEnd"/>
      <w:r w:rsidR="00A17F52">
        <w:rPr>
          <w:rFonts w:eastAsiaTheme="minorEastAsia"/>
        </w:rPr>
        <w:t xml:space="preserve">’ </w:t>
      </w:r>
      <w:r w:rsidRPr="00800D00">
        <w:rPr>
          <w:rFonts w:eastAsiaTheme="minorEastAsia"/>
        </w:rPr>
        <w:t xml:space="preserve">respectively refer to a traditional supermarket and hard-discounter. </w:t>
      </w:r>
      <m:oMath>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rk</m:t>
            </m:r>
          </m:sub>
          <m:sup>
            <m:r>
              <m:rPr>
                <m:sty m:val="p"/>
              </m:rPr>
              <w:rPr>
                <w:rFonts w:ascii="Cambria Math" w:hAnsi="Cambria Math"/>
              </w:rPr>
              <m:t>ts,ts</m:t>
            </m:r>
          </m:sup>
        </m:sSubSup>
      </m:oMath>
      <w:r w:rsidRPr="00800D00">
        <w:rPr>
          <w:rFonts w:eastAsiaTheme="minorEastAsia"/>
        </w:rPr>
        <w:t xml:space="preserve"> , </w:t>
      </w:r>
      <m:oMath>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rk</m:t>
            </m:r>
          </m:sub>
          <m:sup>
            <m:r>
              <m:rPr>
                <m:sty m:val="p"/>
              </m:rPr>
              <w:rPr>
                <w:rFonts w:ascii="Cambria Math" w:hAnsi="Cambria Math"/>
              </w:rPr>
              <m:t>ts,ts</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D</m:t>
            </m:r>
          </m:e>
          <m:sub>
            <m:r>
              <m:rPr>
                <m:sty m:val="p"/>
              </m:rPr>
              <w:rPr>
                <w:rFonts w:ascii="Cambria Math" w:hAnsi="Cambria Math"/>
              </w:rPr>
              <m:t>rk</m:t>
            </m:r>
          </m:sub>
          <m:sup>
            <m:r>
              <m:rPr>
                <m:sty m:val="p"/>
              </m:rPr>
              <w:rPr>
                <w:rFonts w:ascii="Cambria Math" w:hAnsi="Cambria Math"/>
              </w:rPr>
              <m:t>ts,ts</m:t>
            </m:r>
          </m:sup>
        </m:sSubSup>
      </m:oMath>
      <w:r w:rsidRPr="00800D00">
        <w:rPr>
          <w:rFonts w:eastAsiaTheme="minorEastAsia"/>
        </w:rPr>
        <w:t xml:space="preserve"> are dummy variables equal to 1 when (i) both retailers </w:t>
      </w:r>
      <w:r w:rsidR="00EE1147" w:rsidRPr="00EE1147">
        <w:rPr>
          <w:rFonts w:eastAsiaTheme="minorEastAsia"/>
        </w:rPr>
        <w:t>(r)</w:t>
      </w:r>
      <w:r w:rsidRPr="00800D00">
        <w:rPr>
          <w:rFonts w:eastAsiaTheme="minorEastAsia"/>
        </w:rPr>
        <w:t xml:space="preserve"> and </w:t>
      </w:r>
      <w:r w:rsidR="00EE1147" w:rsidRPr="00EE1147">
        <w:rPr>
          <w:rFonts w:eastAsiaTheme="minorEastAsia"/>
        </w:rPr>
        <w:t>(k)</w:t>
      </w:r>
      <w:r w:rsidRPr="00800D00">
        <w:rPr>
          <w:rFonts w:eastAsiaTheme="minorEastAsia"/>
        </w:rPr>
        <w:t xml:space="preserve"> are traditional supermarkets, (ii) when both are hard discounters, or (iii) when one is a traditional supermarket and the other a hard discounter, respectively, resulting in differential correlations for traditional supermarket pairs, hard-discounter pairs, and traditional supermarket with hard-discounter pairs. The functional form above ensures that the </w:t>
      </w:r>
      <m:oMath>
        <m:sSub>
          <m:sSubPr>
            <m:ctrlPr>
              <w:rPr>
                <w:rFonts w:ascii="Cambria Math" w:hAnsi="Cambria Math"/>
              </w:rPr>
            </m:ctrlPr>
          </m:sSubPr>
          <m:e>
            <m:r>
              <m:rPr>
                <m:sty m:val="p"/>
              </m:rPr>
              <w:rPr>
                <w:rFonts w:ascii="Cambria Math" w:hAnsi="Cambria Math"/>
              </w:rPr>
              <m:t>θ</m:t>
            </m:r>
            <m:ctrlPr>
              <w:rPr>
                <w:rFonts w:ascii="Cambria Math" w:eastAsiaTheme="minorEastAsia" w:hAnsi="Cambria Math"/>
              </w:rPr>
            </m:ctrlPr>
          </m:e>
          <m:sub>
            <m:r>
              <m:rPr>
                <m:sty m:val="p"/>
              </m:rPr>
              <w:rPr>
                <w:rFonts w:ascii="Cambria Math" w:hAnsi="Cambria Math"/>
              </w:rPr>
              <m:t>rk</m:t>
            </m:r>
          </m:sub>
        </m:sSub>
      </m:oMath>
      <w:r w:rsidRPr="00800D00">
        <w:rPr>
          <w:rFonts w:eastAsiaTheme="minorEastAsia"/>
        </w:rPr>
        <w:t xml:space="preserve"> terms are between -1 and 1, in addition to symmetry </w:t>
      </w:r>
      <w:r w:rsidRPr="00800D00">
        <w:rPr>
          <w:rFonts w:eastAsiaTheme="minorEastAsia"/>
        </w:rPr>
        <w:fldChar w:fldCharType="begin" w:fldLock="1"/>
      </w:r>
      <w:r w:rsidRPr="00800D00">
        <w:rPr>
          <w:rFonts w:eastAsiaTheme="minorEastAsia"/>
        </w:rPr>
        <w:instrText>ADDIN CSL_CITATION {"citationItems":[{"id":"ITEM-1","itemData":{"DOI":"10.1007/s10109-009-0077-9","ISBN":"1435-5930","ISSN":"14355930","abstract":"This study focuses on accommodating spatial dependency in data indexed by geographic location. In particular, the emphasis is on accommodating spatial error correlation across observational units in binary discrete choice models. We propose a copula-based approach to spatial dependence modeling based on a spatial logit structure rather than a spatial probit structure. In this approach, the dependence between the logistic error terms of different observational units is directly accommodated using a multivariate logistic distribution based on the Farlie-Gumbel-Morgenstein (FGM) copula. The approach represents a simple and powerful technique that results in a closed-form analytic expression for the joint probability of choice across observational units, and is straightforward to apply using a standard and direct maximum likelihood inference procedure. There is no simulation machinery involved, leading to substantial computation gains relative to current methods to address spatial correlation. The approach is applied to teenagers' physical activity participation levels, a subject of considerable interest in the public health, transportation, sociology, and adolescence development fields. The results indicate that failing to accommodate heteroscedasticity and spatial correlation can lead to inconsistent and inefficient parameter estimates, as well as incorrect conclusions regarding the elasticity effects of exogenous variables.","author":[{"dropping-particle":"","family":"Bhat","given":"Chandra R.","non-dropping-particle":"","parse-names":false,"suffix":""},{"dropping-particle":"","family":"Sener","given":"Ipek N.","non-dropping-particle":"","parse-names":false,"suffix":""}],"container-title":"Journal of Geographical Systems","id":"ITEM-1","issue":"3","issued":{"date-parts":[["2009"]]},"page":"243-272","title":"A copula-based closed-form binary logit choice model for accommodating spatial correlation across observational units","type":"article-journal","volume":"11"},"uris":["http://www.mendeley.com/documents/?uuid=58c9d1ef-b54e-3b3c-94d2-2854a72781ac"]}],"mendeley":{"formattedCitation":"(Bhat and Sener 2009)","plainTextFormattedCitation":"(Bhat and Sener 2009)","previouslyFormattedCitation":"(Bhat and Sener 2009)"},"properties":{"noteIndex":0},"schema":"https://github.com/citation-style-language/schema/raw/master/csl-citation.json"}</w:instrText>
      </w:r>
      <w:r w:rsidRPr="00800D00">
        <w:rPr>
          <w:rFonts w:eastAsiaTheme="minorEastAsia"/>
        </w:rPr>
        <w:fldChar w:fldCharType="separate"/>
      </w:r>
      <w:r w:rsidRPr="00800D00">
        <w:rPr>
          <w:rFonts w:eastAsiaTheme="minorEastAsia"/>
          <w:noProof/>
        </w:rPr>
        <w:t>(Bhat and Sener 2009)</w:t>
      </w:r>
      <w:r w:rsidRPr="00800D00">
        <w:rPr>
          <w:rFonts w:eastAsiaTheme="minorEastAsia"/>
        </w:rPr>
        <w:fldChar w:fldCharType="end"/>
      </w:r>
      <w:r w:rsidRPr="00800D00">
        <w:rPr>
          <w:rFonts w:eastAsiaTheme="minorEastAsia"/>
        </w:rPr>
        <w:t xml:space="preserve">. The parameter </w:t>
      </w:r>
      <m:oMath>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r</m:t>
            </m:r>
          </m:sub>
        </m:sSub>
      </m:oMath>
      <w:r w:rsidRPr="00800D00">
        <w:rPr>
          <w:rFonts w:eastAsiaTheme="minorEastAsia"/>
        </w:rPr>
        <w:t xml:space="preserve"> is specified as: </w:t>
      </w:r>
    </w:p>
    <w:p w14:paraId="5FDB7172" w14:textId="5AB12A41" w:rsidR="009601E8" w:rsidRPr="00A17F52" w:rsidRDefault="00BD099B" w:rsidP="00F412AF">
      <w:pPr>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r</m:t>
              </m:r>
            </m:sub>
          </m:sSub>
          <m:r>
            <m:rPr>
              <m:sty m:val="p"/>
            </m:rP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exp</m:t>
              </m:r>
            </m:fName>
            <m:e>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ϖ</m:t>
                      </m:r>
                    </m:e>
                    <m:sub>
                      <m:r>
                        <m:rPr>
                          <m:sty m:val="p"/>
                        </m:rPr>
                        <w:rPr>
                          <w:rFonts w:ascii="Cambria Math" w:eastAsiaTheme="minorEastAsia" w:hAnsi="Cambria Math"/>
                        </w:rPr>
                        <m:t>hd</m:t>
                      </m:r>
                    </m:sub>
                  </m:sSub>
                  <m:r>
                    <m:rPr>
                      <m:sty m:val="p"/>
                    </m:rPr>
                    <w:rPr>
                      <w:rFonts w:ascii="Cambria Math" w:eastAsiaTheme="minorEastAsia" w:hAnsi="Cambria Math"/>
                    </w:rPr>
                    <m:t>*</m:t>
                  </m:r>
                  <m:sSubSup>
                    <m:sSubSupPr>
                      <m:ctrlPr>
                        <w:rPr>
                          <w:rFonts w:ascii="Cambria Math" w:eastAsiaTheme="minorEastAsia" w:hAnsi="Cambria Math"/>
                        </w:rPr>
                      </m:ctrlPr>
                    </m:sSubSupPr>
                    <m:e>
                      <m:r>
                        <m:rPr>
                          <m:sty m:val="p"/>
                        </m:rPr>
                        <w:rPr>
                          <w:rFonts w:ascii="Cambria Math" w:eastAsiaTheme="minorEastAsia" w:hAnsi="Cambria Math"/>
                        </w:rPr>
                        <m:t>D</m:t>
                      </m:r>
                    </m:e>
                    <m:sub>
                      <m:r>
                        <m:rPr>
                          <m:sty m:val="p"/>
                        </m:rPr>
                        <w:rPr>
                          <w:rFonts w:ascii="Cambria Math" w:eastAsiaTheme="minorEastAsia" w:hAnsi="Cambria Math"/>
                        </w:rPr>
                        <m:t>r</m:t>
                      </m:r>
                    </m:sub>
                    <m:sup>
                      <m:r>
                        <m:rPr>
                          <m:sty m:val="p"/>
                        </m:rPr>
                        <w:rPr>
                          <w:rFonts w:ascii="Cambria Math" w:eastAsiaTheme="minorEastAsia" w:hAnsi="Cambria Math"/>
                        </w:rPr>
                        <m:t>hd</m:t>
                      </m:r>
                    </m:sup>
                  </m:sSubSup>
                </m:e>
              </m:d>
            </m:e>
          </m:func>
        </m:oMath>
      </m:oMathPara>
    </w:p>
    <w:p w14:paraId="009C0E77" w14:textId="44AEC4AA" w:rsidR="009601E8" w:rsidRPr="00800D00" w:rsidRDefault="009601E8" w:rsidP="00F412AF">
      <w:pPr>
        <w:rPr>
          <w:rFonts w:eastAsiaTheme="minorEastAsia"/>
        </w:rPr>
      </w:pPr>
      <w:r w:rsidRPr="00800D00">
        <w:rPr>
          <w:rFonts w:eastAsiaTheme="minorEastAsia"/>
        </w:rPr>
        <w:t>such that for traditional retailers (</w:t>
      </w:r>
      <m:oMath>
        <m:sSubSup>
          <m:sSubSupPr>
            <m:ctrlPr>
              <w:rPr>
                <w:rFonts w:ascii="Cambria Math" w:eastAsiaTheme="minorEastAsia" w:hAnsi="Cambria Math"/>
              </w:rPr>
            </m:ctrlPr>
          </m:sSubSupPr>
          <m:e>
            <m:r>
              <m:rPr>
                <m:sty m:val="p"/>
              </m:rPr>
              <w:rPr>
                <w:rFonts w:ascii="Cambria Math" w:eastAsiaTheme="minorEastAsia" w:hAnsi="Cambria Math"/>
              </w:rPr>
              <m:t>D</m:t>
            </m:r>
          </m:e>
          <m:sub>
            <m:r>
              <m:rPr>
                <m:sty m:val="p"/>
              </m:rPr>
              <w:rPr>
                <w:rFonts w:ascii="Cambria Math" w:eastAsiaTheme="minorEastAsia" w:hAnsi="Cambria Math"/>
              </w:rPr>
              <m:t>r</m:t>
            </m:r>
          </m:sub>
          <m:sup>
            <m:r>
              <m:rPr>
                <m:sty m:val="p"/>
              </m:rPr>
              <w:rPr>
                <w:rFonts w:ascii="Cambria Math" w:eastAsiaTheme="minorEastAsia" w:hAnsi="Cambria Math"/>
              </w:rPr>
              <m:t>hd</m:t>
            </m:r>
          </m:sup>
        </m:sSubSup>
        <m:r>
          <m:rPr>
            <m:sty m:val="p"/>
          </m:rPr>
          <w:rPr>
            <w:rFonts w:ascii="Cambria Math" w:eastAsiaTheme="minorEastAsia" w:hAnsi="Cambria Math"/>
          </w:rPr>
          <m:t xml:space="preserve">=0) </m:t>
        </m:r>
      </m:oMath>
      <w:r w:rsidRPr="00800D00">
        <w:rPr>
          <w:rFonts w:eastAsiaTheme="minorEastAsia"/>
        </w:rPr>
        <w:t>it is set to 1 and for hard-discounters (</w:t>
      </w:r>
      <m:oMath>
        <m:sSubSup>
          <m:sSubSupPr>
            <m:ctrlPr>
              <w:rPr>
                <w:rFonts w:ascii="Cambria Math" w:eastAsiaTheme="minorEastAsia" w:hAnsi="Cambria Math"/>
              </w:rPr>
            </m:ctrlPr>
          </m:sSubSupPr>
          <m:e>
            <m:r>
              <m:rPr>
                <m:sty m:val="p"/>
              </m:rPr>
              <w:rPr>
                <w:rFonts w:ascii="Cambria Math" w:eastAsiaTheme="minorEastAsia" w:hAnsi="Cambria Math"/>
              </w:rPr>
              <m:t>D</m:t>
            </m:r>
          </m:e>
          <m:sub>
            <m:r>
              <m:rPr>
                <m:sty m:val="p"/>
              </m:rPr>
              <w:rPr>
                <w:rFonts w:ascii="Cambria Math" w:eastAsiaTheme="minorEastAsia" w:hAnsi="Cambria Math"/>
              </w:rPr>
              <m:t>r</m:t>
            </m:r>
          </m:sub>
          <m:sup>
            <m:r>
              <m:rPr>
                <m:sty m:val="p"/>
              </m:rPr>
              <w:rPr>
                <w:rFonts w:ascii="Cambria Math" w:eastAsiaTheme="minorEastAsia" w:hAnsi="Cambria Math"/>
              </w:rPr>
              <m:t>hd</m:t>
            </m:r>
          </m:sup>
        </m:sSubSup>
        <m:r>
          <m:rPr>
            <m:sty m:val="p"/>
          </m:rPr>
          <w:rPr>
            <w:rFonts w:ascii="Cambria Math" w:eastAsiaTheme="minorEastAsia" w:hAnsi="Cambria Math"/>
          </w:rPr>
          <m:t xml:space="preserve">=1) </m:t>
        </m:r>
      </m:oMath>
      <w:r w:rsidRPr="00800D00">
        <w:rPr>
          <w:rFonts w:eastAsiaTheme="minorEastAsia"/>
        </w:rPr>
        <w:t>it can take any positive value. The equations were estimated using simulated maximum likelihood. The correlation parameters for traditional supermarkets were -.162 (</w:t>
      </w:r>
      <w:r w:rsidRPr="00A17F52">
        <w:rPr>
          <w:rFonts w:eastAsiaTheme="minorEastAsia"/>
          <w:i/>
        </w:rPr>
        <w:t>p</w:t>
      </w:r>
      <w:r w:rsidRPr="00800D00">
        <w:rPr>
          <w:rFonts w:eastAsiaTheme="minorEastAsia"/>
        </w:rPr>
        <w:t xml:space="preserve"> &lt;.00), for hard-discounters -.251 (</w:t>
      </w:r>
      <w:r w:rsidRPr="00A17F52">
        <w:rPr>
          <w:rFonts w:eastAsiaTheme="minorEastAsia"/>
          <w:i/>
        </w:rPr>
        <w:t>p</w:t>
      </w:r>
      <w:r w:rsidRPr="00800D00">
        <w:rPr>
          <w:rFonts w:eastAsiaTheme="minorEastAsia"/>
        </w:rPr>
        <w:t xml:space="preserve"> &lt;.00) and for a traditional supermarket with a hard-discounter -0.004 (</w:t>
      </w:r>
      <w:r w:rsidRPr="00A17F52">
        <w:rPr>
          <w:rFonts w:eastAsiaTheme="minorEastAsia"/>
          <w:i/>
        </w:rPr>
        <w:t>p</w:t>
      </w:r>
      <w:r w:rsidRPr="00800D00">
        <w:rPr>
          <w:rFonts w:eastAsiaTheme="minorEastAsia"/>
        </w:rPr>
        <w:t xml:space="preserve"> &gt;.1).</w:t>
      </w:r>
    </w:p>
    <w:p w14:paraId="79241F3E" w14:textId="0BF52C9B" w:rsidR="00861436" w:rsidRDefault="009601E8" w:rsidP="00F412AF">
      <w:pPr>
        <w:rPr>
          <w:rFonts w:eastAsiaTheme="minorEastAsia"/>
        </w:rPr>
        <w:sectPr w:rsidR="00861436" w:rsidSect="00DC7B1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6" w:footer="706" w:gutter="0"/>
          <w:cols w:space="708"/>
          <w:docGrid w:linePitch="360"/>
        </w:sectPr>
      </w:pPr>
      <w:r w:rsidRPr="00800D00">
        <w:tab/>
        <w:t xml:space="preserve">The </w:t>
      </w:r>
      <w:r w:rsidR="00791915" w:rsidRPr="00800D00">
        <w:t>purchase</w:t>
      </w:r>
      <w:r w:rsidRPr="00800D00">
        <w:t xml:space="preserve"> </w:t>
      </w:r>
      <w:r w:rsidR="00B81494">
        <w:t xml:space="preserve">volume </w:t>
      </w:r>
      <w:r w:rsidRPr="00800D00">
        <w:t>equation (</w:t>
      </w:r>
      <w:r w:rsidR="00B81494">
        <w:t>Equation (</w:t>
      </w:r>
      <w:r w:rsidRPr="00800D00">
        <w:t>3)</w:t>
      </w:r>
      <w:r w:rsidR="00B81494">
        <w:t xml:space="preserve"> in the main text)</w:t>
      </w:r>
      <w:r w:rsidRPr="00800D00">
        <w:t xml:space="preserve">, which is conditional upon a retailer visit, is estimated with maximum likelihood to accommodate unobserved heterogeneity in the parameter vectors </w:t>
      </w:r>
      <m:oMath>
        <m:sSubSup>
          <m:sSubSupPr>
            <m:ctrlPr>
              <w:rPr>
                <w:rFonts w:ascii="Cambria Math" w:eastAsiaTheme="minorEastAsia" w:hAnsi="Cambria Math"/>
              </w:rPr>
            </m:ctrlPr>
          </m:sSubSupPr>
          <m:e>
            <m:r>
              <m:rPr>
                <m:sty m:val="p"/>
              </m:rPr>
              <w:rPr>
                <w:rFonts w:ascii="Cambria Math" w:eastAsiaTheme="minorEastAsia" w:hAnsi="Cambria Math"/>
              </w:rPr>
              <m:t>ι</m:t>
            </m:r>
          </m:e>
          <m:sub>
            <m:r>
              <m:rPr>
                <m:sty m:val="p"/>
              </m:rPr>
              <w:rPr>
                <w:rFonts w:ascii="Cambria Math" w:eastAsiaTheme="minorEastAsia" w:hAnsi="Cambria Math"/>
              </w:rPr>
              <m:t>r</m:t>
            </m:r>
          </m:sub>
          <m:sup>
            <m:r>
              <m:rPr>
                <m:sty m:val="p"/>
              </m:rPr>
              <w:rPr>
                <w:rFonts w:ascii="Cambria Math" w:eastAsiaTheme="minorEastAsia" w:hAnsi="Cambria Math"/>
              </w:rPr>
              <m:t>h</m:t>
            </m:r>
          </m:sup>
        </m:sSubSup>
      </m:oMath>
      <w:r w:rsidRPr="00800D00">
        <w:rPr>
          <w:rFonts w:eastAsiaTheme="minorEastAsia"/>
        </w:rPr>
        <w:t xml:space="preserve">, </w:t>
      </w:r>
      <m:oMath>
        <m:sSup>
          <m:sSupPr>
            <m:ctrlPr>
              <w:rPr>
                <w:rFonts w:ascii="Cambria Math" w:eastAsiaTheme="minorEastAsia" w:hAnsi="Cambria Math"/>
              </w:rPr>
            </m:ctrlPr>
          </m:sSupPr>
          <m:e>
            <m:r>
              <m:rPr>
                <m:sty m:val="p"/>
              </m:rPr>
              <w:rPr>
                <w:rFonts w:ascii="Cambria Math" w:eastAsiaTheme="minorEastAsia" w:hAnsi="Cambria Math"/>
              </w:rPr>
              <m:t>β</m:t>
            </m:r>
          </m:e>
          <m:sup>
            <m:r>
              <m:rPr>
                <m:sty m:val="p"/>
              </m:rPr>
              <w:rPr>
                <w:rFonts w:ascii="Cambria Math" w:eastAsiaTheme="minorEastAsia" w:hAnsi="Cambria Math"/>
              </w:rPr>
              <m:t>h</m:t>
            </m:r>
          </m:sup>
        </m:sSup>
      </m:oMath>
      <w:r w:rsidRPr="00800D00">
        <w:rPr>
          <w:rFonts w:eastAsiaTheme="minorEastAsia"/>
        </w:rPr>
        <w:t xml:space="preserve"> and </w:t>
      </w:r>
      <m:oMath>
        <m:r>
          <m:rPr>
            <m:sty m:val="p"/>
          </m:rPr>
          <w:rPr>
            <w:rFonts w:ascii="Cambria Math" w:eastAsiaTheme="minorEastAsia" w:hAnsi="Cambria Math"/>
          </w:rPr>
          <m:t>τ</m:t>
        </m:r>
      </m:oMath>
      <w:r w:rsidRPr="00800D00">
        <w:rPr>
          <w:rFonts w:eastAsiaTheme="minorEastAsia"/>
        </w:rPr>
        <w:t xml:space="preserve">. In addition, we assume that </w:t>
      </w:r>
      <m:oMath>
        <m:sSubSup>
          <m:sSubSupPr>
            <m:ctrlPr>
              <w:rPr>
                <w:rFonts w:ascii="Cambria Math" w:eastAsiaTheme="minorEastAsia" w:hAnsi="Cambria Math"/>
              </w:rPr>
            </m:ctrlPr>
          </m:sSubSupPr>
          <m:e>
            <m:r>
              <m:rPr>
                <m:sty m:val="p"/>
              </m:rPr>
              <w:rPr>
                <w:rFonts w:ascii="Cambria Math" w:eastAsiaTheme="minorEastAsia" w:hAnsi="Cambria Math"/>
              </w:rPr>
              <m:t>ε</m:t>
            </m:r>
          </m:e>
          <m:sub>
            <m:r>
              <m:rPr>
                <m:sty m:val="p"/>
              </m:rPr>
              <w:rPr>
                <w:rFonts w:ascii="Cambria Math" w:eastAsiaTheme="minorEastAsia" w:hAnsi="Cambria Math"/>
              </w:rPr>
              <m:t>rw</m:t>
            </m:r>
          </m:sub>
          <m:sup>
            <m:r>
              <m:rPr>
                <m:sty m:val="p"/>
              </m:rPr>
              <w:rPr>
                <w:rFonts w:ascii="Cambria Math" w:eastAsiaTheme="minorEastAsia" w:hAnsi="Cambria Math"/>
              </w:rPr>
              <m:t>h</m:t>
            </m:r>
          </m:sup>
        </m:sSubSup>
      </m:oMath>
      <w:r w:rsidRPr="00800D00">
        <w:rPr>
          <w:rFonts w:eastAsiaTheme="minorEastAsia"/>
        </w:rPr>
        <w:t xml:space="preserve"> has a multivariate normal distribution with mean equal to zero and a covariance matrix that is conditional upon the number of retailers visited (</w:t>
      </w:r>
      <w:r w:rsidRPr="00EC2F7B">
        <w:rPr>
          <w:rFonts w:eastAsiaTheme="minorEastAsia"/>
        </w:rPr>
        <w:t>R</w:t>
      </w:r>
      <w:r w:rsidRPr="00800D00">
        <w:rPr>
          <w:rFonts w:eastAsiaTheme="minorEastAsia"/>
        </w:rPr>
        <w:t>).</w:t>
      </w:r>
      <w:r w:rsidRPr="00800D00">
        <w:rPr>
          <w:rStyle w:val="FootnoteReference"/>
        </w:rPr>
        <w:footnoteReference w:id="2"/>
      </w:r>
      <w:r w:rsidRPr="00800D00">
        <w:t xml:space="preserve"> As such, for the covariance matrix </w:t>
      </w:r>
      <m:oMath>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R</m:t>
            </m:r>
          </m:sub>
        </m:sSub>
      </m:oMath>
      <w:r w:rsidRPr="00800D00">
        <w:rPr>
          <w:rFonts w:eastAsiaTheme="minorEastAsia"/>
        </w:rPr>
        <w:t xml:space="preserve"> (for </w:t>
      </w:r>
      <w:r w:rsidRPr="00E84174">
        <w:rPr>
          <w:rFonts w:eastAsiaTheme="minorEastAsia"/>
        </w:rPr>
        <w:t>R</w:t>
      </w:r>
      <w:r w:rsidRPr="00800D00">
        <w:rPr>
          <w:rFonts w:eastAsiaTheme="minorEastAsia"/>
        </w:rPr>
        <w:t xml:space="preserve"> = 1, …, 6), the diagonal is given by </w:t>
      </w:r>
      <m:oMath>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R,R</m:t>
            </m:r>
          </m:sub>
        </m:sSub>
      </m:oMath>
      <w:r w:rsidRPr="00800D00">
        <w:rPr>
          <w:rFonts w:eastAsiaTheme="minorEastAsia"/>
        </w:rPr>
        <w:t xml:space="preserve"> and the off-diagonals by </w:t>
      </w:r>
      <m:oMath>
        <m:sSub>
          <m:sSubPr>
            <m:ctrlPr>
              <w:rPr>
                <w:rFonts w:ascii="Cambria Math" w:eastAsiaTheme="minorEastAsia" w:hAnsi="Cambria Math"/>
              </w:rPr>
            </m:ctrlPr>
          </m:sSubPr>
          <m:e>
            <m:r>
              <m:rPr>
                <m:sty m:val="p"/>
              </m:rPr>
              <w:rPr>
                <w:rFonts w:ascii="Cambria Math" w:eastAsiaTheme="minorEastAsia" w:hAnsi="Cambria Math"/>
              </w:rPr>
              <m:t>σ</m:t>
            </m:r>
          </m:e>
          <m:sub>
            <m:r>
              <m:rPr>
                <m:sty m:val="p"/>
              </m:rPr>
              <w:rPr>
                <w:rFonts w:ascii="Cambria Math" w:eastAsiaTheme="minorEastAsia" w:hAnsi="Cambria Math"/>
              </w:rPr>
              <m:t>R,</m:t>
            </m:r>
            <m:sSup>
              <m:sSupPr>
                <m:ctrlPr>
                  <w:rPr>
                    <w:rFonts w:ascii="Cambria Math" w:eastAsiaTheme="minorEastAsia" w:hAnsi="Cambria Math"/>
                  </w:rPr>
                </m:ctrlPr>
              </m:sSupPr>
              <m:e>
                <m:r>
                  <m:rPr>
                    <m:sty m:val="p"/>
                  </m:rPr>
                  <w:rPr>
                    <w:rFonts w:ascii="Cambria Math" w:eastAsiaTheme="minorEastAsia" w:hAnsi="Cambria Math"/>
                  </w:rPr>
                  <m:t>R</m:t>
                </m:r>
              </m:e>
              <m:sup>
                <m:r>
                  <m:rPr>
                    <m:sty m:val="p"/>
                  </m:rPr>
                  <w:rPr>
                    <w:rFonts w:ascii="Cambria Math" w:eastAsiaTheme="minorEastAsia" w:hAnsi="Cambria Math"/>
                  </w:rPr>
                  <m:t>'</m:t>
                </m:r>
              </m:sup>
            </m:sSup>
          </m:sub>
        </m:sSub>
      </m:oMath>
      <w:r w:rsidRPr="00800D00">
        <w:rPr>
          <w:rFonts w:eastAsiaTheme="minorEastAsia"/>
        </w:rPr>
        <w:t>.</w:t>
      </w:r>
    </w:p>
    <w:p w14:paraId="4BD9152B" w14:textId="59C8FBA7" w:rsidR="00D32905" w:rsidRDefault="00B500B8">
      <w:pPr>
        <w:jc w:val="center"/>
        <w:rPr>
          <w:bCs/>
          <w:i/>
          <w:iCs/>
        </w:rPr>
      </w:pPr>
      <w:r w:rsidRPr="00B500B8">
        <w:rPr>
          <w:bCs/>
          <w:i/>
          <w:iCs/>
        </w:rPr>
        <w:lastRenderedPageBreak/>
        <w:t>WEB APPENDIX W3</w:t>
      </w:r>
    </w:p>
    <w:p w14:paraId="0E6B0FCF" w14:textId="77777777" w:rsidR="00B500B8" w:rsidRPr="00B500B8" w:rsidRDefault="00B500B8">
      <w:pPr>
        <w:jc w:val="center"/>
        <w:rPr>
          <w:bCs/>
          <w:i/>
          <w:iCs/>
        </w:rPr>
      </w:pPr>
    </w:p>
    <w:p w14:paraId="700FA7DD" w14:textId="7D66549D" w:rsidR="00256D0E" w:rsidRPr="00B500B8" w:rsidRDefault="00DF6E59" w:rsidP="00B500B8">
      <w:pPr>
        <w:jc w:val="center"/>
        <w:rPr>
          <w:b/>
        </w:rPr>
      </w:pPr>
      <w:r w:rsidRPr="00800D00">
        <w:rPr>
          <w:b/>
        </w:rPr>
        <w:t>T</w:t>
      </w:r>
      <w:r w:rsidR="00D32905" w:rsidRPr="00800D00">
        <w:rPr>
          <w:b/>
        </w:rPr>
        <w:t>ABLE</w:t>
      </w:r>
      <w:r w:rsidRPr="00800D00">
        <w:rPr>
          <w:b/>
        </w:rPr>
        <w:t xml:space="preserve"> </w:t>
      </w:r>
      <w:r w:rsidR="005741D7" w:rsidRPr="00800D00">
        <w:rPr>
          <w:b/>
        </w:rPr>
        <w:t>W</w:t>
      </w:r>
      <w:r w:rsidR="00D32905" w:rsidRPr="00800D00">
        <w:rPr>
          <w:b/>
        </w:rPr>
        <w:t>A2</w:t>
      </w:r>
      <w:r w:rsidRPr="00800D00">
        <w:rPr>
          <w:b/>
        </w:rPr>
        <w:t xml:space="preserve">: </w:t>
      </w:r>
      <w:r w:rsidR="00DC7B1B" w:rsidRPr="00800D00">
        <w:rPr>
          <w:b/>
        </w:rPr>
        <w:t xml:space="preserve">Calendar </w:t>
      </w:r>
      <w:r w:rsidR="00D32905" w:rsidRPr="00800D00">
        <w:rPr>
          <w:b/>
        </w:rPr>
        <w:t>T</w:t>
      </w:r>
      <w:r w:rsidR="00DC7B1B" w:rsidRPr="00800D00">
        <w:rPr>
          <w:b/>
        </w:rPr>
        <w:t xml:space="preserve">ime of </w:t>
      </w:r>
      <w:proofErr w:type="spellStart"/>
      <w:r w:rsidR="00B81494">
        <w:rPr>
          <w:b/>
        </w:rPr>
        <w:t>ReTSS</w:t>
      </w:r>
      <w:proofErr w:type="spellEnd"/>
    </w:p>
    <w:tbl>
      <w:tblPr>
        <w:tblW w:w="12043" w:type="dxa"/>
        <w:jc w:val="center"/>
        <w:tblLayout w:type="fixed"/>
        <w:tblLook w:val="04A0" w:firstRow="1" w:lastRow="0" w:firstColumn="1" w:lastColumn="0" w:noHBand="0" w:noVBand="1"/>
      </w:tblPr>
      <w:tblGrid>
        <w:gridCol w:w="1354"/>
        <w:gridCol w:w="305"/>
        <w:gridCol w:w="305"/>
        <w:gridCol w:w="306"/>
        <w:gridCol w:w="306"/>
        <w:gridCol w:w="306"/>
        <w:gridCol w:w="306"/>
        <w:gridCol w:w="306"/>
        <w:gridCol w:w="306"/>
        <w:gridCol w:w="307"/>
        <w:gridCol w:w="1376"/>
        <w:gridCol w:w="306"/>
        <w:gridCol w:w="306"/>
        <w:gridCol w:w="306"/>
        <w:gridCol w:w="250"/>
        <w:gridCol w:w="250"/>
        <w:gridCol w:w="250"/>
        <w:gridCol w:w="250"/>
        <w:gridCol w:w="250"/>
        <w:gridCol w:w="255"/>
        <w:gridCol w:w="1376"/>
        <w:gridCol w:w="306"/>
        <w:gridCol w:w="306"/>
        <w:gridCol w:w="306"/>
        <w:gridCol w:w="306"/>
        <w:gridCol w:w="306"/>
        <w:gridCol w:w="306"/>
        <w:gridCol w:w="306"/>
        <w:gridCol w:w="306"/>
        <w:gridCol w:w="306"/>
        <w:gridCol w:w="7"/>
      </w:tblGrid>
      <w:tr w:rsidR="00F77D47" w:rsidRPr="00E33FDD" w14:paraId="3E5985B4" w14:textId="77777777" w:rsidTr="00E33FDD">
        <w:trPr>
          <w:trHeight w:val="160"/>
          <w:jc w:val="center"/>
        </w:trPr>
        <w:tc>
          <w:tcPr>
            <w:tcW w:w="1356" w:type="dxa"/>
            <w:tcBorders>
              <w:top w:val="nil"/>
              <w:left w:val="nil"/>
              <w:bottom w:val="nil"/>
              <w:right w:val="nil"/>
            </w:tcBorders>
            <w:shd w:val="clear" w:color="auto" w:fill="auto"/>
            <w:noWrap/>
            <w:vAlign w:val="bottom"/>
          </w:tcPr>
          <w:p w14:paraId="702734A7" w14:textId="77777777" w:rsidR="00F77D47" w:rsidRPr="00E33FDD" w:rsidRDefault="00F77D47" w:rsidP="00F77D47">
            <w:pPr>
              <w:jc w:val="center"/>
              <w:rPr>
                <w:sz w:val="20"/>
                <w:szCs w:val="20"/>
              </w:rPr>
            </w:pPr>
          </w:p>
        </w:tc>
        <w:tc>
          <w:tcPr>
            <w:tcW w:w="2755" w:type="dxa"/>
            <w:gridSpan w:val="9"/>
            <w:tcBorders>
              <w:top w:val="nil"/>
              <w:left w:val="nil"/>
              <w:bottom w:val="nil"/>
              <w:right w:val="nil"/>
            </w:tcBorders>
            <w:shd w:val="clear" w:color="auto" w:fill="auto"/>
            <w:noWrap/>
            <w:vAlign w:val="bottom"/>
          </w:tcPr>
          <w:p w14:paraId="380A0AEA" w14:textId="02AD54EB" w:rsidR="00F77D47" w:rsidRPr="00E33FDD" w:rsidDel="00F77D47" w:rsidRDefault="00F77D47" w:rsidP="00F77D47">
            <w:pPr>
              <w:jc w:val="center"/>
              <w:rPr>
                <w:sz w:val="20"/>
                <w:szCs w:val="20"/>
              </w:rPr>
            </w:pPr>
            <w:r w:rsidRPr="00E33FDD">
              <w:rPr>
                <w:sz w:val="20"/>
                <w:szCs w:val="20"/>
              </w:rPr>
              <w:t>EVENT</w:t>
            </w:r>
          </w:p>
        </w:tc>
        <w:tc>
          <w:tcPr>
            <w:tcW w:w="1377" w:type="dxa"/>
            <w:tcBorders>
              <w:top w:val="nil"/>
              <w:left w:val="nil"/>
              <w:bottom w:val="nil"/>
              <w:right w:val="nil"/>
            </w:tcBorders>
            <w:vAlign w:val="bottom"/>
          </w:tcPr>
          <w:p w14:paraId="745196BC" w14:textId="77777777" w:rsidR="00F77D47" w:rsidRPr="00E33FDD" w:rsidRDefault="00F77D47" w:rsidP="00F77D47">
            <w:pPr>
              <w:jc w:val="center"/>
              <w:rPr>
                <w:sz w:val="20"/>
                <w:szCs w:val="20"/>
              </w:rPr>
            </w:pPr>
          </w:p>
        </w:tc>
        <w:tc>
          <w:tcPr>
            <w:tcW w:w="2423" w:type="dxa"/>
            <w:gridSpan w:val="9"/>
            <w:tcBorders>
              <w:top w:val="nil"/>
              <w:left w:val="nil"/>
              <w:bottom w:val="nil"/>
              <w:right w:val="nil"/>
            </w:tcBorders>
            <w:vAlign w:val="bottom"/>
          </w:tcPr>
          <w:p w14:paraId="752D7B63" w14:textId="2A7111E7" w:rsidR="00F77D47" w:rsidRPr="00E33FDD" w:rsidRDefault="00F77D47" w:rsidP="00F77D47">
            <w:pPr>
              <w:jc w:val="center"/>
              <w:rPr>
                <w:sz w:val="20"/>
                <w:szCs w:val="20"/>
              </w:rPr>
            </w:pPr>
            <w:r w:rsidRPr="00E33FDD">
              <w:rPr>
                <w:sz w:val="20"/>
                <w:szCs w:val="20"/>
              </w:rPr>
              <w:t>EVENT</w:t>
            </w:r>
          </w:p>
        </w:tc>
        <w:tc>
          <w:tcPr>
            <w:tcW w:w="1377" w:type="dxa"/>
            <w:tcBorders>
              <w:top w:val="nil"/>
              <w:left w:val="nil"/>
              <w:bottom w:val="nil"/>
              <w:right w:val="nil"/>
            </w:tcBorders>
            <w:vAlign w:val="bottom"/>
          </w:tcPr>
          <w:p w14:paraId="6CE3683E" w14:textId="77777777" w:rsidR="00F77D47" w:rsidRPr="00E33FDD" w:rsidRDefault="00F77D47" w:rsidP="00F77D47">
            <w:pPr>
              <w:jc w:val="center"/>
              <w:rPr>
                <w:sz w:val="20"/>
                <w:szCs w:val="20"/>
              </w:rPr>
            </w:pPr>
          </w:p>
        </w:tc>
        <w:tc>
          <w:tcPr>
            <w:tcW w:w="2755" w:type="dxa"/>
            <w:gridSpan w:val="10"/>
            <w:tcBorders>
              <w:top w:val="nil"/>
              <w:left w:val="nil"/>
              <w:bottom w:val="nil"/>
              <w:right w:val="nil"/>
            </w:tcBorders>
            <w:vAlign w:val="bottom"/>
          </w:tcPr>
          <w:p w14:paraId="4604B9D2" w14:textId="6252CB71" w:rsidR="00F77D47" w:rsidRPr="00E33FDD" w:rsidRDefault="00F77D47" w:rsidP="00F77D47">
            <w:pPr>
              <w:jc w:val="center"/>
              <w:rPr>
                <w:sz w:val="20"/>
                <w:szCs w:val="20"/>
              </w:rPr>
            </w:pPr>
            <w:r w:rsidRPr="00E33FDD">
              <w:rPr>
                <w:sz w:val="20"/>
                <w:szCs w:val="20"/>
              </w:rPr>
              <w:t>EVENT</w:t>
            </w:r>
          </w:p>
        </w:tc>
      </w:tr>
      <w:tr w:rsidR="00F77D47" w:rsidRPr="00E33FDD" w14:paraId="23BBD1E7" w14:textId="0BC4A45C"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47F9F65C" w14:textId="77777777" w:rsidR="00F77D47" w:rsidRPr="00E33FDD" w:rsidRDefault="00F77D47" w:rsidP="00F77D47">
            <w:pPr>
              <w:jc w:val="center"/>
              <w:rPr>
                <w:sz w:val="20"/>
                <w:szCs w:val="20"/>
              </w:rPr>
            </w:pPr>
            <w:r w:rsidRPr="00E33FDD">
              <w:rPr>
                <w:sz w:val="20"/>
                <w:szCs w:val="20"/>
              </w:rPr>
              <w:t>YEARWEEK</w:t>
            </w:r>
          </w:p>
        </w:tc>
        <w:tc>
          <w:tcPr>
            <w:tcW w:w="306" w:type="dxa"/>
            <w:tcBorders>
              <w:top w:val="nil"/>
              <w:left w:val="nil"/>
              <w:bottom w:val="nil"/>
              <w:right w:val="nil"/>
            </w:tcBorders>
            <w:shd w:val="clear" w:color="auto" w:fill="auto"/>
            <w:noWrap/>
            <w:vAlign w:val="bottom"/>
            <w:hideMark/>
          </w:tcPr>
          <w:p w14:paraId="5B6CF0C6" w14:textId="57BCE716"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7D5DD576" w14:textId="04FA1A5A" w:rsidR="00F77D47" w:rsidRPr="00E33FDD" w:rsidRDefault="00F77D47" w:rsidP="00F77D47">
            <w:pPr>
              <w:jc w:val="center"/>
              <w:rPr>
                <w:sz w:val="20"/>
                <w:szCs w:val="20"/>
              </w:rPr>
            </w:pPr>
            <w:r w:rsidRPr="00E33FDD">
              <w:rPr>
                <w:sz w:val="20"/>
                <w:szCs w:val="20"/>
              </w:rPr>
              <w:t>2</w:t>
            </w:r>
          </w:p>
        </w:tc>
        <w:tc>
          <w:tcPr>
            <w:tcW w:w="306" w:type="dxa"/>
            <w:tcBorders>
              <w:top w:val="nil"/>
              <w:left w:val="nil"/>
              <w:bottom w:val="nil"/>
              <w:right w:val="nil"/>
            </w:tcBorders>
            <w:shd w:val="clear" w:color="auto" w:fill="auto"/>
            <w:noWrap/>
            <w:vAlign w:val="bottom"/>
            <w:hideMark/>
          </w:tcPr>
          <w:p w14:paraId="13D30189" w14:textId="09D19CA1" w:rsidR="00F77D47" w:rsidRPr="00E33FDD" w:rsidRDefault="00F77D47" w:rsidP="00F77D47">
            <w:pPr>
              <w:jc w:val="center"/>
              <w:rPr>
                <w:sz w:val="20"/>
                <w:szCs w:val="20"/>
              </w:rPr>
            </w:pPr>
            <w:r w:rsidRPr="00E33FDD">
              <w:rPr>
                <w:sz w:val="20"/>
                <w:szCs w:val="20"/>
              </w:rPr>
              <w:t>3</w:t>
            </w:r>
          </w:p>
        </w:tc>
        <w:tc>
          <w:tcPr>
            <w:tcW w:w="306" w:type="dxa"/>
            <w:tcBorders>
              <w:top w:val="nil"/>
              <w:left w:val="nil"/>
              <w:bottom w:val="nil"/>
              <w:right w:val="nil"/>
            </w:tcBorders>
            <w:shd w:val="clear" w:color="auto" w:fill="auto"/>
            <w:noWrap/>
            <w:vAlign w:val="bottom"/>
            <w:hideMark/>
          </w:tcPr>
          <w:p w14:paraId="20EEAD61" w14:textId="49728D3A" w:rsidR="00F77D47" w:rsidRPr="00E33FDD" w:rsidRDefault="00F77D47" w:rsidP="00F77D47">
            <w:pPr>
              <w:jc w:val="center"/>
              <w:rPr>
                <w:sz w:val="20"/>
                <w:szCs w:val="20"/>
              </w:rPr>
            </w:pPr>
            <w:r w:rsidRPr="00E33FDD">
              <w:rPr>
                <w:sz w:val="20"/>
                <w:szCs w:val="20"/>
              </w:rPr>
              <w:t>4</w:t>
            </w:r>
          </w:p>
        </w:tc>
        <w:tc>
          <w:tcPr>
            <w:tcW w:w="306" w:type="dxa"/>
            <w:tcBorders>
              <w:top w:val="nil"/>
              <w:left w:val="nil"/>
              <w:bottom w:val="nil"/>
              <w:right w:val="nil"/>
            </w:tcBorders>
            <w:shd w:val="clear" w:color="auto" w:fill="auto"/>
            <w:noWrap/>
            <w:vAlign w:val="bottom"/>
            <w:hideMark/>
          </w:tcPr>
          <w:p w14:paraId="7F7E1616" w14:textId="4AA0C183" w:rsidR="00F77D47" w:rsidRPr="00E33FDD" w:rsidRDefault="00F77D47" w:rsidP="00F77D47">
            <w:pPr>
              <w:jc w:val="center"/>
              <w:rPr>
                <w:sz w:val="20"/>
                <w:szCs w:val="20"/>
              </w:rPr>
            </w:pPr>
            <w:r w:rsidRPr="00E33FDD">
              <w:rPr>
                <w:sz w:val="20"/>
                <w:szCs w:val="20"/>
              </w:rPr>
              <w:t>5</w:t>
            </w:r>
          </w:p>
        </w:tc>
        <w:tc>
          <w:tcPr>
            <w:tcW w:w="306" w:type="dxa"/>
            <w:tcBorders>
              <w:top w:val="nil"/>
              <w:left w:val="nil"/>
              <w:bottom w:val="nil"/>
              <w:right w:val="nil"/>
            </w:tcBorders>
            <w:shd w:val="clear" w:color="auto" w:fill="auto"/>
            <w:noWrap/>
            <w:vAlign w:val="bottom"/>
            <w:hideMark/>
          </w:tcPr>
          <w:p w14:paraId="23223E82" w14:textId="142C9775" w:rsidR="00F77D47" w:rsidRPr="00E33FDD" w:rsidRDefault="00F77D47" w:rsidP="00F77D47">
            <w:pPr>
              <w:jc w:val="center"/>
              <w:rPr>
                <w:sz w:val="20"/>
                <w:szCs w:val="20"/>
              </w:rPr>
            </w:pPr>
            <w:r w:rsidRPr="00E33FDD">
              <w:rPr>
                <w:sz w:val="20"/>
                <w:szCs w:val="20"/>
              </w:rPr>
              <w:t>6</w:t>
            </w:r>
          </w:p>
        </w:tc>
        <w:tc>
          <w:tcPr>
            <w:tcW w:w="306" w:type="dxa"/>
            <w:tcBorders>
              <w:top w:val="nil"/>
              <w:left w:val="nil"/>
              <w:bottom w:val="nil"/>
              <w:right w:val="nil"/>
            </w:tcBorders>
            <w:shd w:val="clear" w:color="auto" w:fill="auto"/>
            <w:noWrap/>
            <w:vAlign w:val="bottom"/>
            <w:hideMark/>
          </w:tcPr>
          <w:p w14:paraId="73C4C615" w14:textId="0DBB2751" w:rsidR="00F77D47" w:rsidRPr="00E33FDD" w:rsidRDefault="00F77D47" w:rsidP="00F77D47">
            <w:pPr>
              <w:jc w:val="center"/>
              <w:rPr>
                <w:sz w:val="20"/>
                <w:szCs w:val="20"/>
              </w:rPr>
            </w:pPr>
            <w:r w:rsidRPr="00E33FDD">
              <w:rPr>
                <w:sz w:val="20"/>
                <w:szCs w:val="20"/>
              </w:rPr>
              <w:t>7</w:t>
            </w:r>
          </w:p>
        </w:tc>
        <w:tc>
          <w:tcPr>
            <w:tcW w:w="306" w:type="dxa"/>
            <w:tcBorders>
              <w:top w:val="nil"/>
              <w:left w:val="nil"/>
              <w:bottom w:val="nil"/>
              <w:right w:val="nil"/>
            </w:tcBorders>
            <w:shd w:val="clear" w:color="auto" w:fill="auto"/>
            <w:noWrap/>
            <w:vAlign w:val="bottom"/>
            <w:hideMark/>
          </w:tcPr>
          <w:p w14:paraId="5EF0110F" w14:textId="5FE010A9" w:rsidR="00F77D47" w:rsidRPr="00E33FDD" w:rsidRDefault="00F77D47" w:rsidP="00F77D47">
            <w:pPr>
              <w:jc w:val="center"/>
              <w:rPr>
                <w:sz w:val="20"/>
                <w:szCs w:val="20"/>
              </w:rPr>
            </w:pPr>
            <w:r w:rsidRPr="00E33FDD">
              <w:rPr>
                <w:sz w:val="20"/>
                <w:szCs w:val="20"/>
              </w:rPr>
              <w:t>8</w:t>
            </w:r>
          </w:p>
        </w:tc>
        <w:tc>
          <w:tcPr>
            <w:tcW w:w="306" w:type="dxa"/>
            <w:tcBorders>
              <w:top w:val="nil"/>
              <w:left w:val="nil"/>
              <w:bottom w:val="nil"/>
              <w:right w:val="nil"/>
            </w:tcBorders>
            <w:shd w:val="clear" w:color="auto" w:fill="auto"/>
            <w:noWrap/>
            <w:vAlign w:val="bottom"/>
            <w:hideMark/>
          </w:tcPr>
          <w:p w14:paraId="3ACB48FC" w14:textId="31EC131D" w:rsidR="00F77D47" w:rsidRPr="00E33FDD" w:rsidRDefault="00F77D47" w:rsidP="00F77D47">
            <w:pPr>
              <w:jc w:val="center"/>
              <w:rPr>
                <w:sz w:val="20"/>
                <w:szCs w:val="20"/>
              </w:rPr>
            </w:pPr>
            <w:r w:rsidRPr="00E33FDD">
              <w:rPr>
                <w:sz w:val="20"/>
                <w:szCs w:val="20"/>
              </w:rPr>
              <w:t>9</w:t>
            </w:r>
          </w:p>
        </w:tc>
        <w:tc>
          <w:tcPr>
            <w:tcW w:w="1377" w:type="dxa"/>
            <w:tcBorders>
              <w:top w:val="nil"/>
              <w:left w:val="nil"/>
              <w:bottom w:val="nil"/>
              <w:right w:val="nil"/>
            </w:tcBorders>
            <w:vAlign w:val="bottom"/>
          </w:tcPr>
          <w:p w14:paraId="165E3E98" w14:textId="354D2E0E" w:rsidR="00F77D47" w:rsidRPr="00E33FDD" w:rsidRDefault="00F77D47" w:rsidP="00F77D47">
            <w:pPr>
              <w:jc w:val="center"/>
              <w:rPr>
                <w:sz w:val="20"/>
                <w:szCs w:val="20"/>
              </w:rPr>
            </w:pPr>
            <w:r w:rsidRPr="00E33FDD">
              <w:rPr>
                <w:sz w:val="20"/>
                <w:szCs w:val="20"/>
              </w:rPr>
              <w:t>YEARWEEK</w:t>
            </w:r>
          </w:p>
        </w:tc>
        <w:tc>
          <w:tcPr>
            <w:tcW w:w="306" w:type="dxa"/>
            <w:tcBorders>
              <w:top w:val="nil"/>
              <w:left w:val="nil"/>
              <w:bottom w:val="nil"/>
              <w:right w:val="nil"/>
            </w:tcBorders>
            <w:vAlign w:val="bottom"/>
          </w:tcPr>
          <w:p w14:paraId="03FD7823" w14:textId="23B3273D"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71963422" w14:textId="2AF51EBC" w:rsidR="00F77D47" w:rsidRPr="00E33FDD" w:rsidRDefault="00F77D47" w:rsidP="00F77D47">
            <w:pPr>
              <w:jc w:val="center"/>
              <w:rPr>
                <w:sz w:val="20"/>
                <w:szCs w:val="20"/>
              </w:rPr>
            </w:pPr>
            <w:r w:rsidRPr="00E33FDD">
              <w:rPr>
                <w:sz w:val="20"/>
                <w:szCs w:val="20"/>
              </w:rPr>
              <w:t>2</w:t>
            </w:r>
          </w:p>
        </w:tc>
        <w:tc>
          <w:tcPr>
            <w:tcW w:w="306" w:type="dxa"/>
            <w:tcBorders>
              <w:top w:val="nil"/>
              <w:left w:val="nil"/>
              <w:bottom w:val="nil"/>
              <w:right w:val="nil"/>
            </w:tcBorders>
            <w:vAlign w:val="bottom"/>
          </w:tcPr>
          <w:p w14:paraId="427B71BA" w14:textId="18A8E864" w:rsidR="00F77D47" w:rsidRPr="00E33FDD" w:rsidRDefault="00F77D47" w:rsidP="00F77D47">
            <w:pPr>
              <w:jc w:val="center"/>
              <w:rPr>
                <w:sz w:val="20"/>
                <w:szCs w:val="20"/>
              </w:rPr>
            </w:pPr>
            <w:r w:rsidRPr="00E33FDD">
              <w:rPr>
                <w:sz w:val="20"/>
                <w:szCs w:val="20"/>
              </w:rPr>
              <w:t>3</w:t>
            </w:r>
          </w:p>
        </w:tc>
        <w:tc>
          <w:tcPr>
            <w:tcW w:w="250" w:type="dxa"/>
            <w:tcBorders>
              <w:top w:val="nil"/>
              <w:left w:val="nil"/>
              <w:bottom w:val="nil"/>
              <w:right w:val="nil"/>
            </w:tcBorders>
            <w:vAlign w:val="bottom"/>
          </w:tcPr>
          <w:p w14:paraId="56C5A431" w14:textId="22E812DB" w:rsidR="00F77D47" w:rsidRPr="00E33FDD" w:rsidRDefault="00F77D47" w:rsidP="00F77D47">
            <w:pPr>
              <w:jc w:val="center"/>
              <w:rPr>
                <w:sz w:val="20"/>
                <w:szCs w:val="20"/>
              </w:rPr>
            </w:pPr>
            <w:r w:rsidRPr="00E33FDD">
              <w:rPr>
                <w:sz w:val="20"/>
                <w:szCs w:val="20"/>
              </w:rPr>
              <w:t>4</w:t>
            </w:r>
          </w:p>
        </w:tc>
        <w:tc>
          <w:tcPr>
            <w:tcW w:w="250" w:type="dxa"/>
            <w:tcBorders>
              <w:top w:val="nil"/>
              <w:left w:val="nil"/>
              <w:bottom w:val="nil"/>
              <w:right w:val="nil"/>
            </w:tcBorders>
            <w:vAlign w:val="bottom"/>
          </w:tcPr>
          <w:p w14:paraId="7738E329" w14:textId="3C281CD2" w:rsidR="00F77D47" w:rsidRPr="00E33FDD" w:rsidRDefault="00F77D47" w:rsidP="00F77D47">
            <w:pPr>
              <w:jc w:val="center"/>
              <w:rPr>
                <w:sz w:val="20"/>
                <w:szCs w:val="20"/>
              </w:rPr>
            </w:pPr>
            <w:r w:rsidRPr="00E33FDD">
              <w:rPr>
                <w:sz w:val="20"/>
                <w:szCs w:val="20"/>
              </w:rPr>
              <w:t>5</w:t>
            </w:r>
          </w:p>
        </w:tc>
        <w:tc>
          <w:tcPr>
            <w:tcW w:w="250" w:type="dxa"/>
            <w:tcBorders>
              <w:top w:val="nil"/>
              <w:left w:val="nil"/>
              <w:bottom w:val="nil"/>
              <w:right w:val="nil"/>
            </w:tcBorders>
            <w:vAlign w:val="bottom"/>
          </w:tcPr>
          <w:p w14:paraId="741CF745" w14:textId="69E68625" w:rsidR="00F77D47" w:rsidRPr="00E33FDD" w:rsidRDefault="00F77D47" w:rsidP="00F77D47">
            <w:pPr>
              <w:jc w:val="center"/>
              <w:rPr>
                <w:sz w:val="20"/>
                <w:szCs w:val="20"/>
              </w:rPr>
            </w:pPr>
            <w:r w:rsidRPr="00E33FDD">
              <w:rPr>
                <w:sz w:val="20"/>
                <w:szCs w:val="20"/>
              </w:rPr>
              <w:t>6</w:t>
            </w:r>
          </w:p>
        </w:tc>
        <w:tc>
          <w:tcPr>
            <w:tcW w:w="250" w:type="dxa"/>
            <w:tcBorders>
              <w:top w:val="nil"/>
              <w:left w:val="nil"/>
              <w:bottom w:val="nil"/>
              <w:right w:val="nil"/>
            </w:tcBorders>
            <w:vAlign w:val="bottom"/>
          </w:tcPr>
          <w:p w14:paraId="2734E660" w14:textId="4BB51BD2" w:rsidR="00F77D47" w:rsidRPr="00E33FDD" w:rsidRDefault="00F77D47" w:rsidP="00F77D47">
            <w:pPr>
              <w:jc w:val="center"/>
              <w:rPr>
                <w:sz w:val="20"/>
                <w:szCs w:val="20"/>
              </w:rPr>
            </w:pPr>
            <w:r w:rsidRPr="00E33FDD">
              <w:rPr>
                <w:sz w:val="20"/>
                <w:szCs w:val="20"/>
              </w:rPr>
              <w:t>7</w:t>
            </w:r>
          </w:p>
        </w:tc>
        <w:tc>
          <w:tcPr>
            <w:tcW w:w="250" w:type="dxa"/>
            <w:tcBorders>
              <w:top w:val="nil"/>
              <w:left w:val="nil"/>
              <w:bottom w:val="nil"/>
              <w:right w:val="nil"/>
            </w:tcBorders>
            <w:vAlign w:val="bottom"/>
          </w:tcPr>
          <w:p w14:paraId="3376B97B" w14:textId="7DF93415" w:rsidR="00F77D47" w:rsidRPr="00E33FDD" w:rsidRDefault="00F77D47" w:rsidP="00F77D47">
            <w:pPr>
              <w:jc w:val="center"/>
              <w:rPr>
                <w:sz w:val="20"/>
                <w:szCs w:val="20"/>
              </w:rPr>
            </w:pPr>
            <w:r w:rsidRPr="00E33FDD">
              <w:rPr>
                <w:sz w:val="20"/>
                <w:szCs w:val="20"/>
              </w:rPr>
              <w:t>8</w:t>
            </w:r>
          </w:p>
        </w:tc>
        <w:tc>
          <w:tcPr>
            <w:tcW w:w="250" w:type="dxa"/>
            <w:tcBorders>
              <w:top w:val="nil"/>
              <w:left w:val="nil"/>
              <w:bottom w:val="nil"/>
              <w:right w:val="nil"/>
            </w:tcBorders>
            <w:vAlign w:val="bottom"/>
          </w:tcPr>
          <w:p w14:paraId="6CB67DE5" w14:textId="5C4FFFF0" w:rsidR="00F77D47" w:rsidRPr="00E33FDD" w:rsidRDefault="00F77D47" w:rsidP="00F77D47">
            <w:pPr>
              <w:jc w:val="center"/>
              <w:rPr>
                <w:sz w:val="20"/>
                <w:szCs w:val="20"/>
              </w:rPr>
            </w:pPr>
            <w:r w:rsidRPr="00E33FDD">
              <w:rPr>
                <w:sz w:val="20"/>
                <w:szCs w:val="20"/>
              </w:rPr>
              <w:t>9</w:t>
            </w:r>
          </w:p>
        </w:tc>
        <w:tc>
          <w:tcPr>
            <w:tcW w:w="1377" w:type="dxa"/>
            <w:tcBorders>
              <w:top w:val="nil"/>
              <w:left w:val="nil"/>
              <w:bottom w:val="nil"/>
              <w:right w:val="nil"/>
            </w:tcBorders>
            <w:vAlign w:val="bottom"/>
          </w:tcPr>
          <w:p w14:paraId="3008AEB5" w14:textId="37CFC45F" w:rsidR="00F77D47" w:rsidRPr="00E33FDD" w:rsidRDefault="00F77D47" w:rsidP="00F77D47">
            <w:pPr>
              <w:jc w:val="center"/>
              <w:rPr>
                <w:sz w:val="20"/>
                <w:szCs w:val="20"/>
              </w:rPr>
            </w:pPr>
            <w:r w:rsidRPr="00E33FDD">
              <w:rPr>
                <w:sz w:val="20"/>
                <w:szCs w:val="20"/>
              </w:rPr>
              <w:t>YEARWEEK</w:t>
            </w:r>
          </w:p>
        </w:tc>
        <w:tc>
          <w:tcPr>
            <w:tcW w:w="306" w:type="dxa"/>
            <w:tcBorders>
              <w:top w:val="nil"/>
              <w:left w:val="nil"/>
              <w:bottom w:val="nil"/>
              <w:right w:val="nil"/>
            </w:tcBorders>
            <w:vAlign w:val="bottom"/>
          </w:tcPr>
          <w:p w14:paraId="58231A9D" w14:textId="3F9A09D8"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55C0D01A" w14:textId="21EBA283" w:rsidR="00F77D47" w:rsidRPr="00E33FDD" w:rsidRDefault="00F77D47" w:rsidP="00F77D47">
            <w:pPr>
              <w:jc w:val="center"/>
              <w:rPr>
                <w:sz w:val="20"/>
                <w:szCs w:val="20"/>
              </w:rPr>
            </w:pPr>
            <w:r w:rsidRPr="00E33FDD">
              <w:rPr>
                <w:sz w:val="20"/>
                <w:szCs w:val="20"/>
              </w:rPr>
              <w:t>2</w:t>
            </w:r>
          </w:p>
        </w:tc>
        <w:tc>
          <w:tcPr>
            <w:tcW w:w="306" w:type="dxa"/>
            <w:tcBorders>
              <w:top w:val="nil"/>
              <w:left w:val="nil"/>
              <w:bottom w:val="nil"/>
              <w:right w:val="nil"/>
            </w:tcBorders>
            <w:vAlign w:val="bottom"/>
          </w:tcPr>
          <w:p w14:paraId="60FC51D5" w14:textId="67C64970" w:rsidR="00F77D47" w:rsidRPr="00E33FDD" w:rsidRDefault="00F77D47" w:rsidP="00F77D47">
            <w:pPr>
              <w:jc w:val="center"/>
              <w:rPr>
                <w:sz w:val="20"/>
                <w:szCs w:val="20"/>
              </w:rPr>
            </w:pPr>
            <w:r w:rsidRPr="00E33FDD">
              <w:rPr>
                <w:sz w:val="20"/>
                <w:szCs w:val="20"/>
              </w:rPr>
              <w:t>3</w:t>
            </w:r>
          </w:p>
        </w:tc>
        <w:tc>
          <w:tcPr>
            <w:tcW w:w="306" w:type="dxa"/>
            <w:tcBorders>
              <w:top w:val="nil"/>
              <w:left w:val="nil"/>
              <w:bottom w:val="nil"/>
              <w:right w:val="nil"/>
            </w:tcBorders>
            <w:vAlign w:val="bottom"/>
          </w:tcPr>
          <w:p w14:paraId="05438D6C" w14:textId="3CFC4353" w:rsidR="00F77D47" w:rsidRPr="00E33FDD" w:rsidRDefault="00F77D47" w:rsidP="00F77D47">
            <w:pPr>
              <w:jc w:val="center"/>
              <w:rPr>
                <w:sz w:val="20"/>
                <w:szCs w:val="20"/>
              </w:rPr>
            </w:pPr>
            <w:r w:rsidRPr="00E33FDD">
              <w:rPr>
                <w:sz w:val="20"/>
                <w:szCs w:val="20"/>
              </w:rPr>
              <w:t>4</w:t>
            </w:r>
          </w:p>
        </w:tc>
        <w:tc>
          <w:tcPr>
            <w:tcW w:w="306" w:type="dxa"/>
            <w:tcBorders>
              <w:top w:val="nil"/>
              <w:left w:val="nil"/>
              <w:bottom w:val="nil"/>
              <w:right w:val="nil"/>
            </w:tcBorders>
            <w:vAlign w:val="bottom"/>
          </w:tcPr>
          <w:p w14:paraId="7563D3A2" w14:textId="34AFA7BC" w:rsidR="00F77D47" w:rsidRPr="00E33FDD" w:rsidRDefault="00F77D47" w:rsidP="00F77D47">
            <w:pPr>
              <w:jc w:val="center"/>
              <w:rPr>
                <w:sz w:val="20"/>
                <w:szCs w:val="20"/>
              </w:rPr>
            </w:pPr>
            <w:r w:rsidRPr="00E33FDD">
              <w:rPr>
                <w:sz w:val="20"/>
                <w:szCs w:val="20"/>
              </w:rPr>
              <w:t>5</w:t>
            </w:r>
          </w:p>
        </w:tc>
        <w:tc>
          <w:tcPr>
            <w:tcW w:w="306" w:type="dxa"/>
            <w:tcBorders>
              <w:top w:val="nil"/>
              <w:left w:val="nil"/>
              <w:bottom w:val="nil"/>
              <w:right w:val="nil"/>
            </w:tcBorders>
            <w:vAlign w:val="bottom"/>
          </w:tcPr>
          <w:p w14:paraId="61320F35" w14:textId="51C2B64E" w:rsidR="00F77D47" w:rsidRPr="00E33FDD" w:rsidRDefault="00F77D47" w:rsidP="00F77D47">
            <w:pPr>
              <w:jc w:val="center"/>
              <w:rPr>
                <w:sz w:val="20"/>
                <w:szCs w:val="20"/>
              </w:rPr>
            </w:pPr>
            <w:r w:rsidRPr="00E33FDD">
              <w:rPr>
                <w:sz w:val="20"/>
                <w:szCs w:val="20"/>
              </w:rPr>
              <w:t>6</w:t>
            </w:r>
          </w:p>
        </w:tc>
        <w:tc>
          <w:tcPr>
            <w:tcW w:w="306" w:type="dxa"/>
            <w:tcBorders>
              <w:top w:val="nil"/>
              <w:left w:val="nil"/>
              <w:bottom w:val="nil"/>
              <w:right w:val="nil"/>
            </w:tcBorders>
            <w:vAlign w:val="bottom"/>
          </w:tcPr>
          <w:p w14:paraId="11BAD52E" w14:textId="35D8B477" w:rsidR="00F77D47" w:rsidRPr="00E33FDD" w:rsidRDefault="00F77D47" w:rsidP="00F77D47">
            <w:pPr>
              <w:jc w:val="center"/>
              <w:rPr>
                <w:sz w:val="20"/>
                <w:szCs w:val="20"/>
              </w:rPr>
            </w:pPr>
            <w:r w:rsidRPr="00E33FDD">
              <w:rPr>
                <w:sz w:val="20"/>
                <w:szCs w:val="20"/>
              </w:rPr>
              <w:t>7</w:t>
            </w:r>
          </w:p>
        </w:tc>
        <w:tc>
          <w:tcPr>
            <w:tcW w:w="306" w:type="dxa"/>
            <w:tcBorders>
              <w:top w:val="nil"/>
              <w:left w:val="nil"/>
              <w:bottom w:val="nil"/>
              <w:right w:val="nil"/>
            </w:tcBorders>
          </w:tcPr>
          <w:p w14:paraId="36EF992C" w14:textId="46110058" w:rsidR="00F77D47" w:rsidRPr="00E33FDD" w:rsidRDefault="00F77D47" w:rsidP="00F77D47">
            <w:pPr>
              <w:jc w:val="center"/>
              <w:rPr>
                <w:sz w:val="20"/>
                <w:szCs w:val="20"/>
              </w:rPr>
            </w:pPr>
            <w:r w:rsidRPr="00E33FDD">
              <w:rPr>
                <w:sz w:val="20"/>
                <w:szCs w:val="20"/>
              </w:rPr>
              <w:t>8</w:t>
            </w:r>
          </w:p>
        </w:tc>
        <w:tc>
          <w:tcPr>
            <w:tcW w:w="306" w:type="dxa"/>
            <w:tcBorders>
              <w:top w:val="nil"/>
              <w:left w:val="nil"/>
              <w:bottom w:val="nil"/>
              <w:right w:val="nil"/>
            </w:tcBorders>
          </w:tcPr>
          <w:p w14:paraId="11E20390" w14:textId="15471C78" w:rsidR="00F77D47" w:rsidRPr="00E33FDD" w:rsidRDefault="00F77D47" w:rsidP="00F77D47">
            <w:pPr>
              <w:jc w:val="center"/>
              <w:rPr>
                <w:sz w:val="20"/>
                <w:szCs w:val="20"/>
              </w:rPr>
            </w:pPr>
            <w:r w:rsidRPr="00E33FDD">
              <w:rPr>
                <w:sz w:val="20"/>
                <w:szCs w:val="20"/>
              </w:rPr>
              <w:t>9</w:t>
            </w:r>
          </w:p>
        </w:tc>
      </w:tr>
      <w:tr w:rsidR="00F77D47" w:rsidRPr="00E33FDD" w14:paraId="259A9FD9" w14:textId="26AF7040"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77704309" w14:textId="77777777" w:rsidR="00F77D47" w:rsidRPr="00E33FDD" w:rsidRDefault="00F77D47" w:rsidP="00F77D47">
            <w:pPr>
              <w:jc w:val="center"/>
              <w:rPr>
                <w:sz w:val="20"/>
                <w:szCs w:val="20"/>
              </w:rPr>
            </w:pPr>
            <w:r w:rsidRPr="00E33FDD">
              <w:rPr>
                <w:sz w:val="20"/>
                <w:szCs w:val="20"/>
              </w:rPr>
              <w:t>200834</w:t>
            </w:r>
          </w:p>
        </w:tc>
        <w:tc>
          <w:tcPr>
            <w:tcW w:w="306" w:type="dxa"/>
            <w:tcBorders>
              <w:top w:val="nil"/>
              <w:left w:val="nil"/>
              <w:bottom w:val="nil"/>
              <w:right w:val="nil"/>
            </w:tcBorders>
            <w:shd w:val="clear" w:color="auto" w:fill="auto"/>
            <w:noWrap/>
            <w:vAlign w:val="bottom"/>
            <w:hideMark/>
          </w:tcPr>
          <w:p w14:paraId="28C8B259"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66EC066"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1D7C825"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E260B08"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48218B4"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DFAB9B0"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6B257FF"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2E6C148"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991B35C" w14:textId="77777777"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2466963F" w14:textId="3DFA0372" w:rsidR="00F77D47" w:rsidRPr="00E33FDD" w:rsidRDefault="00F77D47" w:rsidP="00F77D47">
            <w:pPr>
              <w:jc w:val="center"/>
              <w:rPr>
                <w:sz w:val="20"/>
                <w:szCs w:val="20"/>
              </w:rPr>
            </w:pPr>
            <w:r w:rsidRPr="00E33FDD">
              <w:rPr>
                <w:sz w:val="20"/>
                <w:szCs w:val="20"/>
              </w:rPr>
              <w:t>201041</w:t>
            </w:r>
          </w:p>
        </w:tc>
        <w:tc>
          <w:tcPr>
            <w:tcW w:w="306" w:type="dxa"/>
            <w:tcBorders>
              <w:top w:val="nil"/>
              <w:left w:val="nil"/>
              <w:bottom w:val="nil"/>
              <w:right w:val="nil"/>
            </w:tcBorders>
            <w:vAlign w:val="bottom"/>
          </w:tcPr>
          <w:p w14:paraId="63A7E7EC" w14:textId="2B35144F"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F63E7A8" w14:textId="2E58EA80"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27776A2C" w14:textId="2428F523"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D0CC790" w14:textId="525101E0"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E50A7B2" w14:textId="08C1D721"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BEB9CF9" w14:textId="0F66BDEB"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7C48C278" w14:textId="7390AB4C"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0E5976EC" w14:textId="10087507"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193402FE" w14:textId="2F7E4F1B"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7B639A25" w14:textId="11EDC2B2" w:rsidR="00F77D47" w:rsidRPr="00E33FDD" w:rsidRDefault="00F77D47" w:rsidP="00F77D47">
            <w:pPr>
              <w:jc w:val="center"/>
              <w:rPr>
                <w:sz w:val="20"/>
                <w:szCs w:val="20"/>
              </w:rPr>
            </w:pPr>
            <w:r w:rsidRPr="00E33FDD">
              <w:rPr>
                <w:sz w:val="20"/>
                <w:szCs w:val="20"/>
              </w:rPr>
              <w:t>201149</w:t>
            </w:r>
          </w:p>
        </w:tc>
        <w:tc>
          <w:tcPr>
            <w:tcW w:w="306" w:type="dxa"/>
            <w:tcBorders>
              <w:top w:val="nil"/>
              <w:left w:val="nil"/>
              <w:bottom w:val="nil"/>
              <w:right w:val="nil"/>
            </w:tcBorders>
            <w:vAlign w:val="bottom"/>
          </w:tcPr>
          <w:p w14:paraId="371D6F69" w14:textId="24C88EEA"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F47CD42" w14:textId="3D1F6845"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009A4D13" w14:textId="78F000E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2B0E2A6" w14:textId="2A60401E"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27D580A" w14:textId="4988856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ED3285E" w14:textId="1572BDB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DA73872" w14:textId="6DE44A7A"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1A0981F" w14:textId="6A0A0AFA"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371FEEC" w14:textId="1E53FEF3" w:rsidR="00F77D47" w:rsidRPr="00E33FDD" w:rsidRDefault="00F77D47" w:rsidP="00F77D47">
            <w:pPr>
              <w:jc w:val="center"/>
              <w:rPr>
                <w:sz w:val="20"/>
                <w:szCs w:val="20"/>
              </w:rPr>
            </w:pPr>
            <w:r w:rsidRPr="00E33FDD">
              <w:rPr>
                <w:sz w:val="20"/>
                <w:szCs w:val="20"/>
              </w:rPr>
              <w:t>0</w:t>
            </w:r>
          </w:p>
        </w:tc>
      </w:tr>
      <w:tr w:rsidR="00F77D47" w:rsidRPr="00E33FDD" w14:paraId="00FEC05B" w14:textId="374D7C00"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37F30FFD" w14:textId="77777777" w:rsidR="00F77D47" w:rsidRPr="00E33FDD" w:rsidRDefault="00F77D47" w:rsidP="00F77D47">
            <w:pPr>
              <w:jc w:val="center"/>
              <w:rPr>
                <w:sz w:val="20"/>
                <w:szCs w:val="20"/>
              </w:rPr>
            </w:pPr>
            <w:r w:rsidRPr="00E33FDD">
              <w:rPr>
                <w:sz w:val="20"/>
                <w:szCs w:val="20"/>
              </w:rPr>
              <w:t>200835</w:t>
            </w:r>
          </w:p>
        </w:tc>
        <w:tc>
          <w:tcPr>
            <w:tcW w:w="306" w:type="dxa"/>
            <w:tcBorders>
              <w:top w:val="nil"/>
              <w:left w:val="nil"/>
              <w:bottom w:val="nil"/>
              <w:right w:val="nil"/>
            </w:tcBorders>
            <w:shd w:val="clear" w:color="auto" w:fill="auto"/>
            <w:noWrap/>
            <w:vAlign w:val="bottom"/>
            <w:hideMark/>
          </w:tcPr>
          <w:p w14:paraId="02B933AE"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6005ABA"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6A5541C"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F988C0B"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A413B9F"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398EA07"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C56C8EA"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8667F97"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F39A1BE" w14:textId="77777777"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7ABB6DEE" w14:textId="1BAD962D" w:rsidR="00F77D47" w:rsidRPr="00E33FDD" w:rsidRDefault="00F77D47" w:rsidP="00F77D47">
            <w:pPr>
              <w:jc w:val="center"/>
              <w:rPr>
                <w:sz w:val="20"/>
                <w:szCs w:val="20"/>
              </w:rPr>
            </w:pPr>
            <w:r w:rsidRPr="00E33FDD">
              <w:rPr>
                <w:sz w:val="20"/>
                <w:szCs w:val="20"/>
              </w:rPr>
              <w:t>201042</w:t>
            </w:r>
          </w:p>
        </w:tc>
        <w:tc>
          <w:tcPr>
            <w:tcW w:w="306" w:type="dxa"/>
            <w:tcBorders>
              <w:top w:val="nil"/>
              <w:left w:val="nil"/>
              <w:bottom w:val="nil"/>
              <w:right w:val="nil"/>
            </w:tcBorders>
            <w:vAlign w:val="bottom"/>
          </w:tcPr>
          <w:p w14:paraId="34C249F3" w14:textId="6D670E3E"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335E09D" w14:textId="259A4ED2"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0F855D26" w14:textId="2BCE9027"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4EA56F8" w14:textId="2E7CF50C"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D17521E" w14:textId="0AD18EC6"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1CDC6BC" w14:textId="245F0B5D"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1401BD81" w14:textId="6D43A28F"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1CFAD5F" w14:textId="56C0357E"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73ACF22" w14:textId="26D11232"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662918FA" w14:textId="176879DC" w:rsidR="00F77D47" w:rsidRPr="00E33FDD" w:rsidRDefault="00F77D47" w:rsidP="00F77D47">
            <w:pPr>
              <w:jc w:val="center"/>
              <w:rPr>
                <w:sz w:val="20"/>
                <w:szCs w:val="20"/>
              </w:rPr>
            </w:pPr>
            <w:r w:rsidRPr="00E33FDD">
              <w:rPr>
                <w:sz w:val="20"/>
                <w:szCs w:val="20"/>
              </w:rPr>
              <w:t>201201</w:t>
            </w:r>
          </w:p>
        </w:tc>
        <w:tc>
          <w:tcPr>
            <w:tcW w:w="306" w:type="dxa"/>
            <w:tcBorders>
              <w:top w:val="nil"/>
              <w:left w:val="nil"/>
              <w:bottom w:val="nil"/>
              <w:right w:val="nil"/>
            </w:tcBorders>
            <w:vAlign w:val="bottom"/>
          </w:tcPr>
          <w:p w14:paraId="51B00F8D" w14:textId="1E17AEA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A51812B" w14:textId="0D93622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3D52C81" w14:textId="6A29622F"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5648FCB8" w14:textId="50A8941E"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BC2B266" w14:textId="6E47241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B6A9EB7" w14:textId="3A4003A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742B73D" w14:textId="44D92F8E"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1DE3F75" w14:textId="5B02272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29AE4CB" w14:textId="7CA54228" w:rsidR="00F77D47" w:rsidRPr="00E33FDD" w:rsidRDefault="00F77D47" w:rsidP="00F77D47">
            <w:pPr>
              <w:jc w:val="center"/>
              <w:rPr>
                <w:sz w:val="20"/>
                <w:szCs w:val="20"/>
              </w:rPr>
            </w:pPr>
            <w:r w:rsidRPr="00E33FDD">
              <w:rPr>
                <w:sz w:val="20"/>
                <w:szCs w:val="20"/>
              </w:rPr>
              <w:t>0</w:t>
            </w:r>
          </w:p>
        </w:tc>
      </w:tr>
      <w:tr w:rsidR="00F77D47" w:rsidRPr="00E33FDD" w14:paraId="3FF965B0" w14:textId="7B47FC96"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48261DBA" w14:textId="77777777" w:rsidR="00F77D47" w:rsidRPr="00E33FDD" w:rsidRDefault="00F77D47" w:rsidP="00F77D47">
            <w:pPr>
              <w:jc w:val="center"/>
              <w:rPr>
                <w:sz w:val="20"/>
                <w:szCs w:val="20"/>
              </w:rPr>
            </w:pPr>
            <w:r w:rsidRPr="00E33FDD">
              <w:rPr>
                <w:sz w:val="20"/>
                <w:szCs w:val="20"/>
              </w:rPr>
              <w:t>200836</w:t>
            </w:r>
          </w:p>
        </w:tc>
        <w:tc>
          <w:tcPr>
            <w:tcW w:w="306" w:type="dxa"/>
            <w:tcBorders>
              <w:top w:val="nil"/>
              <w:left w:val="nil"/>
              <w:bottom w:val="nil"/>
              <w:right w:val="nil"/>
            </w:tcBorders>
            <w:shd w:val="clear" w:color="auto" w:fill="auto"/>
            <w:noWrap/>
            <w:vAlign w:val="bottom"/>
            <w:hideMark/>
          </w:tcPr>
          <w:p w14:paraId="794F4B06"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1FE2468"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DC7941B"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C89A00F"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6CE2788"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DCF5C35"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71121E4"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74DE9FE"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31677A8" w14:textId="77777777"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45B456DD" w14:textId="3DB3BF76" w:rsidR="00F77D47" w:rsidRPr="00E33FDD" w:rsidRDefault="00F77D47" w:rsidP="00F77D47">
            <w:pPr>
              <w:jc w:val="center"/>
              <w:rPr>
                <w:sz w:val="20"/>
                <w:szCs w:val="20"/>
              </w:rPr>
            </w:pPr>
            <w:r w:rsidRPr="00E33FDD">
              <w:rPr>
                <w:sz w:val="20"/>
                <w:szCs w:val="20"/>
              </w:rPr>
              <w:t>201049</w:t>
            </w:r>
          </w:p>
        </w:tc>
        <w:tc>
          <w:tcPr>
            <w:tcW w:w="306" w:type="dxa"/>
            <w:tcBorders>
              <w:top w:val="nil"/>
              <w:left w:val="nil"/>
              <w:bottom w:val="nil"/>
              <w:right w:val="nil"/>
            </w:tcBorders>
            <w:vAlign w:val="bottom"/>
          </w:tcPr>
          <w:p w14:paraId="1E8260F4" w14:textId="33C4EDA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B042F86" w14:textId="24DE0D11"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331DBD99" w14:textId="75A80024"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07F1CE8" w14:textId="491A6368"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0784E912" w14:textId="14647037"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72E02EC0" w14:textId="6C31A2E1"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7F4C59E" w14:textId="474274B8"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144E20DB" w14:textId="5B848EBC"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144F3EF6" w14:textId="07649E9D"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3F2F2F32" w14:textId="6AE7F8CE" w:rsidR="00F77D47" w:rsidRPr="00E33FDD" w:rsidRDefault="00F77D47" w:rsidP="00F77D47">
            <w:pPr>
              <w:jc w:val="center"/>
              <w:rPr>
                <w:sz w:val="20"/>
                <w:szCs w:val="20"/>
              </w:rPr>
            </w:pPr>
            <w:r w:rsidRPr="00E33FDD">
              <w:rPr>
                <w:sz w:val="20"/>
                <w:szCs w:val="20"/>
              </w:rPr>
              <w:t>201202</w:t>
            </w:r>
          </w:p>
        </w:tc>
        <w:tc>
          <w:tcPr>
            <w:tcW w:w="306" w:type="dxa"/>
            <w:tcBorders>
              <w:top w:val="nil"/>
              <w:left w:val="nil"/>
              <w:bottom w:val="nil"/>
              <w:right w:val="nil"/>
            </w:tcBorders>
            <w:vAlign w:val="bottom"/>
          </w:tcPr>
          <w:p w14:paraId="1032641D" w14:textId="6040F5D6"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83762EE" w14:textId="37240E7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FDB3FB7" w14:textId="7D4B2758"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1D830B65" w14:textId="4731457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4E9F345" w14:textId="4841DE3C"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32FAF50" w14:textId="21F78A0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E269979" w14:textId="3075F28D"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1F9020A" w14:textId="37E6C8D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3B1F337" w14:textId="2BB2B93E" w:rsidR="00F77D47" w:rsidRPr="00E33FDD" w:rsidRDefault="00F77D47" w:rsidP="00F77D47">
            <w:pPr>
              <w:jc w:val="center"/>
              <w:rPr>
                <w:sz w:val="20"/>
                <w:szCs w:val="20"/>
              </w:rPr>
            </w:pPr>
            <w:r w:rsidRPr="00E33FDD">
              <w:rPr>
                <w:sz w:val="20"/>
                <w:szCs w:val="20"/>
              </w:rPr>
              <w:t>0</w:t>
            </w:r>
          </w:p>
        </w:tc>
      </w:tr>
      <w:tr w:rsidR="00F77D47" w:rsidRPr="00E33FDD" w14:paraId="294D512B" w14:textId="2CCC4E09"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5DBEDBF0" w14:textId="77777777" w:rsidR="00F77D47" w:rsidRPr="00E33FDD" w:rsidRDefault="00F77D47" w:rsidP="00F77D47">
            <w:pPr>
              <w:jc w:val="center"/>
              <w:rPr>
                <w:sz w:val="20"/>
                <w:szCs w:val="20"/>
              </w:rPr>
            </w:pPr>
            <w:r w:rsidRPr="00E33FDD">
              <w:rPr>
                <w:sz w:val="20"/>
                <w:szCs w:val="20"/>
              </w:rPr>
              <w:t>200901</w:t>
            </w:r>
          </w:p>
        </w:tc>
        <w:tc>
          <w:tcPr>
            <w:tcW w:w="306" w:type="dxa"/>
            <w:tcBorders>
              <w:top w:val="nil"/>
              <w:left w:val="nil"/>
              <w:bottom w:val="nil"/>
              <w:right w:val="nil"/>
            </w:tcBorders>
            <w:shd w:val="clear" w:color="auto" w:fill="auto"/>
            <w:noWrap/>
            <w:vAlign w:val="bottom"/>
            <w:hideMark/>
          </w:tcPr>
          <w:p w14:paraId="7E087F91"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712E7C5"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1B52416B"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3DA458F9"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4F61DA6"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0DC574C"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300DF153"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1EFDA84"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99EB9DF" w14:textId="77777777"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588CFA0F" w14:textId="3A25981F" w:rsidR="00F77D47" w:rsidRPr="00E33FDD" w:rsidRDefault="00F77D47" w:rsidP="00F77D47">
            <w:pPr>
              <w:jc w:val="center"/>
              <w:rPr>
                <w:sz w:val="20"/>
                <w:szCs w:val="20"/>
              </w:rPr>
            </w:pPr>
            <w:r w:rsidRPr="00E33FDD">
              <w:rPr>
                <w:sz w:val="20"/>
                <w:szCs w:val="20"/>
              </w:rPr>
              <w:t>201101</w:t>
            </w:r>
          </w:p>
        </w:tc>
        <w:tc>
          <w:tcPr>
            <w:tcW w:w="306" w:type="dxa"/>
            <w:tcBorders>
              <w:top w:val="nil"/>
              <w:left w:val="nil"/>
              <w:bottom w:val="nil"/>
              <w:right w:val="nil"/>
            </w:tcBorders>
            <w:vAlign w:val="bottom"/>
          </w:tcPr>
          <w:p w14:paraId="23D60758" w14:textId="4F49A1BF"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0514E98" w14:textId="56CEF6F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F2CE08E" w14:textId="5CE59F73"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1609F70F" w14:textId="7022D551"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1757C9F3" w14:textId="035E7CC4"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106834A" w14:textId="5AE513E3"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9608B83" w14:textId="2138DD82"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7D4FF4D" w14:textId="1D96893D"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152F73A" w14:textId="331BA7CD"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76E34622" w14:textId="027945A9" w:rsidR="00F77D47" w:rsidRPr="00E33FDD" w:rsidRDefault="00F77D47" w:rsidP="00F77D47">
            <w:pPr>
              <w:jc w:val="center"/>
              <w:rPr>
                <w:sz w:val="20"/>
                <w:szCs w:val="20"/>
              </w:rPr>
            </w:pPr>
            <w:r w:rsidRPr="00E33FDD">
              <w:rPr>
                <w:sz w:val="20"/>
                <w:szCs w:val="20"/>
              </w:rPr>
              <w:t>201203</w:t>
            </w:r>
          </w:p>
        </w:tc>
        <w:tc>
          <w:tcPr>
            <w:tcW w:w="306" w:type="dxa"/>
            <w:tcBorders>
              <w:top w:val="nil"/>
              <w:left w:val="nil"/>
              <w:bottom w:val="nil"/>
              <w:right w:val="nil"/>
            </w:tcBorders>
            <w:vAlign w:val="bottom"/>
          </w:tcPr>
          <w:p w14:paraId="08066CEF" w14:textId="0172187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98DB38F" w14:textId="112196A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C2E71A1" w14:textId="509D5416"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3A4F123F" w14:textId="3EAFAB6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1E328EC" w14:textId="744EC762"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9E165FA" w14:textId="0D43F35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2A597DC" w14:textId="02DA0F85"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2459218" w14:textId="0292116D"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4DA8CEE" w14:textId="38B3273E" w:rsidR="00F77D47" w:rsidRPr="00E33FDD" w:rsidRDefault="00F77D47" w:rsidP="00F77D47">
            <w:pPr>
              <w:jc w:val="center"/>
              <w:rPr>
                <w:sz w:val="20"/>
                <w:szCs w:val="20"/>
              </w:rPr>
            </w:pPr>
            <w:r w:rsidRPr="00E33FDD">
              <w:rPr>
                <w:sz w:val="20"/>
                <w:szCs w:val="20"/>
              </w:rPr>
              <w:t>0</w:t>
            </w:r>
          </w:p>
        </w:tc>
      </w:tr>
      <w:tr w:rsidR="00F77D47" w:rsidRPr="00E33FDD" w14:paraId="7BB7C2BA" w14:textId="3F5D6240"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162F9818" w14:textId="77777777" w:rsidR="00F77D47" w:rsidRPr="00E33FDD" w:rsidRDefault="00F77D47" w:rsidP="00F77D47">
            <w:pPr>
              <w:jc w:val="center"/>
              <w:rPr>
                <w:sz w:val="20"/>
                <w:szCs w:val="20"/>
              </w:rPr>
            </w:pPr>
            <w:r w:rsidRPr="00E33FDD">
              <w:rPr>
                <w:sz w:val="20"/>
                <w:szCs w:val="20"/>
              </w:rPr>
              <w:t>200902</w:t>
            </w:r>
          </w:p>
        </w:tc>
        <w:tc>
          <w:tcPr>
            <w:tcW w:w="306" w:type="dxa"/>
            <w:tcBorders>
              <w:top w:val="nil"/>
              <w:left w:val="nil"/>
              <w:bottom w:val="nil"/>
              <w:right w:val="nil"/>
            </w:tcBorders>
            <w:shd w:val="clear" w:color="auto" w:fill="auto"/>
            <w:noWrap/>
            <w:vAlign w:val="bottom"/>
            <w:hideMark/>
          </w:tcPr>
          <w:p w14:paraId="3AEA9069"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3B2CEC1"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0DB2AE50"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1AD5F1A1"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CA37AAB"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6A5A90B"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5C52EA4E"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3F38DF8"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19A68EA" w14:textId="77777777"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50BCCE56" w14:textId="4701379E" w:rsidR="00F77D47" w:rsidRPr="00E33FDD" w:rsidRDefault="00F77D47" w:rsidP="00F77D47">
            <w:pPr>
              <w:jc w:val="center"/>
              <w:rPr>
                <w:sz w:val="20"/>
                <w:szCs w:val="20"/>
              </w:rPr>
            </w:pPr>
            <w:r w:rsidRPr="00E33FDD">
              <w:rPr>
                <w:sz w:val="20"/>
                <w:szCs w:val="20"/>
              </w:rPr>
              <w:t>201102</w:t>
            </w:r>
          </w:p>
        </w:tc>
        <w:tc>
          <w:tcPr>
            <w:tcW w:w="306" w:type="dxa"/>
            <w:tcBorders>
              <w:top w:val="nil"/>
              <w:left w:val="nil"/>
              <w:bottom w:val="nil"/>
              <w:right w:val="nil"/>
            </w:tcBorders>
            <w:vAlign w:val="bottom"/>
          </w:tcPr>
          <w:p w14:paraId="2E842E03" w14:textId="14BF819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8027B40" w14:textId="11DA510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2F0E52E" w14:textId="7F621EC0"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64C5C810" w14:textId="72429CF7"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1298F511" w14:textId="008C9B42"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09D8BB2F" w14:textId="2D2CD944"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EF7E2A2" w14:textId="2C97D894"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6BE43D4" w14:textId="585C60B2"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C3D1A32" w14:textId="6AF67453"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3F22C582" w14:textId="4BF5392E" w:rsidR="00F77D47" w:rsidRPr="00E33FDD" w:rsidRDefault="00F77D47" w:rsidP="00F77D47">
            <w:pPr>
              <w:jc w:val="center"/>
              <w:rPr>
                <w:sz w:val="20"/>
                <w:szCs w:val="20"/>
              </w:rPr>
            </w:pPr>
            <w:r w:rsidRPr="00E33FDD">
              <w:rPr>
                <w:sz w:val="20"/>
                <w:szCs w:val="20"/>
              </w:rPr>
              <w:t>201208</w:t>
            </w:r>
          </w:p>
        </w:tc>
        <w:tc>
          <w:tcPr>
            <w:tcW w:w="306" w:type="dxa"/>
            <w:tcBorders>
              <w:top w:val="nil"/>
              <w:left w:val="nil"/>
              <w:bottom w:val="nil"/>
              <w:right w:val="nil"/>
            </w:tcBorders>
            <w:vAlign w:val="bottom"/>
          </w:tcPr>
          <w:p w14:paraId="33FFE1CC" w14:textId="199F6CBC"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A861337" w14:textId="141B25A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49C2975" w14:textId="7080BB8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4413BE9" w14:textId="15A722E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84D443E" w14:textId="47F2D14F"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17F92C07" w14:textId="495491ED"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73FC601" w14:textId="4C6EFCDA"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3DBD259" w14:textId="58E7032C"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C8EF847" w14:textId="31718FDE" w:rsidR="00F77D47" w:rsidRPr="00E33FDD" w:rsidRDefault="00F77D47" w:rsidP="00F77D47">
            <w:pPr>
              <w:jc w:val="center"/>
              <w:rPr>
                <w:sz w:val="20"/>
                <w:szCs w:val="20"/>
              </w:rPr>
            </w:pPr>
            <w:r w:rsidRPr="00E33FDD">
              <w:rPr>
                <w:sz w:val="20"/>
                <w:szCs w:val="20"/>
              </w:rPr>
              <w:t>0</w:t>
            </w:r>
          </w:p>
        </w:tc>
      </w:tr>
      <w:tr w:rsidR="00F77D47" w:rsidRPr="00E33FDD" w14:paraId="0ED6FF4D" w14:textId="13D7C37E"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53B66516" w14:textId="77777777" w:rsidR="00F77D47" w:rsidRPr="00E33FDD" w:rsidRDefault="00F77D47" w:rsidP="00F77D47">
            <w:pPr>
              <w:jc w:val="center"/>
              <w:rPr>
                <w:sz w:val="20"/>
                <w:szCs w:val="20"/>
              </w:rPr>
            </w:pPr>
            <w:r w:rsidRPr="00E33FDD">
              <w:rPr>
                <w:sz w:val="20"/>
                <w:szCs w:val="20"/>
              </w:rPr>
              <w:t>200903</w:t>
            </w:r>
          </w:p>
        </w:tc>
        <w:tc>
          <w:tcPr>
            <w:tcW w:w="306" w:type="dxa"/>
            <w:tcBorders>
              <w:top w:val="nil"/>
              <w:left w:val="nil"/>
              <w:bottom w:val="nil"/>
              <w:right w:val="nil"/>
            </w:tcBorders>
            <w:shd w:val="clear" w:color="auto" w:fill="auto"/>
            <w:noWrap/>
            <w:vAlign w:val="bottom"/>
            <w:hideMark/>
          </w:tcPr>
          <w:p w14:paraId="1750DF3A"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4906C92"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03A1CEDF"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7189EC78"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3419EEB"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77A89CC"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53050437"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27F9929"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42371F0" w14:textId="77777777"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4007BB96" w14:textId="0BD98CA4" w:rsidR="00F77D47" w:rsidRPr="00E33FDD" w:rsidRDefault="00F77D47" w:rsidP="00F77D47">
            <w:pPr>
              <w:jc w:val="center"/>
              <w:rPr>
                <w:sz w:val="20"/>
                <w:szCs w:val="20"/>
              </w:rPr>
            </w:pPr>
            <w:r w:rsidRPr="00E33FDD">
              <w:rPr>
                <w:sz w:val="20"/>
                <w:szCs w:val="20"/>
              </w:rPr>
              <w:t>201103</w:t>
            </w:r>
          </w:p>
        </w:tc>
        <w:tc>
          <w:tcPr>
            <w:tcW w:w="306" w:type="dxa"/>
            <w:tcBorders>
              <w:top w:val="nil"/>
              <w:left w:val="nil"/>
              <w:bottom w:val="nil"/>
              <w:right w:val="nil"/>
            </w:tcBorders>
            <w:vAlign w:val="bottom"/>
          </w:tcPr>
          <w:p w14:paraId="55647DA2" w14:textId="33F5260D"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DF21F2A" w14:textId="5EC19C95"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B78B950" w14:textId="44A0F47E"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06BDC46D" w14:textId="6DD062FB"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39254E28" w14:textId="6E7235E3"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3FD91E7" w14:textId="2E8A254D"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72A0058B" w14:textId="04C5BABE"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0001893B" w14:textId="3099AE3E"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5FA46EB" w14:textId="12BE423D"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7D7F7ED5" w14:textId="6CA90C2A" w:rsidR="00F77D47" w:rsidRPr="00E33FDD" w:rsidRDefault="00F77D47" w:rsidP="00F77D47">
            <w:pPr>
              <w:jc w:val="center"/>
              <w:rPr>
                <w:sz w:val="20"/>
                <w:szCs w:val="20"/>
              </w:rPr>
            </w:pPr>
            <w:r w:rsidRPr="00E33FDD">
              <w:rPr>
                <w:sz w:val="20"/>
                <w:szCs w:val="20"/>
              </w:rPr>
              <w:t>201209</w:t>
            </w:r>
          </w:p>
        </w:tc>
        <w:tc>
          <w:tcPr>
            <w:tcW w:w="306" w:type="dxa"/>
            <w:tcBorders>
              <w:top w:val="nil"/>
              <w:left w:val="nil"/>
              <w:bottom w:val="nil"/>
              <w:right w:val="nil"/>
            </w:tcBorders>
            <w:vAlign w:val="bottom"/>
          </w:tcPr>
          <w:p w14:paraId="1F31BACD" w14:textId="2C44A34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1D8030B" w14:textId="603832D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6F99C27" w14:textId="6703DC8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7F6069B" w14:textId="1A2F8F7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EB1BFAE" w14:textId="2D9EB393"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172A2C4A" w14:textId="3C5BD9D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4135BBD" w14:textId="2AC17D0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3E617D9" w14:textId="5BE6408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7736A73" w14:textId="2B470DE2" w:rsidR="00F77D47" w:rsidRPr="00E33FDD" w:rsidRDefault="00F77D47" w:rsidP="00F77D47">
            <w:pPr>
              <w:jc w:val="center"/>
              <w:rPr>
                <w:sz w:val="20"/>
                <w:szCs w:val="20"/>
              </w:rPr>
            </w:pPr>
            <w:r w:rsidRPr="00E33FDD">
              <w:rPr>
                <w:sz w:val="20"/>
                <w:szCs w:val="20"/>
              </w:rPr>
              <w:t>0</w:t>
            </w:r>
          </w:p>
        </w:tc>
      </w:tr>
      <w:tr w:rsidR="00F77D47" w:rsidRPr="00E33FDD" w14:paraId="6A291551" w14:textId="01C7A808"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690CE1CC" w14:textId="77777777" w:rsidR="00F77D47" w:rsidRPr="00E33FDD" w:rsidRDefault="00F77D47" w:rsidP="00F77D47">
            <w:pPr>
              <w:jc w:val="center"/>
              <w:rPr>
                <w:sz w:val="20"/>
                <w:szCs w:val="20"/>
              </w:rPr>
            </w:pPr>
            <w:r w:rsidRPr="00E33FDD">
              <w:rPr>
                <w:sz w:val="20"/>
                <w:szCs w:val="20"/>
              </w:rPr>
              <w:t>200904</w:t>
            </w:r>
          </w:p>
        </w:tc>
        <w:tc>
          <w:tcPr>
            <w:tcW w:w="306" w:type="dxa"/>
            <w:tcBorders>
              <w:top w:val="nil"/>
              <w:left w:val="nil"/>
              <w:bottom w:val="nil"/>
              <w:right w:val="nil"/>
            </w:tcBorders>
            <w:shd w:val="clear" w:color="auto" w:fill="auto"/>
            <w:noWrap/>
            <w:vAlign w:val="bottom"/>
            <w:hideMark/>
          </w:tcPr>
          <w:p w14:paraId="2E3F2B1F"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8662033"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10EE1980"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954F63B"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B76E7C8"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BA6E642"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5CDC3C87"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80AFCFC"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897FF47" w14:textId="77777777"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3400F724" w14:textId="27FFDD1A" w:rsidR="00F77D47" w:rsidRPr="00E33FDD" w:rsidRDefault="00F77D47" w:rsidP="00F77D47">
            <w:pPr>
              <w:jc w:val="center"/>
              <w:rPr>
                <w:sz w:val="20"/>
                <w:szCs w:val="20"/>
              </w:rPr>
            </w:pPr>
            <w:r w:rsidRPr="00E33FDD">
              <w:rPr>
                <w:sz w:val="20"/>
                <w:szCs w:val="20"/>
              </w:rPr>
              <w:t>201104</w:t>
            </w:r>
          </w:p>
        </w:tc>
        <w:tc>
          <w:tcPr>
            <w:tcW w:w="306" w:type="dxa"/>
            <w:tcBorders>
              <w:top w:val="nil"/>
              <w:left w:val="nil"/>
              <w:bottom w:val="nil"/>
              <w:right w:val="nil"/>
            </w:tcBorders>
            <w:vAlign w:val="bottom"/>
          </w:tcPr>
          <w:p w14:paraId="7AD50E7C" w14:textId="1DD1F81A"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567FDC9" w14:textId="1B27C62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B9F76DF" w14:textId="5FE89ACE"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90BD6DD" w14:textId="7987C13A"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363EB334" w14:textId="680CB997"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8BDC01D" w14:textId="4B38C8DF"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1595722" w14:textId="5C7EE5E2"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1B709C2E" w14:textId="0B45E4E6"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A24489B" w14:textId="136AFE36"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6D024F7A" w14:textId="5FEC5477" w:rsidR="00F77D47" w:rsidRPr="00E33FDD" w:rsidRDefault="00F77D47" w:rsidP="00F77D47">
            <w:pPr>
              <w:jc w:val="center"/>
              <w:rPr>
                <w:sz w:val="20"/>
                <w:szCs w:val="20"/>
              </w:rPr>
            </w:pPr>
            <w:r w:rsidRPr="00E33FDD">
              <w:rPr>
                <w:sz w:val="20"/>
                <w:szCs w:val="20"/>
              </w:rPr>
              <w:t>201210</w:t>
            </w:r>
          </w:p>
        </w:tc>
        <w:tc>
          <w:tcPr>
            <w:tcW w:w="306" w:type="dxa"/>
            <w:tcBorders>
              <w:top w:val="nil"/>
              <w:left w:val="nil"/>
              <w:bottom w:val="nil"/>
              <w:right w:val="nil"/>
            </w:tcBorders>
            <w:vAlign w:val="bottom"/>
          </w:tcPr>
          <w:p w14:paraId="0CAFEE1D" w14:textId="0871505F"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44E8C80" w14:textId="7E24F8A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470ECA7" w14:textId="6B63AB4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F34582D" w14:textId="69ADCA3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8B38706" w14:textId="4B342FBF"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255B7AAB" w14:textId="2C1884F6"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A4FD37C" w14:textId="43B18B4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08EB255" w14:textId="0D395906"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385DDBF" w14:textId="6C18E510" w:rsidR="00F77D47" w:rsidRPr="00E33FDD" w:rsidRDefault="00F77D47" w:rsidP="00F77D47">
            <w:pPr>
              <w:jc w:val="center"/>
              <w:rPr>
                <w:sz w:val="20"/>
                <w:szCs w:val="20"/>
              </w:rPr>
            </w:pPr>
            <w:r w:rsidRPr="00E33FDD">
              <w:rPr>
                <w:sz w:val="20"/>
                <w:szCs w:val="20"/>
              </w:rPr>
              <w:t>0</w:t>
            </w:r>
          </w:p>
        </w:tc>
      </w:tr>
      <w:tr w:rsidR="00F77D47" w:rsidRPr="00E33FDD" w14:paraId="56064877" w14:textId="2198D3FD"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4523AC0D" w14:textId="77777777" w:rsidR="00F77D47" w:rsidRPr="00E33FDD" w:rsidRDefault="00F77D47" w:rsidP="00F77D47">
            <w:pPr>
              <w:jc w:val="center"/>
              <w:rPr>
                <w:sz w:val="20"/>
                <w:szCs w:val="20"/>
              </w:rPr>
            </w:pPr>
            <w:r w:rsidRPr="00E33FDD">
              <w:rPr>
                <w:sz w:val="20"/>
                <w:szCs w:val="20"/>
              </w:rPr>
              <w:t>200905</w:t>
            </w:r>
          </w:p>
        </w:tc>
        <w:tc>
          <w:tcPr>
            <w:tcW w:w="306" w:type="dxa"/>
            <w:tcBorders>
              <w:top w:val="nil"/>
              <w:left w:val="nil"/>
              <w:bottom w:val="nil"/>
              <w:right w:val="nil"/>
            </w:tcBorders>
            <w:shd w:val="clear" w:color="auto" w:fill="auto"/>
            <w:noWrap/>
            <w:vAlign w:val="bottom"/>
            <w:hideMark/>
          </w:tcPr>
          <w:p w14:paraId="048C5095"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5FC2026"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46A183E"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530AC1B"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74780BE"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D22D975"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CFD2E93"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7F0ABC6"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6FA93D7" w14:textId="77777777"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77D158AE" w14:textId="0AA70901" w:rsidR="00F77D47" w:rsidRPr="00E33FDD" w:rsidRDefault="00F77D47" w:rsidP="00F77D47">
            <w:pPr>
              <w:jc w:val="center"/>
              <w:rPr>
                <w:sz w:val="20"/>
                <w:szCs w:val="20"/>
              </w:rPr>
            </w:pPr>
            <w:r w:rsidRPr="00E33FDD">
              <w:rPr>
                <w:sz w:val="20"/>
                <w:szCs w:val="20"/>
              </w:rPr>
              <w:t>201107</w:t>
            </w:r>
          </w:p>
        </w:tc>
        <w:tc>
          <w:tcPr>
            <w:tcW w:w="306" w:type="dxa"/>
            <w:tcBorders>
              <w:top w:val="nil"/>
              <w:left w:val="nil"/>
              <w:bottom w:val="nil"/>
              <w:right w:val="nil"/>
            </w:tcBorders>
            <w:vAlign w:val="bottom"/>
          </w:tcPr>
          <w:p w14:paraId="540C4AD7" w14:textId="4511255C"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F6AC4BA" w14:textId="3DD3048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46DCE222" w14:textId="63617B2B"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EAD0A43" w14:textId="2DBF0F71"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7F6F9250" w14:textId="15C02E55"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CCDB4BC" w14:textId="08BE22E9"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B7CFA0B" w14:textId="014E08AF"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4916FCF" w14:textId="29AFD25B"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A7B1CC2" w14:textId="5925AA0D"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700B2008" w14:textId="12188543" w:rsidR="00F77D47" w:rsidRPr="00E33FDD" w:rsidRDefault="00F77D47" w:rsidP="00F77D47">
            <w:pPr>
              <w:jc w:val="center"/>
              <w:rPr>
                <w:sz w:val="20"/>
                <w:szCs w:val="20"/>
              </w:rPr>
            </w:pPr>
            <w:r w:rsidRPr="00E33FDD">
              <w:rPr>
                <w:sz w:val="20"/>
                <w:szCs w:val="20"/>
              </w:rPr>
              <w:t>201211</w:t>
            </w:r>
          </w:p>
        </w:tc>
        <w:tc>
          <w:tcPr>
            <w:tcW w:w="306" w:type="dxa"/>
            <w:tcBorders>
              <w:top w:val="nil"/>
              <w:left w:val="nil"/>
              <w:bottom w:val="nil"/>
              <w:right w:val="nil"/>
            </w:tcBorders>
            <w:vAlign w:val="bottom"/>
          </w:tcPr>
          <w:p w14:paraId="75D8BFC6" w14:textId="51BD04ED"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7420C4A" w14:textId="5B72CAA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BDE2203" w14:textId="5DD5E26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46F0EA9" w14:textId="715B72EA"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62D6271" w14:textId="5C54719E"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0EB67432" w14:textId="2E97A8E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626819B" w14:textId="0B38162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62BD007" w14:textId="01B6239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F095517" w14:textId="438040C1" w:rsidR="00F77D47" w:rsidRPr="00E33FDD" w:rsidRDefault="00F77D47" w:rsidP="00F77D47">
            <w:pPr>
              <w:jc w:val="center"/>
              <w:rPr>
                <w:sz w:val="20"/>
                <w:szCs w:val="20"/>
              </w:rPr>
            </w:pPr>
            <w:r w:rsidRPr="00E33FDD">
              <w:rPr>
                <w:sz w:val="20"/>
                <w:szCs w:val="20"/>
              </w:rPr>
              <w:t>0</w:t>
            </w:r>
          </w:p>
        </w:tc>
      </w:tr>
      <w:tr w:rsidR="00F77D47" w:rsidRPr="00E33FDD" w14:paraId="005C3822" w14:textId="24125ECD"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4A16E142" w14:textId="77777777" w:rsidR="00F77D47" w:rsidRPr="00E33FDD" w:rsidRDefault="00F77D47" w:rsidP="00F77D47">
            <w:pPr>
              <w:jc w:val="center"/>
              <w:rPr>
                <w:sz w:val="20"/>
                <w:szCs w:val="20"/>
              </w:rPr>
            </w:pPr>
            <w:r w:rsidRPr="00E33FDD">
              <w:rPr>
                <w:sz w:val="20"/>
                <w:szCs w:val="20"/>
              </w:rPr>
              <w:t>200916</w:t>
            </w:r>
          </w:p>
        </w:tc>
        <w:tc>
          <w:tcPr>
            <w:tcW w:w="306" w:type="dxa"/>
            <w:tcBorders>
              <w:top w:val="nil"/>
              <w:left w:val="nil"/>
              <w:bottom w:val="nil"/>
              <w:right w:val="nil"/>
            </w:tcBorders>
            <w:shd w:val="clear" w:color="auto" w:fill="auto"/>
            <w:noWrap/>
            <w:vAlign w:val="bottom"/>
            <w:hideMark/>
          </w:tcPr>
          <w:p w14:paraId="6ACC8D9F"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461F523"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D061A99"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E376C72"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F483DD5"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1790E49"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C25F4AA"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6727F832"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3697939" w14:textId="77777777"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0F232B80" w14:textId="14F99485" w:rsidR="00F77D47" w:rsidRPr="00E33FDD" w:rsidRDefault="00F77D47" w:rsidP="00F77D47">
            <w:pPr>
              <w:jc w:val="center"/>
              <w:rPr>
                <w:sz w:val="20"/>
                <w:szCs w:val="20"/>
              </w:rPr>
            </w:pPr>
            <w:r w:rsidRPr="00E33FDD">
              <w:rPr>
                <w:sz w:val="20"/>
                <w:szCs w:val="20"/>
              </w:rPr>
              <w:t>201108</w:t>
            </w:r>
          </w:p>
        </w:tc>
        <w:tc>
          <w:tcPr>
            <w:tcW w:w="306" w:type="dxa"/>
            <w:tcBorders>
              <w:top w:val="nil"/>
              <w:left w:val="nil"/>
              <w:bottom w:val="nil"/>
              <w:right w:val="nil"/>
            </w:tcBorders>
            <w:vAlign w:val="bottom"/>
          </w:tcPr>
          <w:p w14:paraId="746F1947" w14:textId="45C381BE"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DFF85A7" w14:textId="78551E2D"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71B7E3D8" w14:textId="7473A17A"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0558BF3A" w14:textId="1306AC5A"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8ACD52F" w14:textId="020EA2E2"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0740B285" w14:textId="068B75B2"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8429973" w14:textId="2F2EECFB"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E05AFB6" w14:textId="36463650"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1B32B847" w14:textId="3E9E5D30"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03D4497F" w14:textId="2A411158" w:rsidR="00F77D47" w:rsidRPr="00E33FDD" w:rsidRDefault="00F77D47" w:rsidP="00F77D47">
            <w:pPr>
              <w:jc w:val="center"/>
              <w:rPr>
                <w:sz w:val="20"/>
                <w:szCs w:val="20"/>
              </w:rPr>
            </w:pPr>
            <w:r w:rsidRPr="00E33FDD">
              <w:rPr>
                <w:sz w:val="20"/>
                <w:szCs w:val="20"/>
              </w:rPr>
              <w:t>201216</w:t>
            </w:r>
          </w:p>
        </w:tc>
        <w:tc>
          <w:tcPr>
            <w:tcW w:w="306" w:type="dxa"/>
            <w:tcBorders>
              <w:top w:val="nil"/>
              <w:left w:val="nil"/>
              <w:bottom w:val="nil"/>
              <w:right w:val="nil"/>
            </w:tcBorders>
            <w:vAlign w:val="bottom"/>
          </w:tcPr>
          <w:p w14:paraId="02144E7A" w14:textId="1D4336A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01360C8" w14:textId="3694B521"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6274B6EB" w14:textId="01F594A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6A9D15A" w14:textId="4553653D"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9DC1D10" w14:textId="2B5FA7F6"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BCBFB97" w14:textId="0FBB47D6"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C53BD31" w14:textId="1EBF8A7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DAA5D25" w14:textId="352F2FFA"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FCB934B" w14:textId="6E504742" w:rsidR="00F77D47" w:rsidRPr="00E33FDD" w:rsidRDefault="00F77D47" w:rsidP="00F77D47">
            <w:pPr>
              <w:jc w:val="center"/>
              <w:rPr>
                <w:sz w:val="20"/>
                <w:szCs w:val="20"/>
              </w:rPr>
            </w:pPr>
            <w:r w:rsidRPr="00E33FDD">
              <w:rPr>
                <w:sz w:val="20"/>
                <w:szCs w:val="20"/>
              </w:rPr>
              <w:t>0</w:t>
            </w:r>
          </w:p>
        </w:tc>
      </w:tr>
      <w:tr w:rsidR="00F77D47" w:rsidRPr="00E33FDD" w14:paraId="413E7C11" w14:textId="6FDEA69E"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6CE21B35" w14:textId="77777777" w:rsidR="00F77D47" w:rsidRPr="00E33FDD" w:rsidRDefault="00F77D47" w:rsidP="00F77D47">
            <w:pPr>
              <w:jc w:val="center"/>
              <w:rPr>
                <w:sz w:val="20"/>
                <w:szCs w:val="20"/>
              </w:rPr>
            </w:pPr>
            <w:r w:rsidRPr="00E33FDD">
              <w:rPr>
                <w:sz w:val="20"/>
                <w:szCs w:val="20"/>
              </w:rPr>
              <w:t>200917</w:t>
            </w:r>
          </w:p>
        </w:tc>
        <w:tc>
          <w:tcPr>
            <w:tcW w:w="306" w:type="dxa"/>
            <w:tcBorders>
              <w:top w:val="nil"/>
              <w:left w:val="nil"/>
              <w:bottom w:val="nil"/>
              <w:right w:val="nil"/>
            </w:tcBorders>
            <w:shd w:val="clear" w:color="auto" w:fill="auto"/>
            <w:noWrap/>
            <w:vAlign w:val="bottom"/>
            <w:hideMark/>
          </w:tcPr>
          <w:p w14:paraId="393ABC90"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D60AF5D"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1344E77"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EB2F03D"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1B73929"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D18D467"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C994C95"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301BCFD0"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60036AE" w14:textId="77777777"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1DF37ABB" w14:textId="5C69CC8F" w:rsidR="00F77D47" w:rsidRPr="00E33FDD" w:rsidRDefault="00F77D47" w:rsidP="00F77D47">
            <w:pPr>
              <w:jc w:val="center"/>
              <w:rPr>
                <w:sz w:val="20"/>
                <w:szCs w:val="20"/>
              </w:rPr>
            </w:pPr>
            <w:r w:rsidRPr="00E33FDD">
              <w:rPr>
                <w:sz w:val="20"/>
                <w:szCs w:val="20"/>
              </w:rPr>
              <w:t>201112</w:t>
            </w:r>
          </w:p>
        </w:tc>
        <w:tc>
          <w:tcPr>
            <w:tcW w:w="306" w:type="dxa"/>
            <w:tcBorders>
              <w:top w:val="nil"/>
              <w:left w:val="nil"/>
              <w:bottom w:val="nil"/>
              <w:right w:val="nil"/>
            </w:tcBorders>
            <w:vAlign w:val="bottom"/>
          </w:tcPr>
          <w:p w14:paraId="0ABC76A2" w14:textId="61D966C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512B87A" w14:textId="6C4908E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FE4355B" w14:textId="48E6941A"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852DDE5" w14:textId="50CC86BB"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E17863D" w14:textId="5159933E"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11AE5616" w14:textId="74728D28"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0AA556F" w14:textId="699E3D5A"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019C687B" w14:textId="76A48F6B"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860F266" w14:textId="221EE107"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6A402A57" w14:textId="18CAAD15" w:rsidR="00F77D47" w:rsidRPr="00E33FDD" w:rsidRDefault="00F77D47" w:rsidP="00F77D47">
            <w:pPr>
              <w:jc w:val="center"/>
              <w:rPr>
                <w:sz w:val="20"/>
                <w:szCs w:val="20"/>
              </w:rPr>
            </w:pPr>
            <w:r w:rsidRPr="00E33FDD">
              <w:rPr>
                <w:sz w:val="20"/>
                <w:szCs w:val="20"/>
              </w:rPr>
              <w:t>201217</w:t>
            </w:r>
          </w:p>
        </w:tc>
        <w:tc>
          <w:tcPr>
            <w:tcW w:w="306" w:type="dxa"/>
            <w:tcBorders>
              <w:top w:val="nil"/>
              <w:left w:val="nil"/>
              <w:bottom w:val="nil"/>
              <w:right w:val="nil"/>
            </w:tcBorders>
            <w:vAlign w:val="bottom"/>
          </w:tcPr>
          <w:p w14:paraId="3AA53781" w14:textId="325ECD1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F4F18EA" w14:textId="79EE58EB"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487BCD08" w14:textId="47D63BB6"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16A065E" w14:textId="00BD973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E4419B8" w14:textId="045E507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9F7565A" w14:textId="31412C36"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59BAFD7" w14:textId="2C49F03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4CDBCD2" w14:textId="2B90307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BAAFDB3" w14:textId="559F8727" w:rsidR="00F77D47" w:rsidRPr="00E33FDD" w:rsidRDefault="00F77D47" w:rsidP="00F77D47">
            <w:pPr>
              <w:jc w:val="center"/>
              <w:rPr>
                <w:sz w:val="20"/>
                <w:szCs w:val="20"/>
              </w:rPr>
            </w:pPr>
            <w:r w:rsidRPr="00E33FDD">
              <w:rPr>
                <w:sz w:val="20"/>
                <w:szCs w:val="20"/>
              </w:rPr>
              <w:t>0</w:t>
            </w:r>
          </w:p>
        </w:tc>
      </w:tr>
      <w:tr w:rsidR="00F77D47" w:rsidRPr="00E33FDD" w14:paraId="5905C5C0" w14:textId="79D39111"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152A5D43" w14:textId="77777777" w:rsidR="00F77D47" w:rsidRPr="00E33FDD" w:rsidRDefault="00F77D47" w:rsidP="00F77D47">
            <w:pPr>
              <w:jc w:val="center"/>
              <w:rPr>
                <w:sz w:val="20"/>
                <w:szCs w:val="20"/>
              </w:rPr>
            </w:pPr>
            <w:r w:rsidRPr="00E33FDD">
              <w:rPr>
                <w:sz w:val="20"/>
                <w:szCs w:val="20"/>
              </w:rPr>
              <w:t>200918</w:t>
            </w:r>
          </w:p>
        </w:tc>
        <w:tc>
          <w:tcPr>
            <w:tcW w:w="306" w:type="dxa"/>
            <w:tcBorders>
              <w:top w:val="nil"/>
              <w:left w:val="nil"/>
              <w:bottom w:val="nil"/>
              <w:right w:val="nil"/>
            </w:tcBorders>
            <w:shd w:val="clear" w:color="auto" w:fill="auto"/>
            <w:noWrap/>
            <w:vAlign w:val="bottom"/>
            <w:hideMark/>
          </w:tcPr>
          <w:p w14:paraId="154898F3"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D20724E"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0CDCD84"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251F6C0"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D740DA0"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83B8B76"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F6233FE"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15715026"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71C701C" w14:textId="77777777"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5060E3E4" w14:textId="15AB856A" w:rsidR="00F77D47" w:rsidRPr="00E33FDD" w:rsidRDefault="00F77D47" w:rsidP="00F77D47">
            <w:pPr>
              <w:jc w:val="center"/>
              <w:rPr>
                <w:sz w:val="20"/>
                <w:szCs w:val="20"/>
              </w:rPr>
            </w:pPr>
            <w:r w:rsidRPr="00E33FDD">
              <w:rPr>
                <w:sz w:val="20"/>
                <w:szCs w:val="20"/>
              </w:rPr>
              <w:t>201113</w:t>
            </w:r>
          </w:p>
        </w:tc>
        <w:tc>
          <w:tcPr>
            <w:tcW w:w="306" w:type="dxa"/>
            <w:tcBorders>
              <w:top w:val="nil"/>
              <w:left w:val="nil"/>
              <w:bottom w:val="nil"/>
              <w:right w:val="nil"/>
            </w:tcBorders>
            <w:vAlign w:val="bottom"/>
          </w:tcPr>
          <w:p w14:paraId="0DB29799" w14:textId="7029EC0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8DC355E" w14:textId="134FBA8F"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C7797EE" w14:textId="74B4AB7B"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DB71296" w14:textId="52237BFA"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350E107" w14:textId="36580E0C"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0F92A881" w14:textId="6B1FAF3C"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7E93E70" w14:textId="39927893"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A0D27C7" w14:textId="432868E8"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5BBD602" w14:textId="004D6D64"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520DE6F6" w14:textId="6410BD6B" w:rsidR="00F77D47" w:rsidRPr="00E33FDD" w:rsidRDefault="00F77D47" w:rsidP="00F77D47">
            <w:pPr>
              <w:jc w:val="center"/>
              <w:rPr>
                <w:sz w:val="20"/>
                <w:szCs w:val="20"/>
              </w:rPr>
            </w:pPr>
            <w:r w:rsidRPr="00E33FDD">
              <w:rPr>
                <w:sz w:val="20"/>
                <w:szCs w:val="20"/>
              </w:rPr>
              <w:t>201218</w:t>
            </w:r>
          </w:p>
        </w:tc>
        <w:tc>
          <w:tcPr>
            <w:tcW w:w="306" w:type="dxa"/>
            <w:tcBorders>
              <w:top w:val="nil"/>
              <w:left w:val="nil"/>
              <w:bottom w:val="nil"/>
              <w:right w:val="nil"/>
            </w:tcBorders>
            <w:vAlign w:val="bottom"/>
          </w:tcPr>
          <w:p w14:paraId="7A625C35" w14:textId="713F96B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A784C39" w14:textId="2F8623C8"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641100FE" w14:textId="48176AC6"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4A2F0B9" w14:textId="456813D5"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1AE3ECC" w14:textId="44CDAD6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D228E45" w14:textId="2182AFF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4ABE2D0" w14:textId="2DA4BB1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293FA46" w14:textId="23AA5BF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4713F99" w14:textId="5995E652" w:rsidR="00F77D47" w:rsidRPr="00E33FDD" w:rsidRDefault="00F77D47" w:rsidP="00F77D47">
            <w:pPr>
              <w:jc w:val="center"/>
              <w:rPr>
                <w:sz w:val="20"/>
                <w:szCs w:val="20"/>
              </w:rPr>
            </w:pPr>
            <w:r w:rsidRPr="00E33FDD">
              <w:rPr>
                <w:sz w:val="20"/>
                <w:szCs w:val="20"/>
              </w:rPr>
              <w:t>0</w:t>
            </w:r>
          </w:p>
        </w:tc>
      </w:tr>
      <w:tr w:rsidR="00F77D47" w:rsidRPr="00E33FDD" w14:paraId="031CD409" w14:textId="47A1A553"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4D803FF3" w14:textId="77777777" w:rsidR="00F77D47" w:rsidRPr="00E33FDD" w:rsidRDefault="00F77D47" w:rsidP="00F77D47">
            <w:pPr>
              <w:jc w:val="center"/>
              <w:rPr>
                <w:sz w:val="20"/>
                <w:szCs w:val="20"/>
              </w:rPr>
            </w:pPr>
            <w:r w:rsidRPr="00E33FDD">
              <w:rPr>
                <w:sz w:val="20"/>
                <w:szCs w:val="20"/>
              </w:rPr>
              <w:t>200934</w:t>
            </w:r>
          </w:p>
        </w:tc>
        <w:tc>
          <w:tcPr>
            <w:tcW w:w="306" w:type="dxa"/>
            <w:tcBorders>
              <w:top w:val="nil"/>
              <w:left w:val="nil"/>
              <w:bottom w:val="nil"/>
              <w:right w:val="nil"/>
            </w:tcBorders>
            <w:shd w:val="clear" w:color="auto" w:fill="auto"/>
            <w:noWrap/>
            <w:vAlign w:val="bottom"/>
            <w:hideMark/>
          </w:tcPr>
          <w:p w14:paraId="4C222804"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565FA04"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4435601E"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4EB5319E"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83D689F"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6E356A9"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A803C07"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48BBFF3"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04F73DF" w14:textId="77777777"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79CC1AA3" w14:textId="356A5864" w:rsidR="00F77D47" w:rsidRPr="00E33FDD" w:rsidRDefault="00F77D47" w:rsidP="00F77D47">
            <w:pPr>
              <w:jc w:val="center"/>
              <w:rPr>
                <w:sz w:val="20"/>
                <w:szCs w:val="20"/>
              </w:rPr>
            </w:pPr>
            <w:r w:rsidRPr="00E33FDD">
              <w:rPr>
                <w:sz w:val="20"/>
                <w:szCs w:val="20"/>
              </w:rPr>
              <w:t>201114</w:t>
            </w:r>
          </w:p>
        </w:tc>
        <w:tc>
          <w:tcPr>
            <w:tcW w:w="306" w:type="dxa"/>
            <w:tcBorders>
              <w:top w:val="nil"/>
              <w:left w:val="nil"/>
              <w:bottom w:val="nil"/>
              <w:right w:val="nil"/>
            </w:tcBorders>
            <w:vAlign w:val="bottom"/>
          </w:tcPr>
          <w:p w14:paraId="0718406A" w14:textId="4BCDBD9C"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A112253" w14:textId="2EEFE44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1CCC3F3" w14:textId="4414A8F8"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00C9C2AE" w14:textId="67A308A2"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73E428F" w14:textId="748F272F"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0FE1025B" w14:textId="32DF2B57"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EAFD224" w14:textId="368E666C"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A1D7FA1" w14:textId="0FFC1175"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8B60114" w14:textId="54366F46"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095441F2" w14:textId="66B1B359" w:rsidR="00F77D47" w:rsidRPr="00E33FDD" w:rsidRDefault="00F77D47" w:rsidP="00F77D47">
            <w:pPr>
              <w:jc w:val="center"/>
              <w:rPr>
                <w:sz w:val="20"/>
                <w:szCs w:val="20"/>
              </w:rPr>
            </w:pPr>
            <w:r w:rsidRPr="00E33FDD">
              <w:rPr>
                <w:sz w:val="20"/>
                <w:szCs w:val="20"/>
              </w:rPr>
              <w:t>201227</w:t>
            </w:r>
          </w:p>
        </w:tc>
        <w:tc>
          <w:tcPr>
            <w:tcW w:w="306" w:type="dxa"/>
            <w:tcBorders>
              <w:top w:val="nil"/>
              <w:left w:val="nil"/>
              <w:bottom w:val="nil"/>
              <w:right w:val="nil"/>
            </w:tcBorders>
            <w:vAlign w:val="bottom"/>
          </w:tcPr>
          <w:p w14:paraId="0072A70D" w14:textId="4A3A5C2F"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497F51CC" w14:textId="3BEF64C5"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471E22B" w14:textId="69F9B06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D3B1ADA" w14:textId="2AF173A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2335DC0" w14:textId="0BEDA5E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9713B7F" w14:textId="37027486"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7A08463" w14:textId="743CF7D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6E39AE1" w14:textId="61FCF80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1F504BB4" w14:textId="40C40760" w:rsidR="00F77D47" w:rsidRPr="00E33FDD" w:rsidRDefault="00F77D47" w:rsidP="00F77D47">
            <w:pPr>
              <w:jc w:val="center"/>
              <w:rPr>
                <w:sz w:val="20"/>
                <w:szCs w:val="20"/>
              </w:rPr>
            </w:pPr>
            <w:r w:rsidRPr="00E33FDD">
              <w:rPr>
                <w:sz w:val="20"/>
                <w:szCs w:val="20"/>
              </w:rPr>
              <w:t>0</w:t>
            </w:r>
          </w:p>
        </w:tc>
      </w:tr>
      <w:tr w:rsidR="00F77D47" w:rsidRPr="00E33FDD" w14:paraId="5D98C3FA" w14:textId="6674F71B"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03FEFC38" w14:textId="77777777" w:rsidR="00F77D47" w:rsidRPr="00E33FDD" w:rsidRDefault="00F77D47" w:rsidP="00F77D47">
            <w:pPr>
              <w:jc w:val="center"/>
              <w:rPr>
                <w:sz w:val="20"/>
                <w:szCs w:val="20"/>
              </w:rPr>
            </w:pPr>
            <w:r w:rsidRPr="00E33FDD">
              <w:rPr>
                <w:sz w:val="20"/>
                <w:szCs w:val="20"/>
              </w:rPr>
              <w:t>200935</w:t>
            </w:r>
          </w:p>
        </w:tc>
        <w:tc>
          <w:tcPr>
            <w:tcW w:w="306" w:type="dxa"/>
            <w:tcBorders>
              <w:top w:val="nil"/>
              <w:left w:val="nil"/>
              <w:bottom w:val="nil"/>
              <w:right w:val="nil"/>
            </w:tcBorders>
            <w:shd w:val="clear" w:color="auto" w:fill="auto"/>
            <w:noWrap/>
            <w:vAlign w:val="bottom"/>
            <w:hideMark/>
          </w:tcPr>
          <w:p w14:paraId="681EB2DE"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CC0D3FC"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0C917145"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42B32E52"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F04D9DA"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82666C6"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64418707"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0E61439"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5A2B223" w14:textId="77777777"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3E0DA9C2" w14:textId="4757ABFE" w:rsidR="00F77D47" w:rsidRPr="00E33FDD" w:rsidRDefault="00F77D47" w:rsidP="00F77D47">
            <w:pPr>
              <w:jc w:val="center"/>
              <w:rPr>
                <w:sz w:val="20"/>
                <w:szCs w:val="20"/>
              </w:rPr>
            </w:pPr>
            <w:r w:rsidRPr="00E33FDD">
              <w:rPr>
                <w:sz w:val="20"/>
                <w:szCs w:val="20"/>
              </w:rPr>
              <w:t>201117</w:t>
            </w:r>
          </w:p>
        </w:tc>
        <w:tc>
          <w:tcPr>
            <w:tcW w:w="306" w:type="dxa"/>
            <w:tcBorders>
              <w:top w:val="nil"/>
              <w:left w:val="nil"/>
              <w:bottom w:val="nil"/>
              <w:right w:val="nil"/>
            </w:tcBorders>
            <w:vAlign w:val="bottom"/>
          </w:tcPr>
          <w:p w14:paraId="6CCBECE8" w14:textId="096E07C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3EAC939" w14:textId="5D2CB18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185A025" w14:textId="16A3AB9D"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3A7A9CB" w14:textId="1FFB6D85"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1229A053" w14:textId="0BA545BC"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73EB234A" w14:textId="5E70FC89"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A3CF76F" w14:textId="2F94F94C"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7FED228E" w14:textId="012CB72C"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7539B7F" w14:textId="2B7BCF4E"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6D811EFE" w14:textId="3B5BB7C1" w:rsidR="00F77D47" w:rsidRPr="00E33FDD" w:rsidRDefault="00F77D47" w:rsidP="00F77D47">
            <w:pPr>
              <w:jc w:val="center"/>
              <w:rPr>
                <w:sz w:val="20"/>
                <w:szCs w:val="20"/>
              </w:rPr>
            </w:pPr>
            <w:r w:rsidRPr="00E33FDD">
              <w:rPr>
                <w:sz w:val="20"/>
                <w:szCs w:val="20"/>
              </w:rPr>
              <w:t>201228</w:t>
            </w:r>
          </w:p>
        </w:tc>
        <w:tc>
          <w:tcPr>
            <w:tcW w:w="306" w:type="dxa"/>
            <w:tcBorders>
              <w:top w:val="nil"/>
              <w:left w:val="nil"/>
              <w:bottom w:val="nil"/>
              <w:right w:val="nil"/>
            </w:tcBorders>
            <w:vAlign w:val="bottom"/>
          </w:tcPr>
          <w:p w14:paraId="0D8ED789" w14:textId="48A544B3"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3BEF4D8E" w14:textId="07495BDA"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67F0F8F" w14:textId="24555EFD"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6E951B5" w14:textId="7A29CA8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BB29BDE" w14:textId="304A925A"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3597568" w14:textId="37DD584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E1279C7" w14:textId="419107A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972D389" w14:textId="73DFFD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3038A1EC" w14:textId="730BAFF8" w:rsidR="00F77D47" w:rsidRPr="00E33FDD" w:rsidRDefault="00F77D47" w:rsidP="00F77D47">
            <w:pPr>
              <w:jc w:val="center"/>
              <w:rPr>
                <w:sz w:val="20"/>
                <w:szCs w:val="20"/>
              </w:rPr>
            </w:pPr>
            <w:r w:rsidRPr="00E33FDD">
              <w:rPr>
                <w:sz w:val="20"/>
                <w:szCs w:val="20"/>
              </w:rPr>
              <w:t>0</w:t>
            </w:r>
          </w:p>
        </w:tc>
      </w:tr>
      <w:tr w:rsidR="00F77D47" w:rsidRPr="00E33FDD" w14:paraId="100464E8" w14:textId="07A8AFC8"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48A330CD" w14:textId="77777777" w:rsidR="00F77D47" w:rsidRPr="00E33FDD" w:rsidRDefault="00F77D47" w:rsidP="00F77D47">
            <w:pPr>
              <w:jc w:val="center"/>
              <w:rPr>
                <w:sz w:val="20"/>
                <w:szCs w:val="20"/>
              </w:rPr>
            </w:pPr>
            <w:r w:rsidRPr="00E33FDD">
              <w:rPr>
                <w:sz w:val="20"/>
                <w:szCs w:val="20"/>
              </w:rPr>
              <w:t>200936</w:t>
            </w:r>
          </w:p>
        </w:tc>
        <w:tc>
          <w:tcPr>
            <w:tcW w:w="306" w:type="dxa"/>
            <w:tcBorders>
              <w:top w:val="nil"/>
              <w:left w:val="nil"/>
              <w:bottom w:val="nil"/>
              <w:right w:val="nil"/>
            </w:tcBorders>
            <w:shd w:val="clear" w:color="auto" w:fill="auto"/>
            <w:noWrap/>
            <w:vAlign w:val="bottom"/>
            <w:hideMark/>
          </w:tcPr>
          <w:p w14:paraId="3794004A"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3DBEC3A"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670242A3"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5CC351B0"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C21AB0C"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2ABCA98"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5387FDE3"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323D10C"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0177C32" w14:textId="77777777"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15481FB7" w14:textId="47CC9F48" w:rsidR="00F77D47" w:rsidRPr="00E33FDD" w:rsidRDefault="00F77D47" w:rsidP="00F77D47">
            <w:pPr>
              <w:jc w:val="center"/>
              <w:rPr>
                <w:sz w:val="20"/>
                <w:szCs w:val="20"/>
              </w:rPr>
            </w:pPr>
            <w:r w:rsidRPr="00E33FDD">
              <w:rPr>
                <w:sz w:val="20"/>
                <w:szCs w:val="20"/>
              </w:rPr>
              <w:t>201118</w:t>
            </w:r>
          </w:p>
        </w:tc>
        <w:tc>
          <w:tcPr>
            <w:tcW w:w="306" w:type="dxa"/>
            <w:tcBorders>
              <w:top w:val="nil"/>
              <w:left w:val="nil"/>
              <w:bottom w:val="nil"/>
              <w:right w:val="nil"/>
            </w:tcBorders>
            <w:vAlign w:val="bottom"/>
          </w:tcPr>
          <w:p w14:paraId="1B9FD833" w14:textId="1007582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17E7A87" w14:textId="04CC8005"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4255476" w14:textId="345802BA"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0BB78FA1" w14:textId="2F6D7B47"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1C0DD4C1" w14:textId="161F273D"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BA80218" w14:textId="44311DD6"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0893CB50" w14:textId="2B5269F1"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8EB7A54" w14:textId="13B71C2B"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CC0C02E" w14:textId="72C05A63"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3999927B" w14:textId="226AB31C" w:rsidR="00F77D47" w:rsidRPr="00E33FDD" w:rsidRDefault="00F77D47" w:rsidP="00F77D47">
            <w:pPr>
              <w:jc w:val="center"/>
              <w:rPr>
                <w:sz w:val="20"/>
                <w:szCs w:val="20"/>
              </w:rPr>
            </w:pPr>
            <w:r w:rsidRPr="00E33FDD">
              <w:rPr>
                <w:sz w:val="20"/>
                <w:szCs w:val="20"/>
              </w:rPr>
              <w:t>201229</w:t>
            </w:r>
          </w:p>
        </w:tc>
        <w:tc>
          <w:tcPr>
            <w:tcW w:w="306" w:type="dxa"/>
            <w:tcBorders>
              <w:top w:val="nil"/>
              <w:left w:val="nil"/>
              <w:bottom w:val="nil"/>
              <w:right w:val="nil"/>
            </w:tcBorders>
            <w:vAlign w:val="bottom"/>
          </w:tcPr>
          <w:p w14:paraId="53955691" w14:textId="7265EFF1"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2326E95F" w14:textId="4BB2E84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6D39C2F" w14:textId="29861C8D"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9009453" w14:textId="19021382"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38382F4" w14:textId="7FB3243C"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22C90FB" w14:textId="168212FA"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743D230" w14:textId="171EB9FE"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981EFDE" w14:textId="10D20F75"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D6C4559" w14:textId="65A7A83C" w:rsidR="00F77D47" w:rsidRPr="00E33FDD" w:rsidRDefault="00F77D47" w:rsidP="00F77D47">
            <w:pPr>
              <w:jc w:val="center"/>
              <w:rPr>
                <w:sz w:val="20"/>
                <w:szCs w:val="20"/>
              </w:rPr>
            </w:pPr>
            <w:r w:rsidRPr="00E33FDD">
              <w:rPr>
                <w:sz w:val="20"/>
                <w:szCs w:val="20"/>
              </w:rPr>
              <w:t>0</w:t>
            </w:r>
          </w:p>
        </w:tc>
      </w:tr>
      <w:tr w:rsidR="00F77D47" w:rsidRPr="00E33FDD" w14:paraId="265E1A4E" w14:textId="6DAD6249"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139FCA7C" w14:textId="77777777" w:rsidR="00F77D47" w:rsidRPr="00E33FDD" w:rsidRDefault="00F77D47" w:rsidP="00F77D47">
            <w:pPr>
              <w:jc w:val="center"/>
              <w:rPr>
                <w:sz w:val="20"/>
                <w:szCs w:val="20"/>
              </w:rPr>
            </w:pPr>
            <w:r w:rsidRPr="00E33FDD">
              <w:rPr>
                <w:sz w:val="20"/>
                <w:szCs w:val="20"/>
              </w:rPr>
              <w:t>200937</w:t>
            </w:r>
          </w:p>
        </w:tc>
        <w:tc>
          <w:tcPr>
            <w:tcW w:w="306" w:type="dxa"/>
            <w:tcBorders>
              <w:top w:val="nil"/>
              <w:left w:val="nil"/>
              <w:bottom w:val="nil"/>
              <w:right w:val="nil"/>
            </w:tcBorders>
            <w:shd w:val="clear" w:color="auto" w:fill="auto"/>
            <w:noWrap/>
            <w:vAlign w:val="bottom"/>
            <w:hideMark/>
          </w:tcPr>
          <w:p w14:paraId="7427C558"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4CABA0E"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605072F1"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95668D0"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2FF9E32"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364CB91"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CE246A1"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FBC56DE"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75D6E53" w14:textId="77777777"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06435BC1" w14:textId="58586DB7" w:rsidR="00F77D47" w:rsidRPr="00E33FDD" w:rsidRDefault="00F77D47" w:rsidP="00F77D47">
            <w:pPr>
              <w:jc w:val="center"/>
              <w:rPr>
                <w:sz w:val="20"/>
                <w:szCs w:val="20"/>
              </w:rPr>
            </w:pPr>
            <w:r w:rsidRPr="00E33FDD">
              <w:rPr>
                <w:sz w:val="20"/>
                <w:szCs w:val="20"/>
              </w:rPr>
              <w:t>201119</w:t>
            </w:r>
          </w:p>
        </w:tc>
        <w:tc>
          <w:tcPr>
            <w:tcW w:w="306" w:type="dxa"/>
            <w:tcBorders>
              <w:top w:val="nil"/>
              <w:left w:val="nil"/>
              <w:bottom w:val="nil"/>
              <w:right w:val="nil"/>
            </w:tcBorders>
            <w:vAlign w:val="bottom"/>
          </w:tcPr>
          <w:p w14:paraId="52A75A75" w14:textId="5375F91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7FF938F" w14:textId="6FE1F1F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5E579EB" w14:textId="4A0CB8A5"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106F3BB1" w14:textId="65146E07"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1651BBBC" w14:textId="5BCDE572"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CD8F93D" w14:textId="04E83DA1"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7B1E0605" w14:textId="5C90FC97"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9D9E002" w14:textId="4137020D"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6737FAC" w14:textId="7656745A"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57F5C63F" w14:textId="6BEDF07E" w:rsidR="00F77D47" w:rsidRPr="00E33FDD" w:rsidRDefault="00F77D47" w:rsidP="00F77D47">
            <w:pPr>
              <w:jc w:val="center"/>
              <w:rPr>
                <w:sz w:val="20"/>
                <w:szCs w:val="20"/>
              </w:rPr>
            </w:pPr>
            <w:r w:rsidRPr="00E33FDD">
              <w:rPr>
                <w:sz w:val="20"/>
                <w:szCs w:val="20"/>
              </w:rPr>
              <w:t>201230</w:t>
            </w:r>
          </w:p>
        </w:tc>
        <w:tc>
          <w:tcPr>
            <w:tcW w:w="306" w:type="dxa"/>
            <w:tcBorders>
              <w:top w:val="nil"/>
              <w:left w:val="nil"/>
              <w:bottom w:val="nil"/>
              <w:right w:val="nil"/>
            </w:tcBorders>
            <w:vAlign w:val="bottom"/>
          </w:tcPr>
          <w:p w14:paraId="0AC333C9" w14:textId="223004CA"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7DA651C6" w14:textId="27348C55"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09C1C20" w14:textId="25F84F4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EDC7BD9" w14:textId="42062BB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CEFB19F" w14:textId="01C6D11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4996B84" w14:textId="434F094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27E0F95" w14:textId="4A241162"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A72A712" w14:textId="64BBC19A"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FA08D92" w14:textId="11FF2B75" w:rsidR="00F77D47" w:rsidRPr="00E33FDD" w:rsidRDefault="00F77D47" w:rsidP="00F77D47">
            <w:pPr>
              <w:jc w:val="center"/>
              <w:rPr>
                <w:sz w:val="20"/>
                <w:szCs w:val="20"/>
              </w:rPr>
            </w:pPr>
            <w:r w:rsidRPr="00E33FDD">
              <w:rPr>
                <w:sz w:val="20"/>
                <w:szCs w:val="20"/>
              </w:rPr>
              <w:t>0</w:t>
            </w:r>
          </w:p>
        </w:tc>
      </w:tr>
      <w:tr w:rsidR="00F77D47" w:rsidRPr="00E33FDD" w14:paraId="64E9E5DE" w14:textId="3D63E80A"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0323E600" w14:textId="77777777" w:rsidR="00F77D47" w:rsidRPr="00E33FDD" w:rsidRDefault="00F77D47" w:rsidP="00F77D47">
            <w:pPr>
              <w:jc w:val="center"/>
              <w:rPr>
                <w:sz w:val="20"/>
                <w:szCs w:val="20"/>
              </w:rPr>
            </w:pPr>
            <w:r w:rsidRPr="00E33FDD">
              <w:rPr>
                <w:sz w:val="20"/>
                <w:szCs w:val="20"/>
              </w:rPr>
              <w:t>200944</w:t>
            </w:r>
          </w:p>
        </w:tc>
        <w:tc>
          <w:tcPr>
            <w:tcW w:w="306" w:type="dxa"/>
            <w:tcBorders>
              <w:top w:val="nil"/>
              <w:left w:val="nil"/>
              <w:bottom w:val="nil"/>
              <w:right w:val="nil"/>
            </w:tcBorders>
            <w:shd w:val="clear" w:color="auto" w:fill="auto"/>
            <w:noWrap/>
            <w:vAlign w:val="bottom"/>
            <w:hideMark/>
          </w:tcPr>
          <w:p w14:paraId="133B424E"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36B5592"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7BEAB77"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8C4BD82"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EA716CC"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B22392C"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AF81524"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0A4FDCD9"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4D83159" w14:textId="77777777"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2EF0DF6B" w14:textId="6DBA9368" w:rsidR="00F77D47" w:rsidRPr="00E33FDD" w:rsidRDefault="00F77D47" w:rsidP="00F77D47">
            <w:pPr>
              <w:jc w:val="center"/>
              <w:rPr>
                <w:sz w:val="20"/>
                <w:szCs w:val="20"/>
              </w:rPr>
            </w:pPr>
            <w:r w:rsidRPr="00E33FDD">
              <w:rPr>
                <w:sz w:val="20"/>
                <w:szCs w:val="20"/>
              </w:rPr>
              <w:t>201120</w:t>
            </w:r>
          </w:p>
        </w:tc>
        <w:tc>
          <w:tcPr>
            <w:tcW w:w="306" w:type="dxa"/>
            <w:tcBorders>
              <w:top w:val="nil"/>
              <w:left w:val="nil"/>
              <w:bottom w:val="nil"/>
              <w:right w:val="nil"/>
            </w:tcBorders>
            <w:vAlign w:val="bottom"/>
          </w:tcPr>
          <w:p w14:paraId="0EDAF8EA" w14:textId="29B60095"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4B5C664" w14:textId="46411B16"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6A81DD1F" w14:textId="4AB8F55B"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709CA274" w14:textId="34A98025"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41142C9" w14:textId="65A5EE58"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709013F5" w14:textId="29B59D2E"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453CE25" w14:textId="375BC72D"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E181B23" w14:textId="56F4DE8A"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DD5E24F" w14:textId="0B0A4222"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5157CD4F" w14:textId="0532DA4F" w:rsidR="00F77D47" w:rsidRPr="00E33FDD" w:rsidRDefault="00F77D47" w:rsidP="00F77D47">
            <w:pPr>
              <w:jc w:val="center"/>
              <w:rPr>
                <w:sz w:val="20"/>
                <w:szCs w:val="20"/>
              </w:rPr>
            </w:pPr>
            <w:r w:rsidRPr="00E33FDD">
              <w:rPr>
                <w:sz w:val="20"/>
                <w:szCs w:val="20"/>
              </w:rPr>
              <w:t>201231</w:t>
            </w:r>
          </w:p>
        </w:tc>
        <w:tc>
          <w:tcPr>
            <w:tcW w:w="306" w:type="dxa"/>
            <w:tcBorders>
              <w:top w:val="nil"/>
              <w:left w:val="nil"/>
              <w:bottom w:val="nil"/>
              <w:right w:val="nil"/>
            </w:tcBorders>
            <w:vAlign w:val="bottom"/>
          </w:tcPr>
          <w:p w14:paraId="306C3D05" w14:textId="0AEDC206"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436DC32E" w14:textId="5E3911EE"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4E597CC" w14:textId="4E71C8AD"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1C2C04A" w14:textId="7E2C804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4AEB30C" w14:textId="0C42A93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470D122" w14:textId="7462997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D17936C" w14:textId="05A5649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1FBA8DA" w14:textId="350F99FE"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CC9A4D8" w14:textId="32936929" w:rsidR="00F77D47" w:rsidRPr="00E33FDD" w:rsidRDefault="00F77D47" w:rsidP="00F77D47">
            <w:pPr>
              <w:jc w:val="center"/>
              <w:rPr>
                <w:sz w:val="20"/>
                <w:szCs w:val="20"/>
              </w:rPr>
            </w:pPr>
            <w:r w:rsidRPr="00E33FDD">
              <w:rPr>
                <w:sz w:val="20"/>
                <w:szCs w:val="20"/>
              </w:rPr>
              <w:t>0</w:t>
            </w:r>
          </w:p>
        </w:tc>
      </w:tr>
      <w:tr w:rsidR="00F77D47" w:rsidRPr="00E33FDD" w14:paraId="0BD0738C" w14:textId="1EC5CAD0"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7C245AE0" w14:textId="77777777" w:rsidR="00F77D47" w:rsidRPr="00E33FDD" w:rsidRDefault="00F77D47" w:rsidP="00F77D47">
            <w:pPr>
              <w:jc w:val="center"/>
              <w:rPr>
                <w:sz w:val="20"/>
                <w:szCs w:val="20"/>
              </w:rPr>
            </w:pPr>
            <w:r w:rsidRPr="00E33FDD">
              <w:rPr>
                <w:sz w:val="20"/>
                <w:szCs w:val="20"/>
              </w:rPr>
              <w:t>200945</w:t>
            </w:r>
          </w:p>
        </w:tc>
        <w:tc>
          <w:tcPr>
            <w:tcW w:w="306" w:type="dxa"/>
            <w:tcBorders>
              <w:top w:val="nil"/>
              <w:left w:val="nil"/>
              <w:bottom w:val="nil"/>
              <w:right w:val="nil"/>
            </w:tcBorders>
            <w:shd w:val="clear" w:color="auto" w:fill="auto"/>
            <w:noWrap/>
            <w:vAlign w:val="bottom"/>
            <w:hideMark/>
          </w:tcPr>
          <w:p w14:paraId="19BF2C6D"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6181E8C"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658CF9A"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821329E"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C9FB1FD"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57C018A"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153E1AE"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5A057BD1"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F6BF631" w14:textId="77777777"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4EF728A9" w14:textId="2397B858" w:rsidR="00F77D47" w:rsidRPr="00E33FDD" w:rsidRDefault="00F77D47" w:rsidP="00F77D47">
            <w:pPr>
              <w:jc w:val="center"/>
              <w:rPr>
                <w:sz w:val="20"/>
                <w:szCs w:val="20"/>
              </w:rPr>
            </w:pPr>
            <w:r w:rsidRPr="00E33FDD">
              <w:rPr>
                <w:sz w:val="20"/>
                <w:szCs w:val="20"/>
              </w:rPr>
              <w:t>201121</w:t>
            </w:r>
          </w:p>
        </w:tc>
        <w:tc>
          <w:tcPr>
            <w:tcW w:w="306" w:type="dxa"/>
            <w:tcBorders>
              <w:top w:val="nil"/>
              <w:left w:val="nil"/>
              <w:bottom w:val="nil"/>
              <w:right w:val="nil"/>
            </w:tcBorders>
            <w:vAlign w:val="bottom"/>
          </w:tcPr>
          <w:p w14:paraId="6D9092FA" w14:textId="0E87BEF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F5A222C" w14:textId="08B5F003"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721F5D29" w14:textId="46C5543E"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A3C586F" w14:textId="1B3DAE5C"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081984A7" w14:textId="2856BF1D"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77A3FC3" w14:textId="22EE7E26"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EF37A4D" w14:textId="326A3DA4"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DA7B56F" w14:textId="30CB7B25"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5E85EE1" w14:textId="0940079F"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4E8CCBCF" w14:textId="5C361319" w:rsidR="00F77D47" w:rsidRPr="00E33FDD" w:rsidRDefault="00F77D47" w:rsidP="00F77D47">
            <w:pPr>
              <w:jc w:val="center"/>
              <w:rPr>
                <w:sz w:val="20"/>
                <w:szCs w:val="20"/>
              </w:rPr>
            </w:pPr>
            <w:r w:rsidRPr="00E33FDD">
              <w:rPr>
                <w:sz w:val="20"/>
                <w:szCs w:val="20"/>
              </w:rPr>
              <w:t>201232</w:t>
            </w:r>
          </w:p>
        </w:tc>
        <w:tc>
          <w:tcPr>
            <w:tcW w:w="306" w:type="dxa"/>
            <w:tcBorders>
              <w:top w:val="nil"/>
              <w:left w:val="nil"/>
              <w:bottom w:val="nil"/>
              <w:right w:val="nil"/>
            </w:tcBorders>
            <w:vAlign w:val="bottom"/>
          </w:tcPr>
          <w:p w14:paraId="0A739786" w14:textId="218791AE"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0F88A28F" w14:textId="68EC93C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7D1083E" w14:textId="56ED4142"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DCF7097" w14:textId="66ED5B4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1B8E687" w14:textId="3AD314D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F271AD5" w14:textId="4ED2A35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D70AFEB" w14:textId="01D02AE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9039CD8" w14:textId="2A0A968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50246F6" w14:textId="733E15EE" w:rsidR="00F77D47" w:rsidRPr="00E33FDD" w:rsidRDefault="00F77D47" w:rsidP="00F77D47">
            <w:pPr>
              <w:jc w:val="center"/>
              <w:rPr>
                <w:sz w:val="20"/>
                <w:szCs w:val="20"/>
              </w:rPr>
            </w:pPr>
            <w:r w:rsidRPr="00E33FDD">
              <w:rPr>
                <w:sz w:val="20"/>
                <w:szCs w:val="20"/>
              </w:rPr>
              <w:t>0</w:t>
            </w:r>
          </w:p>
        </w:tc>
      </w:tr>
      <w:tr w:rsidR="00F77D47" w:rsidRPr="00E33FDD" w14:paraId="20D65114" w14:textId="63690416"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56ED68BF" w14:textId="77777777" w:rsidR="00F77D47" w:rsidRPr="00E33FDD" w:rsidRDefault="00F77D47" w:rsidP="00F77D47">
            <w:pPr>
              <w:jc w:val="center"/>
              <w:rPr>
                <w:sz w:val="20"/>
                <w:szCs w:val="20"/>
              </w:rPr>
            </w:pPr>
            <w:r w:rsidRPr="00E33FDD">
              <w:rPr>
                <w:sz w:val="20"/>
                <w:szCs w:val="20"/>
              </w:rPr>
              <w:t>200946</w:t>
            </w:r>
          </w:p>
        </w:tc>
        <w:tc>
          <w:tcPr>
            <w:tcW w:w="306" w:type="dxa"/>
            <w:tcBorders>
              <w:top w:val="nil"/>
              <w:left w:val="nil"/>
              <w:bottom w:val="nil"/>
              <w:right w:val="nil"/>
            </w:tcBorders>
            <w:shd w:val="clear" w:color="auto" w:fill="auto"/>
            <w:noWrap/>
            <w:vAlign w:val="bottom"/>
            <w:hideMark/>
          </w:tcPr>
          <w:p w14:paraId="6CD84BA3"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0DAADC4"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049144B"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E9C3DCA"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AFB3F3B"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3B593E6"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7F7B3BF"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74B79461"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1C43FF4" w14:textId="77777777"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7289385B" w14:textId="787115AE" w:rsidR="00F77D47" w:rsidRPr="00E33FDD" w:rsidRDefault="00F77D47" w:rsidP="00F77D47">
            <w:pPr>
              <w:jc w:val="center"/>
              <w:rPr>
                <w:sz w:val="20"/>
                <w:szCs w:val="20"/>
              </w:rPr>
            </w:pPr>
            <w:r w:rsidRPr="00E33FDD">
              <w:rPr>
                <w:sz w:val="20"/>
                <w:szCs w:val="20"/>
              </w:rPr>
              <w:t>201124</w:t>
            </w:r>
          </w:p>
        </w:tc>
        <w:tc>
          <w:tcPr>
            <w:tcW w:w="306" w:type="dxa"/>
            <w:tcBorders>
              <w:top w:val="nil"/>
              <w:left w:val="nil"/>
              <w:bottom w:val="nil"/>
              <w:right w:val="nil"/>
            </w:tcBorders>
            <w:vAlign w:val="bottom"/>
          </w:tcPr>
          <w:p w14:paraId="25C4D53B" w14:textId="2559B9E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BF24309" w14:textId="7E3CEEBC"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9373B97" w14:textId="029FA81F"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E6CC3CC" w14:textId="4201709F"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DA03D07" w14:textId="4C4A68EB"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190A00D7" w14:textId="5DA7D217"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2E529C3" w14:textId="0A33AA94"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4C7FDF67" w14:textId="7B23AAA8"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0AA49C8" w14:textId="2256E665"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7FDD75EA" w14:textId="2FDC4E96" w:rsidR="00F77D47" w:rsidRPr="00E33FDD" w:rsidRDefault="00F77D47" w:rsidP="00F77D47">
            <w:pPr>
              <w:jc w:val="center"/>
              <w:rPr>
                <w:sz w:val="20"/>
                <w:szCs w:val="20"/>
              </w:rPr>
            </w:pPr>
            <w:r w:rsidRPr="00E33FDD">
              <w:rPr>
                <w:sz w:val="20"/>
                <w:szCs w:val="20"/>
              </w:rPr>
              <w:t>201233</w:t>
            </w:r>
          </w:p>
        </w:tc>
        <w:tc>
          <w:tcPr>
            <w:tcW w:w="306" w:type="dxa"/>
            <w:tcBorders>
              <w:top w:val="nil"/>
              <w:left w:val="nil"/>
              <w:bottom w:val="nil"/>
              <w:right w:val="nil"/>
            </w:tcBorders>
            <w:vAlign w:val="bottom"/>
          </w:tcPr>
          <w:p w14:paraId="6E01804D" w14:textId="31BFA58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AA3F233" w14:textId="203E58D4"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0E8F5B7B" w14:textId="12E2919D"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7E9A984" w14:textId="18F8EA4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002232A" w14:textId="2040B97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33B190D" w14:textId="6E1857AE"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D0BE730" w14:textId="36E8B0A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7BFA3DB" w14:textId="17CE266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ECEAD16" w14:textId="5AA308B1" w:rsidR="00F77D47" w:rsidRPr="00E33FDD" w:rsidRDefault="00F77D47" w:rsidP="00F77D47">
            <w:pPr>
              <w:jc w:val="center"/>
              <w:rPr>
                <w:sz w:val="20"/>
                <w:szCs w:val="20"/>
              </w:rPr>
            </w:pPr>
            <w:r w:rsidRPr="00E33FDD">
              <w:rPr>
                <w:sz w:val="20"/>
                <w:szCs w:val="20"/>
              </w:rPr>
              <w:t>0</w:t>
            </w:r>
          </w:p>
        </w:tc>
      </w:tr>
      <w:tr w:rsidR="00F77D47" w:rsidRPr="00E33FDD" w14:paraId="0C6DB65D" w14:textId="69D310D0"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58F13326" w14:textId="77777777" w:rsidR="00F77D47" w:rsidRPr="00E33FDD" w:rsidRDefault="00F77D47" w:rsidP="00F77D47">
            <w:pPr>
              <w:jc w:val="center"/>
              <w:rPr>
                <w:sz w:val="20"/>
                <w:szCs w:val="20"/>
              </w:rPr>
            </w:pPr>
            <w:r w:rsidRPr="00E33FDD">
              <w:rPr>
                <w:sz w:val="20"/>
                <w:szCs w:val="20"/>
              </w:rPr>
              <w:t>201001</w:t>
            </w:r>
          </w:p>
        </w:tc>
        <w:tc>
          <w:tcPr>
            <w:tcW w:w="306" w:type="dxa"/>
            <w:tcBorders>
              <w:top w:val="nil"/>
              <w:left w:val="nil"/>
              <w:bottom w:val="nil"/>
              <w:right w:val="nil"/>
            </w:tcBorders>
            <w:shd w:val="clear" w:color="auto" w:fill="auto"/>
            <w:noWrap/>
            <w:vAlign w:val="bottom"/>
            <w:hideMark/>
          </w:tcPr>
          <w:p w14:paraId="38440C33"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594E0BD"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5B7E6ED4"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1C6E8F63"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87F90AC"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0DDE9CE"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C5F5D13"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182888F"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7BD8396" w14:textId="77777777"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696A6959" w14:textId="7AD171CD" w:rsidR="00F77D47" w:rsidRPr="00E33FDD" w:rsidRDefault="00F77D47" w:rsidP="00F77D47">
            <w:pPr>
              <w:jc w:val="center"/>
              <w:rPr>
                <w:sz w:val="20"/>
                <w:szCs w:val="20"/>
              </w:rPr>
            </w:pPr>
            <w:r w:rsidRPr="00E33FDD">
              <w:rPr>
                <w:sz w:val="20"/>
                <w:szCs w:val="20"/>
              </w:rPr>
              <w:t>201125</w:t>
            </w:r>
          </w:p>
        </w:tc>
        <w:tc>
          <w:tcPr>
            <w:tcW w:w="306" w:type="dxa"/>
            <w:tcBorders>
              <w:top w:val="nil"/>
              <w:left w:val="nil"/>
              <w:bottom w:val="nil"/>
              <w:right w:val="nil"/>
            </w:tcBorders>
            <w:vAlign w:val="bottom"/>
          </w:tcPr>
          <w:p w14:paraId="0DDFBB0B" w14:textId="5007BFC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8FCB1EE" w14:textId="545439BC"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8D00141" w14:textId="3E37CD58"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4A8D761" w14:textId="7DCD7FF5"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C5B8233" w14:textId="4FB2D5C9"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4C82FE8" w14:textId="1AC05C8F"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14DBF7C" w14:textId="60AB99F0"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5EB7D28F" w14:textId="323D6AAC"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D15A1F9" w14:textId="79322432"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51F3A81F" w14:textId="3B9143A5" w:rsidR="00F77D47" w:rsidRPr="00E33FDD" w:rsidRDefault="00F77D47" w:rsidP="00F77D47">
            <w:pPr>
              <w:jc w:val="center"/>
              <w:rPr>
                <w:sz w:val="20"/>
                <w:szCs w:val="20"/>
              </w:rPr>
            </w:pPr>
            <w:r w:rsidRPr="00E33FDD">
              <w:rPr>
                <w:sz w:val="20"/>
                <w:szCs w:val="20"/>
              </w:rPr>
              <w:t>201234</w:t>
            </w:r>
          </w:p>
        </w:tc>
        <w:tc>
          <w:tcPr>
            <w:tcW w:w="306" w:type="dxa"/>
            <w:tcBorders>
              <w:top w:val="nil"/>
              <w:left w:val="nil"/>
              <w:bottom w:val="nil"/>
              <w:right w:val="nil"/>
            </w:tcBorders>
            <w:vAlign w:val="bottom"/>
          </w:tcPr>
          <w:p w14:paraId="0B857EDD" w14:textId="4EDCE682"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B609058" w14:textId="0B83F3B4"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628E5250" w14:textId="6028F82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0AFE2D5" w14:textId="1EC435F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9FF0952" w14:textId="68567FF2"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2A08EC1" w14:textId="59774A7E"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8156E18" w14:textId="5071ACF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02551C1" w14:textId="3405A732"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138E403" w14:textId="57EC01BA" w:rsidR="00F77D47" w:rsidRPr="00E33FDD" w:rsidRDefault="00F77D47" w:rsidP="00F77D47">
            <w:pPr>
              <w:jc w:val="center"/>
              <w:rPr>
                <w:sz w:val="20"/>
                <w:szCs w:val="20"/>
              </w:rPr>
            </w:pPr>
            <w:r w:rsidRPr="00E33FDD">
              <w:rPr>
                <w:sz w:val="20"/>
                <w:szCs w:val="20"/>
              </w:rPr>
              <w:t>0</w:t>
            </w:r>
          </w:p>
        </w:tc>
      </w:tr>
      <w:tr w:rsidR="00F77D47" w:rsidRPr="00E33FDD" w14:paraId="3EF9A4E6" w14:textId="5E9028DF"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67F9B47C" w14:textId="77777777" w:rsidR="00F77D47" w:rsidRPr="00E33FDD" w:rsidRDefault="00F77D47" w:rsidP="00F77D47">
            <w:pPr>
              <w:jc w:val="center"/>
              <w:rPr>
                <w:sz w:val="20"/>
                <w:szCs w:val="20"/>
              </w:rPr>
            </w:pPr>
            <w:r w:rsidRPr="00E33FDD">
              <w:rPr>
                <w:sz w:val="20"/>
                <w:szCs w:val="20"/>
              </w:rPr>
              <w:t>201002</w:t>
            </w:r>
          </w:p>
        </w:tc>
        <w:tc>
          <w:tcPr>
            <w:tcW w:w="306" w:type="dxa"/>
            <w:tcBorders>
              <w:top w:val="nil"/>
              <w:left w:val="nil"/>
              <w:bottom w:val="nil"/>
              <w:right w:val="nil"/>
            </w:tcBorders>
            <w:shd w:val="clear" w:color="auto" w:fill="auto"/>
            <w:noWrap/>
            <w:vAlign w:val="bottom"/>
            <w:hideMark/>
          </w:tcPr>
          <w:p w14:paraId="718DDF0F"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AB33B15"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78EE7F8C"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70A025C7"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AD63050"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60851FE"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83E4A73"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8BAFB10"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83E741F" w14:textId="77777777"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038B965B" w14:textId="13A37898" w:rsidR="00F77D47" w:rsidRPr="00E33FDD" w:rsidRDefault="00F77D47" w:rsidP="00F77D47">
            <w:pPr>
              <w:jc w:val="center"/>
              <w:rPr>
                <w:sz w:val="20"/>
                <w:szCs w:val="20"/>
              </w:rPr>
            </w:pPr>
            <w:r w:rsidRPr="00E33FDD">
              <w:rPr>
                <w:sz w:val="20"/>
                <w:szCs w:val="20"/>
              </w:rPr>
              <w:t>201126</w:t>
            </w:r>
          </w:p>
        </w:tc>
        <w:tc>
          <w:tcPr>
            <w:tcW w:w="306" w:type="dxa"/>
            <w:tcBorders>
              <w:top w:val="nil"/>
              <w:left w:val="nil"/>
              <w:bottom w:val="nil"/>
              <w:right w:val="nil"/>
            </w:tcBorders>
            <w:vAlign w:val="bottom"/>
          </w:tcPr>
          <w:p w14:paraId="2AB693ED" w14:textId="01561E6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B50298E" w14:textId="5FD8742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297F3B1" w14:textId="0DED2B94"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BCC0E90" w14:textId="5EAD942C"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0E578D25" w14:textId="441A39CB"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9FF6071" w14:textId="3D280A78"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8D68656" w14:textId="442682BF"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68EC605D" w14:textId="1472BB79"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F39C8CB" w14:textId="108EBB85"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76D8FAFF" w14:textId="140B313D" w:rsidR="00F77D47" w:rsidRPr="00E33FDD" w:rsidRDefault="00F77D47" w:rsidP="00F77D47">
            <w:pPr>
              <w:jc w:val="center"/>
              <w:rPr>
                <w:sz w:val="20"/>
                <w:szCs w:val="20"/>
              </w:rPr>
            </w:pPr>
            <w:r w:rsidRPr="00E33FDD">
              <w:rPr>
                <w:sz w:val="20"/>
                <w:szCs w:val="20"/>
              </w:rPr>
              <w:t>201235</w:t>
            </w:r>
          </w:p>
        </w:tc>
        <w:tc>
          <w:tcPr>
            <w:tcW w:w="306" w:type="dxa"/>
            <w:tcBorders>
              <w:top w:val="nil"/>
              <w:left w:val="nil"/>
              <w:bottom w:val="nil"/>
              <w:right w:val="nil"/>
            </w:tcBorders>
            <w:vAlign w:val="bottom"/>
          </w:tcPr>
          <w:p w14:paraId="7D21EE03" w14:textId="0C6C9D85"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9B4E027" w14:textId="3DE3BF2C"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4B0803C5" w14:textId="6529DC3D"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2EBD7938" w14:textId="11F30786"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415C261" w14:textId="337460B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625A0F5" w14:textId="12AF3FCC"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1CECD6B" w14:textId="682F3D7D"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2EF8C41" w14:textId="7756D01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B7CCE6C" w14:textId="58799024" w:rsidR="00F77D47" w:rsidRPr="00E33FDD" w:rsidRDefault="00F77D47" w:rsidP="00F77D47">
            <w:pPr>
              <w:jc w:val="center"/>
              <w:rPr>
                <w:sz w:val="20"/>
                <w:szCs w:val="20"/>
              </w:rPr>
            </w:pPr>
            <w:r w:rsidRPr="00E33FDD">
              <w:rPr>
                <w:sz w:val="20"/>
                <w:szCs w:val="20"/>
              </w:rPr>
              <w:t>0</w:t>
            </w:r>
          </w:p>
        </w:tc>
      </w:tr>
      <w:tr w:rsidR="00F77D47" w:rsidRPr="00E33FDD" w14:paraId="101ED98A" w14:textId="5E07F626"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0A37EB04" w14:textId="77777777" w:rsidR="00F77D47" w:rsidRPr="00E33FDD" w:rsidRDefault="00F77D47" w:rsidP="00F77D47">
            <w:pPr>
              <w:jc w:val="center"/>
              <w:rPr>
                <w:sz w:val="20"/>
                <w:szCs w:val="20"/>
              </w:rPr>
            </w:pPr>
            <w:r w:rsidRPr="00E33FDD">
              <w:rPr>
                <w:sz w:val="20"/>
                <w:szCs w:val="20"/>
              </w:rPr>
              <w:t>201003</w:t>
            </w:r>
          </w:p>
        </w:tc>
        <w:tc>
          <w:tcPr>
            <w:tcW w:w="306" w:type="dxa"/>
            <w:tcBorders>
              <w:top w:val="nil"/>
              <w:left w:val="nil"/>
              <w:bottom w:val="nil"/>
              <w:right w:val="nil"/>
            </w:tcBorders>
            <w:shd w:val="clear" w:color="auto" w:fill="auto"/>
            <w:noWrap/>
            <w:vAlign w:val="bottom"/>
            <w:hideMark/>
          </w:tcPr>
          <w:p w14:paraId="1E3FBBAB"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E0F3FFA"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7A161DC7"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3D8151D4"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52D19A5"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E3D8A6F"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9F4A6B5"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9AC3430"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4E5AE563" w14:textId="77777777"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1D82754C" w14:textId="4EBC9763" w:rsidR="00F77D47" w:rsidRPr="00E33FDD" w:rsidRDefault="00F77D47" w:rsidP="00F77D47">
            <w:pPr>
              <w:jc w:val="center"/>
              <w:rPr>
                <w:sz w:val="20"/>
                <w:szCs w:val="20"/>
              </w:rPr>
            </w:pPr>
            <w:r w:rsidRPr="00E33FDD">
              <w:rPr>
                <w:sz w:val="20"/>
                <w:szCs w:val="20"/>
              </w:rPr>
              <w:t>201133</w:t>
            </w:r>
          </w:p>
        </w:tc>
        <w:tc>
          <w:tcPr>
            <w:tcW w:w="306" w:type="dxa"/>
            <w:tcBorders>
              <w:top w:val="nil"/>
              <w:left w:val="nil"/>
              <w:bottom w:val="nil"/>
              <w:right w:val="nil"/>
            </w:tcBorders>
            <w:vAlign w:val="bottom"/>
          </w:tcPr>
          <w:p w14:paraId="2A7F5C37" w14:textId="3408820A"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76048B0" w14:textId="457181A4"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73BF93FB" w14:textId="2E873969"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2399D3F" w14:textId="14B239E7"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7524A96" w14:textId="146414B5"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4973E8D" w14:textId="5E7B29A9"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5B19338" w14:textId="35FA244B"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18699F1E" w14:textId="584F1A4D"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709F839" w14:textId="6DB0D9A1"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448470A2" w14:textId="4A9B9F1A" w:rsidR="00F77D47" w:rsidRPr="00E33FDD" w:rsidRDefault="00F77D47" w:rsidP="00F77D47">
            <w:pPr>
              <w:jc w:val="center"/>
              <w:rPr>
                <w:sz w:val="20"/>
                <w:szCs w:val="20"/>
              </w:rPr>
            </w:pPr>
            <w:r w:rsidRPr="00E33FDD">
              <w:rPr>
                <w:sz w:val="20"/>
                <w:szCs w:val="20"/>
              </w:rPr>
              <w:t>201236</w:t>
            </w:r>
          </w:p>
        </w:tc>
        <w:tc>
          <w:tcPr>
            <w:tcW w:w="306" w:type="dxa"/>
            <w:tcBorders>
              <w:top w:val="nil"/>
              <w:left w:val="nil"/>
              <w:bottom w:val="nil"/>
              <w:right w:val="nil"/>
            </w:tcBorders>
            <w:vAlign w:val="bottom"/>
          </w:tcPr>
          <w:p w14:paraId="27E1CD19" w14:textId="4F33831C"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C85EE2F" w14:textId="06399AC6"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90F3A18" w14:textId="6AF349FC"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73945534" w14:textId="126A4142"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8E7726D" w14:textId="11564C6F"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7E4BED5" w14:textId="36BEEE6E"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21DB29E" w14:textId="55CDBCF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C2D7848" w14:textId="50D722C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27B05BD" w14:textId="685D037A" w:rsidR="00F77D47" w:rsidRPr="00E33FDD" w:rsidRDefault="00F77D47" w:rsidP="00F77D47">
            <w:pPr>
              <w:jc w:val="center"/>
              <w:rPr>
                <w:sz w:val="20"/>
                <w:szCs w:val="20"/>
              </w:rPr>
            </w:pPr>
            <w:r w:rsidRPr="00E33FDD">
              <w:rPr>
                <w:sz w:val="20"/>
                <w:szCs w:val="20"/>
              </w:rPr>
              <w:t>0</w:t>
            </w:r>
          </w:p>
        </w:tc>
      </w:tr>
      <w:tr w:rsidR="00F77D47" w:rsidRPr="00E33FDD" w14:paraId="5A052BCE" w14:textId="7498201D"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0A8C3D0E" w14:textId="77777777" w:rsidR="00F77D47" w:rsidRPr="00E33FDD" w:rsidRDefault="00F77D47" w:rsidP="00F77D47">
            <w:pPr>
              <w:jc w:val="center"/>
              <w:rPr>
                <w:sz w:val="20"/>
                <w:szCs w:val="20"/>
              </w:rPr>
            </w:pPr>
            <w:r w:rsidRPr="00E33FDD">
              <w:rPr>
                <w:sz w:val="20"/>
                <w:szCs w:val="20"/>
              </w:rPr>
              <w:t>201004</w:t>
            </w:r>
          </w:p>
        </w:tc>
        <w:tc>
          <w:tcPr>
            <w:tcW w:w="306" w:type="dxa"/>
            <w:tcBorders>
              <w:top w:val="nil"/>
              <w:left w:val="nil"/>
              <w:bottom w:val="nil"/>
              <w:right w:val="nil"/>
            </w:tcBorders>
            <w:shd w:val="clear" w:color="auto" w:fill="auto"/>
            <w:noWrap/>
            <w:vAlign w:val="bottom"/>
            <w:hideMark/>
          </w:tcPr>
          <w:p w14:paraId="410F0539"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8482BF4"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3CB1E17"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24E01F1"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5AD4D20"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4747E8C"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4278400"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AFF9DE2"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B58D58C" w14:textId="77777777"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4E4E270D" w14:textId="3499F7A4" w:rsidR="00F77D47" w:rsidRPr="00E33FDD" w:rsidRDefault="00F77D47" w:rsidP="00F77D47">
            <w:pPr>
              <w:jc w:val="center"/>
              <w:rPr>
                <w:sz w:val="20"/>
                <w:szCs w:val="20"/>
              </w:rPr>
            </w:pPr>
            <w:r w:rsidRPr="00E33FDD">
              <w:rPr>
                <w:sz w:val="20"/>
                <w:szCs w:val="20"/>
              </w:rPr>
              <w:t>201134</w:t>
            </w:r>
          </w:p>
        </w:tc>
        <w:tc>
          <w:tcPr>
            <w:tcW w:w="306" w:type="dxa"/>
            <w:tcBorders>
              <w:top w:val="nil"/>
              <w:left w:val="nil"/>
              <w:bottom w:val="nil"/>
              <w:right w:val="nil"/>
            </w:tcBorders>
            <w:vAlign w:val="bottom"/>
          </w:tcPr>
          <w:p w14:paraId="1903254E" w14:textId="11BE15B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E7670F1" w14:textId="4452C2E0"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7E8472B6" w14:textId="360ADF38"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19802541" w14:textId="5A224AFF"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6421F592" w14:textId="70A408CD"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7741162" w14:textId="5FF29D74"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31E847D" w14:textId="798F4414"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4CD995C" w14:textId="0833A469"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E81321D" w14:textId="40370E69"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6D6C7E9D" w14:textId="535B5675" w:rsidR="00F77D47" w:rsidRPr="00E33FDD" w:rsidRDefault="00F77D47" w:rsidP="00F77D47">
            <w:pPr>
              <w:jc w:val="center"/>
              <w:rPr>
                <w:sz w:val="20"/>
                <w:szCs w:val="20"/>
              </w:rPr>
            </w:pPr>
            <w:r w:rsidRPr="00E33FDD">
              <w:rPr>
                <w:sz w:val="20"/>
                <w:szCs w:val="20"/>
              </w:rPr>
              <w:t>201237</w:t>
            </w:r>
          </w:p>
        </w:tc>
        <w:tc>
          <w:tcPr>
            <w:tcW w:w="306" w:type="dxa"/>
            <w:tcBorders>
              <w:top w:val="nil"/>
              <w:left w:val="nil"/>
              <w:bottom w:val="nil"/>
              <w:right w:val="nil"/>
            </w:tcBorders>
            <w:vAlign w:val="bottom"/>
          </w:tcPr>
          <w:p w14:paraId="76424571" w14:textId="721098FF"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76EFC5B" w14:textId="01CA6E52"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7D41616" w14:textId="4DF6E0AF"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3209A84C" w14:textId="1316697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054B113" w14:textId="5DD84362"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2F7A638" w14:textId="4C9DE1F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C19FEEA" w14:textId="5FF19E22"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009C301" w14:textId="534C786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B14ED80" w14:textId="37B429DD" w:rsidR="00F77D47" w:rsidRPr="00E33FDD" w:rsidRDefault="00F77D47" w:rsidP="00F77D47">
            <w:pPr>
              <w:jc w:val="center"/>
              <w:rPr>
                <w:sz w:val="20"/>
                <w:szCs w:val="20"/>
              </w:rPr>
            </w:pPr>
            <w:r w:rsidRPr="00E33FDD">
              <w:rPr>
                <w:sz w:val="20"/>
                <w:szCs w:val="20"/>
              </w:rPr>
              <w:t>0</w:t>
            </w:r>
          </w:p>
        </w:tc>
      </w:tr>
      <w:tr w:rsidR="00F77D47" w:rsidRPr="00E33FDD" w14:paraId="5813C157" w14:textId="3CE80FCE"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136E76C6" w14:textId="77777777" w:rsidR="00F77D47" w:rsidRPr="00E33FDD" w:rsidRDefault="00F77D47" w:rsidP="00F77D47">
            <w:pPr>
              <w:jc w:val="center"/>
              <w:rPr>
                <w:sz w:val="20"/>
                <w:szCs w:val="20"/>
              </w:rPr>
            </w:pPr>
            <w:r w:rsidRPr="00E33FDD">
              <w:rPr>
                <w:sz w:val="20"/>
                <w:szCs w:val="20"/>
              </w:rPr>
              <w:t>201014</w:t>
            </w:r>
          </w:p>
        </w:tc>
        <w:tc>
          <w:tcPr>
            <w:tcW w:w="306" w:type="dxa"/>
            <w:tcBorders>
              <w:top w:val="nil"/>
              <w:left w:val="nil"/>
              <w:bottom w:val="nil"/>
              <w:right w:val="nil"/>
            </w:tcBorders>
            <w:shd w:val="clear" w:color="auto" w:fill="auto"/>
            <w:noWrap/>
            <w:vAlign w:val="bottom"/>
            <w:hideMark/>
          </w:tcPr>
          <w:p w14:paraId="0FCF43DA"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D6AC555"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4211E21"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58DA012"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4542A256"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85AA83E"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8F514B0"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2D276653"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B8D5571" w14:textId="77777777"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6814CAF1" w14:textId="1B30A9D0" w:rsidR="00F77D47" w:rsidRPr="00E33FDD" w:rsidRDefault="00F77D47" w:rsidP="00F77D47">
            <w:pPr>
              <w:jc w:val="center"/>
              <w:rPr>
                <w:sz w:val="20"/>
                <w:szCs w:val="20"/>
              </w:rPr>
            </w:pPr>
            <w:r w:rsidRPr="00E33FDD">
              <w:rPr>
                <w:sz w:val="20"/>
                <w:szCs w:val="20"/>
              </w:rPr>
              <w:t>201135</w:t>
            </w:r>
          </w:p>
        </w:tc>
        <w:tc>
          <w:tcPr>
            <w:tcW w:w="306" w:type="dxa"/>
            <w:tcBorders>
              <w:top w:val="nil"/>
              <w:left w:val="nil"/>
              <w:bottom w:val="nil"/>
              <w:right w:val="nil"/>
            </w:tcBorders>
            <w:vAlign w:val="bottom"/>
          </w:tcPr>
          <w:p w14:paraId="2385B599" w14:textId="34EF57F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114616A" w14:textId="5D0EA2E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1CD647AD" w14:textId="158C61A5"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1A069782" w14:textId="458AB5BB"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09EF12C6" w14:textId="756AA903"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70BEC5C7" w14:textId="17E2CF61"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17E42438" w14:textId="733A764E"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64E3BC8" w14:textId="24D985C6"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2582D6B" w14:textId="47EDC516"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2BD31978" w14:textId="15B6D556" w:rsidR="00F77D47" w:rsidRPr="00E33FDD" w:rsidRDefault="00F77D47" w:rsidP="00F77D47">
            <w:pPr>
              <w:jc w:val="center"/>
              <w:rPr>
                <w:sz w:val="20"/>
                <w:szCs w:val="20"/>
              </w:rPr>
            </w:pPr>
            <w:r w:rsidRPr="00E33FDD">
              <w:rPr>
                <w:sz w:val="20"/>
                <w:szCs w:val="20"/>
              </w:rPr>
              <w:t>201243</w:t>
            </w:r>
          </w:p>
        </w:tc>
        <w:tc>
          <w:tcPr>
            <w:tcW w:w="306" w:type="dxa"/>
            <w:tcBorders>
              <w:top w:val="nil"/>
              <w:left w:val="nil"/>
              <w:bottom w:val="nil"/>
              <w:right w:val="nil"/>
            </w:tcBorders>
            <w:vAlign w:val="bottom"/>
          </w:tcPr>
          <w:p w14:paraId="5C84E1E4" w14:textId="2222F3C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0DAC4BD" w14:textId="31EDC65F"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3BA697E" w14:textId="09DFF82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B1366EE" w14:textId="703F3772"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FC91242" w14:textId="443EFD5C"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8D448BA" w14:textId="3F8A9075"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FCE383A" w14:textId="41D4B0C5"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7723CF69" w14:textId="178E4E5C"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DB3368A" w14:textId="4960DC43" w:rsidR="00F77D47" w:rsidRPr="00E33FDD" w:rsidRDefault="00F77D47" w:rsidP="00F77D47">
            <w:pPr>
              <w:jc w:val="center"/>
              <w:rPr>
                <w:sz w:val="20"/>
                <w:szCs w:val="20"/>
              </w:rPr>
            </w:pPr>
            <w:r w:rsidRPr="00E33FDD">
              <w:rPr>
                <w:sz w:val="20"/>
                <w:szCs w:val="20"/>
              </w:rPr>
              <w:t>0</w:t>
            </w:r>
          </w:p>
        </w:tc>
      </w:tr>
      <w:tr w:rsidR="00F77D47" w:rsidRPr="00E33FDD" w14:paraId="78BEB99B" w14:textId="4F402AC4"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08ED1906" w14:textId="77777777" w:rsidR="00F77D47" w:rsidRPr="00E33FDD" w:rsidRDefault="00F77D47" w:rsidP="00F77D47">
            <w:pPr>
              <w:jc w:val="center"/>
              <w:rPr>
                <w:sz w:val="20"/>
                <w:szCs w:val="20"/>
              </w:rPr>
            </w:pPr>
            <w:r w:rsidRPr="00E33FDD">
              <w:rPr>
                <w:sz w:val="20"/>
                <w:szCs w:val="20"/>
              </w:rPr>
              <w:t>201015</w:t>
            </w:r>
          </w:p>
        </w:tc>
        <w:tc>
          <w:tcPr>
            <w:tcW w:w="306" w:type="dxa"/>
            <w:tcBorders>
              <w:top w:val="nil"/>
              <w:left w:val="nil"/>
              <w:bottom w:val="nil"/>
              <w:right w:val="nil"/>
            </w:tcBorders>
            <w:shd w:val="clear" w:color="auto" w:fill="auto"/>
            <w:noWrap/>
            <w:vAlign w:val="bottom"/>
            <w:hideMark/>
          </w:tcPr>
          <w:p w14:paraId="0AE5BCAC"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2A83BC85"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AE41056"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A537ACD"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2F9ACFDC"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124E60A"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F99F389"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3020A9CF"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01F3846" w14:textId="77777777"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098271CE" w14:textId="07AEB3C3" w:rsidR="00F77D47" w:rsidRPr="00E33FDD" w:rsidRDefault="00F77D47" w:rsidP="00F77D47">
            <w:pPr>
              <w:jc w:val="center"/>
              <w:rPr>
                <w:sz w:val="20"/>
                <w:szCs w:val="20"/>
              </w:rPr>
            </w:pPr>
            <w:r w:rsidRPr="00E33FDD">
              <w:rPr>
                <w:sz w:val="20"/>
                <w:szCs w:val="20"/>
              </w:rPr>
              <w:t>201136</w:t>
            </w:r>
          </w:p>
        </w:tc>
        <w:tc>
          <w:tcPr>
            <w:tcW w:w="306" w:type="dxa"/>
            <w:tcBorders>
              <w:top w:val="nil"/>
              <w:left w:val="nil"/>
              <w:bottom w:val="nil"/>
              <w:right w:val="nil"/>
            </w:tcBorders>
            <w:vAlign w:val="bottom"/>
          </w:tcPr>
          <w:p w14:paraId="685A15E9" w14:textId="5433005A"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69D7BBB" w14:textId="43A1659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75894FD" w14:textId="21C35D73"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7D411BF8" w14:textId="5EE4C776"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45DAF4A7" w14:textId="09C4ED09"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9CC76A6" w14:textId="62C62CB6"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1CED5420" w14:textId="67AE3607"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7C12079" w14:textId="215BAAAC"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7079B6C" w14:textId="54AF5330"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69E2536D" w14:textId="33B689E7" w:rsidR="00F77D47" w:rsidRPr="00E33FDD" w:rsidRDefault="00F77D47" w:rsidP="00F77D47">
            <w:pPr>
              <w:jc w:val="center"/>
              <w:rPr>
                <w:sz w:val="20"/>
                <w:szCs w:val="20"/>
              </w:rPr>
            </w:pPr>
            <w:r w:rsidRPr="00E33FDD">
              <w:rPr>
                <w:sz w:val="20"/>
                <w:szCs w:val="20"/>
              </w:rPr>
              <w:t>201244</w:t>
            </w:r>
          </w:p>
        </w:tc>
        <w:tc>
          <w:tcPr>
            <w:tcW w:w="306" w:type="dxa"/>
            <w:tcBorders>
              <w:top w:val="nil"/>
              <w:left w:val="nil"/>
              <w:bottom w:val="nil"/>
              <w:right w:val="nil"/>
            </w:tcBorders>
            <w:vAlign w:val="bottom"/>
          </w:tcPr>
          <w:p w14:paraId="2AA76A98" w14:textId="47C4771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3B11591" w14:textId="5718F77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B955F66" w14:textId="73DB12E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B9D5F62" w14:textId="367042D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A8933DE" w14:textId="0BC10AC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349754B" w14:textId="07C616A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C97803F" w14:textId="555FF9A1"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25AAAC56" w14:textId="5DF88415"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BB58ADA" w14:textId="21EFF75E" w:rsidR="00F77D47" w:rsidRPr="00E33FDD" w:rsidRDefault="00F77D47" w:rsidP="00F77D47">
            <w:pPr>
              <w:jc w:val="center"/>
              <w:rPr>
                <w:sz w:val="20"/>
                <w:szCs w:val="20"/>
              </w:rPr>
            </w:pPr>
            <w:r w:rsidRPr="00E33FDD">
              <w:rPr>
                <w:sz w:val="20"/>
                <w:szCs w:val="20"/>
              </w:rPr>
              <w:t>0</w:t>
            </w:r>
          </w:p>
        </w:tc>
      </w:tr>
      <w:tr w:rsidR="00F77D47" w:rsidRPr="00E33FDD" w14:paraId="79D070D8" w14:textId="2E9CAB62"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47E369F7" w14:textId="77777777" w:rsidR="00F77D47" w:rsidRPr="00E33FDD" w:rsidRDefault="00F77D47" w:rsidP="00F77D47">
            <w:pPr>
              <w:jc w:val="center"/>
              <w:rPr>
                <w:sz w:val="20"/>
                <w:szCs w:val="20"/>
              </w:rPr>
            </w:pPr>
            <w:r w:rsidRPr="00E33FDD">
              <w:rPr>
                <w:sz w:val="20"/>
                <w:szCs w:val="20"/>
              </w:rPr>
              <w:t>201016</w:t>
            </w:r>
          </w:p>
        </w:tc>
        <w:tc>
          <w:tcPr>
            <w:tcW w:w="306" w:type="dxa"/>
            <w:tcBorders>
              <w:top w:val="nil"/>
              <w:left w:val="nil"/>
              <w:bottom w:val="nil"/>
              <w:right w:val="nil"/>
            </w:tcBorders>
            <w:shd w:val="clear" w:color="auto" w:fill="auto"/>
            <w:noWrap/>
            <w:vAlign w:val="bottom"/>
            <w:hideMark/>
          </w:tcPr>
          <w:p w14:paraId="7A650FE7"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22015B2"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3ECFC0B"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58E1C8B"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17E9E5BA"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31ED343"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09B57C7"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72834E1A"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2582000" w14:textId="77777777"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03B8D107" w14:textId="651735F2" w:rsidR="00F77D47" w:rsidRPr="00E33FDD" w:rsidRDefault="00F77D47" w:rsidP="00F77D47">
            <w:pPr>
              <w:jc w:val="center"/>
              <w:rPr>
                <w:sz w:val="20"/>
                <w:szCs w:val="20"/>
              </w:rPr>
            </w:pPr>
            <w:r w:rsidRPr="00E33FDD">
              <w:rPr>
                <w:sz w:val="20"/>
                <w:szCs w:val="20"/>
              </w:rPr>
              <w:t>201137</w:t>
            </w:r>
          </w:p>
        </w:tc>
        <w:tc>
          <w:tcPr>
            <w:tcW w:w="306" w:type="dxa"/>
            <w:tcBorders>
              <w:top w:val="nil"/>
              <w:left w:val="nil"/>
              <w:bottom w:val="nil"/>
              <w:right w:val="nil"/>
            </w:tcBorders>
            <w:vAlign w:val="bottom"/>
          </w:tcPr>
          <w:p w14:paraId="2FEF3F26" w14:textId="467D792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F53AFFF" w14:textId="569CB64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32760F6" w14:textId="550908EC"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1F78A033" w14:textId="56A824BE"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71A67767" w14:textId="0B967327"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D6053C3" w14:textId="25CC68C0"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3C0FE36" w14:textId="2DDB4F77"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DE53C2D" w14:textId="5184472B"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E426D07" w14:textId="5AAB2CA3"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155D87DA" w14:textId="0DF18D8B" w:rsidR="00F77D47" w:rsidRPr="00E33FDD" w:rsidRDefault="00F77D47" w:rsidP="00F77D47">
            <w:pPr>
              <w:jc w:val="center"/>
              <w:rPr>
                <w:sz w:val="20"/>
                <w:szCs w:val="20"/>
              </w:rPr>
            </w:pPr>
            <w:r w:rsidRPr="00E33FDD">
              <w:rPr>
                <w:sz w:val="20"/>
                <w:szCs w:val="20"/>
              </w:rPr>
              <w:t>201245</w:t>
            </w:r>
          </w:p>
        </w:tc>
        <w:tc>
          <w:tcPr>
            <w:tcW w:w="306" w:type="dxa"/>
            <w:tcBorders>
              <w:top w:val="nil"/>
              <w:left w:val="nil"/>
              <w:bottom w:val="nil"/>
              <w:right w:val="nil"/>
            </w:tcBorders>
            <w:vAlign w:val="bottom"/>
          </w:tcPr>
          <w:p w14:paraId="403175A9" w14:textId="06CFD06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47BA877" w14:textId="6D7B077C"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6FAAF6D" w14:textId="23DB1AD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580E6C1" w14:textId="27A2124F"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0A2315C" w14:textId="0FA536DF"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F7F4A3A" w14:textId="5036B82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94C6A45" w14:textId="5E432095"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2D049159" w14:textId="5045D65C"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B678E84" w14:textId="223D6649" w:rsidR="00F77D47" w:rsidRPr="00E33FDD" w:rsidRDefault="00F77D47" w:rsidP="00F77D47">
            <w:pPr>
              <w:jc w:val="center"/>
              <w:rPr>
                <w:sz w:val="20"/>
                <w:szCs w:val="20"/>
              </w:rPr>
            </w:pPr>
            <w:r w:rsidRPr="00E33FDD">
              <w:rPr>
                <w:sz w:val="20"/>
                <w:szCs w:val="20"/>
              </w:rPr>
              <w:t>0</w:t>
            </w:r>
          </w:p>
        </w:tc>
      </w:tr>
      <w:tr w:rsidR="00F77D47" w:rsidRPr="00E33FDD" w14:paraId="33FC0FB6" w14:textId="5ED33578"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4C860E4C" w14:textId="77777777" w:rsidR="00F77D47" w:rsidRPr="00E33FDD" w:rsidRDefault="00F77D47" w:rsidP="00F77D47">
            <w:pPr>
              <w:jc w:val="center"/>
              <w:rPr>
                <w:sz w:val="20"/>
                <w:szCs w:val="20"/>
              </w:rPr>
            </w:pPr>
            <w:r w:rsidRPr="00E33FDD">
              <w:rPr>
                <w:sz w:val="20"/>
                <w:szCs w:val="20"/>
              </w:rPr>
              <w:t>201017</w:t>
            </w:r>
          </w:p>
        </w:tc>
        <w:tc>
          <w:tcPr>
            <w:tcW w:w="306" w:type="dxa"/>
            <w:tcBorders>
              <w:top w:val="nil"/>
              <w:left w:val="nil"/>
              <w:bottom w:val="nil"/>
              <w:right w:val="nil"/>
            </w:tcBorders>
            <w:shd w:val="clear" w:color="auto" w:fill="auto"/>
            <w:noWrap/>
            <w:vAlign w:val="bottom"/>
            <w:hideMark/>
          </w:tcPr>
          <w:p w14:paraId="4DDF4EF4"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AE4BC36"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41527BB"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AA1E8AE"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70683A71"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996FC15"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051955B"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34DBBB32"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CA93FA8" w14:textId="77777777"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45DBB72A" w14:textId="780FE4EE" w:rsidR="00F77D47" w:rsidRPr="00E33FDD" w:rsidRDefault="00F77D47" w:rsidP="00F77D47">
            <w:pPr>
              <w:jc w:val="center"/>
              <w:rPr>
                <w:sz w:val="20"/>
                <w:szCs w:val="20"/>
              </w:rPr>
            </w:pPr>
            <w:r w:rsidRPr="00E33FDD">
              <w:rPr>
                <w:sz w:val="20"/>
                <w:szCs w:val="20"/>
              </w:rPr>
              <w:t>201142</w:t>
            </w:r>
          </w:p>
        </w:tc>
        <w:tc>
          <w:tcPr>
            <w:tcW w:w="306" w:type="dxa"/>
            <w:tcBorders>
              <w:top w:val="nil"/>
              <w:left w:val="nil"/>
              <w:bottom w:val="nil"/>
              <w:right w:val="nil"/>
            </w:tcBorders>
            <w:vAlign w:val="bottom"/>
          </w:tcPr>
          <w:p w14:paraId="74729D8B" w14:textId="7188736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3D666C7" w14:textId="1AC0682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64FBE00" w14:textId="62684DF3"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13AD33B0" w14:textId="56833C71"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76A499BC" w14:textId="03B29ABD"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1595DC45" w14:textId="75E6F669"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A366329" w14:textId="38880B5D"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386EA45" w14:textId="5628B3F1"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79D632C1" w14:textId="728C177D"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29660037" w14:textId="2889B059" w:rsidR="00F77D47" w:rsidRPr="00E33FDD" w:rsidRDefault="00F77D47" w:rsidP="00F77D47">
            <w:pPr>
              <w:jc w:val="center"/>
              <w:rPr>
                <w:sz w:val="20"/>
                <w:szCs w:val="20"/>
              </w:rPr>
            </w:pPr>
            <w:r w:rsidRPr="00E33FDD">
              <w:rPr>
                <w:sz w:val="20"/>
                <w:szCs w:val="20"/>
              </w:rPr>
              <w:t>201246</w:t>
            </w:r>
          </w:p>
        </w:tc>
        <w:tc>
          <w:tcPr>
            <w:tcW w:w="306" w:type="dxa"/>
            <w:tcBorders>
              <w:top w:val="nil"/>
              <w:left w:val="nil"/>
              <w:bottom w:val="nil"/>
              <w:right w:val="nil"/>
            </w:tcBorders>
            <w:vAlign w:val="bottom"/>
          </w:tcPr>
          <w:p w14:paraId="4922F940" w14:textId="453F182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DC0D9B9" w14:textId="208E777F"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A6D875E" w14:textId="148B091F"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20BEFE8" w14:textId="34E9B6C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CB6113A" w14:textId="0515422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F7693CB" w14:textId="1B9716C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FBFB4C2" w14:textId="0E509C05"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89F891A" w14:textId="457E1E3E"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67B71C6D" w14:textId="125B13BB" w:rsidR="00F77D47" w:rsidRPr="00E33FDD" w:rsidRDefault="00F77D47" w:rsidP="00F77D47">
            <w:pPr>
              <w:jc w:val="center"/>
              <w:rPr>
                <w:sz w:val="20"/>
                <w:szCs w:val="20"/>
              </w:rPr>
            </w:pPr>
            <w:r w:rsidRPr="00E33FDD">
              <w:rPr>
                <w:sz w:val="20"/>
                <w:szCs w:val="20"/>
              </w:rPr>
              <w:t>0</w:t>
            </w:r>
          </w:p>
        </w:tc>
      </w:tr>
      <w:tr w:rsidR="00F77D47" w:rsidRPr="00E33FDD" w14:paraId="220F3715" w14:textId="76CA67A6" w:rsidTr="00E33FDD">
        <w:trPr>
          <w:gridAfter w:val="1"/>
          <w:wAfter w:w="7" w:type="dxa"/>
          <w:trHeight w:val="160"/>
          <w:jc w:val="center"/>
        </w:trPr>
        <w:tc>
          <w:tcPr>
            <w:tcW w:w="1356" w:type="dxa"/>
            <w:tcBorders>
              <w:top w:val="nil"/>
              <w:left w:val="nil"/>
              <w:bottom w:val="nil"/>
              <w:right w:val="nil"/>
            </w:tcBorders>
            <w:shd w:val="clear" w:color="auto" w:fill="auto"/>
            <w:noWrap/>
            <w:vAlign w:val="bottom"/>
            <w:hideMark/>
          </w:tcPr>
          <w:p w14:paraId="67F3805F" w14:textId="77777777" w:rsidR="00F77D47" w:rsidRPr="00E33FDD" w:rsidRDefault="00F77D47" w:rsidP="00F77D47">
            <w:pPr>
              <w:jc w:val="center"/>
              <w:rPr>
                <w:sz w:val="20"/>
                <w:szCs w:val="20"/>
              </w:rPr>
            </w:pPr>
            <w:r w:rsidRPr="00E33FDD">
              <w:rPr>
                <w:sz w:val="20"/>
                <w:szCs w:val="20"/>
              </w:rPr>
              <w:t>201034</w:t>
            </w:r>
          </w:p>
        </w:tc>
        <w:tc>
          <w:tcPr>
            <w:tcW w:w="306" w:type="dxa"/>
            <w:tcBorders>
              <w:top w:val="nil"/>
              <w:left w:val="nil"/>
              <w:bottom w:val="nil"/>
              <w:right w:val="nil"/>
            </w:tcBorders>
            <w:shd w:val="clear" w:color="auto" w:fill="auto"/>
            <w:noWrap/>
            <w:vAlign w:val="bottom"/>
            <w:hideMark/>
          </w:tcPr>
          <w:p w14:paraId="0390B2C1"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1263B5A"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2BFD01A" w14:textId="77777777"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hideMark/>
          </w:tcPr>
          <w:p w14:paraId="639F3834"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6E3C1D05"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13324BDE"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0B9551A7"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7A6A2A83" w14:textId="777777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hideMark/>
          </w:tcPr>
          <w:p w14:paraId="55EDE24B" w14:textId="77777777"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5E57D0D3" w14:textId="036E08AE" w:rsidR="00F77D47" w:rsidRPr="00E33FDD" w:rsidRDefault="00F77D47" w:rsidP="00F77D47">
            <w:pPr>
              <w:jc w:val="center"/>
              <w:rPr>
                <w:sz w:val="20"/>
                <w:szCs w:val="20"/>
              </w:rPr>
            </w:pPr>
            <w:r w:rsidRPr="00E33FDD">
              <w:rPr>
                <w:sz w:val="20"/>
                <w:szCs w:val="20"/>
              </w:rPr>
              <w:t>201143</w:t>
            </w:r>
          </w:p>
        </w:tc>
        <w:tc>
          <w:tcPr>
            <w:tcW w:w="306" w:type="dxa"/>
            <w:tcBorders>
              <w:top w:val="nil"/>
              <w:left w:val="nil"/>
              <w:bottom w:val="nil"/>
              <w:right w:val="nil"/>
            </w:tcBorders>
            <w:vAlign w:val="bottom"/>
          </w:tcPr>
          <w:p w14:paraId="2BE9A11A" w14:textId="2F4FAED6"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2E17D00" w14:textId="1EF3275A"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ACDE559" w14:textId="713978D7"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9AE5328" w14:textId="44DDC571"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FB91DB7" w14:textId="0AEC6B47"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1A4E0A6F" w14:textId="2ADC337F"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77790097" w14:textId="5CB06B86"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78189896" w14:textId="7719CC18"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2A2BCE2" w14:textId="33B79B72"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183516D3" w14:textId="4B10B34A" w:rsidR="00F77D47" w:rsidRPr="00E33FDD" w:rsidRDefault="00F77D47" w:rsidP="00F77D47">
            <w:pPr>
              <w:jc w:val="center"/>
              <w:rPr>
                <w:sz w:val="20"/>
                <w:szCs w:val="20"/>
              </w:rPr>
            </w:pPr>
            <w:r w:rsidRPr="00E33FDD">
              <w:rPr>
                <w:sz w:val="20"/>
                <w:szCs w:val="20"/>
              </w:rPr>
              <w:t>201247</w:t>
            </w:r>
          </w:p>
        </w:tc>
        <w:tc>
          <w:tcPr>
            <w:tcW w:w="306" w:type="dxa"/>
            <w:tcBorders>
              <w:top w:val="nil"/>
              <w:left w:val="nil"/>
              <w:bottom w:val="nil"/>
              <w:right w:val="nil"/>
            </w:tcBorders>
            <w:vAlign w:val="bottom"/>
          </w:tcPr>
          <w:p w14:paraId="47B965A2" w14:textId="5ABB0D3A"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E7CCE8C" w14:textId="54F740C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050C8A69" w14:textId="2C7C58C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B52852D" w14:textId="3965846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A6C9868" w14:textId="06956EA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D4A5B3F" w14:textId="2DC2296D"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31FB2B6" w14:textId="0CBBF5A5"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2280818" w14:textId="21CB7384"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4DF73447" w14:textId="151B47C0" w:rsidR="00F77D47" w:rsidRPr="00E33FDD" w:rsidRDefault="00F77D47" w:rsidP="00F77D47">
            <w:pPr>
              <w:jc w:val="center"/>
              <w:rPr>
                <w:sz w:val="20"/>
                <w:szCs w:val="20"/>
              </w:rPr>
            </w:pPr>
            <w:r w:rsidRPr="00E33FDD">
              <w:rPr>
                <w:sz w:val="20"/>
                <w:szCs w:val="20"/>
              </w:rPr>
              <w:t>0</w:t>
            </w:r>
          </w:p>
        </w:tc>
      </w:tr>
      <w:tr w:rsidR="00F77D47" w:rsidRPr="00E33FDD" w14:paraId="4E4AB047" w14:textId="77777777" w:rsidTr="00E33FDD">
        <w:trPr>
          <w:gridAfter w:val="1"/>
          <w:wAfter w:w="7" w:type="dxa"/>
          <w:trHeight w:val="160"/>
          <w:jc w:val="center"/>
        </w:trPr>
        <w:tc>
          <w:tcPr>
            <w:tcW w:w="1356" w:type="dxa"/>
            <w:tcBorders>
              <w:top w:val="nil"/>
              <w:left w:val="nil"/>
              <w:bottom w:val="nil"/>
              <w:right w:val="nil"/>
            </w:tcBorders>
            <w:shd w:val="clear" w:color="auto" w:fill="auto"/>
            <w:noWrap/>
            <w:vAlign w:val="bottom"/>
          </w:tcPr>
          <w:p w14:paraId="508A8DAA" w14:textId="0900276E" w:rsidR="00F77D47" w:rsidRPr="00E33FDD" w:rsidRDefault="00F77D47" w:rsidP="00F77D47">
            <w:pPr>
              <w:jc w:val="center"/>
              <w:rPr>
                <w:sz w:val="20"/>
                <w:szCs w:val="20"/>
              </w:rPr>
            </w:pPr>
            <w:r w:rsidRPr="00E33FDD">
              <w:rPr>
                <w:sz w:val="20"/>
                <w:szCs w:val="20"/>
              </w:rPr>
              <w:t>201035</w:t>
            </w:r>
          </w:p>
        </w:tc>
        <w:tc>
          <w:tcPr>
            <w:tcW w:w="306" w:type="dxa"/>
            <w:tcBorders>
              <w:top w:val="nil"/>
              <w:left w:val="nil"/>
              <w:bottom w:val="nil"/>
              <w:right w:val="nil"/>
            </w:tcBorders>
            <w:shd w:val="clear" w:color="auto" w:fill="auto"/>
            <w:noWrap/>
            <w:vAlign w:val="bottom"/>
          </w:tcPr>
          <w:p w14:paraId="6E69A28C" w14:textId="5A20C09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tcPr>
          <w:p w14:paraId="658DD55C" w14:textId="3589919D"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tcPr>
          <w:p w14:paraId="0D3F180C" w14:textId="79A3FA51"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tcPr>
          <w:p w14:paraId="488A2DDF" w14:textId="22C6DDCE"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tcPr>
          <w:p w14:paraId="780E8F9C" w14:textId="4237DC5C"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tcPr>
          <w:p w14:paraId="61A85E70" w14:textId="740D9BEC"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tcPr>
          <w:p w14:paraId="133BD7D1" w14:textId="4923992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tcPr>
          <w:p w14:paraId="79D31A54" w14:textId="75B7671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tcPr>
          <w:p w14:paraId="32A60B91" w14:textId="17FA320D"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271687AE" w14:textId="3FA549F8" w:rsidR="00F77D47" w:rsidRPr="00E33FDD" w:rsidRDefault="00F77D47" w:rsidP="00F77D47">
            <w:pPr>
              <w:jc w:val="center"/>
              <w:rPr>
                <w:sz w:val="20"/>
                <w:szCs w:val="20"/>
              </w:rPr>
            </w:pPr>
            <w:r w:rsidRPr="00E33FDD">
              <w:rPr>
                <w:sz w:val="20"/>
                <w:szCs w:val="20"/>
              </w:rPr>
              <w:t>201144</w:t>
            </w:r>
          </w:p>
        </w:tc>
        <w:tc>
          <w:tcPr>
            <w:tcW w:w="306" w:type="dxa"/>
            <w:tcBorders>
              <w:top w:val="nil"/>
              <w:left w:val="nil"/>
              <w:bottom w:val="nil"/>
              <w:right w:val="nil"/>
            </w:tcBorders>
            <w:vAlign w:val="bottom"/>
          </w:tcPr>
          <w:p w14:paraId="265FD50F" w14:textId="4F71FE3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57D78CA" w14:textId="6331ECD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98FBD23" w14:textId="0D5755FD"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1A57ED2A" w14:textId="6A8A7DA2"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A322B11" w14:textId="5E02AEEE" w:rsidR="00F77D47" w:rsidRPr="00E33FDD" w:rsidRDefault="00F77D47" w:rsidP="00F77D47">
            <w:pPr>
              <w:jc w:val="center"/>
              <w:rPr>
                <w:sz w:val="20"/>
                <w:szCs w:val="20"/>
              </w:rPr>
            </w:pPr>
            <w:r w:rsidRPr="00E33FDD">
              <w:rPr>
                <w:sz w:val="20"/>
                <w:szCs w:val="20"/>
              </w:rPr>
              <w:t>1</w:t>
            </w:r>
          </w:p>
        </w:tc>
        <w:tc>
          <w:tcPr>
            <w:tcW w:w="250" w:type="dxa"/>
            <w:tcBorders>
              <w:top w:val="nil"/>
              <w:left w:val="nil"/>
              <w:bottom w:val="nil"/>
              <w:right w:val="nil"/>
            </w:tcBorders>
            <w:vAlign w:val="bottom"/>
          </w:tcPr>
          <w:p w14:paraId="31AAF79B" w14:textId="27FDBCB3"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06E9B347" w14:textId="4C3CE981"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E8F6696" w14:textId="57D6E8D5"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6E5F6061" w14:textId="6AAF0D97"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5C016BE9" w14:textId="529C5E73" w:rsidR="00F77D47" w:rsidRPr="00E33FDD" w:rsidRDefault="00F77D47" w:rsidP="00F77D47">
            <w:pPr>
              <w:jc w:val="center"/>
              <w:rPr>
                <w:sz w:val="20"/>
                <w:szCs w:val="20"/>
              </w:rPr>
            </w:pPr>
            <w:r w:rsidRPr="00E33FDD">
              <w:rPr>
                <w:sz w:val="20"/>
                <w:szCs w:val="20"/>
              </w:rPr>
              <w:t>201248</w:t>
            </w:r>
          </w:p>
        </w:tc>
        <w:tc>
          <w:tcPr>
            <w:tcW w:w="306" w:type="dxa"/>
            <w:tcBorders>
              <w:top w:val="nil"/>
              <w:left w:val="nil"/>
              <w:bottom w:val="nil"/>
              <w:right w:val="nil"/>
            </w:tcBorders>
            <w:vAlign w:val="bottom"/>
          </w:tcPr>
          <w:p w14:paraId="3D95C175" w14:textId="53E0497A"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52B69FD" w14:textId="5E6FB625"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5D8DE97F" w14:textId="7EAB87B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8439E21" w14:textId="1581CB3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45162E88" w14:textId="2F5D300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F03E960" w14:textId="250867D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541CFD23" w14:textId="4E84812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7280BE4" w14:textId="4C5B1A58"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565D2469" w14:textId="5E0E7AC2" w:rsidR="00F77D47" w:rsidRPr="00E33FDD" w:rsidRDefault="00F77D47" w:rsidP="00F77D47">
            <w:pPr>
              <w:jc w:val="center"/>
              <w:rPr>
                <w:sz w:val="20"/>
                <w:szCs w:val="20"/>
              </w:rPr>
            </w:pPr>
            <w:r w:rsidRPr="00E33FDD">
              <w:rPr>
                <w:sz w:val="20"/>
                <w:szCs w:val="20"/>
              </w:rPr>
              <w:t>0</w:t>
            </w:r>
          </w:p>
        </w:tc>
      </w:tr>
      <w:tr w:rsidR="00F77D47" w:rsidRPr="00E33FDD" w14:paraId="0169C784" w14:textId="77777777" w:rsidTr="00E33FDD">
        <w:trPr>
          <w:gridAfter w:val="1"/>
          <w:wAfter w:w="7" w:type="dxa"/>
          <w:trHeight w:val="160"/>
          <w:jc w:val="center"/>
        </w:trPr>
        <w:tc>
          <w:tcPr>
            <w:tcW w:w="1356" w:type="dxa"/>
            <w:tcBorders>
              <w:top w:val="nil"/>
              <w:left w:val="nil"/>
              <w:bottom w:val="nil"/>
              <w:right w:val="nil"/>
            </w:tcBorders>
            <w:shd w:val="clear" w:color="auto" w:fill="auto"/>
            <w:noWrap/>
            <w:vAlign w:val="bottom"/>
          </w:tcPr>
          <w:p w14:paraId="22596F5C" w14:textId="745ED0CC" w:rsidR="00F77D47" w:rsidRPr="00E33FDD" w:rsidRDefault="00F77D47" w:rsidP="00F77D47">
            <w:pPr>
              <w:jc w:val="center"/>
              <w:rPr>
                <w:sz w:val="20"/>
                <w:szCs w:val="20"/>
              </w:rPr>
            </w:pPr>
            <w:r w:rsidRPr="00E33FDD">
              <w:rPr>
                <w:sz w:val="20"/>
                <w:szCs w:val="20"/>
              </w:rPr>
              <w:t>201036</w:t>
            </w:r>
          </w:p>
        </w:tc>
        <w:tc>
          <w:tcPr>
            <w:tcW w:w="306" w:type="dxa"/>
            <w:tcBorders>
              <w:top w:val="nil"/>
              <w:left w:val="nil"/>
              <w:bottom w:val="nil"/>
              <w:right w:val="nil"/>
            </w:tcBorders>
            <w:shd w:val="clear" w:color="auto" w:fill="auto"/>
            <w:noWrap/>
            <w:vAlign w:val="bottom"/>
          </w:tcPr>
          <w:p w14:paraId="5C11CE8C" w14:textId="747D0529"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tcPr>
          <w:p w14:paraId="322DBE8E" w14:textId="7B3BFB30"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tcPr>
          <w:p w14:paraId="1FF4246E" w14:textId="47206609"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shd w:val="clear" w:color="auto" w:fill="auto"/>
            <w:noWrap/>
            <w:vAlign w:val="bottom"/>
          </w:tcPr>
          <w:p w14:paraId="74265771" w14:textId="40F73C04"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tcPr>
          <w:p w14:paraId="7DF56ED3" w14:textId="67C629A3"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tcPr>
          <w:p w14:paraId="4BA9A0B1" w14:textId="3838374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tcPr>
          <w:p w14:paraId="458692DF" w14:textId="5FAE135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tcPr>
          <w:p w14:paraId="56BD566B" w14:textId="34298577"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shd w:val="clear" w:color="auto" w:fill="auto"/>
            <w:noWrap/>
            <w:vAlign w:val="bottom"/>
          </w:tcPr>
          <w:p w14:paraId="38A925CE" w14:textId="37F2064A" w:rsidR="00F77D47" w:rsidRPr="00E33FDD" w:rsidRDefault="00F77D47" w:rsidP="00F77D47">
            <w:pPr>
              <w:jc w:val="center"/>
              <w:rPr>
                <w:sz w:val="20"/>
                <w:szCs w:val="20"/>
              </w:rPr>
            </w:pPr>
            <w:r w:rsidRPr="00E33FDD">
              <w:rPr>
                <w:sz w:val="20"/>
                <w:szCs w:val="20"/>
              </w:rPr>
              <w:t>1</w:t>
            </w:r>
          </w:p>
        </w:tc>
        <w:tc>
          <w:tcPr>
            <w:tcW w:w="1377" w:type="dxa"/>
            <w:tcBorders>
              <w:top w:val="nil"/>
              <w:left w:val="nil"/>
              <w:bottom w:val="nil"/>
              <w:right w:val="nil"/>
            </w:tcBorders>
            <w:vAlign w:val="bottom"/>
          </w:tcPr>
          <w:p w14:paraId="4C1C2EFF" w14:textId="58A94E5E" w:rsidR="00F77D47" w:rsidRPr="00E33FDD" w:rsidRDefault="00F77D47" w:rsidP="00F77D47">
            <w:pPr>
              <w:jc w:val="center"/>
              <w:rPr>
                <w:sz w:val="20"/>
                <w:szCs w:val="20"/>
              </w:rPr>
            </w:pPr>
            <w:r w:rsidRPr="00E33FDD">
              <w:rPr>
                <w:sz w:val="20"/>
                <w:szCs w:val="20"/>
              </w:rPr>
              <w:t>201148</w:t>
            </w:r>
          </w:p>
        </w:tc>
        <w:tc>
          <w:tcPr>
            <w:tcW w:w="306" w:type="dxa"/>
            <w:tcBorders>
              <w:top w:val="nil"/>
              <w:left w:val="nil"/>
              <w:bottom w:val="nil"/>
              <w:right w:val="nil"/>
            </w:tcBorders>
            <w:vAlign w:val="bottom"/>
          </w:tcPr>
          <w:p w14:paraId="7043BA56" w14:textId="7230574B"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1505CF1" w14:textId="4391CEB5"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330A7260" w14:textId="4BB3D656"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32D2AB36" w14:textId="4D328040"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6FF0464" w14:textId="256EFD61"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10585F00" w14:textId="2DFB3BD2"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29414158" w14:textId="1A32A901"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4774853D" w14:textId="248A4A4E" w:rsidR="00F77D47" w:rsidRPr="00E33FDD" w:rsidRDefault="00F77D47" w:rsidP="00F77D47">
            <w:pPr>
              <w:jc w:val="center"/>
              <w:rPr>
                <w:sz w:val="20"/>
                <w:szCs w:val="20"/>
              </w:rPr>
            </w:pPr>
            <w:r w:rsidRPr="00E33FDD">
              <w:rPr>
                <w:sz w:val="20"/>
                <w:szCs w:val="20"/>
              </w:rPr>
              <w:t>0</w:t>
            </w:r>
          </w:p>
        </w:tc>
        <w:tc>
          <w:tcPr>
            <w:tcW w:w="250" w:type="dxa"/>
            <w:tcBorders>
              <w:top w:val="nil"/>
              <w:left w:val="nil"/>
              <w:bottom w:val="nil"/>
              <w:right w:val="nil"/>
            </w:tcBorders>
            <w:vAlign w:val="bottom"/>
          </w:tcPr>
          <w:p w14:paraId="5C285ECF" w14:textId="68515BFD" w:rsidR="00F77D47" w:rsidRPr="00E33FDD" w:rsidRDefault="00F77D47" w:rsidP="00F77D47">
            <w:pPr>
              <w:jc w:val="center"/>
              <w:rPr>
                <w:sz w:val="20"/>
                <w:szCs w:val="20"/>
              </w:rPr>
            </w:pPr>
            <w:r w:rsidRPr="00E33FDD">
              <w:rPr>
                <w:sz w:val="20"/>
                <w:szCs w:val="20"/>
              </w:rPr>
              <w:t>0</w:t>
            </w:r>
          </w:p>
        </w:tc>
        <w:tc>
          <w:tcPr>
            <w:tcW w:w="1377" w:type="dxa"/>
            <w:tcBorders>
              <w:top w:val="nil"/>
              <w:left w:val="nil"/>
              <w:bottom w:val="nil"/>
              <w:right w:val="nil"/>
            </w:tcBorders>
            <w:vAlign w:val="bottom"/>
          </w:tcPr>
          <w:p w14:paraId="13CA0963" w14:textId="6C8847AE" w:rsidR="00F77D47" w:rsidRPr="00E33FDD" w:rsidRDefault="00F77D47" w:rsidP="00F77D47">
            <w:pPr>
              <w:jc w:val="center"/>
              <w:rPr>
                <w:sz w:val="20"/>
                <w:szCs w:val="20"/>
              </w:rPr>
            </w:pPr>
            <w:r w:rsidRPr="00E33FDD">
              <w:rPr>
                <w:sz w:val="20"/>
                <w:szCs w:val="20"/>
              </w:rPr>
              <w:t>201249</w:t>
            </w:r>
          </w:p>
        </w:tc>
        <w:tc>
          <w:tcPr>
            <w:tcW w:w="306" w:type="dxa"/>
            <w:tcBorders>
              <w:top w:val="nil"/>
              <w:left w:val="nil"/>
              <w:bottom w:val="nil"/>
              <w:right w:val="nil"/>
            </w:tcBorders>
            <w:vAlign w:val="bottom"/>
          </w:tcPr>
          <w:p w14:paraId="48D6DACE" w14:textId="4332CAEF"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7594E162" w14:textId="0E9FFBE2" w:rsidR="00F77D47" w:rsidRPr="00E33FDD" w:rsidRDefault="00F77D47" w:rsidP="00F77D47">
            <w:pPr>
              <w:jc w:val="center"/>
              <w:rPr>
                <w:sz w:val="20"/>
                <w:szCs w:val="20"/>
              </w:rPr>
            </w:pPr>
            <w:r w:rsidRPr="00E33FDD">
              <w:rPr>
                <w:sz w:val="20"/>
                <w:szCs w:val="20"/>
              </w:rPr>
              <w:t>1</w:t>
            </w:r>
          </w:p>
        </w:tc>
        <w:tc>
          <w:tcPr>
            <w:tcW w:w="306" w:type="dxa"/>
            <w:tcBorders>
              <w:top w:val="nil"/>
              <w:left w:val="nil"/>
              <w:bottom w:val="nil"/>
              <w:right w:val="nil"/>
            </w:tcBorders>
            <w:vAlign w:val="bottom"/>
          </w:tcPr>
          <w:p w14:paraId="6B97508E" w14:textId="2A8EC466"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26FA3D6A" w14:textId="421158D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912DFA6" w14:textId="2E8A1D81"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141AE2D6" w14:textId="039A98D6"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67CE50F" w14:textId="5CE5FB58"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606C6EED" w14:textId="7DE8423F" w:rsidR="00F77D47" w:rsidRPr="00E33FDD" w:rsidRDefault="00F77D47" w:rsidP="00F77D47">
            <w:pPr>
              <w:jc w:val="center"/>
              <w:rPr>
                <w:sz w:val="20"/>
                <w:szCs w:val="20"/>
              </w:rPr>
            </w:pPr>
            <w:r w:rsidRPr="00E33FDD">
              <w:rPr>
                <w:sz w:val="20"/>
                <w:szCs w:val="20"/>
              </w:rPr>
              <w:t>0</w:t>
            </w:r>
          </w:p>
        </w:tc>
        <w:tc>
          <w:tcPr>
            <w:tcW w:w="306" w:type="dxa"/>
            <w:tcBorders>
              <w:top w:val="nil"/>
              <w:left w:val="nil"/>
              <w:bottom w:val="nil"/>
              <w:right w:val="nil"/>
            </w:tcBorders>
            <w:vAlign w:val="bottom"/>
          </w:tcPr>
          <w:p w14:paraId="3AE86B51" w14:textId="52425E93" w:rsidR="00F77D47" w:rsidRPr="00E33FDD" w:rsidRDefault="00F77D47" w:rsidP="00F77D47">
            <w:pPr>
              <w:jc w:val="center"/>
              <w:rPr>
                <w:sz w:val="20"/>
                <w:szCs w:val="20"/>
              </w:rPr>
            </w:pPr>
            <w:r w:rsidRPr="00E33FDD">
              <w:rPr>
                <w:sz w:val="20"/>
                <w:szCs w:val="20"/>
              </w:rPr>
              <w:t>0</w:t>
            </w:r>
          </w:p>
        </w:tc>
      </w:tr>
    </w:tbl>
    <w:p w14:paraId="3DB73A97" w14:textId="77777777" w:rsidR="00F77D47" w:rsidRDefault="00F77D47" w:rsidP="00F412AF"/>
    <w:p w14:paraId="646DE6F6" w14:textId="469E8F7D" w:rsidR="002A0B15" w:rsidRPr="00800D00" w:rsidRDefault="002A0B15" w:rsidP="00F412AF">
      <w:pPr>
        <w:sectPr w:rsidR="002A0B15" w:rsidRPr="00800D00" w:rsidSect="008F13F7">
          <w:pgSz w:w="16834" w:h="11894" w:orient="landscape"/>
          <w:pgMar w:top="1440" w:right="1440" w:bottom="1440" w:left="1440" w:header="706" w:footer="706" w:gutter="0"/>
          <w:cols w:space="708"/>
          <w:docGrid w:linePitch="360"/>
        </w:sectPr>
      </w:pPr>
      <w:r w:rsidRPr="00D141DF">
        <w:rPr>
          <w:sz w:val="22"/>
          <w:szCs w:val="22"/>
        </w:rPr>
        <w:t>(‘1’ indicates that the event occurred in the considered week)</w:t>
      </w:r>
    </w:p>
    <w:p w14:paraId="1A634EA6" w14:textId="19DC8CF2" w:rsidR="008D2B3F" w:rsidRPr="00B500B8" w:rsidRDefault="00B500B8" w:rsidP="005741D7">
      <w:pPr>
        <w:jc w:val="center"/>
        <w:rPr>
          <w:i/>
        </w:rPr>
      </w:pPr>
      <w:r w:rsidRPr="00B500B8">
        <w:rPr>
          <w:i/>
        </w:rPr>
        <w:lastRenderedPageBreak/>
        <w:t>WEB APPENDIX W4: PROCEDURE TO CONSTRUCT HOUSEHOLD-SPECIFIC WEEKLY RETAILER PRICES, DISCOUNT DEPTHS, FEATURE ACTIVITY AND ASSORTMENTS</w:t>
      </w:r>
    </w:p>
    <w:p w14:paraId="5817FDD9" w14:textId="77777777" w:rsidR="00B500B8" w:rsidRDefault="00B500B8" w:rsidP="00F412AF"/>
    <w:p w14:paraId="6ECCE73B" w14:textId="3D17E0CD" w:rsidR="008D2B3F" w:rsidRPr="00800D00" w:rsidRDefault="003E5C9F" w:rsidP="00F412AF">
      <w:r w:rsidRPr="00800D00">
        <w:t>To obtain store-level values for the price, discount depth</w:t>
      </w:r>
      <w:r w:rsidR="00A651D0" w:rsidRPr="00800D00">
        <w:t>, feature activity</w:t>
      </w:r>
      <w:r w:rsidRPr="00800D00">
        <w:t xml:space="preserve"> and</w:t>
      </w:r>
      <w:r w:rsidR="00C84DF2" w:rsidRPr="00800D00">
        <w:t xml:space="preserve"> </w:t>
      </w:r>
      <w:r w:rsidRPr="00800D00">
        <w:t xml:space="preserve">assortment variables, we use a procedure similar to van </w:t>
      </w:r>
      <w:proofErr w:type="spellStart"/>
      <w:r w:rsidRPr="00800D00">
        <w:t>Heerde</w:t>
      </w:r>
      <w:proofErr w:type="spellEnd"/>
      <w:r w:rsidRPr="00800D00">
        <w:t xml:space="preserve"> et al</w:t>
      </w:r>
      <w:r w:rsidR="000E50DF">
        <w:t>.</w:t>
      </w:r>
      <w:r w:rsidRPr="00800D00">
        <w:t xml:space="preserve"> (2008). Starting from the detailed panel data, the procedure goes as follows.</w:t>
      </w:r>
    </w:p>
    <w:p w14:paraId="3687659D" w14:textId="4D7B1D29" w:rsidR="008D2B3F" w:rsidRPr="00800D00" w:rsidRDefault="00221EEB" w:rsidP="00F412AF">
      <w:pPr>
        <w:pStyle w:val="ListParagraph"/>
        <w:numPr>
          <w:ilvl w:val="0"/>
          <w:numId w:val="14"/>
        </w:numPr>
      </w:pPr>
      <w:r w:rsidRPr="00800D00">
        <w:t>We c</w:t>
      </w:r>
      <w:r w:rsidR="008D2B3F" w:rsidRPr="00800D00">
        <w:t xml:space="preserve">alculate </w:t>
      </w:r>
      <w:r w:rsidR="00045C12" w:rsidRPr="00800D00">
        <w:t xml:space="preserve">actual </w:t>
      </w:r>
      <w:r w:rsidR="008D2B3F" w:rsidRPr="00800D00">
        <w:t xml:space="preserve">unit prices for </w:t>
      </w:r>
      <w:r w:rsidR="0094040B" w:rsidRPr="00800D00">
        <w:t>each</w:t>
      </w:r>
      <w:r w:rsidR="008D2B3F" w:rsidRPr="00800D00">
        <w:t xml:space="preserve"> SKU</w:t>
      </w:r>
      <w:r w:rsidR="0094040B" w:rsidRPr="00800D00">
        <w:t xml:space="preserve"> per retailer per week </w:t>
      </w:r>
      <w:r w:rsidR="008D2B3F" w:rsidRPr="00800D00">
        <w:t xml:space="preserve">by dividing </w:t>
      </w:r>
      <w:r w:rsidR="00CF3B88" w:rsidRPr="00800D00">
        <w:t xml:space="preserve">the </w:t>
      </w:r>
      <w:r w:rsidR="0094040B" w:rsidRPr="00800D00">
        <w:t xml:space="preserve">SKU </w:t>
      </w:r>
      <w:r w:rsidR="008D2B3F" w:rsidRPr="00800D00">
        <w:t xml:space="preserve">sales </w:t>
      </w:r>
      <w:r w:rsidR="007764ED" w:rsidRPr="00800D00">
        <w:t xml:space="preserve">value (in Eurocents) </w:t>
      </w:r>
      <w:r w:rsidR="008D2B3F" w:rsidRPr="00800D00">
        <w:t xml:space="preserve">by </w:t>
      </w:r>
      <w:r w:rsidR="0094040B" w:rsidRPr="00800D00">
        <w:t xml:space="preserve">its sales </w:t>
      </w:r>
      <w:r w:rsidR="008D2B3F" w:rsidRPr="00800D00">
        <w:t xml:space="preserve">volume </w:t>
      </w:r>
      <w:r w:rsidR="007764ED" w:rsidRPr="00800D00">
        <w:t>(in category-specific volume units, e.g.</w:t>
      </w:r>
      <w:r w:rsidR="007C280E">
        <w:t>,</w:t>
      </w:r>
      <w:r w:rsidR="007764ED" w:rsidRPr="00800D00">
        <w:t xml:space="preserve"> grams, liters, …)</w:t>
      </w:r>
    </w:p>
    <w:p w14:paraId="4EB078CC" w14:textId="631668C5" w:rsidR="00B81494" w:rsidRDefault="007764ED" w:rsidP="00B81494">
      <w:pPr>
        <w:pStyle w:val="ListParagraph"/>
        <w:numPr>
          <w:ilvl w:val="0"/>
          <w:numId w:val="14"/>
        </w:numPr>
      </w:pPr>
      <w:r w:rsidRPr="00800D00">
        <w:t xml:space="preserve">For each SKU, </w:t>
      </w:r>
      <w:r w:rsidR="0094040B" w:rsidRPr="00800D00">
        <w:t>retailer and week</w:t>
      </w:r>
      <w:r w:rsidR="005D0F63">
        <w:t xml:space="preserve">, </w:t>
      </w:r>
      <w:r w:rsidR="00F5599A" w:rsidRPr="00800D00">
        <w:t xml:space="preserve">we </w:t>
      </w:r>
      <w:r w:rsidR="0094040B" w:rsidRPr="00800D00">
        <w:t>de</w:t>
      </w:r>
      <w:r w:rsidR="008D2B3F" w:rsidRPr="00800D00">
        <w:t>termine:</w:t>
      </w:r>
    </w:p>
    <w:p w14:paraId="33873E1C" w14:textId="77777777" w:rsidR="005D0F63" w:rsidRPr="00800D00" w:rsidRDefault="005D0F63" w:rsidP="005D0F63">
      <w:pPr>
        <w:pStyle w:val="ListParagraph"/>
        <w:numPr>
          <w:ilvl w:val="1"/>
          <w:numId w:val="14"/>
        </w:numPr>
      </w:pPr>
      <w:r w:rsidRPr="00800D00">
        <w:t>whether the SKU is on feature in that week at that retailer, based on the feature dummy variable provided by GfK,</w:t>
      </w:r>
    </w:p>
    <w:p w14:paraId="335A3435" w14:textId="4235EBB4" w:rsidR="00A86C17" w:rsidRPr="00B81494" w:rsidRDefault="005D0F63" w:rsidP="00B81494">
      <w:pPr>
        <w:pStyle w:val="ListParagraph"/>
        <w:numPr>
          <w:ilvl w:val="1"/>
          <w:numId w:val="14"/>
        </w:numPr>
      </w:pPr>
      <w:r>
        <w:t xml:space="preserve">if an SKU is on promotion: </w:t>
      </w:r>
      <w:r w:rsidR="00A86C17" w:rsidRPr="00B81494">
        <w:t xml:space="preserve">the </w:t>
      </w:r>
      <w:r w:rsidR="0094040B" w:rsidRPr="00B81494">
        <w:t>r</w:t>
      </w:r>
      <w:r w:rsidR="008D2B3F" w:rsidRPr="00B81494">
        <w:t>egular price</w:t>
      </w:r>
      <w:r w:rsidR="0094040B" w:rsidRPr="00B81494">
        <w:t xml:space="preserve"> </w:t>
      </w:r>
      <w:r w:rsidR="00B81494" w:rsidRPr="00B81494">
        <w:t>a</w:t>
      </w:r>
      <w:r w:rsidR="00A86C17" w:rsidRPr="00B81494">
        <w:t xml:space="preserve">s </w:t>
      </w:r>
      <w:r w:rsidR="0094040B" w:rsidRPr="00B81494">
        <w:t xml:space="preserve">the </w:t>
      </w:r>
      <w:r w:rsidR="008D2B3F" w:rsidRPr="00B81494">
        <w:t xml:space="preserve">median price of </w:t>
      </w:r>
      <w:r w:rsidR="0094040B" w:rsidRPr="00B81494">
        <w:t xml:space="preserve">the SKU at the retailer for </w:t>
      </w:r>
      <w:r w:rsidR="008D2B3F" w:rsidRPr="00B81494">
        <w:t xml:space="preserve">the surrounding </w:t>
      </w:r>
      <w:r w:rsidR="00D0180D" w:rsidRPr="00B81494">
        <w:t>4</w:t>
      </w:r>
      <w:r w:rsidR="008D2B3F" w:rsidRPr="00B81494">
        <w:t xml:space="preserve"> weeks</w:t>
      </w:r>
      <w:r w:rsidR="00D2641A" w:rsidRPr="00B81494">
        <w:t>,</w:t>
      </w:r>
      <w:r w:rsidR="00A86C17" w:rsidRPr="00B81494">
        <w:t xml:space="preserve"> </w:t>
      </w:r>
    </w:p>
    <w:p w14:paraId="6D2CDEF7" w14:textId="528891E5" w:rsidR="008D2B3F" w:rsidRPr="00800D00" w:rsidRDefault="00D0180D" w:rsidP="00F412AF">
      <w:pPr>
        <w:pStyle w:val="ListParagraph"/>
        <w:numPr>
          <w:ilvl w:val="1"/>
          <w:numId w:val="14"/>
        </w:numPr>
      </w:pPr>
      <w:r w:rsidRPr="00800D00">
        <w:t>the percentage discount depth given a promotion.</w:t>
      </w:r>
      <w:r w:rsidR="00A86C17" w:rsidRPr="00800D00">
        <w:t xml:space="preserve"> </w:t>
      </w:r>
      <w:r w:rsidRPr="00800D00">
        <w:t xml:space="preserve">We use the promotion flag of GfK to assess whether an SKU is promoted at the store in the considered week. </w:t>
      </w:r>
      <w:r w:rsidR="00A86C17" w:rsidRPr="00800D00">
        <w:t>We then set the discount depth to</w:t>
      </w:r>
      <w:r w:rsidR="0094040B" w:rsidRPr="00800D00">
        <w:t xml:space="preserve"> </w:t>
      </w:r>
    </w:p>
    <w:p w14:paraId="52C1AC3A" w14:textId="333C3A77" w:rsidR="00D2641A" w:rsidRPr="00800D00" w:rsidRDefault="0094040B" w:rsidP="00F412AF">
      <w:pPr>
        <w:pStyle w:val="ListParagraph"/>
        <w:numPr>
          <w:ilvl w:val="2"/>
          <w:numId w:val="14"/>
        </w:numPr>
        <w:ind w:left="1080" w:firstLine="720"/>
      </w:pPr>
      <w:r w:rsidRPr="00800D00">
        <w:t xml:space="preserve">zero for weeks </w:t>
      </w:r>
      <w:r w:rsidR="00D2641A" w:rsidRPr="00800D00">
        <w:t xml:space="preserve">in which the SKU is not on </w:t>
      </w:r>
      <w:r w:rsidR="00D0180D" w:rsidRPr="00800D00">
        <w:t>promotion</w:t>
      </w:r>
      <w:r w:rsidRPr="00800D00">
        <w:t xml:space="preserve"> at that</w:t>
      </w:r>
    </w:p>
    <w:p w14:paraId="305698E7" w14:textId="0485AA1A" w:rsidR="00CF3B88" w:rsidRPr="00800D00" w:rsidRDefault="0094040B" w:rsidP="00DA040E">
      <w:pPr>
        <w:pStyle w:val="ListParagraph"/>
        <w:ind w:left="1800" w:firstLine="360"/>
      </w:pPr>
      <w:r w:rsidRPr="00800D00">
        <w:t>retailer</w:t>
      </w:r>
    </w:p>
    <w:p w14:paraId="088ACAA5" w14:textId="32BB2305" w:rsidR="00CF3B88" w:rsidRPr="00800D00" w:rsidRDefault="008D2B3F" w:rsidP="00F412AF">
      <w:pPr>
        <w:pStyle w:val="ListParagraph"/>
        <w:numPr>
          <w:ilvl w:val="2"/>
          <w:numId w:val="14"/>
        </w:numPr>
        <w:ind w:left="1080" w:firstLine="720"/>
      </w:pPr>
      <w:r w:rsidRPr="00800D00">
        <w:t xml:space="preserve">(regular price – </w:t>
      </w:r>
      <w:r w:rsidR="00045C12" w:rsidRPr="00800D00">
        <w:t xml:space="preserve">actual </w:t>
      </w:r>
      <w:r w:rsidRPr="00800D00">
        <w:t>price) / (regular</w:t>
      </w:r>
      <w:r w:rsidR="005C4F05" w:rsidRPr="00800D00">
        <w:t xml:space="preserve"> </w:t>
      </w:r>
      <w:r w:rsidRPr="00800D00">
        <w:t xml:space="preserve">price) </w:t>
      </w:r>
      <w:r w:rsidR="00CF3B88" w:rsidRPr="00800D00">
        <w:t xml:space="preserve">* 100 </w:t>
      </w:r>
      <w:r w:rsidR="00045C12" w:rsidRPr="00800D00">
        <w:t xml:space="preserve">for weeks with </w:t>
      </w:r>
      <w:r w:rsidR="00CF3B88" w:rsidRPr="00800D00">
        <w:t xml:space="preserve">a </w:t>
      </w:r>
    </w:p>
    <w:p w14:paraId="2A74CBD1" w14:textId="16DB529B" w:rsidR="00A86C17" w:rsidRPr="00800D00" w:rsidRDefault="00D0180D" w:rsidP="00DA040E">
      <w:pPr>
        <w:pStyle w:val="ListParagraph"/>
        <w:ind w:left="1800" w:firstLine="360"/>
      </w:pPr>
      <w:r w:rsidRPr="00800D00">
        <w:t>promotion</w:t>
      </w:r>
      <w:r w:rsidR="00CF3B88" w:rsidRPr="00800D00">
        <w:t xml:space="preserve"> </w:t>
      </w:r>
      <w:r w:rsidR="00045C12" w:rsidRPr="00800D00">
        <w:t>for that SKU at that retailer</w:t>
      </w:r>
      <w:r w:rsidR="00D2641A" w:rsidRPr="00800D00">
        <w:t>,</w:t>
      </w:r>
    </w:p>
    <w:p w14:paraId="3B7BD9B0" w14:textId="683E955A" w:rsidR="008D2B3F" w:rsidRPr="00B81494" w:rsidRDefault="00221EEB" w:rsidP="00B81494">
      <w:pPr>
        <w:ind w:left="720"/>
      </w:pPr>
      <w:r w:rsidRPr="00B81494">
        <w:t xml:space="preserve">and </w:t>
      </w:r>
      <w:r w:rsidR="00045C12" w:rsidRPr="00B81494">
        <w:t>c</w:t>
      </w:r>
      <w:r w:rsidR="008D2B3F" w:rsidRPr="00B81494">
        <w:t xml:space="preserve">alculate </w:t>
      </w:r>
      <w:r w:rsidR="007764ED" w:rsidRPr="00B81494">
        <w:t xml:space="preserve">volume </w:t>
      </w:r>
      <w:r w:rsidR="008D2B3F" w:rsidRPr="00B81494">
        <w:t xml:space="preserve">share of </w:t>
      </w:r>
      <w:r w:rsidR="00045C12" w:rsidRPr="00B81494">
        <w:t xml:space="preserve">the </w:t>
      </w:r>
      <w:r w:rsidR="008D2B3F" w:rsidRPr="00B81494">
        <w:t xml:space="preserve">SKU within </w:t>
      </w:r>
      <w:r w:rsidR="00045C12" w:rsidRPr="00B81494">
        <w:t>the</w:t>
      </w:r>
      <w:r w:rsidR="008D2B3F" w:rsidRPr="00B81494">
        <w:t xml:space="preserve"> brand</w:t>
      </w:r>
      <w:r w:rsidR="00045C12" w:rsidRPr="00B81494">
        <w:t xml:space="preserve"> at the retailer </w:t>
      </w:r>
      <w:r w:rsidR="008D2B3F" w:rsidRPr="00B81494">
        <w:t>in the past 26 weeks</w:t>
      </w:r>
      <w:r w:rsidR="00D2641A" w:rsidRPr="00B81494">
        <w:t>.</w:t>
      </w:r>
    </w:p>
    <w:p w14:paraId="6EF590DE" w14:textId="5CA3EF1D" w:rsidR="00045C12" w:rsidRPr="00800D00" w:rsidRDefault="00045C12" w:rsidP="00F412AF">
      <w:pPr>
        <w:pStyle w:val="ListParagraph"/>
        <w:numPr>
          <w:ilvl w:val="0"/>
          <w:numId w:val="14"/>
        </w:numPr>
      </w:pPr>
      <w:r w:rsidRPr="00800D00">
        <w:t xml:space="preserve">For each brand, retailer and week, </w:t>
      </w:r>
      <w:r w:rsidR="00221EEB" w:rsidRPr="00800D00">
        <w:t xml:space="preserve">we </w:t>
      </w:r>
      <w:r w:rsidRPr="00800D00">
        <w:t>calculate the:</w:t>
      </w:r>
    </w:p>
    <w:p w14:paraId="26C2140B" w14:textId="796CD91E" w:rsidR="00045C12" w:rsidRPr="00800D00" w:rsidRDefault="00A86C17" w:rsidP="00F412AF">
      <w:pPr>
        <w:pStyle w:val="ListParagraph"/>
        <w:numPr>
          <w:ilvl w:val="1"/>
          <w:numId w:val="14"/>
        </w:numPr>
      </w:pPr>
      <w:r w:rsidRPr="00800D00">
        <w:t xml:space="preserve">regular </w:t>
      </w:r>
      <w:r w:rsidR="00045C12" w:rsidRPr="00800D00">
        <w:t>b</w:t>
      </w:r>
      <w:r w:rsidR="008D2B3F" w:rsidRPr="00800D00">
        <w:t xml:space="preserve">rand price </w:t>
      </w:r>
      <w:r w:rsidR="00045C12" w:rsidRPr="00800D00">
        <w:t xml:space="preserve">at the retailer as a weighted average of </w:t>
      </w:r>
      <w:r w:rsidR="00B81494">
        <w:t xml:space="preserve">regular </w:t>
      </w:r>
      <w:r w:rsidR="00045C12" w:rsidRPr="00800D00">
        <w:t xml:space="preserve">SKU prices, using the SKU </w:t>
      </w:r>
      <w:r w:rsidR="006159AE" w:rsidRPr="00800D00">
        <w:t xml:space="preserve">volume </w:t>
      </w:r>
      <w:r w:rsidR="00045C12" w:rsidRPr="00800D00">
        <w:t xml:space="preserve">shares </w:t>
      </w:r>
      <w:r w:rsidR="00B8091A" w:rsidRPr="00800D00">
        <w:t xml:space="preserve">(obtained as above) </w:t>
      </w:r>
      <w:r w:rsidR="00045C12" w:rsidRPr="00800D00">
        <w:t xml:space="preserve">within the brand as weights </w:t>
      </w:r>
    </w:p>
    <w:p w14:paraId="371C8756" w14:textId="04728F85" w:rsidR="00045C12" w:rsidRPr="00800D00" w:rsidRDefault="00045C12" w:rsidP="00F412AF">
      <w:pPr>
        <w:pStyle w:val="ListParagraph"/>
        <w:numPr>
          <w:ilvl w:val="1"/>
          <w:numId w:val="14"/>
        </w:numPr>
      </w:pPr>
      <w:r w:rsidRPr="00800D00">
        <w:t xml:space="preserve">brand discount depth at the retailer as a weighted average of SKU discount depths across promoted SKUs, using the SKU shares within the brand as weights </w:t>
      </w:r>
      <w:r w:rsidR="003E5C9F" w:rsidRPr="00800D00">
        <w:t xml:space="preserve">(weights </w:t>
      </w:r>
      <w:r w:rsidRPr="00800D00">
        <w:t>normalized to sum to one</w:t>
      </w:r>
      <w:r w:rsidR="003E5C9F" w:rsidRPr="00800D00">
        <w:t>)</w:t>
      </w:r>
    </w:p>
    <w:p w14:paraId="6F1859E4" w14:textId="06C39C6A" w:rsidR="00D45D9C" w:rsidRPr="00800D00" w:rsidRDefault="00D45D9C" w:rsidP="00F412AF">
      <w:pPr>
        <w:pStyle w:val="ListParagraph"/>
        <w:numPr>
          <w:ilvl w:val="1"/>
          <w:numId w:val="14"/>
        </w:numPr>
      </w:pPr>
      <w:r w:rsidRPr="00800D00">
        <w:t>brand feature activity at the retailer as a weighted average of SKU feature dummies, using the SKU volume shares (obtained as above) within the brand as weights</w:t>
      </w:r>
    </w:p>
    <w:p w14:paraId="3A1BB399" w14:textId="29B32D8D" w:rsidR="008D2B3F" w:rsidRPr="00800D00" w:rsidRDefault="008D2B3F" w:rsidP="00F412AF">
      <w:pPr>
        <w:pStyle w:val="ListParagraph"/>
        <w:numPr>
          <w:ilvl w:val="1"/>
          <w:numId w:val="14"/>
        </w:numPr>
      </w:pPr>
      <w:r w:rsidRPr="00800D00">
        <w:t xml:space="preserve">brand </w:t>
      </w:r>
      <w:r w:rsidR="007764ED" w:rsidRPr="00800D00">
        <w:t xml:space="preserve">volume </w:t>
      </w:r>
      <w:r w:rsidRPr="00800D00">
        <w:t xml:space="preserve">share within </w:t>
      </w:r>
      <w:r w:rsidR="00045C12" w:rsidRPr="00800D00">
        <w:t xml:space="preserve">the </w:t>
      </w:r>
      <w:r w:rsidRPr="00800D00">
        <w:t>category</w:t>
      </w:r>
      <w:r w:rsidR="00045C12" w:rsidRPr="00800D00">
        <w:t xml:space="preserve"> at the retailer, </w:t>
      </w:r>
      <w:r w:rsidRPr="00800D00">
        <w:t xml:space="preserve">in the past 26 weeks </w:t>
      </w:r>
    </w:p>
    <w:p w14:paraId="59E750C3" w14:textId="0F25D745" w:rsidR="00045C12" w:rsidRPr="00800D00" w:rsidRDefault="00045C12" w:rsidP="00F412AF">
      <w:pPr>
        <w:pStyle w:val="ListParagraph"/>
        <w:numPr>
          <w:ilvl w:val="0"/>
          <w:numId w:val="14"/>
        </w:numPr>
      </w:pPr>
      <w:r w:rsidRPr="00800D00">
        <w:t xml:space="preserve">For each category, retailer and week, </w:t>
      </w:r>
      <w:r w:rsidR="00221EEB" w:rsidRPr="00800D00">
        <w:t xml:space="preserve">we </w:t>
      </w:r>
      <w:r w:rsidRPr="00800D00">
        <w:t>obtain the:</w:t>
      </w:r>
    </w:p>
    <w:p w14:paraId="53C5CF3F" w14:textId="11277389" w:rsidR="008D2B3F" w:rsidRPr="00800D00" w:rsidRDefault="00D45D9C" w:rsidP="00F412AF">
      <w:pPr>
        <w:pStyle w:val="ListParagraph"/>
        <w:numPr>
          <w:ilvl w:val="1"/>
          <w:numId w:val="14"/>
        </w:numPr>
      </w:pPr>
      <w:r w:rsidRPr="00800D00">
        <w:t xml:space="preserve">regular </w:t>
      </w:r>
      <w:r w:rsidR="008D2B3F" w:rsidRPr="00800D00">
        <w:t xml:space="preserve">category </w:t>
      </w:r>
      <w:r w:rsidR="007764ED" w:rsidRPr="00800D00">
        <w:t xml:space="preserve">price </w:t>
      </w:r>
      <w:r w:rsidR="00045C12" w:rsidRPr="00800D00">
        <w:t xml:space="preserve">as a weighted average of </w:t>
      </w:r>
      <w:r w:rsidR="00B81494">
        <w:t xml:space="preserve">regular </w:t>
      </w:r>
      <w:r w:rsidR="00C3456C">
        <w:t>b</w:t>
      </w:r>
      <w:r w:rsidR="00045C12" w:rsidRPr="00800D00">
        <w:t xml:space="preserve">rand prices, using the brand shares </w:t>
      </w:r>
      <w:r w:rsidR="00B8091A" w:rsidRPr="00800D00">
        <w:t xml:space="preserve">(obtained as above) </w:t>
      </w:r>
      <w:r w:rsidR="00045C12" w:rsidRPr="00800D00">
        <w:t>within the category as weights</w:t>
      </w:r>
      <w:r w:rsidR="00B81494">
        <w:t xml:space="preserve"> </w:t>
      </w:r>
      <w:r w:rsidR="00B81494" w:rsidRPr="00800D00">
        <w:t>(normalized to sum to one)</w:t>
      </w:r>
    </w:p>
    <w:p w14:paraId="4B1CD790" w14:textId="468AF67F" w:rsidR="00045C12" w:rsidRPr="00800D00" w:rsidRDefault="00045C12" w:rsidP="00F412AF">
      <w:pPr>
        <w:pStyle w:val="ListParagraph"/>
        <w:numPr>
          <w:ilvl w:val="1"/>
          <w:numId w:val="14"/>
        </w:numPr>
      </w:pPr>
      <w:r w:rsidRPr="00800D00">
        <w:t>category discount depth as a weighted average of brand discount depths</w:t>
      </w:r>
      <w:r w:rsidR="003E5C9F" w:rsidRPr="00800D00">
        <w:t xml:space="preserve"> for brands with a </w:t>
      </w:r>
      <w:r w:rsidR="00D45D9C" w:rsidRPr="00800D00">
        <w:t>discount</w:t>
      </w:r>
      <w:r w:rsidRPr="00800D00">
        <w:t>, using the brand shares within the category as weights</w:t>
      </w:r>
      <w:r w:rsidR="003E5C9F" w:rsidRPr="00800D00">
        <w:t xml:space="preserve"> (normalized to sum to one)</w:t>
      </w:r>
    </w:p>
    <w:p w14:paraId="79E60E07" w14:textId="3F08900C" w:rsidR="00D45D9C" w:rsidRPr="00800D00" w:rsidRDefault="00D45D9C" w:rsidP="00F412AF">
      <w:pPr>
        <w:pStyle w:val="ListParagraph"/>
        <w:numPr>
          <w:ilvl w:val="1"/>
          <w:numId w:val="14"/>
        </w:numPr>
      </w:pPr>
      <w:r w:rsidRPr="00800D00">
        <w:t>category feature activity as a weighted average of brand feature activity, using the brand shares within the category as weights (normalized to sum to one)</w:t>
      </w:r>
    </w:p>
    <w:p w14:paraId="2744D56E" w14:textId="3D3A1269" w:rsidR="008D2B3F" w:rsidRPr="00800D00" w:rsidRDefault="00045C12" w:rsidP="00F412AF">
      <w:pPr>
        <w:pStyle w:val="ListParagraph"/>
        <w:numPr>
          <w:ilvl w:val="1"/>
          <w:numId w:val="14"/>
        </w:numPr>
      </w:pPr>
      <w:r w:rsidRPr="00800D00">
        <w:t>n</w:t>
      </w:r>
      <w:r w:rsidR="008D2B3F" w:rsidRPr="00800D00">
        <w:t>ormaliz</w:t>
      </w:r>
      <w:r w:rsidRPr="00800D00">
        <w:t>e</w:t>
      </w:r>
      <w:r w:rsidR="008D2B3F" w:rsidRPr="00800D00">
        <w:t xml:space="preserve"> the </w:t>
      </w:r>
      <w:r w:rsidR="007764ED" w:rsidRPr="00800D00">
        <w:t xml:space="preserve">retailer </w:t>
      </w:r>
      <w:r w:rsidR="0094040B" w:rsidRPr="00800D00">
        <w:t xml:space="preserve">weekly </w:t>
      </w:r>
      <w:r w:rsidR="00D45D9C" w:rsidRPr="00800D00">
        <w:t xml:space="preserve">regular </w:t>
      </w:r>
      <w:r w:rsidR="008D2B3F" w:rsidRPr="00800D00">
        <w:t xml:space="preserve">category </w:t>
      </w:r>
      <w:r w:rsidR="007764ED" w:rsidRPr="00800D00">
        <w:t xml:space="preserve">price into an index </w:t>
      </w:r>
      <w:r w:rsidR="008D2B3F" w:rsidRPr="00800D00">
        <w:t xml:space="preserve">using the mean </w:t>
      </w:r>
      <w:r w:rsidRPr="00800D00">
        <w:t xml:space="preserve">category price </w:t>
      </w:r>
      <w:r w:rsidR="008D2B3F" w:rsidRPr="00800D00">
        <w:t>of the first 26 weeks (outside of estimation sample)</w:t>
      </w:r>
      <w:r w:rsidR="007764ED" w:rsidRPr="00800D00">
        <w:t xml:space="preserve"> across all retailers </w:t>
      </w:r>
      <w:r w:rsidR="003E5C9F" w:rsidRPr="00800D00">
        <w:t>to ensure comparability across categories with different volume units</w:t>
      </w:r>
      <w:r w:rsidR="00CF3B88" w:rsidRPr="00800D00">
        <w:t>.</w:t>
      </w:r>
    </w:p>
    <w:p w14:paraId="17E5D24A" w14:textId="43F49C66" w:rsidR="0094040B" w:rsidRPr="00800D00" w:rsidRDefault="00045C12" w:rsidP="00F412AF">
      <w:pPr>
        <w:pStyle w:val="ListParagraph"/>
        <w:numPr>
          <w:ilvl w:val="0"/>
          <w:numId w:val="14"/>
        </w:numPr>
      </w:pPr>
      <w:r w:rsidRPr="00800D00">
        <w:t>F</w:t>
      </w:r>
      <w:r w:rsidR="0094040B" w:rsidRPr="00800D00">
        <w:t xml:space="preserve">or each household and category, </w:t>
      </w:r>
      <w:r w:rsidR="00D2641A" w:rsidRPr="00800D00">
        <w:t xml:space="preserve">we </w:t>
      </w:r>
      <w:r w:rsidRPr="00800D00">
        <w:t xml:space="preserve">calculate </w:t>
      </w:r>
      <w:r w:rsidR="0094040B" w:rsidRPr="00800D00">
        <w:t>the share of the category in the household’s total spending, in the first 26 weeks</w:t>
      </w:r>
      <w:r w:rsidR="00CE19ED" w:rsidRPr="00800D00">
        <w:t xml:space="preserve"> of the households’ purchase history</w:t>
      </w:r>
    </w:p>
    <w:p w14:paraId="742F27FE" w14:textId="2385CEB8" w:rsidR="00454D67" w:rsidRPr="00800D00" w:rsidRDefault="00D2641A" w:rsidP="00F412AF">
      <w:pPr>
        <w:pStyle w:val="ListParagraph"/>
        <w:numPr>
          <w:ilvl w:val="0"/>
          <w:numId w:val="14"/>
        </w:numPr>
      </w:pPr>
      <w:r w:rsidRPr="00800D00">
        <w:lastRenderedPageBreak/>
        <w:t>We then u</w:t>
      </w:r>
      <w:r w:rsidR="0094040B" w:rsidRPr="00800D00">
        <w:t xml:space="preserve">se these category shares as weights to aggregate the retailer-week-category </w:t>
      </w:r>
      <w:r w:rsidR="00D45D9C" w:rsidRPr="00800D00">
        <w:t xml:space="preserve">specific regular price, </w:t>
      </w:r>
      <w:r w:rsidR="003E5C9F" w:rsidRPr="00800D00">
        <w:t xml:space="preserve">discount depth </w:t>
      </w:r>
      <w:r w:rsidR="00D45D9C" w:rsidRPr="00800D00">
        <w:t xml:space="preserve">and feature-activity variables </w:t>
      </w:r>
      <w:r w:rsidR="0094040B" w:rsidRPr="00800D00">
        <w:t>to household-specific retailer-week price</w:t>
      </w:r>
      <w:r w:rsidR="00C3456C">
        <w:t>-,</w:t>
      </w:r>
      <w:r w:rsidR="003E5C9F" w:rsidRPr="00800D00">
        <w:t xml:space="preserve"> discount depth</w:t>
      </w:r>
      <w:r w:rsidR="00C3456C">
        <w:t>- and feature variables</w:t>
      </w:r>
      <w:r w:rsidR="00CF3B88" w:rsidRPr="00800D00">
        <w:t>.</w:t>
      </w:r>
    </w:p>
    <w:p w14:paraId="2F05754C" w14:textId="77777777" w:rsidR="00454D67" w:rsidRPr="00800D00" w:rsidRDefault="00454D67" w:rsidP="00F412AF">
      <w:pPr>
        <w:pStyle w:val="ListParagraph"/>
      </w:pPr>
    </w:p>
    <w:p w14:paraId="5B082090" w14:textId="48A612B5" w:rsidR="006159AE" w:rsidRPr="00800D00" w:rsidRDefault="006159AE" w:rsidP="00F412AF">
      <w:pPr>
        <w:ind w:left="360"/>
      </w:pPr>
      <w:r w:rsidRPr="00800D00">
        <w:t xml:space="preserve">For </w:t>
      </w:r>
      <w:r w:rsidR="00E769F2" w:rsidRPr="00800D00">
        <w:t>household</w:t>
      </w:r>
      <w:r w:rsidR="00E769F2">
        <w:t>-</w:t>
      </w:r>
      <w:r w:rsidR="00602FD0" w:rsidRPr="00800D00">
        <w:t xml:space="preserve">specific </w:t>
      </w:r>
      <w:r w:rsidRPr="00800D00">
        <w:t>assortment, we use the following procedure:</w:t>
      </w:r>
    </w:p>
    <w:p w14:paraId="352E872A" w14:textId="5F583079" w:rsidR="006159AE" w:rsidRPr="00800D00" w:rsidRDefault="006159AE" w:rsidP="00F412AF">
      <w:pPr>
        <w:pStyle w:val="ListParagraph"/>
        <w:numPr>
          <w:ilvl w:val="0"/>
          <w:numId w:val="14"/>
        </w:numPr>
      </w:pPr>
      <w:r w:rsidRPr="00800D00">
        <w:t>For each SKU observed in our dataset</w:t>
      </w:r>
      <w:r w:rsidR="00B8091A" w:rsidRPr="00800D00">
        <w:t xml:space="preserve"> and each week</w:t>
      </w:r>
      <w:r w:rsidRPr="00800D00">
        <w:t xml:space="preserve">, we </w:t>
      </w:r>
      <w:r w:rsidR="00221EEB" w:rsidRPr="00800D00">
        <w:t xml:space="preserve">check if </w:t>
      </w:r>
      <w:r w:rsidR="00B8091A" w:rsidRPr="00800D00">
        <w:t>it was</w:t>
      </w:r>
      <w:r w:rsidR="00221EEB" w:rsidRPr="00800D00">
        <w:t xml:space="preserve"> sold in the preceding </w:t>
      </w:r>
      <w:r w:rsidR="00B81494">
        <w:t>four</w:t>
      </w:r>
      <w:r w:rsidR="00C3456C">
        <w:t>-</w:t>
      </w:r>
      <w:r w:rsidR="00B81494">
        <w:t>week</w:t>
      </w:r>
      <w:r w:rsidR="00E769F2">
        <w:t xml:space="preserve"> </w:t>
      </w:r>
      <w:r w:rsidR="00B81494">
        <w:t>period</w:t>
      </w:r>
      <w:r w:rsidR="00221EEB" w:rsidRPr="00800D00">
        <w:t xml:space="preserve"> at the focal retailer to determine availability. </w:t>
      </w:r>
    </w:p>
    <w:p w14:paraId="657A0364" w14:textId="553486BC" w:rsidR="00221EEB" w:rsidRPr="00800D00" w:rsidRDefault="00221EEB" w:rsidP="00F412AF">
      <w:pPr>
        <w:pStyle w:val="ListParagraph"/>
        <w:numPr>
          <w:ilvl w:val="0"/>
          <w:numId w:val="14"/>
        </w:numPr>
      </w:pPr>
      <w:r w:rsidRPr="00800D00">
        <w:t xml:space="preserve">We aggregate the number of available SKUs </w:t>
      </w:r>
      <w:r w:rsidR="00066659" w:rsidRPr="00800D00">
        <w:t xml:space="preserve">in that week at that retailer </w:t>
      </w:r>
      <w:r w:rsidRPr="00800D00">
        <w:t>to the category level</w:t>
      </w:r>
    </w:p>
    <w:p w14:paraId="040D2F26" w14:textId="1EF0F2CD" w:rsidR="00221EEB" w:rsidRPr="00800D00" w:rsidRDefault="00221EEB" w:rsidP="00F412AF">
      <w:pPr>
        <w:pStyle w:val="ListParagraph"/>
        <w:numPr>
          <w:ilvl w:val="0"/>
          <w:numId w:val="14"/>
        </w:numPr>
      </w:pPr>
      <w:r w:rsidRPr="00800D00">
        <w:t>Fo</w:t>
      </w:r>
      <w:r w:rsidR="00B8091A" w:rsidRPr="00800D00">
        <w:t>r each household and category, we c</w:t>
      </w:r>
      <w:r w:rsidRPr="00800D00">
        <w:t>alculate the share of the category in the household’s total spending, in the first 26 weeks of the households’ purchase history</w:t>
      </w:r>
    </w:p>
    <w:p w14:paraId="08D67151" w14:textId="4B1990E1" w:rsidR="00221EEB" w:rsidRPr="00800D00" w:rsidRDefault="00B8091A" w:rsidP="00F412AF">
      <w:pPr>
        <w:pStyle w:val="ListParagraph"/>
        <w:numPr>
          <w:ilvl w:val="0"/>
          <w:numId w:val="14"/>
        </w:numPr>
        <w:rPr>
          <w:b/>
        </w:rPr>
      </w:pPr>
      <w:r w:rsidRPr="00800D00">
        <w:t>We u</w:t>
      </w:r>
      <w:r w:rsidR="00221EEB" w:rsidRPr="00800D00">
        <w:t xml:space="preserve">se these category shares as weights to aggregate the SKU availability </w:t>
      </w:r>
      <w:r w:rsidR="00066659" w:rsidRPr="00800D00">
        <w:t>for a given week and retailer</w:t>
      </w:r>
      <w:r w:rsidR="00C3456C">
        <w:t>,</w:t>
      </w:r>
      <w:r w:rsidR="00066659" w:rsidRPr="00800D00">
        <w:t xml:space="preserve"> </w:t>
      </w:r>
      <w:r w:rsidR="00221EEB" w:rsidRPr="00800D00">
        <w:t>to a household-specific retailer-week assortment variable</w:t>
      </w:r>
    </w:p>
    <w:p w14:paraId="7257A6BD" w14:textId="77777777" w:rsidR="00454D67" w:rsidRPr="00800D00" w:rsidRDefault="00454D67" w:rsidP="00F412AF">
      <w:pPr>
        <w:pStyle w:val="ListParagraph"/>
        <w:rPr>
          <w:b/>
        </w:rPr>
      </w:pPr>
    </w:p>
    <w:p w14:paraId="79776DAA" w14:textId="71045F76" w:rsidR="00454D67" w:rsidRPr="00800D00" w:rsidRDefault="00454D67" w:rsidP="00F412AF">
      <w:pPr>
        <w:ind w:left="360"/>
      </w:pPr>
      <w:r w:rsidRPr="00800D00">
        <w:t xml:space="preserve">As we aim to capture variation in regular price, discount depth, feature activity and assortment over time, we normalize these variables </w:t>
      </w:r>
      <w:r w:rsidR="00CF3B88" w:rsidRPr="00800D00">
        <w:t>within each retailer</w:t>
      </w:r>
      <w:r w:rsidRPr="00800D00">
        <w:t xml:space="preserve">. Finally, to account for competitive </w:t>
      </w:r>
      <w:r w:rsidR="00CF3B88" w:rsidRPr="00800D00">
        <w:t>effects</w:t>
      </w:r>
      <w:r w:rsidRPr="00800D00">
        <w:t xml:space="preserve">, we </w:t>
      </w:r>
      <w:r w:rsidR="00CF3B88" w:rsidRPr="00800D00">
        <w:t>divide each variable by the average across retailers in that week.</w:t>
      </w:r>
    </w:p>
    <w:p w14:paraId="25AA52D7" w14:textId="401403AD" w:rsidR="009601E8" w:rsidRPr="00800D00" w:rsidRDefault="009601E8" w:rsidP="00F412AF">
      <w:pPr>
        <w:rPr>
          <w:b/>
        </w:rPr>
      </w:pPr>
    </w:p>
    <w:p w14:paraId="71D1457C" w14:textId="77777777" w:rsidR="002F16A2" w:rsidRDefault="002F16A2" w:rsidP="00F412AF">
      <w:pPr>
        <w:rPr>
          <w:b/>
        </w:rPr>
      </w:pPr>
      <w:r>
        <w:rPr>
          <w:b/>
        </w:rPr>
        <w:t>Reference:</w:t>
      </w:r>
    </w:p>
    <w:p w14:paraId="7A19832B" w14:textId="5CC29ECA" w:rsidR="002F16A2" w:rsidRPr="00800D00" w:rsidRDefault="002F16A2" w:rsidP="002F16A2">
      <w:pPr>
        <w:ind w:left="432" w:hanging="432"/>
      </w:pPr>
      <w:r>
        <w:rPr>
          <w:noProof/>
        </w:rPr>
        <w:t>van Heerde, Harald</w:t>
      </w:r>
      <w:r w:rsidRPr="00800D00">
        <w:t xml:space="preserve">, Els Gijsbrechts, and Koen Pauwels (2008), "Winners and Losers in a Major Price War," </w:t>
      </w:r>
      <w:r w:rsidRPr="00800D00">
        <w:rPr>
          <w:i/>
        </w:rPr>
        <w:t>Journal of Marketing Research</w:t>
      </w:r>
      <w:r w:rsidRPr="00800D00">
        <w:t>, 45 (5), 499-518.</w:t>
      </w:r>
    </w:p>
    <w:p w14:paraId="050A93E4" w14:textId="04638CB4" w:rsidR="00EF2E15" w:rsidRPr="00800D00" w:rsidRDefault="00EF2E15" w:rsidP="00F412AF">
      <w:pPr>
        <w:rPr>
          <w:b/>
        </w:rPr>
      </w:pPr>
      <w:r w:rsidRPr="00800D00">
        <w:rPr>
          <w:b/>
        </w:rPr>
        <w:br w:type="page"/>
      </w:r>
    </w:p>
    <w:p w14:paraId="6F2CEA29" w14:textId="77777777" w:rsidR="00EF2E15" w:rsidRPr="00800D00" w:rsidRDefault="00EF2E15" w:rsidP="00F412AF">
      <w:pPr>
        <w:rPr>
          <w:b/>
          <w:i/>
        </w:rPr>
        <w:sectPr w:rsidR="00EF2E15" w:rsidRPr="00800D00" w:rsidSect="00624AE0">
          <w:pgSz w:w="11906" w:h="16838"/>
          <w:pgMar w:top="1440" w:right="1440" w:bottom="1440" w:left="1440" w:header="706" w:footer="706" w:gutter="0"/>
          <w:cols w:space="708"/>
          <w:docGrid w:linePitch="360"/>
        </w:sectPr>
      </w:pPr>
    </w:p>
    <w:p w14:paraId="5ADDDC67" w14:textId="272AA1C7" w:rsidR="009601E8" w:rsidRPr="00800D00" w:rsidRDefault="009601E8" w:rsidP="00F412AF">
      <w:pPr>
        <w:rPr>
          <w:b/>
        </w:rPr>
      </w:pPr>
    </w:p>
    <w:p w14:paraId="1A70E546" w14:textId="715826F3" w:rsidR="00BF7D53" w:rsidRDefault="00B500B8" w:rsidP="00823771">
      <w:pPr>
        <w:jc w:val="center"/>
        <w:rPr>
          <w:bCs/>
          <w:i/>
          <w:iCs/>
        </w:rPr>
      </w:pPr>
      <w:r w:rsidRPr="00B500B8">
        <w:rPr>
          <w:bCs/>
          <w:i/>
          <w:iCs/>
        </w:rPr>
        <w:t xml:space="preserve">WEB APPENDIX W5: SIMULATION RESULTS </w:t>
      </w:r>
    </w:p>
    <w:p w14:paraId="5DDB2898" w14:textId="77777777" w:rsidR="00B500B8" w:rsidRPr="00B500B8" w:rsidRDefault="00B500B8" w:rsidP="00823771">
      <w:pPr>
        <w:jc w:val="center"/>
        <w:rPr>
          <w:bCs/>
          <w:i/>
          <w:iCs/>
          <w:caps/>
        </w:rPr>
      </w:pPr>
    </w:p>
    <w:p w14:paraId="79AAC84A" w14:textId="701904AE" w:rsidR="00BF7D53" w:rsidRPr="00800D00" w:rsidRDefault="00BF7D53" w:rsidP="00F412AF">
      <w:pPr>
        <w:spacing w:after="120"/>
        <w:jc w:val="center"/>
        <w:rPr>
          <w:b/>
          <w:caps/>
        </w:rPr>
      </w:pPr>
      <w:r w:rsidRPr="00800D00">
        <w:rPr>
          <w:b/>
          <w:caps/>
        </w:rPr>
        <w:t xml:space="preserve">Table </w:t>
      </w:r>
      <w:r w:rsidR="005741D7" w:rsidRPr="00800D00">
        <w:rPr>
          <w:b/>
          <w:caps/>
        </w:rPr>
        <w:t>WA</w:t>
      </w:r>
      <w:r w:rsidR="00663A9C">
        <w:rPr>
          <w:b/>
          <w:caps/>
        </w:rPr>
        <w:t>5</w:t>
      </w:r>
      <w:r w:rsidRPr="00800D00">
        <w:rPr>
          <w:b/>
          <w:caps/>
        </w:rPr>
        <w:t xml:space="preserve">: </w:t>
      </w:r>
      <w:r w:rsidRPr="00800D00">
        <w:rPr>
          <w:b/>
        </w:rPr>
        <w:t xml:space="preserve">Impact of </w:t>
      </w:r>
      <w:proofErr w:type="spellStart"/>
      <w:r w:rsidR="00B81494">
        <w:rPr>
          <w:b/>
        </w:rPr>
        <w:t>ReTSS</w:t>
      </w:r>
      <w:proofErr w:type="spellEnd"/>
      <w:r w:rsidRPr="00800D00">
        <w:rPr>
          <w:b/>
        </w:rPr>
        <w:t xml:space="preserve"> Over </w:t>
      </w:r>
      <w:proofErr w:type="spellStart"/>
      <w:r w:rsidRPr="00800D00">
        <w:rPr>
          <w:b/>
        </w:rPr>
        <w:t>Time</w:t>
      </w:r>
      <w:r w:rsidRPr="00800D00">
        <w:rPr>
          <w:b/>
          <w:vertAlign w:val="superscript"/>
        </w:rPr>
        <w:t>a</w:t>
      </w:r>
      <w:proofErr w:type="spellEnd"/>
      <w:r w:rsidR="00823771" w:rsidRPr="00800D00">
        <w:rPr>
          <w:b/>
          <w:vertAlign w:val="superscript"/>
        </w:rPr>
        <w:t xml:space="preserve"> </w:t>
      </w:r>
    </w:p>
    <w:tbl>
      <w:tblPr>
        <w:tblStyle w:val="TableGrid"/>
        <w:tblW w:w="14665" w:type="dxa"/>
        <w:tblLayout w:type="fixed"/>
        <w:tblLook w:val="04A0" w:firstRow="1" w:lastRow="0" w:firstColumn="1" w:lastColumn="0" w:noHBand="0" w:noVBand="1"/>
      </w:tblPr>
      <w:tblGrid>
        <w:gridCol w:w="1097"/>
        <w:gridCol w:w="1148"/>
        <w:gridCol w:w="1170"/>
        <w:gridCol w:w="1080"/>
        <w:gridCol w:w="1080"/>
        <w:gridCol w:w="1170"/>
        <w:gridCol w:w="1080"/>
        <w:gridCol w:w="1080"/>
        <w:gridCol w:w="1170"/>
        <w:gridCol w:w="1170"/>
        <w:gridCol w:w="1170"/>
        <w:gridCol w:w="1170"/>
        <w:gridCol w:w="1080"/>
      </w:tblGrid>
      <w:tr w:rsidR="00BF7D53" w:rsidRPr="00DD0B9E" w14:paraId="4C1A0239" w14:textId="77777777" w:rsidTr="00823771">
        <w:trPr>
          <w:trHeight w:val="408"/>
        </w:trPr>
        <w:tc>
          <w:tcPr>
            <w:tcW w:w="1097" w:type="dxa"/>
          </w:tcPr>
          <w:p w14:paraId="27D2A995" w14:textId="77777777" w:rsidR="00BF7D53" w:rsidRPr="00DD0B9E" w:rsidRDefault="00BF7D53" w:rsidP="00F412AF">
            <w:pPr>
              <w:rPr>
                <w:lang w:val="en-US"/>
              </w:rPr>
            </w:pPr>
          </w:p>
        </w:tc>
        <w:tc>
          <w:tcPr>
            <w:tcW w:w="3398" w:type="dxa"/>
            <w:gridSpan w:val="3"/>
          </w:tcPr>
          <w:p w14:paraId="57C085C8" w14:textId="77777777" w:rsidR="00BF7D53" w:rsidRPr="00DD0B9E" w:rsidRDefault="00BF7D53" w:rsidP="00F412AF">
            <w:pPr>
              <w:rPr>
                <w:b/>
                <w:sz w:val="22"/>
                <w:lang w:val="en-US"/>
              </w:rPr>
            </w:pPr>
            <w:r w:rsidRPr="00DD0B9E">
              <w:rPr>
                <w:b/>
                <w:sz w:val="22"/>
                <w:lang w:val="en-US"/>
              </w:rPr>
              <w:t>Panel A: During Event</w:t>
            </w:r>
          </w:p>
        </w:tc>
        <w:tc>
          <w:tcPr>
            <w:tcW w:w="3330" w:type="dxa"/>
            <w:gridSpan w:val="3"/>
          </w:tcPr>
          <w:p w14:paraId="0FD91C88" w14:textId="77777777" w:rsidR="00BF7D53" w:rsidRPr="00DD0B9E" w:rsidRDefault="00BF7D53" w:rsidP="00F412AF">
            <w:pPr>
              <w:rPr>
                <w:b/>
                <w:sz w:val="22"/>
                <w:lang w:val="en-US"/>
              </w:rPr>
            </w:pPr>
            <w:r w:rsidRPr="00DD0B9E">
              <w:rPr>
                <w:b/>
                <w:sz w:val="22"/>
                <w:lang w:val="en-US"/>
              </w:rPr>
              <w:t>Panel B: Before Event</w:t>
            </w:r>
          </w:p>
        </w:tc>
        <w:tc>
          <w:tcPr>
            <w:tcW w:w="3420" w:type="dxa"/>
            <w:gridSpan w:val="3"/>
          </w:tcPr>
          <w:p w14:paraId="17283CD7" w14:textId="77777777" w:rsidR="00BF7D53" w:rsidRPr="00DD0B9E" w:rsidRDefault="00BF7D53" w:rsidP="00F412AF">
            <w:pPr>
              <w:rPr>
                <w:b/>
                <w:sz w:val="22"/>
                <w:lang w:val="en-US"/>
              </w:rPr>
            </w:pPr>
            <w:r w:rsidRPr="00DD0B9E">
              <w:rPr>
                <w:b/>
                <w:sz w:val="22"/>
                <w:lang w:val="en-US"/>
              </w:rPr>
              <w:t xml:space="preserve">Panel C: After </w:t>
            </w:r>
            <w:proofErr w:type="spellStart"/>
            <w:r w:rsidRPr="00DD0B9E">
              <w:rPr>
                <w:b/>
                <w:sz w:val="22"/>
                <w:lang w:val="en-US"/>
              </w:rPr>
              <w:t>Event</w:t>
            </w:r>
            <w:r w:rsidRPr="00DD0B9E">
              <w:rPr>
                <w:sz w:val="22"/>
                <w:vertAlign w:val="superscript"/>
                <w:lang w:val="en-US"/>
              </w:rPr>
              <w:t>b</w:t>
            </w:r>
            <w:proofErr w:type="spellEnd"/>
          </w:p>
        </w:tc>
        <w:tc>
          <w:tcPr>
            <w:tcW w:w="3420" w:type="dxa"/>
            <w:gridSpan w:val="3"/>
          </w:tcPr>
          <w:p w14:paraId="7DB2B6C1" w14:textId="506D5057" w:rsidR="00BF7D53" w:rsidRPr="00DD0B9E" w:rsidRDefault="00BF7D53" w:rsidP="00F412AF">
            <w:pPr>
              <w:rPr>
                <w:b/>
                <w:sz w:val="22"/>
                <w:lang w:val="en-US"/>
              </w:rPr>
            </w:pPr>
            <w:r w:rsidRPr="00DD0B9E">
              <w:rPr>
                <w:b/>
                <w:sz w:val="22"/>
                <w:lang w:val="en-US"/>
              </w:rPr>
              <w:t>Panel D: Net Effect (All Periods)</w:t>
            </w:r>
            <w:r w:rsidR="00AE0584" w:rsidRPr="00AE0584">
              <w:rPr>
                <w:sz w:val="22"/>
                <w:vertAlign w:val="superscript"/>
                <w:lang w:val="en-US"/>
              </w:rPr>
              <w:t>c</w:t>
            </w:r>
          </w:p>
        </w:tc>
      </w:tr>
      <w:tr w:rsidR="00E6391D" w:rsidRPr="00DD0B9E" w14:paraId="244F0117" w14:textId="77777777" w:rsidTr="00E6391D">
        <w:trPr>
          <w:trHeight w:val="383"/>
        </w:trPr>
        <w:tc>
          <w:tcPr>
            <w:tcW w:w="1097" w:type="dxa"/>
          </w:tcPr>
          <w:p w14:paraId="1CD42524" w14:textId="68E46A6E" w:rsidR="00E6391D" w:rsidRPr="00DD0B9E" w:rsidRDefault="00F41B48" w:rsidP="00E6391D">
            <w:pPr>
              <w:rPr>
                <w:lang w:val="en-US"/>
              </w:rPr>
            </w:pPr>
            <w:r w:rsidRPr="00DD0B9E">
              <w:rPr>
                <w:b/>
                <w:lang w:val="en-US"/>
              </w:rPr>
              <w:t>Event</w:t>
            </w:r>
          </w:p>
        </w:tc>
        <w:tc>
          <w:tcPr>
            <w:tcW w:w="1148" w:type="dxa"/>
          </w:tcPr>
          <w:p w14:paraId="11A1A727" w14:textId="77777777" w:rsidR="00E6391D" w:rsidRPr="00DD0B9E" w:rsidRDefault="00E6391D" w:rsidP="00E6391D">
            <w:pPr>
              <w:rPr>
                <w:sz w:val="20"/>
                <w:szCs w:val="20"/>
                <w:lang w:val="en-US"/>
              </w:rPr>
            </w:pPr>
            <w:r w:rsidRPr="00DD0B9E">
              <w:rPr>
                <w:sz w:val="20"/>
                <w:szCs w:val="20"/>
                <w:lang w:val="en-US"/>
              </w:rPr>
              <w:t>Visit Propensity</w:t>
            </w:r>
          </w:p>
        </w:tc>
        <w:tc>
          <w:tcPr>
            <w:tcW w:w="1170" w:type="dxa"/>
          </w:tcPr>
          <w:p w14:paraId="01964B2E" w14:textId="0CB00A00" w:rsidR="00E6391D" w:rsidRPr="00DD0B9E" w:rsidRDefault="00E6391D" w:rsidP="00AE0584">
            <w:pPr>
              <w:rPr>
                <w:sz w:val="20"/>
                <w:szCs w:val="20"/>
                <w:lang w:val="en-US"/>
              </w:rPr>
            </w:pPr>
            <w:r w:rsidRPr="00DD0B9E">
              <w:rPr>
                <w:sz w:val="20"/>
                <w:szCs w:val="20"/>
                <w:lang w:val="en-US"/>
              </w:rPr>
              <w:t>Conditional Purchase Volume</w:t>
            </w:r>
          </w:p>
        </w:tc>
        <w:tc>
          <w:tcPr>
            <w:tcW w:w="1080" w:type="dxa"/>
          </w:tcPr>
          <w:p w14:paraId="7DCEC62D" w14:textId="587C6728" w:rsidR="00E6391D" w:rsidRPr="00DD0B9E" w:rsidRDefault="00E6391D" w:rsidP="00AE0584">
            <w:pPr>
              <w:rPr>
                <w:sz w:val="20"/>
                <w:szCs w:val="20"/>
                <w:lang w:val="en-US"/>
              </w:rPr>
            </w:pPr>
            <w:r w:rsidRPr="00DD0B9E">
              <w:rPr>
                <w:sz w:val="20"/>
                <w:szCs w:val="20"/>
                <w:lang w:val="en-US"/>
              </w:rPr>
              <w:t>Total Purchase Volume</w:t>
            </w:r>
          </w:p>
        </w:tc>
        <w:tc>
          <w:tcPr>
            <w:tcW w:w="1080" w:type="dxa"/>
          </w:tcPr>
          <w:p w14:paraId="00959B79" w14:textId="5705EB68" w:rsidR="00E6391D" w:rsidRPr="00DD0B9E" w:rsidRDefault="00E6391D" w:rsidP="00E6391D">
            <w:pPr>
              <w:rPr>
                <w:sz w:val="20"/>
                <w:szCs w:val="20"/>
                <w:lang w:val="en-US"/>
              </w:rPr>
            </w:pPr>
            <w:r w:rsidRPr="00DD0B9E">
              <w:rPr>
                <w:sz w:val="20"/>
                <w:szCs w:val="20"/>
                <w:lang w:val="en-US"/>
              </w:rPr>
              <w:t>Visit Propensity</w:t>
            </w:r>
          </w:p>
        </w:tc>
        <w:tc>
          <w:tcPr>
            <w:tcW w:w="1170" w:type="dxa"/>
          </w:tcPr>
          <w:p w14:paraId="067A1800" w14:textId="378E5C79" w:rsidR="00E6391D" w:rsidRPr="00DD0B9E" w:rsidRDefault="00E6391D" w:rsidP="00AE0584">
            <w:pPr>
              <w:rPr>
                <w:sz w:val="20"/>
                <w:szCs w:val="20"/>
                <w:lang w:val="en-US"/>
              </w:rPr>
            </w:pPr>
            <w:r w:rsidRPr="00DD0B9E">
              <w:rPr>
                <w:sz w:val="20"/>
                <w:szCs w:val="20"/>
                <w:lang w:val="en-US"/>
              </w:rPr>
              <w:t>Conditional Purchase Volume</w:t>
            </w:r>
          </w:p>
        </w:tc>
        <w:tc>
          <w:tcPr>
            <w:tcW w:w="1080" w:type="dxa"/>
          </w:tcPr>
          <w:p w14:paraId="14F75D78" w14:textId="6B7E59DB" w:rsidR="00E6391D" w:rsidRPr="00DD0B9E" w:rsidRDefault="00E6391D" w:rsidP="00AE0584">
            <w:pPr>
              <w:rPr>
                <w:sz w:val="20"/>
                <w:szCs w:val="20"/>
                <w:lang w:val="en-US"/>
              </w:rPr>
            </w:pPr>
            <w:r w:rsidRPr="00DD0B9E">
              <w:rPr>
                <w:sz w:val="20"/>
                <w:szCs w:val="20"/>
                <w:lang w:val="en-US"/>
              </w:rPr>
              <w:t>Total Purchase Volume</w:t>
            </w:r>
          </w:p>
        </w:tc>
        <w:tc>
          <w:tcPr>
            <w:tcW w:w="1080" w:type="dxa"/>
          </w:tcPr>
          <w:p w14:paraId="70C97CAC" w14:textId="0BA52C35" w:rsidR="00E6391D" w:rsidRPr="00DD0B9E" w:rsidRDefault="00E6391D" w:rsidP="00E6391D">
            <w:pPr>
              <w:rPr>
                <w:sz w:val="20"/>
                <w:szCs w:val="20"/>
                <w:lang w:val="en-US"/>
              </w:rPr>
            </w:pPr>
            <w:r w:rsidRPr="00DD0B9E">
              <w:rPr>
                <w:sz w:val="20"/>
                <w:szCs w:val="20"/>
                <w:lang w:val="en-US"/>
              </w:rPr>
              <w:t>Visit Propensity</w:t>
            </w:r>
          </w:p>
        </w:tc>
        <w:tc>
          <w:tcPr>
            <w:tcW w:w="1170" w:type="dxa"/>
          </w:tcPr>
          <w:p w14:paraId="7CC0B644" w14:textId="694A26D5" w:rsidR="00E6391D" w:rsidRPr="00DD0B9E" w:rsidRDefault="00E6391D" w:rsidP="00AE0584">
            <w:pPr>
              <w:rPr>
                <w:sz w:val="20"/>
                <w:szCs w:val="20"/>
                <w:lang w:val="en-US"/>
              </w:rPr>
            </w:pPr>
            <w:r w:rsidRPr="00DD0B9E">
              <w:rPr>
                <w:sz w:val="20"/>
                <w:szCs w:val="20"/>
                <w:lang w:val="en-US"/>
              </w:rPr>
              <w:t>Conditional Purchase Volume</w:t>
            </w:r>
          </w:p>
        </w:tc>
        <w:tc>
          <w:tcPr>
            <w:tcW w:w="1170" w:type="dxa"/>
          </w:tcPr>
          <w:p w14:paraId="081D54C1" w14:textId="5CC0B862" w:rsidR="00E6391D" w:rsidRPr="00DD0B9E" w:rsidRDefault="00E6391D" w:rsidP="00AE0584">
            <w:pPr>
              <w:rPr>
                <w:sz w:val="20"/>
                <w:szCs w:val="20"/>
                <w:lang w:val="en-US"/>
              </w:rPr>
            </w:pPr>
            <w:r w:rsidRPr="00DD0B9E">
              <w:rPr>
                <w:sz w:val="20"/>
                <w:szCs w:val="20"/>
                <w:lang w:val="en-US"/>
              </w:rPr>
              <w:t>Total Purchase Volume</w:t>
            </w:r>
          </w:p>
        </w:tc>
        <w:tc>
          <w:tcPr>
            <w:tcW w:w="1170" w:type="dxa"/>
          </w:tcPr>
          <w:p w14:paraId="684921F0" w14:textId="1FF4B9B5" w:rsidR="00E6391D" w:rsidRPr="00DD0B9E" w:rsidRDefault="00E6391D" w:rsidP="00E6391D">
            <w:pPr>
              <w:rPr>
                <w:sz w:val="20"/>
                <w:szCs w:val="20"/>
                <w:lang w:val="en-US"/>
              </w:rPr>
            </w:pPr>
            <w:r w:rsidRPr="00DD0B9E">
              <w:rPr>
                <w:sz w:val="20"/>
                <w:szCs w:val="20"/>
                <w:lang w:val="en-US"/>
              </w:rPr>
              <w:t>Visit Propensity</w:t>
            </w:r>
          </w:p>
        </w:tc>
        <w:tc>
          <w:tcPr>
            <w:tcW w:w="1170" w:type="dxa"/>
          </w:tcPr>
          <w:p w14:paraId="58A7EC5F" w14:textId="686E5CDE" w:rsidR="00E6391D" w:rsidRPr="00DD0B9E" w:rsidRDefault="00E6391D" w:rsidP="00AE0584">
            <w:pPr>
              <w:rPr>
                <w:b/>
                <w:sz w:val="20"/>
                <w:szCs w:val="20"/>
                <w:lang w:val="en-US"/>
              </w:rPr>
            </w:pPr>
            <w:r w:rsidRPr="00DD0B9E">
              <w:rPr>
                <w:sz w:val="20"/>
                <w:szCs w:val="20"/>
                <w:lang w:val="en-US"/>
              </w:rPr>
              <w:t>Conditional Purchase Volume</w:t>
            </w:r>
          </w:p>
        </w:tc>
        <w:tc>
          <w:tcPr>
            <w:tcW w:w="1080" w:type="dxa"/>
          </w:tcPr>
          <w:p w14:paraId="3D23DFD7" w14:textId="6CEDA59C" w:rsidR="00E6391D" w:rsidRPr="00DD0B9E" w:rsidRDefault="00E6391D" w:rsidP="00AE0584">
            <w:pPr>
              <w:rPr>
                <w:b/>
                <w:sz w:val="20"/>
                <w:szCs w:val="20"/>
                <w:lang w:val="en-US"/>
              </w:rPr>
            </w:pPr>
            <w:r w:rsidRPr="00DD0B9E">
              <w:rPr>
                <w:sz w:val="20"/>
                <w:szCs w:val="20"/>
                <w:lang w:val="en-US"/>
              </w:rPr>
              <w:t>Total Purchase Volume</w:t>
            </w:r>
          </w:p>
        </w:tc>
      </w:tr>
      <w:tr w:rsidR="00DD0B9E" w:rsidRPr="00DD0B9E" w14:paraId="1ECDCD72" w14:textId="77777777" w:rsidTr="001A7465">
        <w:trPr>
          <w:trHeight w:val="20"/>
        </w:trPr>
        <w:tc>
          <w:tcPr>
            <w:tcW w:w="1097" w:type="dxa"/>
            <w:vAlign w:val="center"/>
          </w:tcPr>
          <w:p w14:paraId="3DA1A0DA" w14:textId="4E9F7A76" w:rsidR="00DD0B9E" w:rsidRPr="00DD0B9E" w:rsidRDefault="00DD0B9E" w:rsidP="00DD0B9E">
            <w:pPr>
              <w:jc w:val="center"/>
              <w:rPr>
                <w:b/>
                <w:lang w:val="en-US"/>
              </w:rPr>
            </w:pPr>
            <w:r w:rsidRPr="00DD0B9E">
              <w:rPr>
                <w:b/>
                <w:lang w:val="en-US"/>
              </w:rPr>
              <w:t>1</w:t>
            </w:r>
          </w:p>
        </w:tc>
        <w:tc>
          <w:tcPr>
            <w:tcW w:w="1148" w:type="dxa"/>
            <w:vAlign w:val="bottom"/>
          </w:tcPr>
          <w:p w14:paraId="50AA3AFB" w14:textId="610ED9D1" w:rsidR="00DD0B9E" w:rsidRPr="00267677" w:rsidRDefault="00DD0B9E" w:rsidP="00DD0B9E">
            <w:pPr>
              <w:jc w:val="center"/>
              <w:rPr>
                <w:sz w:val="22"/>
                <w:lang w:val="en-US"/>
              </w:rPr>
            </w:pPr>
            <w:r w:rsidRPr="00267677">
              <w:rPr>
                <w:color w:val="000000"/>
                <w:sz w:val="22"/>
              </w:rPr>
              <w:t>0.39</w:t>
            </w:r>
          </w:p>
        </w:tc>
        <w:tc>
          <w:tcPr>
            <w:tcW w:w="1170" w:type="dxa"/>
            <w:vAlign w:val="bottom"/>
          </w:tcPr>
          <w:p w14:paraId="41390BDB" w14:textId="7273E45F" w:rsidR="00DD0B9E" w:rsidRPr="00267677" w:rsidRDefault="00DD0B9E" w:rsidP="00DD0B9E">
            <w:pPr>
              <w:jc w:val="center"/>
              <w:rPr>
                <w:sz w:val="22"/>
                <w:lang w:val="en-US"/>
              </w:rPr>
            </w:pPr>
            <w:r w:rsidRPr="00267677">
              <w:rPr>
                <w:color w:val="000000"/>
                <w:sz w:val="22"/>
              </w:rPr>
              <w:t>-69.33</w:t>
            </w:r>
            <w:r w:rsidRPr="00AE0584">
              <w:rPr>
                <w:color w:val="000000"/>
                <w:sz w:val="22"/>
                <w:vertAlign w:val="superscript"/>
              </w:rPr>
              <w:t>*</w:t>
            </w:r>
            <w:r w:rsidR="00391D17" w:rsidRPr="00AE0584">
              <w:rPr>
                <w:color w:val="000000"/>
                <w:sz w:val="22"/>
                <w:vertAlign w:val="superscript"/>
              </w:rPr>
              <w:t>*</w:t>
            </w:r>
          </w:p>
        </w:tc>
        <w:tc>
          <w:tcPr>
            <w:tcW w:w="1080" w:type="dxa"/>
            <w:vAlign w:val="bottom"/>
          </w:tcPr>
          <w:p w14:paraId="46D34132" w14:textId="630CF3B7" w:rsidR="00DD0B9E" w:rsidRPr="00267677" w:rsidRDefault="00DD0B9E" w:rsidP="00DD0B9E">
            <w:pPr>
              <w:jc w:val="center"/>
              <w:rPr>
                <w:sz w:val="22"/>
                <w:lang w:val="en-US"/>
              </w:rPr>
            </w:pPr>
            <w:r w:rsidRPr="00267677">
              <w:rPr>
                <w:color w:val="000000"/>
                <w:sz w:val="22"/>
              </w:rPr>
              <w:t>-18.14</w:t>
            </w:r>
            <w:r w:rsidRPr="00AE0584">
              <w:rPr>
                <w:color w:val="000000"/>
                <w:sz w:val="22"/>
                <w:vertAlign w:val="superscript"/>
              </w:rPr>
              <w:t>*</w:t>
            </w:r>
          </w:p>
        </w:tc>
        <w:tc>
          <w:tcPr>
            <w:tcW w:w="1080" w:type="dxa"/>
            <w:vAlign w:val="bottom"/>
          </w:tcPr>
          <w:p w14:paraId="09F9E66A" w14:textId="02EEA035" w:rsidR="00DD0B9E" w:rsidRPr="00267677" w:rsidRDefault="00DD0B9E" w:rsidP="00DD0B9E">
            <w:pPr>
              <w:jc w:val="center"/>
              <w:rPr>
                <w:sz w:val="22"/>
                <w:lang w:val="en-US"/>
              </w:rPr>
            </w:pPr>
            <w:r w:rsidRPr="00267677">
              <w:rPr>
                <w:color w:val="000000"/>
                <w:sz w:val="22"/>
              </w:rPr>
              <w:t>-0.23</w:t>
            </w:r>
            <w:r w:rsidRPr="00AE0584">
              <w:rPr>
                <w:color w:val="000000"/>
                <w:sz w:val="22"/>
                <w:vertAlign w:val="superscript"/>
              </w:rPr>
              <w:t>*</w:t>
            </w:r>
          </w:p>
        </w:tc>
        <w:tc>
          <w:tcPr>
            <w:tcW w:w="1170" w:type="dxa"/>
            <w:vAlign w:val="bottom"/>
          </w:tcPr>
          <w:p w14:paraId="23B2E9D2" w14:textId="1784B3E0" w:rsidR="00DD0B9E" w:rsidRPr="00267677" w:rsidRDefault="00DD0B9E" w:rsidP="00DD0B9E">
            <w:pPr>
              <w:jc w:val="center"/>
              <w:rPr>
                <w:sz w:val="22"/>
                <w:lang w:val="en-US"/>
              </w:rPr>
            </w:pPr>
            <w:r w:rsidRPr="00267677">
              <w:rPr>
                <w:color w:val="000000"/>
                <w:sz w:val="22"/>
              </w:rPr>
              <w:t>-67.28</w:t>
            </w:r>
            <w:r w:rsidRPr="00AE0584">
              <w:rPr>
                <w:color w:val="000000"/>
                <w:sz w:val="22"/>
                <w:vertAlign w:val="superscript"/>
              </w:rPr>
              <w:t>*</w:t>
            </w:r>
            <w:r w:rsidR="00391D17" w:rsidRPr="00AE0584">
              <w:rPr>
                <w:color w:val="000000"/>
                <w:sz w:val="22"/>
                <w:vertAlign w:val="superscript"/>
              </w:rPr>
              <w:t>*</w:t>
            </w:r>
          </w:p>
        </w:tc>
        <w:tc>
          <w:tcPr>
            <w:tcW w:w="1080" w:type="dxa"/>
            <w:vAlign w:val="bottom"/>
          </w:tcPr>
          <w:p w14:paraId="7F772574" w14:textId="58F548B4" w:rsidR="00DD0B9E" w:rsidRPr="00267677" w:rsidRDefault="00DD0B9E" w:rsidP="00DD0B9E">
            <w:pPr>
              <w:jc w:val="center"/>
              <w:rPr>
                <w:sz w:val="22"/>
                <w:lang w:val="en-US"/>
              </w:rPr>
            </w:pPr>
            <w:r w:rsidRPr="00267677">
              <w:rPr>
                <w:color w:val="000000"/>
                <w:sz w:val="22"/>
              </w:rPr>
              <w:t>-19.89</w:t>
            </w:r>
            <w:r w:rsidRPr="00391D17">
              <w:rPr>
                <w:color w:val="000000"/>
                <w:sz w:val="22"/>
                <w:vertAlign w:val="superscript"/>
              </w:rPr>
              <w:t>**</w:t>
            </w:r>
          </w:p>
        </w:tc>
        <w:tc>
          <w:tcPr>
            <w:tcW w:w="1080" w:type="dxa"/>
            <w:vAlign w:val="bottom"/>
          </w:tcPr>
          <w:p w14:paraId="1EC8DA7E" w14:textId="30A7C7D5" w:rsidR="00DD0B9E" w:rsidRPr="00267677" w:rsidRDefault="00DD0B9E" w:rsidP="00DD0B9E">
            <w:pPr>
              <w:jc w:val="center"/>
              <w:rPr>
                <w:sz w:val="22"/>
                <w:lang w:val="en-US"/>
              </w:rPr>
            </w:pPr>
            <w:r w:rsidRPr="00267677">
              <w:rPr>
                <w:color w:val="000000"/>
                <w:sz w:val="22"/>
              </w:rPr>
              <w:t>0.08</w:t>
            </w:r>
          </w:p>
        </w:tc>
        <w:tc>
          <w:tcPr>
            <w:tcW w:w="1170" w:type="dxa"/>
            <w:vAlign w:val="bottom"/>
          </w:tcPr>
          <w:p w14:paraId="425AFC84" w14:textId="54F3184D" w:rsidR="00DD0B9E" w:rsidRPr="00267677" w:rsidRDefault="00DD0B9E" w:rsidP="00DD0B9E">
            <w:pPr>
              <w:jc w:val="center"/>
              <w:rPr>
                <w:sz w:val="22"/>
                <w:lang w:val="en-US"/>
              </w:rPr>
            </w:pPr>
            <w:r w:rsidRPr="00267677">
              <w:rPr>
                <w:color w:val="000000"/>
                <w:sz w:val="22"/>
              </w:rPr>
              <w:t>-14.3</w:t>
            </w:r>
            <w:r w:rsidRPr="00AE0584">
              <w:rPr>
                <w:color w:val="000000"/>
                <w:sz w:val="22"/>
                <w:vertAlign w:val="superscript"/>
              </w:rPr>
              <w:t>**</w:t>
            </w:r>
          </w:p>
        </w:tc>
        <w:tc>
          <w:tcPr>
            <w:tcW w:w="1170" w:type="dxa"/>
            <w:vAlign w:val="bottom"/>
          </w:tcPr>
          <w:p w14:paraId="14C9D48E" w14:textId="40EEA6A1" w:rsidR="00DD0B9E" w:rsidRPr="00267677" w:rsidRDefault="00DD0B9E" w:rsidP="00DD0B9E">
            <w:pPr>
              <w:jc w:val="center"/>
              <w:rPr>
                <w:sz w:val="22"/>
                <w:lang w:val="en-US"/>
              </w:rPr>
            </w:pPr>
            <w:r w:rsidRPr="00267677">
              <w:rPr>
                <w:color w:val="000000"/>
                <w:sz w:val="22"/>
              </w:rPr>
              <w:t>-1.32</w:t>
            </w:r>
          </w:p>
        </w:tc>
        <w:tc>
          <w:tcPr>
            <w:tcW w:w="1170" w:type="dxa"/>
            <w:vAlign w:val="bottom"/>
          </w:tcPr>
          <w:p w14:paraId="01BEB953" w14:textId="7B58E743" w:rsidR="00DD0B9E" w:rsidRPr="00267677" w:rsidRDefault="00DD0B9E" w:rsidP="00DD0B9E">
            <w:pPr>
              <w:jc w:val="center"/>
              <w:rPr>
                <w:sz w:val="22"/>
                <w:lang w:val="en-US"/>
              </w:rPr>
            </w:pPr>
            <w:r w:rsidRPr="00267677">
              <w:rPr>
                <w:color w:val="000000"/>
                <w:sz w:val="22"/>
              </w:rPr>
              <w:t>0.13</w:t>
            </w:r>
          </w:p>
        </w:tc>
        <w:tc>
          <w:tcPr>
            <w:tcW w:w="1170" w:type="dxa"/>
            <w:vAlign w:val="bottom"/>
          </w:tcPr>
          <w:p w14:paraId="62EC88BD" w14:textId="0CF825EE" w:rsidR="00DD0B9E" w:rsidRPr="00267677" w:rsidRDefault="00DD0B9E" w:rsidP="00DD0B9E">
            <w:pPr>
              <w:jc w:val="center"/>
              <w:rPr>
                <w:sz w:val="22"/>
                <w:lang w:val="en-US"/>
              </w:rPr>
            </w:pPr>
            <w:r w:rsidRPr="00267677">
              <w:rPr>
                <w:color w:val="000000"/>
                <w:sz w:val="22"/>
              </w:rPr>
              <w:t>-32.51</w:t>
            </w:r>
            <w:r w:rsidRPr="00AE0584">
              <w:rPr>
                <w:color w:val="000000"/>
                <w:sz w:val="22"/>
                <w:vertAlign w:val="superscript"/>
              </w:rPr>
              <w:t>*</w:t>
            </w:r>
            <w:r w:rsidR="00AE0584" w:rsidRPr="00AE0584">
              <w:rPr>
                <w:color w:val="000000"/>
                <w:sz w:val="22"/>
                <w:vertAlign w:val="superscript"/>
              </w:rPr>
              <w:t>*</w:t>
            </w:r>
          </w:p>
        </w:tc>
        <w:tc>
          <w:tcPr>
            <w:tcW w:w="1080" w:type="dxa"/>
            <w:vAlign w:val="bottom"/>
          </w:tcPr>
          <w:p w14:paraId="5C114D42" w14:textId="26D3DAC7" w:rsidR="00DD0B9E" w:rsidRPr="00267677" w:rsidRDefault="00DD0B9E" w:rsidP="00DD0B9E">
            <w:pPr>
              <w:jc w:val="center"/>
              <w:rPr>
                <w:sz w:val="22"/>
                <w:lang w:val="en-US"/>
              </w:rPr>
            </w:pPr>
            <w:r w:rsidRPr="00267677">
              <w:rPr>
                <w:color w:val="000000"/>
                <w:sz w:val="22"/>
              </w:rPr>
              <w:t>-7.07</w:t>
            </w:r>
            <w:r w:rsidRPr="00AE0584">
              <w:rPr>
                <w:color w:val="000000"/>
                <w:sz w:val="22"/>
                <w:vertAlign w:val="superscript"/>
              </w:rPr>
              <w:t>*</w:t>
            </w:r>
            <w:r w:rsidR="00AE0584" w:rsidRPr="00AE0584">
              <w:rPr>
                <w:color w:val="000000"/>
                <w:sz w:val="22"/>
                <w:vertAlign w:val="superscript"/>
              </w:rPr>
              <w:t>*</w:t>
            </w:r>
          </w:p>
        </w:tc>
      </w:tr>
      <w:tr w:rsidR="00DD0B9E" w:rsidRPr="00DD0B9E" w14:paraId="3A0482A4" w14:textId="77777777" w:rsidTr="001A7465">
        <w:trPr>
          <w:trHeight w:val="20"/>
        </w:trPr>
        <w:tc>
          <w:tcPr>
            <w:tcW w:w="1097" w:type="dxa"/>
            <w:vAlign w:val="center"/>
          </w:tcPr>
          <w:p w14:paraId="6F70B772" w14:textId="77777777" w:rsidR="00DD0B9E" w:rsidRPr="00DD0B9E" w:rsidRDefault="00DD0B9E" w:rsidP="00DD0B9E">
            <w:pPr>
              <w:jc w:val="center"/>
              <w:rPr>
                <w:b/>
                <w:lang w:val="en-US"/>
              </w:rPr>
            </w:pPr>
          </w:p>
        </w:tc>
        <w:tc>
          <w:tcPr>
            <w:tcW w:w="1148" w:type="dxa"/>
            <w:vAlign w:val="bottom"/>
          </w:tcPr>
          <w:p w14:paraId="523A88E6" w14:textId="09457D8F" w:rsidR="00DD0B9E" w:rsidRPr="00267677" w:rsidRDefault="00DD0B9E" w:rsidP="00DD0B9E">
            <w:pPr>
              <w:jc w:val="center"/>
              <w:rPr>
                <w:sz w:val="22"/>
              </w:rPr>
            </w:pPr>
            <w:r w:rsidRPr="00267677">
              <w:rPr>
                <w:color w:val="000000"/>
                <w:sz w:val="22"/>
              </w:rPr>
              <w:t>3.55%</w:t>
            </w:r>
          </w:p>
        </w:tc>
        <w:tc>
          <w:tcPr>
            <w:tcW w:w="1170" w:type="dxa"/>
            <w:vAlign w:val="bottom"/>
          </w:tcPr>
          <w:p w14:paraId="2AA2BC64" w14:textId="49EE7FA3" w:rsidR="00DD0B9E" w:rsidRPr="00267677" w:rsidRDefault="00DD0B9E" w:rsidP="00DD0B9E">
            <w:pPr>
              <w:jc w:val="center"/>
              <w:rPr>
                <w:sz w:val="22"/>
                <w:lang w:val="en-US"/>
              </w:rPr>
            </w:pPr>
            <w:r w:rsidRPr="00267677">
              <w:rPr>
                <w:color w:val="000000"/>
                <w:sz w:val="22"/>
              </w:rPr>
              <w:t>-1.94%</w:t>
            </w:r>
          </w:p>
        </w:tc>
        <w:tc>
          <w:tcPr>
            <w:tcW w:w="1080" w:type="dxa"/>
            <w:vAlign w:val="bottom"/>
          </w:tcPr>
          <w:p w14:paraId="40222431" w14:textId="5DA35BE4" w:rsidR="00DD0B9E" w:rsidRPr="00267677" w:rsidRDefault="00DD0B9E" w:rsidP="00DD0B9E">
            <w:pPr>
              <w:jc w:val="center"/>
              <w:rPr>
                <w:sz w:val="22"/>
                <w:lang w:val="en-US"/>
              </w:rPr>
            </w:pPr>
            <w:r w:rsidRPr="00267677">
              <w:rPr>
                <w:color w:val="000000"/>
                <w:sz w:val="22"/>
              </w:rPr>
              <w:t>-6.96%</w:t>
            </w:r>
          </w:p>
        </w:tc>
        <w:tc>
          <w:tcPr>
            <w:tcW w:w="1080" w:type="dxa"/>
            <w:vAlign w:val="bottom"/>
          </w:tcPr>
          <w:p w14:paraId="78D339CC" w14:textId="5F092533" w:rsidR="00DD0B9E" w:rsidRPr="00267677" w:rsidRDefault="00DD0B9E" w:rsidP="00DD0B9E">
            <w:pPr>
              <w:jc w:val="center"/>
              <w:rPr>
                <w:sz w:val="22"/>
                <w:lang w:val="en-US"/>
              </w:rPr>
            </w:pPr>
            <w:r w:rsidRPr="00267677">
              <w:rPr>
                <w:color w:val="000000"/>
                <w:sz w:val="22"/>
              </w:rPr>
              <w:t>-2.31%</w:t>
            </w:r>
          </w:p>
        </w:tc>
        <w:tc>
          <w:tcPr>
            <w:tcW w:w="1170" w:type="dxa"/>
            <w:vAlign w:val="bottom"/>
          </w:tcPr>
          <w:p w14:paraId="5A5D4AAF" w14:textId="7CE4FA87" w:rsidR="00DD0B9E" w:rsidRPr="00267677" w:rsidRDefault="00DD0B9E" w:rsidP="00DD0B9E">
            <w:pPr>
              <w:jc w:val="center"/>
              <w:rPr>
                <w:sz w:val="22"/>
                <w:lang w:val="en-US"/>
              </w:rPr>
            </w:pPr>
            <w:r w:rsidRPr="00267677">
              <w:rPr>
                <w:color w:val="000000"/>
                <w:sz w:val="22"/>
              </w:rPr>
              <w:t>-1.81%</w:t>
            </w:r>
          </w:p>
        </w:tc>
        <w:tc>
          <w:tcPr>
            <w:tcW w:w="1080" w:type="dxa"/>
            <w:vAlign w:val="bottom"/>
          </w:tcPr>
          <w:p w14:paraId="4806F3EA" w14:textId="776C078C" w:rsidR="00DD0B9E" w:rsidRPr="00267677" w:rsidRDefault="00DD0B9E" w:rsidP="00DD0B9E">
            <w:pPr>
              <w:jc w:val="center"/>
              <w:rPr>
                <w:sz w:val="22"/>
                <w:lang w:val="en-US"/>
              </w:rPr>
            </w:pPr>
            <w:r w:rsidRPr="00267677">
              <w:rPr>
                <w:color w:val="000000"/>
                <w:sz w:val="22"/>
              </w:rPr>
              <w:t>-7.72%</w:t>
            </w:r>
          </w:p>
        </w:tc>
        <w:tc>
          <w:tcPr>
            <w:tcW w:w="1080" w:type="dxa"/>
            <w:vAlign w:val="bottom"/>
          </w:tcPr>
          <w:p w14:paraId="4DC837C4" w14:textId="066A8577" w:rsidR="00DD0B9E" w:rsidRPr="00267677" w:rsidRDefault="00DD0B9E" w:rsidP="00DD0B9E">
            <w:pPr>
              <w:jc w:val="center"/>
              <w:rPr>
                <w:sz w:val="22"/>
                <w:lang w:val="en-US"/>
              </w:rPr>
            </w:pPr>
            <w:r w:rsidRPr="00267677">
              <w:rPr>
                <w:color w:val="000000"/>
                <w:sz w:val="22"/>
              </w:rPr>
              <w:t>0.94%</w:t>
            </w:r>
          </w:p>
        </w:tc>
        <w:tc>
          <w:tcPr>
            <w:tcW w:w="1170" w:type="dxa"/>
            <w:vAlign w:val="bottom"/>
          </w:tcPr>
          <w:p w14:paraId="1510394A" w14:textId="3F8EE698" w:rsidR="00DD0B9E" w:rsidRPr="00267677" w:rsidRDefault="00DD0B9E" w:rsidP="00DD0B9E">
            <w:pPr>
              <w:jc w:val="center"/>
              <w:rPr>
                <w:sz w:val="22"/>
                <w:lang w:val="en-US"/>
              </w:rPr>
            </w:pPr>
            <w:r w:rsidRPr="00267677">
              <w:rPr>
                <w:color w:val="000000"/>
                <w:sz w:val="22"/>
              </w:rPr>
              <w:t>-0.40%</w:t>
            </w:r>
          </w:p>
        </w:tc>
        <w:tc>
          <w:tcPr>
            <w:tcW w:w="1170" w:type="dxa"/>
            <w:vAlign w:val="bottom"/>
          </w:tcPr>
          <w:p w14:paraId="2A72929E" w14:textId="6831302E" w:rsidR="00DD0B9E" w:rsidRPr="00267677" w:rsidRDefault="00DD0B9E" w:rsidP="00DD0B9E">
            <w:pPr>
              <w:jc w:val="center"/>
              <w:rPr>
                <w:sz w:val="22"/>
                <w:lang w:val="en-US"/>
              </w:rPr>
            </w:pPr>
            <w:r w:rsidRPr="00267677">
              <w:rPr>
                <w:color w:val="000000"/>
                <w:sz w:val="22"/>
              </w:rPr>
              <w:t>-0.49%</w:t>
            </w:r>
          </w:p>
        </w:tc>
        <w:tc>
          <w:tcPr>
            <w:tcW w:w="1170" w:type="dxa"/>
            <w:vAlign w:val="bottom"/>
          </w:tcPr>
          <w:p w14:paraId="086F7CDC" w14:textId="4212422E" w:rsidR="00DD0B9E" w:rsidRPr="00267677" w:rsidRDefault="00DD0B9E" w:rsidP="00DD0B9E">
            <w:pPr>
              <w:jc w:val="center"/>
              <w:rPr>
                <w:sz w:val="22"/>
                <w:lang w:val="en-US"/>
              </w:rPr>
            </w:pPr>
            <w:r w:rsidRPr="00267677">
              <w:rPr>
                <w:color w:val="000000"/>
                <w:sz w:val="22"/>
              </w:rPr>
              <w:t>1.32%</w:t>
            </w:r>
          </w:p>
        </w:tc>
        <w:tc>
          <w:tcPr>
            <w:tcW w:w="1170" w:type="dxa"/>
            <w:vAlign w:val="bottom"/>
          </w:tcPr>
          <w:p w14:paraId="3815C602" w14:textId="5181C703" w:rsidR="00DD0B9E" w:rsidRPr="00267677" w:rsidRDefault="00DD0B9E" w:rsidP="00DD0B9E">
            <w:pPr>
              <w:jc w:val="center"/>
              <w:rPr>
                <w:sz w:val="22"/>
                <w:lang w:val="en-US"/>
              </w:rPr>
            </w:pPr>
            <w:r w:rsidRPr="00267677">
              <w:rPr>
                <w:color w:val="000000"/>
                <w:sz w:val="22"/>
              </w:rPr>
              <w:t>-0.90%</w:t>
            </w:r>
          </w:p>
        </w:tc>
        <w:tc>
          <w:tcPr>
            <w:tcW w:w="1080" w:type="dxa"/>
            <w:vAlign w:val="bottom"/>
          </w:tcPr>
          <w:p w14:paraId="365A1C82" w14:textId="7ABC91EE" w:rsidR="00DD0B9E" w:rsidRPr="00267677" w:rsidRDefault="00DD0B9E" w:rsidP="00DD0B9E">
            <w:pPr>
              <w:jc w:val="center"/>
              <w:rPr>
                <w:sz w:val="22"/>
                <w:lang w:val="en-US"/>
              </w:rPr>
            </w:pPr>
            <w:r w:rsidRPr="00267677">
              <w:rPr>
                <w:color w:val="000000"/>
                <w:sz w:val="22"/>
              </w:rPr>
              <w:t>-2.71%</w:t>
            </w:r>
          </w:p>
        </w:tc>
      </w:tr>
      <w:tr w:rsidR="00DD0B9E" w:rsidRPr="00DD0B9E" w14:paraId="6EDDB8A5" w14:textId="77777777" w:rsidTr="001A7465">
        <w:trPr>
          <w:trHeight w:val="20"/>
        </w:trPr>
        <w:tc>
          <w:tcPr>
            <w:tcW w:w="1097" w:type="dxa"/>
            <w:vAlign w:val="center"/>
          </w:tcPr>
          <w:p w14:paraId="584F5A8A" w14:textId="5729D876" w:rsidR="00DD0B9E" w:rsidRPr="00DD0B9E" w:rsidRDefault="00DD0B9E" w:rsidP="00DD0B9E">
            <w:pPr>
              <w:jc w:val="center"/>
              <w:rPr>
                <w:b/>
                <w:lang w:val="en-US"/>
              </w:rPr>
            </w:pPr>
            <w:r w:rsidRPr="00DD0B9E">
              <w:rPr>
                <w:b/>
                <w:lang w:val="en-US"/>
              </w:rPr>
              <w:t>2</w:t>
            </w:r>
          </w:p>
        </w:tc>
        <w:tc>
          <w:tcPr>
            <w:tcW w:w="1148" w:type="dxa"/>
            <w:vAlign w:val="bottom"/>
          </w:tcPr>
          <w:p w14:paraId="054EB2EC" w14:textId="287CCA6D" w:rsidR="00DD0B9E" w:rsidRPr="00267677" w:rsidRDefault="00DD0B9E" w:rsidP="00DD0B9E">
            <w:pPr>
              <w:jc w:val="center"/>
              <w:rPr>
                <w:sz w:val="22"/>
                <w:lang w:val="en-US"/>
              </w:rPr>
            </w:pPr>
            <w:r w:rsidRPr="00267677">
              <w:rPr>
                <w:color w:val="000000"/>
                <w:sz w:val="22"/>
              </w:rPr>
              <w:t>2.85</w:t>
            </w:r>
            <w:r w:rsidRPr="00AE0584">
              <w:rPr>
                <w:color w:val="000000"/>
                <w:sz w:val="22"/>
                <w:vertAlign w:val="superscript"/>
              </w:rPr>
              <w:t>**</w:t>
            </w:r>
          </w:p>
        </w:tc>
        <w:tc>
          <w:tcPr>
            <w:tcW w:w="1170" w:type="dxa"/>
            <w:vAlign w:val="bottom"/>
          </w:tcPr>
          <w:p w14:paraId="2FC65DFB" w14:textId="566E9209" w:rsidR="00DD0B9E" w:rsidRPr="00267677" w:rsidRDefault="00DD0B9E" w:rsidP="00DD0B9E">
            <w:pPr>
              <w:jc w:val="center"/>
              <w:rPr>
                <w:sz w:val="22"/>
                <w:lang w:val="en-US"/>
              </w:rPr>
            </w:pPr>
            <w:r w:rsidRPr="00267677">
              <w:rPr>
                <w:color w:val="000000"/>
                <w:sz w:val="22"/>
              </w:rPr>
              <w:t>43.14</w:t>
            </w:r>
            <w:r w:rsidRPr="00AE0584">
              <w:rPr>
                <w:color w:val="000000"/>
                <w:sz w:val="22"/>
                <w:vertAlign w:val="superscript"/>
              </w:rPr>
              <w:t>**</w:t>
            </w:r>
          </w:p>
        </w:tc>
        <w:tc>
          <w:tcPr>
            <w:tcW w:w="1080" w:type="dxa"/>
            <w:vAlign w:val="bottom"/>
          </w:tcPr>
          <w:p w14:paraId="50D14ABB" w14:textId="6AE54653" w:rsidR="00DD0B9E" w:rsidRPr="00267677" w:rsidRDefault="00DD0B9E" w:rsidP="00DD0B9E">
            <w:pPr>
              <w:jc w:val="center"/>
              <w:rPr>
                <w:sz w:val="22"/>
                <w:lang w:val="en-US"/>
              </w:rPr>
            </w:pPr>
            <w:r w:rsidRPr="00267677">
              <w:rPr>
                <w:color w:val="000000"/>
                <w:sz w:val="22"/>
              </w:rPr>
              <w:t>98.11</w:t>
            </w:r>
            <w:r w:rsidRPr="00AE0584">
              <w:rPr>
                <w:color w:val="000000"/>
                <w:sz w:val="22"/>
                <w:vertAlign w:val="superscript"/>
              </w:rPr>
              <w:t>**</w:t>
            </w:r>
          </w:p>
        </w:tc>
        <w:tc>
          <w:tcPr>
            <w:tcW w:w="1080" w:type="dxa"/>
            <w:vAlign w:val="bottom"/>
          </w:tcPr>
          <w:p w14:paraId="3BEF6E1D" w14:textId="78C7BCEF" w:rsidR="00DD0B9E" w:rsidRPr="00267677" w:rsidRDefault="00DD0B9E" w:rsidP="00DD0B9E">
            <w:pPr>
              <w:jc w:val="center"/>
              <w:rPr>
                <w:sz w:val="22"/>
                <w:lang w:val="en-US"/>
              </w:rPr>
            </w:pPr>
            <w:r w:rsidRPr="00267677">
              <w:rPr>
                <w:color w:val="000000"/>
                <w:sz w:val="22"/>
              </w:rPr>
              <w:t>-0.57</w:t>
            </w:r>
            <w:r w:rsidRPr="00AE0584">
              <w:rPr>
                <w:color w:val="000000"/>
                <w:sz w:val="22"/>
                <w:vertAlign w:val="superscript"/>
              </w:rPr>
              <w:t>*</w:t>
            </w:r>
            <w:r w:rsidR="00391D17" w:rsidRPr="00AE0584">
              <w:rPr>
                <w:color w:val="000000"/>
                <w:sz w:val="22"/>
                <w:vertAlign w:val="superscript"/>
              </w:rPr>
              <w:t>*</w:t>
            </w:r>
          </w:p>
        </w:tc>
        <w:tc>
          <w:tcPr>
            <w:tcW w:w="1170" w:type="dxa"/>
            <w:vAlign w:val="bottom"/>
          </w:tcPr>
          <w:p w14:paraId="632D7A38" w14:textId="21A8147D" w:rsidR="00DD0B9E" w:rsidRPr="00267677" w:rsidRDefault="00DD0B9E" w:rsidP="00DD0B9E">
            <w:pPr>
              <w:jc w:val="center"/>
              <w:rPr>
                <w:sz w:val="22"/>
                <w:lang w:val="en-US"/>
              </w:rPr>
            </w:pPr>
            <w:r w:rsidRPr="00267677">
              <w:rPr>
                <w:color w:val="000000"/>
                <w:sz w:val="22"/>
              </w:rPr>
              <w:t>-51.50</w:t>
            </w:r>
            <w:r w:rsidRPr="00AE0584">
              <w:rPr>
                <w:color w:val="000000"/>
                <w:sz w:val="22"/>
                <w:vertAlign w:val="superscript"/>
              </w:rPr>
              <w:t>*</w:t>
            </w:r>
            <w:r w:rsidR="00391D17" w:rsidRPr="00AE0584">
              <w:rPr>
                <w:color w:val="000000"/>
                <w:sz w:val="22"/>
                <w:vertAlign w:val="superscript"/>
              </w:rPr>
              <w:t>*</w:t>
            </w:r>
          </w:p>
        </w:tc>
        <w:tc>
          <w:tcPr>
            <w:tcW w:w="1080" w:type="dxa"/>
            <w:vAlign w:val="bottom"/>
          </w:tcPr>
          <w:p w14:paraId="1116A921" w14:textId="4826B608" w:rsidR="00DD0B9E" w:rsidRPr="00267677" w:rsidRDefault="00DD0B9E" w:rsidP="00DD0B9E">
            <w:pPr>
              <w:jc w:val="center"/>
              <w:rPr>
                <w:sz w:val="22"/>
                <w:lang w:val="en-US"/>
              </w:rPr>
            </w:pPr>
            <w:r w:rsidRPr="00267677">
              <w:rPr>
                <w:color w:val="000000"/>
                <w:sz w:val="22"/>
              </w:rPr>
              <w:t>-39.17</w:t>
            </w:r>
            <w:r w:rsidRPr="00391D17">
              <w:rPr>
                <w:color w:val="000000"/>
                <w:sz w:val="22"/>
                <w:vertAlign w:val="superscript"/>
              </w:rPr>
              <w:t>**</w:t>
            </w:r>
          </w:p>
        </w:tc>
        <w:tc>
          <w:tcPr>
            <w:tcW w:w="1080" w:type="dxa"/>
            <w:vAlign w:val="bottom"/>
          </w:tcPr>
          <w:p w14:paraId="4B788A32" w14:textId="10223AB5" w:rsidR="00DD0B9E" w:rsidRPr="00267677" w:rsidRDefault="00DD0B9E" w:rsidP="00DD0B9E">
            <w:pPr>
              <w:jc w:val="center"/>
              <w:rPr>
                <w:sz w:val="22"/>
                <w:lang w:val="en-US"/>
              </w:rPr>
            </w:pPr>
            <w:r w:rsidRPr="00267677">
              <w:rPr>
                <w:color w:val="000000"/>
                <w:sz w:val="22"/>
              </w:rPr>
              <w:t>0.54</w:t>
            </w:r>
            <w:r w:rsidRPr="00AE0584">
              <w:rPr>
                <w:color w:val="000000"/>
                <w:sz w:val="22"/>
                <w:vertAlign w:val="superscript"/>
              </w:rPr>
              <w:t>**</w:t>
            </w:r>
          </w:p>
        </w:tc>
        <w:tc>
          <w:tcPr>
            <w:tcW w:w="1170" w:type="dxa"/>
            <w:vAlign w:val="bottom"/>
          </w:tcPr>
          <w:p w14:paraId="2C6345E6" w14:textId="0C32F784" w:rsidR="00DD0B9E" w:rsidRPr="00267677" w:rsidRDefault="00DD0B9E" w:rsidP="00DD0B9E">
            <w:pPr>
              <w:jc w:val="center"/>
              <w:rPr>
                <w:sz w:val="22"/>
                <w:lang w:val="en-US"/>
              </w:rPr>
            </w:pPr>
            <w:r w:rsidRPr="00267677">
              <w:rPr>
                <w:color w:val="000000"/>
                <w:sz w:val="22"/>
              </w:rPr>
              <w:t>-48.77</w:t>
            </w:r>
            <w:r w:rsidRPr="00AE0584">
              <w:rPr>
                <w:color w:val="000000"/>
                <w:sz w:val="22"/>
                <w:vertAlign w:val="superscript"/>
              </w:rPr>
              <w:t>*</w:t>
            </w:r>
            <w:r w:rsidR="00391D17" w:rsidRPr="00AE0584">
              <w:rPr>
                <w:color w:val="000000"/>
                <w:sz w:val="22"/>
                <w:vertAlign w:val="superscript"/>
              </w:rPr>
              <w:t>*</w:t>
            </w:r>
          </w:p>
        </w:tc>
        <w:tc>
          <w:tcPr>
            <w:tcW w:w="1170" w:type="dxa"/>
            <w:vAlign w:val="bottom"/>
          </w:tcPr>
          <w:p w14:paraId="1D9F6C1C" w14:textId="5FF1DC40" w:rsidR="00DD0B9E" w:rsidRPr="00267677" w:rsidRDefault="00DD0B9E" w:rsidP="00DD0B9E">
            <w:pPr>
              <w:jc w:val="center"/>
              <w:rPr>
                <w:sz w:val="22"/>
                <w:lang w:val="en-US"/>
              </w:rPr>
            </w:pPr>
            <w:r w:rsidRPr="00267677">
              <w:rPr>
                <w:color w:val="000000"/>
                <w:sz w:val="22"/>
              </w:rPr>
              <w:t>0.25</w:t>
            </w:r>
          </w:p>
        </w:tc>
        <w:tc>
          <w:tcPr>
            <w:tcW w:w="1170" w:type="dxa"/>
            <w:vAlign w:val="bottom"/>
          </w:tcPr>
          <w:p w14:paraId="7F2E00EF" w14:textId="1A4E3A8D" w:rsidR="00DD0B9E" w:rsidRPr="00267677" w:rsidRDefault="00DD0B9E" w:rsidP="00DD0B9E">
            <w:pPr>
              <w:jc w:val="center"/>
              <w:rPr>
                <w:sz w:val="22"/>
                <w:lang w:val="en-US"/>
              </w:rPr>
            </w:pPr>
            <w:r w:rsidRPr="00267677">
              <w:rPr>
                <w:color w:val="000000"/>
                <w:sz w:val="22"/>
              </w:rPr>
              <w:t>1.02</w:t>
            </w:r>
            <w:r w:rsidRPr="00AE0584">
              <w:rPr>
                <w:color w:val="000000"/>
                <w:sz w:val="22"/>
                <w:vertAlign w:val="superscript"/>
              </w:rPr>
              <w:t>*</w:t>
            </w:r>
            <w:r w:rsidR="00391D17" w:rsidRPr="00AE0584">
              <w:rPr>
                <w:color w:val="000000"/>
                <w:sz w:val="22"/>
                <w:vertAlign w:val="superscript"/>
              </w:rPr>
              <w:t>*</w:t>
            </w:r>
          </w:p>
        </w:tc>
        <w:tc>
          <w:tcPr>
            <w:tcW w:w="1170" w:type="dxa"/>
            <w:vAlign w:val="bottom"/>
          </w:tcPr>
          <w:p w14:paraId="0A781C1B" w14:textId="46290485" w:rsidR="00DD0B9E" w:rsidRPr="00267677" w:rsidRDefault="00DD0B9E" w:rsidP="00DD0B9E">
            <w:pPr>
              <w:jc w:val="center"/>
              <w:rPr>
                <w:sz w:val="22"/>
                <w:lang w:val="en-US"/>
              </w:rPr>
            </w:pPr>
            <w:r w:rsidRPr="00267677">
              <w:rPr>
                <w:color w:val="000000"/>
                <w:sz w:val="22"/>
              </w:rPr>
              <w:t>-26.02</w:t>
            </w:r>
            <w:r w:rsidRPr="00AE0584">
              <w:rPr>
                <w:color w:val="000000"/>
                <w:sz w:val="22"/>
                <w:vertAlign w:val="superscript"/>
              </w:rPr>
              <w:t>*</w:t>
            </w:r>
            <w:r w:rsidR="00AE0584" w:rsidRPr="00AE0584">
              <w:rPr>
                <w:color w:val="000000"/>
                <w:sz w:val="22"/>
                <w:vertAlign w:val="superscript"/>
              </w:rPr>
              <w:t>*</w:t>
            </w:r>
          </w:p>
        </w:tc>
        <w:tc>
          <w:tcPr>
            <w:tcW w:w="1080" w:type="dxa"/>
            <w:vAlign w:val="bottom"/>
          </w:tcPr>
          <w:p w14:paraId="36477845" w14:textId="2E9F3F3B" w:rsidR="00DD0B9E" w:rsidRPr="00267677" w:rsidRDefault="00DD0B9E" w:rsidP="00DD0B9E">
            <w:pPr>
              <w:jc w:val="center"/>
              <w:rPr>
                <w:sz w:val="22"/>
                <w:lang w:val="en-US"/>
              </w:rPr>
            </w:pPr>
            <w:r w:rsidRPr="00267677">
              <w:rPr>
                <w:color w:val="000000"/>
                <w:sz w:val="22"/>
              </w:rPr>
              <w:t>21.43</w:t>
            </w:r>
            <w:r w:rsidRPr="00AE0584">
              <w:rPr>
                <w:color w:val="000000"/>
                <w:sz w:val="22"/>
                <w:vertAlign w:val="superscript"/>
              </w:rPr>
              <w:t>*</w:t>
            </w:r>
            <w:r w:rsidR="00AE0584" w:rsidRPr="00AE0584">
              <w:rPr>
                <w:color w:val="000000"/>
                <w:sz w:val="22"/>
                <w:vertAlign w:val="superscript"/>
              </w:rPr>
              <w:t>*</w:t>
            </w:r>
          </w:p>
        </w:tc>
      </w:tr>
      <w:tr w:rsidR="00DD0B9E" w:rsidRPr="00DD0B9E" w14:paraId="71D21B12" w14:textId="77777777" w:rsidTr="001A7465">
        <w:trPr>
          <w:trHeight w:val="20"/>
        </w:trPr>
        <w:tc>
          <w:tcPr>
            <w:tcW w:w="1097" w:type="dxa"/>
            <w:vAlign w:val="center"/>
          </w:tcPr>
          <w:p w14:paraId="05EAEE12" w14:textId="77777777" w:rsidR="00DD0B9E" w:rsidRPr="00DD0B9E" w:rsidRDefault="00DD0B9E" w:rsidP="00DD0B9E">
            <w:pPr>
              <w:jc w:val="center"/>
              <w:rPr>
                <w:b/>
                <w:lang w:val="en-US"/>
              </w:rPr>
            </w:pPr>
          </w:p>
        </w:tc>
        <w:tc>
          <w:tcPr>
            <w:tcW w:w="1148" w:type="dxa"/>
            <w:vAlign w:val="bottom"/>
          </w:tcPr>
          <w:p w14:paraId="20BBD25A" w14:textId="2F37617B" w:rsidR="00DD0B9E" w:rsidRPr="00267677" w:rsidRDefault="00DD0B9E" w:rsidP="00DD0B9E">
            <w:pPr>
              <w:jc w:val="center"/>
              <w:rPr>
                <w:sz w:val="22"/>
                <w:lang w:val="en-US"/>
              </w:rPr>
            </w:pPr>
            <w:r w:rsidRPr="00267677">
              <w:rPr>
                <w:color w:val="000000"/>
                <w:sz w:val="22"/>
              </w:rPr>
              <w:t>13.30%</w:t>
            </w:r>
          </w:p>
        </w:tc>
        <w:tc>
          <w:tcPr>
            <w:tcW w:w="1170" w:type="dxa"/>
            <w:vAlign w:val="bottom"/>
          </w:tcPr>
          <w:p w14:paraId="608187CE" w14:textId="7AA375A2" w:rsidR="00DD0B9E" w:rsidRPr="00267677" w:rsidRDefault="00DD0B9E" w:rsidP="00DD0B9E">
            <w:pPr>
              <w:jc w:val="center"/>
              <w:rPr>
                <w:sz w:val="22"/>
                <w:lang w:val="en-US"/>
              </w:rPr>
            </w:pPr>
            <w:r w:rsidRPr="00267677">
              <w:rPr>
                <w:color w:val="000000"/>
                <w:sz w:val="22"/>
              </w:rPr>
              <w:t>1.23%</w:t>
            </w:r>
          </w:p>
        </w:tc>
        <w:tc>
          <w:tcPr>
            <w:tcW w:w="1080" w:type="dxa"/>
            <w:vAlign w:val="bottom"/>
          </w:tcPr>
          <w:p w14:paraId="6443E41E" w14:textId="6BE4D2C4" w:rsidR="00DD0B9E" w:rsidRPr="00267677" w:rsidRDefault="00DD0B9E" w:rsidP="00DD0B9E">
            <w:pPr>
              <w:jc w:val="center"/>
              <w:rPr>
                <w:sz w:val="22"/>
                <w:lang w:val="en-US"/>
              </w:rPr>
            </w:pPr>
            <w:r w:rsidRPr="00267677">
              <w:rPr>
                <w:color w:val="000000"/>
                <w:sz w:val="22"/>
              </w:rPr>
              <w:t>19.29%</w:t>
            </w:r>
          </w:p>
        </w:tc>
        <w:tc>
          <w:tcPr>
            <w:tcW w:w="1080" w:type="dxa"/>
            <w:vAlign w:val="bottom"/>
          </w:tcPr>
          <w:p w14:paraId="1B933D86" w14:textId="4476A06A" w:rsidR="00DD0B9E" w:rsidRPr="00267677" w:rsidRDefault="00DD0B9E" w:rsidP="00DD0B9E">
            <w:pPr>
              <w:jc w:val="center"/>
              <w:rPr>
                <w:sz w:val="22"/>
                <w:lang w:val="en-US"/>
              </w:rPr>
            </w:pPr>
            <w:r w:rsidRPr="00267677">
              <w:rPr>
                <w:color w:val="000000"/>
                <w:sz w:val="22"/>
              </w:rPr>
              <w:t>-2.68%</w:t>
            </w:r>
          </w:p>
        </w:tc>
        <w:tc>
          <w:tcPr>
            <w:tcW w:w="1170" w:type="dxa"/>
            <w:vAlign w:val="bottom"/>
          </w:tcPr>
          <w:p w14:paraId="7AAC035C" w14:textId="15F4DC0D" w:rsidR="00DD0B9E" w:rsidRPr="00267677" w:rsidRDefault="00DD0B9E" w:rsidP="00DD0B9E">
            <w:pPr>
              <w:jc w:val="center"/>
              <w:rPr>
                <w:sz w:val="22"/>
                <w:lang w:val="en-US"/>
              </w:rPr>
            </w:pPr>
            <w:r w:rsidRPr="00267677">
              <w:rPr>
                <w:color w:val="000000"/>
                <w:sz w:val="22"/>
              </w:rPr>
              <w:t>-1.39%</w:t>
            </w:r>
          </w:p>
        </w:tc>
        <w:tc>
          <w:tcPr>
            <w:tcW w:w="1080" w:type="dxa"/>
            <w:vAlign w:val="bottom"/>
          </w:tcPr>
          <w:p w14:paraId="3409DDC7" w14:textId="6DAA9485" w:rsidR="00DD0B9E" w:rsidRPr="00267677" w:rsidRDefault="00DD0B9E" w:rsidP="00DD0B9E">
            <w:pPr>
              <w:jc w:val="center"/>
              <w:rPr>
                <w:sz w:val="22"/>
                <w:lang w:val="en-US"/>
              </w:rPr>
            </w:pPr>
            <w:r w:rsidRPr="00267677">
              <w:rPr>
                <w:color w:val="000000"/>
                <w:sz w:val="22"/>
              </w:rPr>
              <w:t>-7.61%</w:t>
            </w:r>
          </w:p>
        </w:tc>
        <w:tc>
          <w:tcPr>
            <w:tcW w:w="1080" w:type="dxa"/>
            <w:vAlign w:val="bottom"/>
          </w:tcPr>
          <w:p w14:paraId="798DF0C8" w14:textId="44109C31" w:rsidR="00DD0B9E" w:rsidRPr="00267677" w:rsidRDefault="00DD0B9E" w:rsidP="00DD0B9E">
            <w:pPr>
              <w:jc w:val="center"/>
              <w:rPr>
                <w:sz w:val="22"/>
                <w:lang w:val="en-US"/>
              </w:rPr>
            </w:pPr>
            <w:r w:rsidRPr="00267677">
              <w:rPr>
                <w:color w:val="000000"/>
                <w:sz w:val="22"/>
              </w:rPr>
              <w:t>2.45%</w:t>
            </w:r>
          </w:p>
        </w:tc>
        <w:tc>
          <w:tcPr>
            <w:tcW w:w="1170" w:type="dxa"/>
            <w:vAlign w:val="bottom"/>
          </w:tcPr>
          <w:p w14:paraId="555B3286" w14:textId="4C44D09A" w:rsidR="00DD0B9E" w:rsidRPr="00267677" w:rsidRDefault="00DD0B9E" w:rsidP="00DD0B9E">
            <w:pPr>
              <w:jc w:val="center"/>
              <w:rPr>
                <w:sz w:val="22"/>
                <w:lang w:val="en-US"/>
              </w:rPr>
            </w:pPr>
            <w:r w:rsidRPr="00267677">
              <w:rPr>
                <w:color w:val="000000"/>
                <w:sz w:val="22"/>
              </w:rPr>
              <w:t>-1.33%</w:t>
            </w:r>
          </w:p>
        </w:tc>
        <w:tc>
          <w:tcPr>
            <w:tcW w:w="1170" w:type="dxa"/>
            <w:vAlign w:val="bottom"/>
          </w:tcPr>
          <w:p w14:paraId="26AE20EA" w14:textId="070384C2" w:rsidR="00DD0B9E" w:rsidRPr="00267677" w:rsidRDefault="00DD0B9E" w:rsidP="00DD0B9E">
            <w:pPr>
              <w:jc w:val="center"/>
              <w:rPr>
                <w:sz w:val="22"/>
                <w:lang w:val="en-US"/>
              </w:rPr>
            </w:pPr>
            <w:r w:rsidRPr="00267677">
              <w:rPr>
                <w:color w:val="000000"/>
                <w:sz w:val="22"/>
              </w:rPr>
              <w:t>0.05%</w:t>
            </w:r>
          </w:p>
        </w:tc>
        <w:tc>
          <w:tcPr>
            <w:tcW w:w="1170" w:type="dxa"/>
            <w:vAlign w:val="bottom"/>
          </w:tcPr>
          <w:p w14:paraId="01316982" w14:textId="2D08ADAA" w:rsidR="00DD0B9E" w:rsidRPr="00267677" w:rsidRDefault="00DD0B9E" w:rsidP="00DD0B9E">
            <w:pPr>
              <w:jc w:val="center"/>
              <w:rPr>
                <w:sz w:val="22"/>
                <w:lang w:val="en-US"/>
              </w:rPr>
            </w:pPr>
            <w:r w:rsidRPr="00267677">
              <w:rPr>
                <w:color w:val="000000"/>
                <w:sz w:val="22"/>
              </w:rPr>
              <w:t>4.74%</w:t>
            </w:r>
          </w:p>
        </w:tc>
        <w:tc>
          <w:tcPr>
            <w:tcW w:w="1170" w:type="dxa"/>
            <w:vAlign w:val="bottom"/>
          </w:tcPr>
          <w:p w14:paraId="5FA9520D" w14:textId="40FB2C86" w:rsidR="00DD0B9E" w:rsidRPr="00267677" w:rsidRDefault="00DD0B9E" w:rsidP="00DD0B9E">
            <w:pPr>
              <w:jc w:val="center"/>
              <w:rPr>
                <w:sz w:val="22"/>
                <w:lang w:val="en-US"/>
              </w:rPr>
            </w:pPr>
            <w:r w:rsidRPr="00267677">
              <w:rPr>
                <w:color w:val="000000"/>
                <w:sz w:val="22"/>
              </w:rPr>
              <w:t>-0.70%</w:t>
            </w:r>
          </w:p>
        </w:tc>
        <w:tc>
          <w:tcPr>
            <w:tcW w:w="1080" w:type="dxa"/>
            <w:vAlign w:val="bottom"/>
          </w:tcPr>
          <w:p w14:paraId="7DBDB4E8" w14:textId="7EE7DB61" w:rsidR="00DD0B9E" w:rsidRPr="00267677" w:rsidRDefault="00DD0B9E" w:rsidP="00DD0B9E">
            <w:pPr>
              <w:jc w:val="center"/>
              <w:rPr>
                <w:sz w:val="22"/>
                <w:lang w:val="en-US"/>
              </w:rPr>
            </w:pPr>
            <w:r w:rsidRPr="00267677">
              <w:rPr>
                <w:color w:val="000000"/>
                <w:sz w:val="22"/>
              </w:rPr>
              <w:t>4.22%</w:t>
            </w:r>
          </w:p>
        </w:tc>
      </w:tr>
      <w:tr w:rsidR="00DD0B9E" w:rsidRPr="00DD0B9E" w14:paraId="232639D8" w14:textId="77777777" w:rsidTr="001A7465">
        <w:trPr>
          <w:trHeight w:val="20"/>
        </w:trPr>
        <w:tc>
          <w:tcPr>
            <w:tcW w:w="1097" w:type="dxa"/>
            <w:vAlign w:val="center"/>
          </w:tcPr>
          <w:p w14:paraId="4B017A04" w14:textId="7B61FE4E" w:rsidR="00DD0B9E" w:rsidRPr="00DD0B9E" w:rsidRDefault="00DD0B9E" w:rsidP="00DD0B9E">
            <w:pPr>
              <w:jc w:val="center"/>
              <w:rPr>
                <w:b/>
                <w:lang w:val="en-US"/>
              </w:rPr>
            </w:pPr>
            <w:r w:rsidRPr="00DD0B9E">
              <w:rPr>
                <w:b/>
                <w:lang w:val="en-US"/>
              </w:rPr>
              <w:t>3</w:t>
            </w:r>
          </w:p>
        </w:tc>
        <w:tc>
          <w:tcPr>
            <w:tcW w:w="1148" w:type="dxa"/>
            <w:vAlign w:val="bottom"/>
          </w:tcPr>
          <w:p w14:paraId="71024C00" w14:textId="2E4976E7" w:rsidR="00DD0B9E" w:rsidRPr="00267677" w:rsidRDefault="00DD0B9E" w:rsidP="00DD0B9E">
            <w:pPr>
              <w:jc w:val="center"/>
              <w:rPr>
                <w:sz w:val="22"/>
                <w:lang w:val="en-US"/>
              </w:rPr>
            </w:pPr>
            <w:r w:rsidRPr="00267677">
              <w:rPr>
                <w:color w:val="000000"/>
                <w:sz w:val="22"/>
              </w:rPr>
              <w:t>2.99</w:t>
            </w:r>
            <w:r w:rsidRPr="00AE0584">
              <w:rPr>
                <w:color w:val="000000"/>
                <w:sz w:val="22"/>
                <w:vertAlign w:val="superscript"/>
              </w:rPr>
              <w:t>**</w:t>
            </w:r>
          </w:p>
        </w:tc>
        <w:tc>
          <w:tcPr>
            <w:tcW w:w="1170" w:type="dxa"/>
            <w:vAlign w:val="bottom"/>
          </w:tcPr>
          <w:p w14:paraId="7A86ED5D" w14:textId="536345CC" w:rsidR="00DD0B9E" w:rsidRPr="00267677" w:rsidRDefault="00DD0B9E" w:rsidP="00DD0B9E">
            <w:pPr>
              <w:jc w:val="center"/>
              <w:rPr>
                <w:sz w:val="22"/>
                <w:lang w:val="en-US"/>
              </w:rPr>
            </w:pPr>
            <w:r w:rsidRPr="00267677">
              <w:rPr>
                <w:color w:val="000000"/>
                <w:sz w:val="22"/>
              </w:rPr>
              <w:t>178.82</w:t>
            </w:r>
            <w:r w:rsidRPr="00AE0584">
              <w:rPr>
                <w:color w:val="000000"/>
                <w:sz w:val="22"/>
                <w:vertAlign w:val="superscript"/>
              </w:rPr>
              <w:t>*</w:t>
            </w:r>
            <w:r w:rsidR="00391D17" w:rsidRPr="00AE0584">
              <w:rPr>
                <w:color w:val="000000"/>
                <w:sz w:val="22"/>
                <w:vertAlign w:val="superscript"/>
              </w:rPr>
              <w:t>*</w:t>
            </w:r>
          </w:p>
        </w:tc>
        <w:tc>
          <w:tcPr>
            <w:tcW w:w="1080" w:type="dxa"/>
            <w:vAlign w:val="bottom"/>
          </w:tcPr>
          <w:p w14:paraId="1584674F" w14:textId="227980B2" w:rsidR="00DD0B9E" w:rsidRPr="00267677" w:rsidRDefault="00DD0B9E" w:rsidP="00DD0B9E">
            <w:pPr>
              <w:jc w:val="center"/>
              <w:rPr>
                <w:sz w:val="22"/>
                <w:lang w:val="en-US"/>
              </w:rPr>
            </w:pPr>
            <w:r w:rsidRPr="00267677">
              <w:rPr>
                <w:color w:val="000000"/>
                <w:sz w:val="22"/>
              </w:rPr>
              <w:t>192.90</w:t>
            </w:r>
            <w:r w:rsidRPr="00391D17">
              <w:rPr>
                <w:color w:val="000000"/>
                <w:sz w:val="22"/>
                <w:vertAlign w:val="superscript"/>
              </w:rPr>
              <w:t>*</w:t>
            </w:r>
            <w:r w:rsidR="00391D17" w:rsidRPr="00391D17">
              <w:rPr>
                <w:color w:val="000000"/>
                <w:sz w:val="22"/>
                <w:vertAlign w:val="superscript"/>
              </w:rPr>
              <w:t>*</w:t>
            </w:r>
          </w:p>
        </w:tc>
        <w:tc>
          <w:tcPr>
            <w:tcW w:w="1080" w:type="dxa"/>
            <w:vAlign w:val="bottom"/>
          </w:tcPr>
          <w:p w14:paraId="18DACA18" w14:textId="2A4B017C" w:rsidR="00DD0B9E" w:rsidRPr="00267677" w:rsidRDefault="00DD0B9E" w:rsidP="00DD0B9E">
            <w:pPr>
              <w:jc w:val="center"/>
              <w:rPr>
                <w:sz w:val="22"/>
                <w:lang w:val="en-US"/>
              </w:rPr>
            </w:pPr>
            <w:r w:rsidRPr="00267677">
              <w:rPr>
                <w:sz w:val="22"/>
              </w:rPr>
              <w:t>-1.14</w:t>
            </w:r>
            <w:r w:rsidRPr="00AE0584">
              <w:rPr>
                <w:sz w:val="22"/>
                <w:vertAlign w:val="superscript"/>
              </w:rPr>
              <w:t>*</w:t>
            </w:r>
            <w:r w:rsidR="00391D17" w:rsidRPr="00AE0584">
              <w:rPr>
                <w:sz w:val="22"/>
                <w:vertAlign w:val="superscript"/>
              </w:rPr>
              <w:t>*</w:t>
            </w:r>
          </w:p>
        </w:tc>
        <w:tc>
          <w:tcPr>
            <w:tcW w:w="1170" w:type="dxa"/>
            <w:vAlign w:val="bottom"/>
          </w:tcPr>
          <w:p w14:paraId="1FF57A84" w14:textId="1A84BD34" w:rsidR="00DD0B9E" w:rsidRPr="00267677" w:rsidRDefault="00DD0B9E" w:rsidP="00DD0B9E">
            <w:pPr>
              <w:jc w:val="center"/>
              <w:rPr>
                <w:sz w:val="22"/>
                <w:lang w:val="en-US"/>
              </w:rPr>
            </w:pPr>
            <w:r w:rsidRPr="00267677">
              <w:rPr>
                <w:sz w:val="22"/>
              </w:rPr>
              <w:t>-158.13</w:t>
            </w:r>
            <w:r w:rsidRPr="00AE0584">
              <w:rPr>
                <w:sz w:val="22"/>
                <w:vertAlign w:val="superscript"/>
              </w:rPr>
              <w:t>*</w:t>
            </w:r>
          </w:p>
        </w:tc>
        <w:tc>
          <w:tcPr>
            <w:tcW w:w="1080" w:type="dxa"/>
            <w:vAlign w:val="bottom"/>
          </w:tcPr>
          <w:p w14:paraId="20FDA681" w14:textId="715B2E7B" w:rsidR="00DD0B9E" w:rsidRPr="00267677" w:rsidRDefault="00DD0B9E" w:rsidP="00DD0B9E">
            <w:pPr>
              <w:jc w:val="center"/>
              <w:rPr>
                <w:sz w:val="22"/>
                <w:lang w:val="en-US"/>
              </w:rPr>
            </w:pPr>
            <w:r w:rsidRPr="00267677">
              <w:rPr>
                <w:sz w:val="22"/>
              </w:rPr>
              <w:t>-75.00</w:t>
            </w:r>
            <w:r w:rsidRPr="00391D17">
              <w:rPr>
                <w:sz w:val="22"/>
                <w:vertAlign w:val="superscript"/>
              </w:rPr>
              <w:t>**</w:t>
            </w:r>
          </w:p>
        </w:tc>
        <w:tc>
          <w:tcPr>
            <w:tcW w:w="1080" w:type="dxa"/>
            <w:vAlign w:val="bottom"/>
          </w:tcPr>
          <w:p w14:paraId="40B27EF4" w14:textId="52132689" w:rsidR="00DD0B9E" w:rsidRPr="00267677" w:rsidRDefault="00DD0B9E" w:rsidP="00DD0B9E">
            <w:pPr>
              <w:jc w:val="center"/>
              <w:rPr>
                <w:sz w:val="22"/>
                <w:lang w:val="en-US"/>
              </w:rPr>
            </w:pPr>
            <w:r w:rsidRPr="00267677">
              <w:rPr>
                <w:color w:val="000000"/>
                <w:sz w:val="22"/>
              </w:rPr>
              <w:t>0.95</w:t>
            </w:r>
            <w:r w:rsidRPr="00AE0584">
              <w:rPr>
                <w:color w:val="000000"/>
                <w:sz w:val="22"/>
                <w:vertAlign w:val="superscript"/>
              </w:rPr>
              <w:t>*</w:t>
            </w:r>
            <w:r w:rsidR="00391D17" w:rsidRPr="00AE0584">
              <w:rPr>
                <w:color w:val="000000"/>
                <w:sz w:val="22"/>
                <w:vertAlign w:val="superscript"/>
              </w:rPr>
              <w:t>*</w:t>
            </w:r>
          </w:p>
        </w:tc>
        <w:tc>
          <w:tcPr>
            <w:tcW w:w="1170" w:type="dxa"/>
            <w:vAlign w:val="bottom"/>
          </w:tcPr>
          <w:p w14:paraId="64562EBF" w14:textId="43BA275E" w:rsidR="00DD0B9E" w:rsidRPr="00267677" w:rsidRDefault="00DD0B9E" w:rsidP="00DD0B9E">
            <w:pPr>
              <w:jc w:val="center"/>
              <w:rPr>
                <w:sz w:val="22"/>
                <w:lang w:val="en-US"/>
              </w:rPr>
            </w:pPr>
            <w:r w:rsidRPr="00267677">
              <w:rPr>
                <w:color w:val="000000"/>
                <w:sz w:val="22"/>
              </w:rPr>
              <w:t>-48.46</w:t>
            </w:r>
            <w:r w:rsidRPr="00AE0584">
              <w:rPr>
                <w:color w:val="000000"/>
                <w:sz w:val="22"/>
                <w:vertAlign w:val="superscript"/>
              </w:rPr>
              <w:t>*</w:t>
            </w:r>
            <w:r w:rsidR="00391D17" w:rsidRPr="00AE0584">
              <w:rPr>
                <w:color w:val="000000"/>
                <w:sz w:val="22"/>
                <w:vertAlign w:val="superscript"/>
              </w:rPr>
              <w:t>*</w:t>
            </w:r>
          </w:p>
        </w:tc>
        <w:tc>
          <w:tcPr>
            <w:tcW w:w="1170" w:type="dxa"/>
            <w:vAlign w:val="bottom"/>
          </w:tcPr>
          <w:p w14:paraId="5C12A65A" w14:textId="356936FB" w:rsidR="00DD0B9E" w:rsidRPr="00267677" w:rsidRDefault="00DD0B9E" w:rsidP="00DD0B9E">
            <w:pPr>
              <w:jc w:val="center"/>
              <w:rPr>
                <w:sz w:val="22"/>
                <w:lang w:val="en-US"/>
              </w:rPr>
            </w:pPr>
            <w:r w:rsidRPr="00267677">
              <w:rPr>
                <w:color w:val="000000"/>
                <w:sz w:val="22"/>
              </w:rPr>
              <w:t>-2.22</w:t>
            </w:r>
          </w:p>
        </w:tc>
        <w:tc>
          <w:tcPr>
            <w:tcW w:w="1170" w:type="dxa"/>
            <w:vAlign w:val="bottom"/>
          </w:tcPr>
          <w:p w14:paraId="46D6BFDD" w14:textId="57851392" w:rsidR="00DD0B9E" w:rsidRPr="00267677" w:rsidRDefault="00DD0B9E" w:rsidP="00DD0B9E">
            <w:pPr>
              <w:jc w:val="center"/>
              <w:rPr>
                <w:sz w:val="22"/>
                <w:lang w:val="en-US"/>
              </w:rPr>
            </w:pPr>
            <w:r w:rsidRPr="00267677">
              <w:rPr>
                <w:color w:val="000000"/>
                <w:sz w:val="22"/>
              </w:rPr>
              <w:t>1.28</w:t>
            </w:r>
            <w:r w:rsidRPr="00AE0584">
              <w:rPr>
                <w:color w:val="000000"/>
                <w:sz w:val="22"/>
                <w:vertAlign w:val="superscript"/>
              </w:rPr>
              <w:t>*</w:t>
            </w:r>
            <w:r w:rsidR="00391D17" w:rsidRPr="00AE0584">
              <w:rPr>
                <w:color w:val="000000"/>
                <w:sz w:val="22"/>
                <w:vertAlign w:val="superscript"/>
              </w:rPr>
              <w:t>*</w:t>
            </w:r>
          </w:p>
        </w:tc>
        <w:tc>
          <w:tcPr>
            <w:tcW w:w="1170" w:type="dxa"/>
            <w:vAlign w:val="bottom"/>
          </w:tcPr>
          <w:p w14:paraId="76875F90" w14:textId="732D4E3A" w:rsidR="00DD0B9E" w:rsidRPr="00267677" w:rsidRDefault="00DD0B9E" w:rsidP="00DD0B9E">
            <w:pPr>
              <w:jc w:val="center"/>
              <w:rPr>
                <w:sz w:val="22"/>
                <w:lang w:val="en-US"/>
              </w:rPr>
            </w:pPr>
            <w:r w:rsidRPr="00267677">
              <w:rPr>
                <w:color w:val="000000"/>
                <w:sz w:val="22"/>
              </w:rPr>
              <w:t>-0.78</w:t>
            </w:r>
          </w:p>
        </w:tc>
        <w:tc>
          <w:tcPr>
            <w:tcW w:w="1080" w:type="dxa"/>
            <w:vAlign w:val="bottom"/>
          </w:tcPr>
          <w:p w14:paraId="7B0C5502" w14:textId="274C9A63" w:rsidR="00DD0B9E" w:rsidRPr="00267677" w:rsidRDefault="00DD0B9E" w:rsidP="00DD0B9E">
            <w:pPr>
              <w:jc w:val="center"/>
              <w:rPr>
                <w:sz w:val="22"/>
                <w:lang w:val="en-US"/>
              </w:rPr>
            </w:pPr>
            <w:r w:rsidRPr="00267677">
              <w:rPr>
                <w:color w:val="000000"/>
                <w:sz w:val="22"/>
              </w:rPr>
              <w:t>40.49</w:t>
            </w:r>
            <w:r w:rsidRPr="00AE0584">
              <w:rPr>
                <w:color w:val="000000"/>
                <w:sz w:val="22"/>
                <w:vertAlign w:val="superscript"/>
              </w:rPr>
              <w:t>*</w:t>
            </w:r>
            <w:r w:rsidR="00AE0584" w:rsidRPr="00AE0584">
              <w:rPr>
                <w:color w:val="000000"/>
                <w:sz w:val="22"/>
                <w:vertAlign w:val="superscript"/>
              </w:rPr>
              <w:t>*</w:t>
            </w:r>
          </w:p>
        </w:tc>
      </w:tr>
      <w:tr w:rsidR="00DD0B9E" w:rsidRPr="00DD0B9E" w14:paraId="3108B5B4" w14:textId="77777777" w:rsidTr="001A7465">
        <w:trPr>
          <w:trHeight w:val="20"/>
        </w:trPr>
        <w:tc>
          <w:tcPr>
            <w:tcW w:w="1097" w:type="dxa"/>
            <w:vAlign w:val="center"/>
          </w:tcPr>
          <w:p w14:paraId="5D89BBBC" w14:textId="77777777" w:rsidR="00DD0B9E" w:rsidRPr="00DD0B9E" w:rsidRDefault="00DD0B9E" w:rsidP="00DD0B9E">
            <w:pPr>
              <w:jc w:val="center"/>
              <w:rPr>
                <w:b/>
                <w:lang w:val="en-US"/>
              </w:rPr>
            </w:pPr>
          </w:p>
        </w:tc>
        <w:tc>
          <w:tcPr>
            <w:tcW w:w="1148" w:type="dxa"/>
            <w:vAlign w:val="bottom"/>
          </w:tcPr>
          <w:p w14:paraId="07F3F417" w14:textId="1FD81C1D" w:rsidR="00DD0B9E" w:rsidRPr="00267677" w:rsidRDefault="00DD0B9E" w:rsidP="00DD0B9E">
            <w:pPr>
              <w:jc w:val="center"/>
              <w:rPr>
                <w:sz w:val="22"/>
                <w:lang w:val="en-US"/>
              </w:rPr>
            </w:pPr>
            <w:r w:rsidRPr="00267677">
              <w:rPr>
                <w:color w:val="000000"/>
                <w:sz w:val="22"/>
              </w:rPr>
              <w:t>7.57%</w:t>
            </w:r>
          </w:p>
        </w:tc>
        <w:tc>
          <w:tcPr>
            <w:tcW w:w="1170" w:type="dxa"/>
            <w:vAlign w:val="bottom"/>
          </w:tcPr>
          <w:p w14:paraId="34E7D333" w14:textId="40BB5263" w:rsidR="00DD0B9E" w:rsidRPr="00267677" w:rsidRDefault="00DD0B9E" w:rsidP="00DD0B9E">
            <w:pPr>
              <w:jc w:val="center"/>
              <w:rPr>
                <w:sz w:val="22"/>
                <w:lang w:val="en-US"/>
              </w:rPr>
            </w:pPr>
            <w:r w:rsidRPr="00267677">
              <w:rPr>
                <w:color w:val="000000"/>
                <w:sz w:val="22"/>
              </w:rPr>
              <w:t>5.00%</w:t>
            </w:r>
          </w:p>
        </w:tc>
        <w:tc>
          <w:tcPr>
            <w:tcW w:w="1080" w:type="dxa"/>
            <w:vAlign w:val="bottom"/>
          </w:tcPr>
          <w:p w14:paraId="3C9E11E3" w14:textId="6D546F3D" w:rsidR="00DD0B9E" w:rsidRPr="00267677" w:rsidRDefault="00DD0B9E" w:rsidP="00DD0B9E">
            <w:pPr>
              <w:jc w:val="center"/>
              <w:rPr>
                <w:sz w:val="22"/>
                <w:lang w:val="en-US"/>
              </w:rPr>
            </w:pPr>
            <w:r w:rsidRPr="00267677">
              <w:rPr>
                <w:color w:val="000000"/>
                <w:sz w:val="22"/>
              </w:rPr>
              <w:t>19.94%</w:t>
            </w:r>
          </w:p>
        </w:tc>
        <w:tc>
          <w:tcPr>
            <w:tcW w:w="1080" w:type="dxa"/>
            <w:vAlign w:val="bottom"/>
          </w:tcPr>
          <w:p w14:paraId="1720FA73" w14:textId="5B3C57BE" w:rsidR="00DD0B9E" w:rsidRPr="00267677" w:rsidRDefault="00DD0B9E" w:rsidP="00DD0B9E">
            <w:pPr>
              <w:jc w:val="center"/>
              <w:rPr>
                <w:sz w:val="22"/>
                <w:lang w:val="en-US"/>
              </w:rPr>
            </w:pPr>
            <w:r w:rsidRPr="00267677">
              <w:rPr>
                <w:sz w:val="22"/>
              </w:rPr>
              <w:t>-2.85%</w:t>
            </w:r>
          </w:p>
        </w:tc>
        <w:tc>
          <w:tcPr>
            <w:tcW w:w="1170" w:type="dxa"/>
            <w:vAlign w:val="bottom"/>
          </w:tcPr>
          <w:p w14:paraId="6734BE1B" w14:textId="34FEF31C" w:rsidR="00DD0B9E" w:rsidRPr="00267677" w:rsidRDefault="00DD0B9E" w:rsidP="00DD0B9E">
            <w:pPr>
              <w:jc w:val="center"/>
              <w:rPr>
                <w:sz w:val="22"/>
                <w:lang w:val="en-US"/>
              </w:rPr>
            </w:pPr>
            <w:r w:rsidRPr="00267677">
              <w:rPr>
                <w:sz w:val="22"/>
              </w:rPr>
              <w:t>-4.24%</w:t>
            </w:r>
          </w:p>
        </w:tc>
        <w:tc>
          <w:tcPr>
            <w:tcW w:w="1080" w:type="dxa"/>
            <w:vAlign w:val="bottom"/>
          </w:tcPr>
          <w:p w14:paraId="6D6DF1B7" w14:textId="33C13FE8" w:rsidR="00DD0B9E" w:rsidRPr="00267677" w:rsidRDefault="00DD0B9E" w:rsidP="00DD0B9E">
            <w:pPr>
              <w:jc w:val="center"/>
              <w:rPr>
                <w:sz w:val="22"/>
                <w:lang w:val="en-US"/>
              </w:rPr>
            </w:pPr>
            <w:r w:rsidRPr="00267677">
              <w:rPr>
                <w:sz w:val="22"/>
              </w:rPr>
              <w:t>-7.75%</w:t>
            </w:r>
          </w:p>
        </w:tc>
        <w:tc>
          <w:tcPr>
            <w:tcW w:w="1080" w:type="dxa"/>
            <w:vAlign w:val="bottom"/>
          </w:tcPr>
          <w:p w14:paraId="2DDEE681" w14:textId="17BD6CBE" w:rsidR="00DD0B9E" w:rsidRPr="00267677" w:rsidRDefault="00DD0B9E" w:rsidP="00DD0B9E">
            <w:pPr>
              <w:jc w:val="center"/>
              <w:rPr>
                <w:sz w:val="22"/>
                <w:lang w:val="en-US"/>
              </w:rPr>
            </w:pPr>
            <w:r w:rsidRPr="00267677">
              <w:rPr>
                <w:color w:val="000000"/>
                <w:sz w:val="22"/>
              </w:rPr>
              <w:t>2.41%</w:t>
            </w:r>
          </w:p>
        </w:tc>
        <w:tc>
          <w:tcPr>
            <w:tcW w:w="1170" w:type="dxa"/>
            <w:vAlign w:val="bottom"/>
          </w:tcPr>
          <w:p w14:paraId="5B3DA16D" w14:textId="5901771C" w:rsidR="00DD0B9E" w:rsidRPr="00267677" w:rsidRDefault="00DD0B9E" w:rsidP="00DD0B9E">
            <w:pPr>
              <w:jc w:val="center"/>
              <w:rPr>
                <w:sz w:val="22"/>
                <w:lang w:val="en-US"/>
              </w:rPr>
            </w:pPr>
            <w:r w:rsidRPr="00267677">
              <w:rPr>
                <w:color w:val="000000"/>
                <w:sz w:val="22"/>
              </w:rPr>
              <w:t>-1.32%</w:t>
            </w:r>
          </w:p>
        </w:tc>
        <w:tc>
          <w:tcPr>
            <w:tcW w:w="1170" w:type="dxa"/>
            <w:vAlign w:val="bottom"/>
          </w:tcPr>
          <w:p w14:paraId="6666C623" w14:textId="28434EF4" w:rsidR="00DD0B9E" w:rsidRPr="00267677" w:rsidRDefault="00DD0B9E" w:rsidP="00DD0B9E">
            <w:pPr>
              <w:jc w:val="center"/>
              <w:rPr>
                <w:sz w:val="22"/>
                <w:lang w:val="en-US"/>
              </w:rPr>
            </w:pPr>
            <w:r w:rsidRPr="00267677">
              <w:rPr>
                <w:color w:val="000000"/>
                <w:sz w:val="22"/>
              </w:rPr>
              <w:t>-0.23%</w:t>
            </w:r>
          </w:p>
        </w:tc>
        <w:tc>
          <w:tcPr>
            <w:tcW w:w="1170" w:type="dxa"/>
            <w:vAlign w:val="bottom"/>
          </w:tcPr>
          <w:p w14:paraId="0FCC0A01" w14:textId="3938C20E" w:rsidR="00DD0B9E" w:rsidRPr="00267677" w:rsidRDefault="00DD0B9E" w:rsidP="00DD0B9E">
            <w:pPr>
              <w:jc w:val="center"/>
              <w:rPr>
                <w:sz w:val="22"/>
                <w:lang w:val="en-US"/>
              </w:rPr>
            </w:pPr>
            <w:r w:rsidRPr="00267677">
              <w:rPr>
                <w:color w:val="000000"/>
                <w:sz w:val="22"/>
              </w:rPr>
              <w:t>3.26%</w:t>
            </w:r>
          </w:p>
        </w:tc>
        <w:tc>
          <w:tcPr>
            <w:tcW w:w="1170" w:type="dxa"/>
            <w:vAlign w:val="bottom"/>
          </w:tcPr>
          <w:p w14:paraId="21A88150" w14:textId="51795DA4" w:rsidR="00DD0B9E" w:rsidRPr="00267677" w:rsidRDefault="00DD0B9E" w:rsidP="00DD0B9E">
            <w:pPr>
              <w:jc w:val="center"/>
              <w:rPr>
                <w:sz w:val="22"/>
                <w:lang w:val="en-US"/>
              </w:rPr>
            </w:pPr>
            <w:r w:rsidRPr="00267677">
              <w:rPr>
                <w:color w:val="000000"/>
                <w:sz w:val="22"/>
              </w:rPr>
              <w:t>0.01%</w:t>
            </w:r>
          </w:p>
        </w:tc>
        <w:tc>
          <w:tcPr>
            <w:tcW w:w="1080" w:type="dxa"/>
            <w:vAlign w:val="bottom"/>
          </w:tcPr>
          <w:p w14:paraId="58758F56" w14:textId="380A2C27" w:rsidR="00DD0B9E" w:rsidRPr="00267677" w:rsidRDefault="00DD0B9E" w:rsidP="00DD0B9E">
            <w:pPr>
              <w:jc w:val="center"/>
              <w:rPr>
                <w:sz w:val="22"/>
                <w:lang w:val="en-US"/>
              </w:rPr>
            </w:pPr>
            <w:r w:rsidRPr="00267677">
              <w:rPr>
                <w:color w:val="000000"/>
                <w:sz w:val="22"/>
              </w:rPr>
              <w:t>4.19%</w:t>
            </w:r>
          </w:p>
        </w:tc>
      </w:tr>
      <w:tr w:rsidR="00DD0B9E" w:rsidRPr="00DD0B9E" w14:paraId="4A1BC49A" w14:textId="77777777" w:rsidTr="001A7465">
        <w:trPr>
          <w:trHeight w:val="20"/>
        </w:trPr>
        <w:tc>
          <w:tcPr>
            <w:tcW w:w="1097" w:type="dxa"/>
            <w:vAlign w:val="center"/>
          </w:tcPr>
          <w:p w14:paraId="0C85E0B9" w14:textId="7965F590" w:rsidR="00DD0B9E" w:rsidRPr="00DD0B9E" w:rsidRDefault="00DD0B9E" w:rsidP="00DD0B9E">
            <w:pPr>
              <w:jc w:val="center"/>
              <w:rPr>
                <w:b/>
                <w:lang w:val="en-US"/>
              </w:rPr>
            </w:pPr>
            <w:r w:rsidRPr="00DD0B9E">
              <w:rPr>
                <w:b/>
                <w:lang w:val="en-US"/>
              </w:rPr>
              <w:t>4</w:t>
            </w:r>
          </w:p>
        </w:tc>
        <w:tc>
          <w:tcPr>
            <w:tcW w:w="1148" w:type="dxa"/>
            <w:vAlign w:val="bottom"/>
          </w:tcPr>
          <w:p w14:paraId="45EAB545" w14:textId="40CB9358" w:rsidR="00DD0B9E" w:rsidRPr="00267677" w:rsidRDefault="00DD0B9E" w:rsidP="00DD0B9E">
            <w:pPr>
              <w:jc w:val="center"/>
              <w:rPr>
                <w:sz w:val="22"/>
                <w:lang w:val="en-US"/>
              </w:rPr>
            </w:pPr>
            <w:r w:rsidRPr="00267677">
              <w:rPr>
                <w:color w:val="000000"/>
                <w:sz w:val="22"/>
              </w:rPr>
              <w:t>0.74</w:t>
            </w:r>
            <w:r w:rsidRPr="00AE0584">
              <w:rPr>
                <w:color w:val="000000"/>
                <w:sz w:val="22"/>
                <w:vertAlign w:val="superscript"/>
              </w:rPr>
              <w:t>**</w:t>
            </w:r>
          </w:p>
        </w:tc>
        <w:tc>
          <w:tcPr>
            <w:tcW w:w="1170" w:type="dxa"/>
            <w:vAlign w:val="bottom"/>
          </w:tcPr>
          <w:p w14:paraId="1BF87F35" w14:textId="5852AE46" w:rsidR="00DD0B9E" w:rsidRPr="00267677" w:rsidRDefault="00DD0B9E" w:rsidP="00DD0B9E">
            <w:pPr>
              <w:jc w:val="center"/>
              <w:rPr>
                <w:sz w:val="22"/>
                <w:lang w:val="en-US"/>
              </w:rPr>
            </w:pPr>
            <w:r w:rsidRPr="00267677">
              <w:rPr>
                <w:color w:val="000000"/>
                <w:sz w:val="22"/>
              </w:rPr>
              <w:t>7.53</w:t>
            </w:r>
          </w:p>
        </w:tc>
        <w:tc>
          <w:tcPr>
            <w:tcW w:w="1080" w:type="dxa"/>
            <w:vAlign w:val="bottom"/>
          </w:tcPr>
          <w:p w14:paraId="2E244B03" w14:textId="5CE06677" w:rsidR="00DD0B9E" w:rsidRPr="00267677" w:rsidRDefault="00DD0B9E" w:rsidP="00DD0B9E">
            <w:pPr>
              <w:jc w:val="center"/>
              <w:rPr>
                <w:sz w:val="22"/>
                <w:lang w:val="en-US"/>
              </w:rPr>
            </w:pPr>
            <w:r w:rsidRPr="00267677">
              <w:rPr>
                <w:color w:val="000000"/>
                <w:sz w:val="22"/>
              </w:rPr>
              <w:t>24.04</w:t>
            </w:r>
            <w:r w:rsidRPr="00AE0584">
              <w:rPr>
                <w:color w:val="000000"/>
                <w:sz w:val="22"/>
                <w:vertAlign w:val="superscript"/>
              </w:rPr>
              <w:t>*</w:t>
            </w:r>
            <w:r w:rsidR="00391D17" w:rsidRPr="00AE0584">
              <w:rPr>
                <w:color w:val="000000"/>
                <w:sz w:val="22"/>
                <w:vertAlign w:val="superscript"/>
              </w:rPr>
              <w:t>*</w:t>
            </w:r>
          </w:p>
        </w:tc>
        <w:tc>
          <w:tcPr>
            <w:tcW w:w="1080" w:type="dxa"/>
            <w:vAlign w:val="bottom"/>
          </w:tcPr>
          <w:p w14:paraId="62FFDD12" w14:textId="27C7D8B8" w:rsidR="00DD0B9E" w:rsidRPr="00267677" w:rsidRDefault="00DD0B9E" w:rsidP="00DD0B9E">
            <w:pPr>
              <w:jc w:val="center"/>
              <w:rPr>
                <w:sz w:val="22"/>
                <w:lang w:val="en-US"/>
              </w:rPr>
            </w:pPr>
            <w:r w:rsidRPr="00267677">
              <w:rPr>
                <w:sz w:val="22"/>
              </w:rPr>
              <w:t>-0.23</w:t>
            </w:r>
            <w:r w:rsidRPr="00AE0584">
              <w:rPr>
                <w:sz w:val="22"/>
                <w:vertAlign w:val="superscript"/>
              </w:rPr>
              <w:t>*</w:t>
            </w:r>
          </w:p>
        </w:tc>
        <w:tc>
          <w:tcPr>
            <w:tcW w:w="1170" w:type="dxa"/>
            <w:vAlign w:val="bottom"/>
          </w:tcPr>
          <w:p w14:paraId="46093435" w14:textId="38D1DD7E" w:rsidR="00DD0B9E" w:rsidRPr="00267677" w:rsidRDefault="00DD0B9E" w:rsidP="00DD0B9E">
            <w:pPr>
              <w:jc w:val="center"/>
              <w:rPr>
                <w:sz w:val="22"/>
                <w:lang w:val="en-US"/>
              </w:rPr>
            </w:pPr>
            <w:r w:rsidRPr="00267677">
              <w:rPr>
                <w:sz w:val="22"/>
              </w:rPr>
              <w:t>-67.28</w:t>
            </w:r>
            <w:r w:rsidRPr="00AE0584">
              <w:rPr>
                <w:sz w:val="22"/>
                <w:vertAlign w:val="superscript"/>
              </w:rPr>
              <w:t>*</w:t>
            </w:r>
            <w:r w:rsidR="00391D17" w:rsidRPr="00AE0584">
              <w:rPr>
                <w:sz w:val="22"/>
                <w:vertAlign w:val="superscript"/>
              </w:rPr>
              <w:t>*</w:t>
            </w:r>
          </w:p>
        </w:tc>
        <w:tc>
          <w:tcPr>
            <w:tcW w:w="1080" w:type="dxa"/>
            <w:vAlign w:val="bottom"/>
          </w:tcPr>
          <w:p w14:paraId="1C6C5CBF" w14:textId="662AEBA9" w:rsidR="00DD0B9E" w:rsidRPr="00267677" w:rsidRDefault="00DD0B9E" w:rsidP="00DD0B9E">
            <w:pPr>
              <w:jc w:val="center"/>
              <w:rPr>
                <w:sz w:val="22"/>
                <w:lang w:val="en-US"/>
              </w:rPr>
            </w:pPr>
            <w:r w:rsidRPr="00267677">
              <w:rPr>
                <w:sz w:val="22"/>
              </w:rPr>
              <w:t>-19.89</w:t>
            </w:r>
            <w:r w:rsidRPr="00391D17">
              <w:rPr>
                <w:sz w:val="22"/>
                <w:vertAlign w:val="superscript"/>
              </w:rPr>
              <w:t>**</w:t>
            </w:r>
          </w:p>
        </w:tc>
        <w:tc>
          <w:tcPr>
            <w:tcW w:w="1080" w:type="dxa"/>
            <w:vAlign w:val="bottom"/>
          </w:tcPr>
          <w:p w14:paraId="12F4F816" w14:textId="179F97C6" w:rsidR="00DD0B9E" w:rsidRPr="00267677" w:rsidRDefault="00DD0B9E" w:rsidP="00DD0B9E">
            <w:pPr>
              <w:jc w:val="center"/>
              <w:rPr>
                <w:sz w:val="22"/>
                <w:lang w:val="en-US"/>
              </w:rPr>
            </w:pPr>
            <w:r w:rsidRPr="00267677">
              <w:rPr>
                <w:color w:val="000000"/>
                <w:sz w:val="22"/>
              </w:rPr>
              <w:t>0.13</w:t>
            </w:r>
            <w:r w:rsidRPr="00AE0584">
              <w:rPr>
                <w:color w:val="000000"/>
                <w:sz w:val="22"/>
                <w:vertAlign w:val="superscript"/>
              </w:rPr>
              <w:t>*</w:t>
            </w:r>
          </w:p>
        </w:tc>
        <w:tc>
          <w:tcPr>
            <w:tcW w:w="1170" w:type="dxa"/>
            <w:vAlign w:val="bottom"/>
          </w:tcPr>
          <w:p w14:paraId="1636FCC2" w14:textId="608E578D" w:rsidR="00DD0B9E" w:rsidRPr="00267677" w:rsidRDefault="00DD0B9E" w:rsidP="00DD0B9E">
            <w:pPr>
              <w:jc w:val="center"/>
              <w:rPr>
                <w:sz w:val="22"/>
                <w:lang w:val="en-US"/>
              </w:rPr>
            </w:pPr>
            <w:r w:rsidRPr="00267677">
              <w:rPr>
                <w:color w:val="000000"/>
                <w:sz w:val="22"/>
              </w:rPr>
              <w:t>-15.39</w:t>
            </w:r>
            <w:r w:rsidRPr="00AE0584">
              <w:rPr>
                <w:color w:val="000000"/>
                <w:sz w:val="22"/>
                <w:vertAlign w:val="superscript"/>
              </w:rPr>
              <w:t>*</w:t>
            </w:r>
          </w:p>
        </w:tc>
        <w:tc>
          <w:tcPr>
            <w:tcW w:w="1170" w:type="dxa"/>
            <w:vAlign w:val="bottom"/>
          </w:tcPr>
          <w:p w14:paraId="3C4952FE" w14:textId="73EAAA08" w:rsidR="00DD0B9E" w:rsidRPr="00267677" w:rsidRDefault="00DD0B9E" w:rsidP="00DD0B9E">
            <w:pPr>
              <w:jc w:val="center"/>
              <w:rPr>
                <w:sz w:val="22"/>
                <w:lang w:val="en-US"/>
              </w:rPr>
            </w:pPr>
            <w:r w:rsidRPr="00267677">
              <w:rPr>
                <w:color w:val="000000"/>
                <w:sz w:val="22"/>
              </w:rPr>
              <w:t>-0.88</w:t>
            </w:r>
          </w:p>
        </w:tc>
        <w:tc>
          <w:tcPr>
            <w:tcW w:w="1170" w:type="dxa"/>
            <w:vAlign w:val="bottom"/>
          </w:tcPr>
          <w:p w14:paraId="2D5111C6" w14:textId="4FC1A725" w:rsidR="00DD0B9E" w:rsidRPr="00267677" w:rsidRDefault="00DD0B9E" w:rsidP="00DD0B9E">
            <w:pPr>
              <w:jc w:val="center"/>
              <w:rPr>
                <w:sz w:val="22"/>
                <w:lang w:val="en-US"/>
              </w:rPr>
            </w:pPr>
            <w:r w:rsidRPr="00267677">
              <w:rPr>
                <w:color w:val="000000"/>
                <w:sz w:val="22"/>
              </w:rPr>
              <w:t>0.25</w:t>
            </w:r>
            <w:r w:rsidRPr="00AE0584">
              <w:rPr>
                <w:color w:val="000000"/>
                <w:sz w:val="22"/>
                <w:vertAlign w:val="superscript"/>
              </w:rPr>
              <w:t>*</w:t>
            </w:r>
            <w:r w:rsidR="00391D17" w:rsidRPr="00AE0584">
              <w:rPr>
                <w:color w:val="000000"/>
                <w:sz w:val="22"/>
                <w:vertAlign w:val="superscript"/>
              </w:rPr>
              <w:t>*</w:t>
            </w:r>
          </w:p>
        </w:tc>
        <w:tc>
          <w:tcPr>
            <w:tcW w:w="1170" w:type="dxa"/>
            <w:vAlign w:val="bottom"/>
          </w:tcPr>
          <w:p w14:paraId="63D94067" w14:textId="533617FF" w:rsidR="00DD0B9E" w:rsidRPr="00267677" w:rsidRDefault="00DD0B9E" w:rsidP="00DD0B9E">
            <w:pPr>
              <w:jc w:val="center"/>
              <w:rPr>
                <w:sz w:val="22"/>
                <w:lang w:val="en-US"/>
              </w:rPr>
            </w:pPr>
            <w:r w:rsidRPr="00267677">
              <w:rPr>
                <w:color w:val="000000"/>
                <w:sz w:val="22"/>
              </w:rPr>
              <w:t>-13.98</w:t>
            </w:r>
            <w:r w:rsidRPr="00AE0584">
              <w:rPr>
                <w:color w:val="000000"/>
                <w:sz w:val="22"/>
                <w:vertAlign w:val="superscript"/>
              </w:rPr>
              <w:t>*</w:t>
            </w:r>
          </w:p>
        </w:tc>
        <w:tc>
          <w:tcPr>
            <w:tcW w:w="1080" w:type="dxa"/>
            <w:vAlign w:val="bottom"/>
          </w:tcPr>
          <w:p w14:paraId="36112095" w14:textId="5D437E82" w:rsidR="00DD0B9E" w:rsidRPr="00267677" w:rsidRDefault="00DD0B9E" w:rsidP="00DD0B9E">
            <w:pPr>
              <w:jc w:val="center"/>
              <w:rPr>
                <w:sz w:val="22"/>
                <w:lang w:val="en-US"/>
              </w:rPr>
            </w:pPr>
            <w:r w:rsidRPr="00267677">
              <w:rPr>
                <w:color w:val="000000"/>
                <w:sz w:val="22"/>
              </w:rPr>
              <w:t>3.77</w:t>
            </w:r>
          </w:p>
        </w:tc>
      </w:tr>
      <w:tr w:rsidR="00DD0B9E" w:rsidRPr="00DD0B9E" w14:paraId="6E029B95" w14:textId="77777777" w:rsidTr="001A7465">
        <w:trPr>
          <w:trHeight w:val="20"/>
        </w:trPr>
        <w:tc>
          <w:tcPr>
            <w:tcW w:w="1097" w:type="dxa"/>
            <w:vAlign w:val="center"/>
          </w:tcPr>
          <w:p w14:paraId="70E32B80" w14:textId="77777777" w:rsidR="00DD0B9E" w:rsidRPr="00DD0B9E" w:rsidRDefault="00DD0B9E" w:rsidP="00DD0B9E">
            <w:pPr>
              <w:jc w:val="center"/>
              <w:rPr>
                <w:b/>
                <w:lang w:val="en-US"/>
              </w:rPr>
            </w:pPr>
          </w:p>
        </w:tc>
        <w:tc>
          <w:tcPr>
            <w:tcW w:w="1148" w:type="dxa"/>
            <w:vAlign w:val="bottom"/>
          </w:tcPr>
          <w:p w14:paraId="5608C96E" w14:textId="794CAA42" w:rsidR="00DD0B9E" w:rsidRPr="00267677" w:rsidRDefault="00DD0B9E" w:rsidP="00DD0B9E">
            <w:pPr>
              <w:jc w:val="center"/>
              <w:rPr>
                <w:sz w:val="22"/>
                <w:lang w:val="en-US"/>
              </w:rPr>
            </w:pPr>
            <w:r w:rsidRPr="00267677">
              <w:rPr>
                <w:color w:val="000000"/>
                <w:sz w:val="22"/>
              </w:rPr>
              <w:t>6.70%</w:t>
            </w:r>
          </w:p>
        </w:tc>
        <w:tc>
          <w:tcPr>
            <w:tcW w:w="1170" w:type="dxa"/>
            <w:vAlign w:val="bottom"/>
          </w:tcPr>
          <w:p w14:paraId="2A246B96" w14:textId="0D2C9ADE" w:rsidR="00DD0B9E" w:rsidRPr="00267677" w:rsidRDefault="00DD0B9E" w:rsidP="00DD0B9E">
            <w:pPr>
              <w:jc w:val="center"/>
              <w:rPr>
                <w:sz w:val="22"/>
                <w:lang w:val="en-US"/>
              </w:rPr>
            </w:pPr>
            <w:r w:rsidRPr="00267677">
              <w:rPr>
                <w:color w:val="000000"/>
                <w:sz w:val="22"/>
              </w:rPr>
              <w:t>0.20%</w:t>
            </w:r>
          </w:p>
        </w:tc>
        <w:tc>
          <w:tcPr>
            <w:tcW w:w="1080" w:type="dxa"/>
            <w:vAlign w:val="bottom"/>
          </w:tcPr>
          <w:p w14:paraId="52401F2D" w14:textId="033DF7EA" w:rsidR="00DD0B9E" w:rsidRPr="00267677" w:rsidRDefault="00DD0B9E" w:rsidP="00DD0B9E">
            <w:pPr>
              <w:jc w:val="center"/>
              <w:rPr>
                <w:sz w:val="22"/>
                <w:lang w:val="en-US"/>
              </w:rPr>
            </w:pPr>
            <w:r w:rsidRPr="00267677">
              <w:rPr>
                <w:color w:val="000000"/>
                <w:sz w:val="22"/>
              </w:rPr>
              <w:t>9.22%</w:t>
            </w:r>
          </w:p>
        </w:tc>
        <w:tc>
          <w:tcPr>
            <w:tcW w:w="1080" w:type="dxa"/>
            <w:vAlign w:val="bottom"/>
          </w:tcPr>
          <w:p w14:paraId="00F8D858" w14:textId="7B5C877F" w:rsidR="00DD0B9E" w:rsidRPr="00267677" w:rsidRDefault="00DD0B9E" w:rsidP="00DD0B9E">
            <w:pPr>
              <w:jc w:val="center"/>
              <w:rPr>
                <w:sz w:val="22"/>
                <w:lang w:val="en-US"/>
              </w:rPr>
            </w:pPr>
            <w:r w:rsidRPr="00267677">
              <w:rPr>
                <w:sz w:val="22"/>
              </w:rPr>
              <w:t>-2.31%</w:t>
            </w:r>
          </w:p>
        </w:tc>
        <w:tc>
          <w:tcPr>
            <w:tcW w:w="1170" w:type="dxa"/>
            <w:vAlign w:val="bottom"/>
          </w:tcPr>
          <w:p w14:paraId="65905706" w14:textId="27C71BE3" w:rsidR="00DD0B9E" w:rsidRPr="00267677" w:rsidRDefault="00DD0B9E" w:rsidP="00DD0B9E">
            <w:pPr>
              <w:jc w:val="center"/>
              <w:rPr>
                <w:sz w:val="22"/>
                <w:lang w:val="en-US"/>
              </w:rPr>
            </w:pPr>
            <w:r w:rsidRPr="00267677">
              <w:rPr>
                <w:sz w:val="22"/>
              </w:rPr>
              <w:t>-1.81%</w:t>
            </w:r>
          </w:p>
        </w:tc>
        <w:tc>
          <w:tcPr>
            <w:tcW w:w="1080" w:type="dxa"/>
            <w:vAlign w:val="bottom"/>
          </w:tcPr>
          <w:p w14:paraId="6D675DB7" w14:textId="1C858A8A" w:rsidR="00DD0B9E" w:rsidRPr="00267677" w:rsidRDefault="00DD0B9E" w:rsidP="00DD0B9E">
            <w:pPr>
              <w:jc w:val="center"/>
              <w:rPr>
                <w:sz w:val="22"/>
                <w:lang w:val="en-US"/>
              </w:rPr>
            </w:pPr>
            <w:r w:rsidRPr="00267677">
              <w:rPr>
                <w:sz w:val="22"/>
              </w:rPr>
              <w:t>-7.72%</w:t>
            </w:r>
          </w:p>
        </w:tc>
        <w:tc>
          <w:tcPr>
            <w:tcW w:w="1080" w:type="dxa"/>
            <w:vAlign w:val="bottom"/>
          </w:tcPr>
          <w:p w14:paraId="3183274C" w14:textId="4A209704" w:rsidR="00DD0B9E" w:rsidRPr="00267677" w:rsidRDefault="00DD0B9E" w:rsidP="00DD0B9E">
            <w:pPr>
              <w:jc w:val="center"/>
              <w:rPr>
                <w:sz w:val="22"/>
                <w:lang w:val="en-US"/>
              </w:rPr>
            </w:pPr>
            <w:r w:rsidRPr="00267677">
              <w:rPr>
                <w:color w:val="000000"/>
                <w:sz w:val="22"/>
              </w:rPr>
              <w:t>1.38%</w:t>
            </w:r>
          </w:p>
        </w:tc>
        <w:tc>
          <w:tcPr>
            <w:tcW w:w="1170" w:type="dxa"/>
            <w:vAlign w:val="bottom"/>
          </w:tcPr>
          <w:p w14:paraId="0F876528" w14:textId="5F4E47D9" w:rsidR="00DD0B9E" w:rsidRPr="00267677" w:rsidRDefault="00DD0B9E" w:rsidP="00DD0B9E">
            <w:pPr>
              <w:jc w:val="center"/>
              <w:rPr>
                <w:sz w:val="22"/>
                <w:lang w:val="en-US"/>
              </w:rPr>
            </w:pPr>
            <w:r w:rsidRPr="00267677">
              <w:rPr>
                <w:color w:val="000000"/>
                <w:sz w:val="22"/>
              </w:rPr>
              <w:t>-0.42%</w:t>
            </w:r>
          </w:p>
        </w:tc>
        <w:tc>
          <w:tcPr>
            <w:tcW w:w="1170" w:type="dxa"/>
            <w:vAlign w:val="bottom"/>
          </w:tcPr>
          <w:p w14:paraId="58405B23" w14:textId="5927300A" w:rsidR="00DD0B9E" w:rsidRPr="00267677" w:rsidRDefault="00DD0B9E" w:rsidP="00DD0B9E">
            <w:pPr>
              <w:jc w:val="center"/>
              <w:rPr>
                <w:sz w:val="22"/>
                <w:lang w:val="en-US"/>
              </w:rPr>
            </w:pPr>
            <w:r w:rsidRPr="00267677">
              <w:rPr>
                <w:color w:val="000000"/>
                <w:sz w:val="22"/>
              </w:rPr>
              <w:t>-0.33%</w:t>
            </w:r>
          </w:p>
        </w:tc>
        <w:tc>
          <w:tcPr>
            <w:tcW w:w="1170" w:type="dxa"/>
            <w:vAlign w:val="bottom"/>
          </w:tcPr>
          <w:p w14:paraId="37F542FA" w14:textId="4F6AD22A" w:rsidR="00DD0B9E" w:rsidRPr="00267677" w:rsidRDefault="00DD0B9E" w:rsidP="00DD0B9E">
            <w:pPr>
              <w:jc w:val="center"/>
              <w:rPr>
                <w:sz w:val="22"/>
                <w:lang w:val="en-US"/>
              </w:rPr>
            </w:pPr>
            <w:r w:rsidRPr="00267677">
              <w:rPr>
                <w:color w:val="000000"/>
                <w:sz w:val="22"/>
              </w:rPr>
              <w:t>2.40%</w:t>
            </w:r>
          </w:p>
        </w:tc>
        <w:tc>
          <w:tcPr>
            <w:tcW w:w="1170" w:type="dxa"/>
            <w:vAlign w:val="bottom"/>
          </w:tcPr>
          <w:p w14:paraId="571754EC" w14:textId="500D69A0" w:rsidR="00DD0B9E" w:rsidRPr="00267677" w:rsidRDefault="00DD0B9E" w:rsidP="00DD0B9E">
            <w:pPr>
              <w:jc w:val="center"/>
              <w:rPr>
                <w:sz w:val="22"/>
                <w:lang w:val="en-US"/>
              </w:rPr>
            </w:pPr>
            <w:r w:rsidRPr="00267677">
              <w:rPr>
                <w:color w:val="000000"/>
                <w:sz w:val="22"/>
              </w:rPr>
              <w:t>-0.38%</w:t>
            </w:r>
          </w:p>
        </w:tc>
        <w:tc>
          <w:tcPr>
            <w:tcW w:w="1080" w:type="dxa"/>
            <w:vAlign w:val="bottom"/>
          </w:tcPr>
          <w:p w14:paraId="3521D55A" w14:textId="2D9A0D32" w:rsidR="00DD0B9E" w:rsidRPr="00267677" w:rsidRDefault="00DD0B9E" w:rsidP="00DD0B9E">
            <w:pPr>
              <w:jc w:val="center"/>
              <w:rPr>
                <w:sz w:val="22"/>
                <w:lang w:val="en-US"/>
              </w:rPr>
            </w:pPr>
            <w:r w:rsidRPr="00267677">
              <w:rPr>
                <w:color w:val="000000"/>
                <w:sz w:val="22"/>
              </w:rPr>
              <w:t>1.44%</w:t>
            </w:r>
          </w:p>
        </w:tc>
      </w:tr>
      <w:tr w:rsidR="00DD0B9E" w:rsidRPr="00DD0B9E" w14:paraId="390D8213" w14:textId="77777777" w:rsidTr="001A7465">
        <w:trPr>
          <w:trHeight w:val="20"/>
        </w:trPr>
        <w:tc>
          <w:tcPr>
            <w:tcW w:w="1097" w:type="dxa"/>
            <w:vAlign w:val="center"/>
          </w:tcPr>
          <w:p w14:paraId="265224EF" w14:textId="578A7FA2" w:rsidR="00DD0B9E" w:rsidRPr="00DD0B9E" w:rsidRDefault="00DD0B9E" w:rsidP="00DD0B9E">
            <w:pPr>
              <w:jc w:val="center"/>
              <w:rPr>
                <w:b/>
                <w:lang w:val="en-US"/>
              </w:rPr>
            </w:pPr>
            <w:r w:rsidRPr="00DD0B9E">
              <w:rPr>
                <w:b/>
                <w:lang w:val="en-US"/>
              </w:rPr>
              <w:t>5</w:t>
            </w:r>
          </w:p>
        </w:tc>
        <w:tc>
          <w:tcPr>
            <w:tcW w:w="1148" w:type="dxa"/>
            <w:vAlign w:val="bottom"/>
          </w:tcPr>
          <w:p w14:paraId="48C6D819" w14:textId="7FFF5E1B" w:rsidR="00DD0B9E" w:rsidRPr="00267677" w:rsidRDefault="00DD0B9E" w:rsidP="00DD0B9E">
            <w:pPr>
              <w:jc w:val="center"/>
              <w:rPr>
                <w:sz w:val="22"/>
                <w:lang w:val="en-US"/>
              </w:rPr>
            </w:pPr>
            <w:r w:rsidRPr="00267677">
              <w:rPr>
                <w:color w:val="000000"/>
                <w:sz w:val="22"/>
              </w:rPr>
              <w:t>0.16</w:t>
            </w:r>
          </w:p>
        </w:tc>
        <w:tc>
          <w:tcPr>
            <w:tcW w:w="1170" w:type="dxa"/>
            <w:vAlign w:val="bottom"/>
          </w:tcPr>
          <w:p w14:paraId="00FD184C" w14:textId="01591826" w:rsidR="00DD0B9E" w:rsidRPr="00267677" w:rsidRDefault="00DD0B9E" w:rsidP="00DD0B9E">
            <w:pPr>
              <w:jc w:val="center"/>
              <w:rPr>
                <w:sz w:val="22"/>
                <w:lang w:val="en-US"/>
              </w:rPr>
            </w:pPr>
            <w:r w:rsidRPr="00267677">
              <w:rPr>
                <w:color w:val="000000"/>
                <w:sz w:val="22"/>
              </w:rPr>
              <w:t>-51.94</w:t>
            </w:r>
            <w:r w:rsidRPr="00AE0584">
              <w:rPr>
                <w:color w:val="000000"/>
                <w:sz w:val="22"/>
                <w:vertAlign w:val="superscript"/>
              </w:rPr>
              <w:t>*</w:t>
            </w:r>
          </w:p>
        </w:tc>
        <w:tc>
          <w:tcPr>
            <w:tcW w:w="1080" w:type="dxa"/>
            <w:vAlign w:val="bottom"/>
          </w:tcPr>
          <w:p w14:paraId="10202B5E" w14:textId="520011E4" w:rsidR="00DD0B9E" w:rsidRPr="00267677" w:rsidRDefault="00DD0B9E" w:rsidP="00DD0B9E">
            <w:pPr>
              <w:jc w:val="center"/>
              <w:rPr>
                <w:sz w:val="22"/>
                <w:lang w:val="en-US"/>
              </w:rPr>
            </w:pPr>
            <w:r w:rsidRPr="00267677">
              <w:rPr>
                <w:color w:val="000000"/>
                <w:sz w:val="22"/>
              </w:rPr>
              <w:t>-20.16</w:t>
            </w:r>
          </w:p>
        </w:tc>
        <w:tc>
          <w:tcPr>
            <w:tcW w:w="1080" w:type="dxa"/>
            <w:vAlign w:val="bottom"/>
          </w:tcPr>
          <w:p w14:paraId="6B0B8B7D" w14:textId="67BB387C" w:rsidR="00DD0B9E" w:rsidRPr="00267677" w:rsidRDefault="00DD0B9E" w:rsidP="00DD0B9E">
            <w:pPr>
              <w:jc w:val="center"/>
              <w:rPr>
                <w:sz w:val="22"/>
                <w:lang w:val="en-US"/>
              </w:rPr>
            </w:pPr>
            <w:r w:rsidRPr="00267677">
              <w:rPr>
                <w:sz w:val="22"/>
              </w:rPr>
              <w:t>-0.57</w:t>
            </w:r>
            <w:r w:rsidRPr="00AE0584">
              <w:rPr>
                <w:sz w:val="22"/>
                <w:vertAlign w:val="superscript"/>
              </w:rPr>
              <w:t>*</w:t>
            </w:r>
            <w:r w:rsidR="00391D17" w:rsidRPr="00AE0584">
              <w:rPr>
                <w:sz w:val="22"/>
                <w:vertAlign w:val="superscript"/>
              </w:rPr>
              <w:t>*</w:t>
            </w:r>
          </w:p>
        </w:tc>
        <w:tc>
          <w:tcPr>
            <w:tcW w:w="1170" w:type="dxa"/>
            <w:vAlign w:val="bottom"/>
          </w:tcPr>
          <w:p w14:paraId="716D12BE" w14:textId="1472DE7E" w:rsidR="00DD0B9E" w:rsidRPr="00267677" w:rsidRDefault="00DD0B9E" w:rsidP="00DD0B9E">
            <w:pPr>
              <w:jc w:val="center"/>
              <w:rPr>
                <w:sz w:val="22"/>
                <w:lang w:val="en-US"/>
              </w:rPr>
            </w:pPr>
            <w:r w:rsidRPr="00267677">
              <w:rPr>
                <w:sz w:val="22"/>
              </w:rPr>
              <w:t>-51.50</w:t>
            </w:r>
            <w:r w:rsidRPr="00AE0584">
              <w:rPr>
                <w:sz w:val="22"/>
                <w:vertAlign w:val="superscript"/>
              </w:rPr>
              <w:t>*</w:t>
            </w:r>
            <w:r w:rsidR="00391D17" w:rsidRPr="00AE0584">
              <w:rPr>
                <w:sz w:val="22"/>
                <w:vertAlign w:val="superscript"/>
              </w:rPr>
              <w:t>*</w:t>
            </w:r>
          </w:p>
        </w:tc>
        <w:tc>
          <w:tcPr>
            <w:tcW w:w="1080" w:type="dxa"/>
            <w:vAlign w:val="bottom"/>
          </w:tcPr>
          <w:p w14:paraId="237CC03B" w14:textId="15CE3B67" w:rsidR="00DD0B9E" w:rsidRPr="00267677" w:rsidRDefault="00DD0B9E" w:rsidP="00DD0B9E">
            <w:pPr>
              <w:jc w:val="center"/>
              <w:rPr>
                <w:sz w:val="22"/>
                <w:lang w:val="en-US"/>
              </w:rPr>
            </w:pPr>
            <w:r w:rsidRPr="00267677">
              <w:rPr>
                <w:sz w:val="22"/>
              </w:rPr>
              <w:t>-39.17</w:t>
            </w:r>
            <w:r w:rsidR="00391D17" w:rsidRPr="00391D17">
              <w:rPr>
                <w:sz w:val="22"/>
                <w:vertAlign w:val="superscript"/>
              </w:rPr>
              <w:t>*</w:t>
            </w:r>
            <w:r w:rsidRPr="00391D17">
              <w:rPr>
                <w:sz w:val="22"/>
                <w:vertAlign w:val="superscript"/>
              </w:rPr>
              <w:t>*</w:t>
            </w:r>
          </w:p>
        </w:tc>
        <w:tc>
          <w:tcPr>
            <w:tcW w:w="1080" w:type="dxa"/>
            <w:vAlign w:val="bottom"/>
          </w:tcPr>
          <w:p w14:paraId="5EBB2114" w14:textId="4570E76A" w:rsidR="00DD0B9E" w:rsidRPr="00267677" w:rsidRDefault="00DD0B9E" w:rsidP="00DD0B9E">
            <w:pPr>
              <w:jc w:val="center"/>
              <w:rPr>
                <w:sz w:val="22"/>
                <w:lang w:val="en-US"/>
              </w:rPr>
            </w:pPr>
            <w:r w:rsidRPr="00267677">
              <w:rPr>
                <w:color w:val="000000"/>
                <w:sz w:val="22"/>
              </w:rPr>
              <w:t>0.13</w:t>
            </w:r>
          </w:p>
        </w:tc>
        <w:tc>
          <w:tcPr>
            <w:tcW w:w="1170" w:type="dxa"/>
            <w:vAlign w:val="bottom"/>
          </w:tcPr>
          <w:p w14:paraId="7461E833" w14:textId="23C997AA" w:rsidR="00DD0B9E" w:rsidRPr="00267677" w:rsidRDefault="00DD0B9E" w:rsidP="00DD0B9E">
            <w:pPr>
              <w:jc w:val="center"/>
              <w:rPr>
                <w:sz w:val="22"/>
                <w:lang w:val="en-US"/>
              </w:rPr>
            </w:pPr>
            <w:r w:rsidRPr="00267677">
              <w:rPr>
                <w:color w:val="000000"/>
                <w:sz w:val="22"/>
              </w:rPr>
              <w:t>-45.65</w:t>
            </w:r>
            <w:r w:rsidRPr="00AE0584">
              <w:rPr>
                <w:color w:val="000000"/>
                <w:sz w:val="22"/>
                <w:vertAlign w:val="superscript"/>
              </w:rPr>
              <w:t>*</w:t>
            </w:r>
            <w:r w:rsidR="00391D17" w:rsidRPr="00AE0584">
              <w:rPr>
                <w:color w:val="000000"/>
                <w:sz w:val="22"/>
                <w:vertAlign w:val="superscript"/>
              </w:rPr>
              <w:t>*</w:t>
            </w:r>
          </w:p>
        </w:tc>
        <w:tc>
          <w:tcPr>
            <w:tcW w:w="1170" w:type="dxa"/>
            <w:vAlign w:val="bottom"/>
          </w:tcPr>
          <w:p w14:paraId="40FFAC83" w14:textId="07CC25E9" w:rsidR="00DD0B9E" w:rsidRPr="00267677" w:rsidRDefault="00DD0B9E" w:rsidP="00DD0B9E">
            <w:pPr>
              <w:jc w:val="center"/>
              <w:rPr>
                <w:sz w:val="22"/>
                <w:lang w:val="en-US"/>
              </w:rPr>
            </w:pPr>
            <w:r w:rsidRPr="00267677">
              <w:rPr>
                <w:color w:val="000000"/>
                <w:sz w:val="22"/>
              </w:rPr>
              <w:t>-6.51</w:t>
            </w:r>
            <w:r w:rsidRPr="00AE0584">
              <w:rPr>
                <w:color w:val="000000"/>
                <w:sz w:val="22"/>
                <w:vertAlign w:val="superscript"/>
              </w:rPr>
              <w:t>*</w:t>
            </w:r>
          </w:p>
        </w:tc>
        <w:tc>
          <w:tcPr>
            <w:tcW w:w="1170" w:type="dxa"/>
            <w:vAlign w:val="bottom"/>
          </w:tcPr>
          <w:p w14:paraId="65BB1615" w14:textId="038ACD3A" w:rsidR="00DD0B9E" w:rsidRPr="00267677" w:rsidRDefault="00DD0B9E" w:rsidP="00DD0B9E">
            <w:pPr>
              <w:jc w:val="center"/>
              <w:rPr>
                <w:sz w:val="22"/>
                <w:lang w:val="en-US"/>
              </w:rPr>
            </w:pPr>
            <w:r w:rsidRPr="00267677">
              <w:rPr>
                <w:color w:val="000000"/>
                <w:sz w:val="22"/>
              </w:rPr>
              <w:t>0.08</w:t>
            </w:r>
          </w:p>
        </w:tc>
        <w:tc>
          <w:tcPr>
            <w:tcW w:w="1170" w:type="dxa"/>
            <w:vAlign w:val="bottom"/>
          </w:tcPr>
          <w:p w14:paraId="39D66BA9" w14:textId="3DD70442" w:rsidR="00DD0B9E" w:rsidRPr="00267677" w:rsidRDefault="00DD0B9E" w:rsidP="00DD0B9E">
            <w:pPr>
              <w:jc w:val="center"/>
              <w:rPr>
                <w:sz w:val="22"/>
                <w:lang w:val="en-US"/>
              </w:rPr>
            </w:pPr>
            <w:r w:rsidRPr="00267677">
              <w:rPr>
                <w:color w:val="000000"/>
                <w:sz w:val="22"/>
              </w:rPr>
              <w:t>-47.71</w:t>
            </w:r>
            <w:r w:rsidRPr="00AE0584">
              <w:rPr>
                <w:color w:val="000000"/>
                <w:sz w:val="22"/>
                <w:vertAlign w:val="superscript"/>
              </w:rPr>
              <w:t>*</w:t>
            </w:r>
            <w:r w:rsidR="00AE0584" w:rsidRPr="00AE0584">
              <w:rPr>
                <w:color w:val="000000"/>
                <w:sz w:val="22"/>
                <w:vertAlign w:val="superscript"/>
              </w:rPr>
              <w:t>*</w:t>
            </w:r>
          </w:p>
        </w:tc>
        <w:tc>
          <w:tcPr>
            <w:tcW w:w="1080" w:type="dxa"/>
            <w:vAlign w:val="bottom"/>
          </w:tcPr>
          <w:p w14:paraId="2F039F92" w14:textId="7CCB1CAF" w:rsidR="00DD0B9E" w:rsidRPr="00267677" w:rsidRDefault="00DD0B9E" w:rsidP="00DD0B9E">
            <w:pPr>
              <w:jc w:val="center"/>
              <w:rPr>
                <w:sz w:val="22"/>
                <w:lang w:val="en-US"/>
              </w:rPr>
            </w:pPr>
            <w:r w:rsidRPr="00267677">
              <w:rPr>
                <w:color w:val="000000"/>
                <w:sz w:val="22"/>
              </w:rPr>
              <w:t>-12.65</w:t>
            </w:r>
            <w:r w:rsidRPr="00AE0584">
              <w:rPr>
                <w:color w:val="000000"/>
                <w:sz w:val="22"/>
                <w:vertAlign w:val="superscript"/>
              </w:rPr>
              <w:t>*</w:t>
            </w:r>
            <w:r w:rsidR="00AE0584" w:rsidRPr="00AE0584">
              <w:rPr>
                <w:color w:val="000000"/>
                <w:sz w:val="22"/>
                <w:vertAlign w:val="superscript"/>
              </w:rPr>
              <w:t>*</w:t>
            </w:r>
          </w:p>
        </w:tc>
      </w:tr>
      <w:tr w:rsidR="00DD0B9E" w:rsidRPr="00DD0B9E" w14:paraId="0E58454A" w14:textId="77777777" w:rsidTr="001A7465">
        <w:trPr>
          <w:trHeight w:val="20"/>
        </w:trPr>
        <w:tc>
          <w:tcPr>
            <w:tcW w:w="1097" w:type="dxa"/>
            <w:vAlign w:val="center"/>
          </w:tcPr>
          <w:p w14:paraId="43A621C1" w14:textId="77777777" w:rsidR="00DD0B9E" w:rsidRPr="00DD0B9E" w:rsidRDefault="00DD0B9E" w:rsidP="00DD0B9E">
            <w:pPr>
              <w:jc w:val="center"/>
              <w:rPr>
                <w:b/>
                <w:lang w:val="en-US"/>
              </w:rPr>
            </w:pPr>
          </w:p>
        </w:tc>
        <w:tc>
          <w:tcPr>
            <w:tcW w:w="1148" w:type="dxa"/>
            <w:vAlign w:val="bottom"/>
          </w:tcPr>
          <w:p w14:paraId="5769BE61" w14:textId="09F90A7D" w:rsidR="00DD0B9E" w:rsidRPr="00267677" w:rsidRDefault="00DD0B9E" w:rsidP="00DD0B9E">
            <w:pPr>
              <w:jc w:val="center"/>
              <w:rPr>
                <w:sz w:val="22"/>
                <w:lang w:val="en-US"/>
              </w:rPr>
            </w:pPr>
            <w:r w:rsidRPr="00267677">
              <w:rPr>
                <w:color w:val="000000"/>
                <w:sz w:val="22"/>
              </w:rPr>
              <w:t>0.75%</w:t>
            </w:r>
          </w:p>
        </w:tc>
        <w:tc>
          <w:tcPr>
            <w:tcW w:w="1170" w:type="dxa"/>
            <w:vAlign w:val="bottom"/>
          </w:tcPr>
          <w:p w14:paraId="0EB98434" w14:textId="3214104A" w:rsidR="00DD0B9E" w:rsidRPr="00267677" w:rsidRDefault="00DD0B9E" w:rsidP="00DD0B9E">
            <w:pPr>
              <w:jc w:val="center"/>
              <w:rPr>
                <w:sz w:val="22"/>
                <w:lang w:val="en-US"/>
              </w:rPr>
            </w:pPr>
            <w:r w:rsidRPr="00267677">
              <w:rPr>
                <w:color w:val="000000"/>
                <w:sz w:val="22"/>
              </w:rPr>
              <w:t>-1.44%</w:t>
            </w:r>
          </w:p>
        </w:tc>
        <w:tc>
          <w:tcPr>
            <w:tcW w:w="1080" w:type="dxa"/>
            <w:vAlign w:val="bottom"/>
          </w:tcPr>
          <w:p w14:paraId="7E11871E" w14:textId="46C1A72C" w:rsidR="00DD0B9E" w:rsidRPr="00267677" w:rsidRDefault="00DD0B9E" w:rsidP="00DD0B9E">
            <w:pPr>
              <w:jc w:val="center"/>
              <w:rPr>
                <w:sz w:val="22"/>
                <w:lang w:val="en-US"/>
              </w:rPr>
            </w:pPr>
            <w:r w:rsidRPr="00267677">
              <w:rPr>
                <w:color w:val="000000"/>
                <w:sz w:val="22"/>
              </w:rPr>
              <w:t>-3.98%</w:t>
            </w:r>
          </w:p>
        </w:tc>
        <w:tc>
          <w:tcPr>
            <w:tcW w:w="1080" w:type="dxa"/>
            <w:vAlign w:val="bottom"/>
          </w:tcPr>
          <w:p w14:paraId="01798E00" w14:textId="0E3716FB" w:rsidR="00DD0B9E" w:rsidRPr="00267677" w:rsidRDefault="00DD0B9E" w:rsidP="00DD0B9E">
            <w:pPr>
              <w:jc w:val="center"/>
              <w:rPr>
                <w:sz w:val="22"/>
                <w:lang w:val="en-US"/>
              </w:rPr>
            </w:pPr>
            <w:r w:rsidRPr="00267677">
              <w:rPr>
                <w:sz w:val="22"/>
              </w:rPr>
              <w:t>-2.68%</w:t>
            </w:r>
          </w:p>
        </w:tc>
        <w:tc>
          <w:tcPr>
            <w:tcW w:w="1170" w:type="dxa"/>
            <w:vAlign w:val="bottom"/>
          </w:tcPr>
          <w:p w14:paraId="2F495278" w14:textId="72796669" w:rsidR="00DD0B9E" w:rsidRPr="00267677" w:rsidRDefault="00DD0B9E" w:rsidP="00DD0B9E">
            <w:pPr>
              <w:jc w:val="center"/>
              <w:rPr>
                <w:sz w:val="22"/>
                <w:lang w:val="en-US"/>
              </w:rPr>
            </w:pPr>
            <w:r w:rsidRPr="00267677">
              <w:rPr>
                <w:sz w:val="22"/>
              </w:rPr>
              <w:t>-1.39%</w:t>
            </w:r>
          </w:p>
        </w:tc>
        <w:tc>
          <w:tcPr>
            <w:tcW w:w="1080" w:type="dxa"/>
            <w:vAlign w:val="bottom"/>
          </w:tcPr>
          <w:p w14:paraId="2AED8F7A" w14:textId="365AB212" w:rsidR="00DD0B9E" w:rsidRPr="00267677" w:rsidRDefault="00DD0B9E" w:rsidP="00DD0B9E">
            <w:pPr>
              <w:jc w:val="center"/>
              <w:rPr>
                <w:sz w:val="22"/>
                <w:lang w:val="en-US"/>
              </w:rPr>
            </w:pPr>
            <w:r w:rsidRPr="00267677">
              <w:rPr>
                <w:sz w:val="22"/>
              </w:rPr>
              <w:t>-7.61%</w:t>
            </w:r>
          </w:p>
        </w:tc>
        <w:tc>
          <w:tcPr>
            <w:tcW w:w="1080" w:type="dxa"/>
            <w:vAlign w:val="bottom"/>
          </w:tcPr>
          <w:p w14:paraId="76A5FE0A" w14:textId="506E33FB" w:rsidR="00DD0B9E" w:rsidRPr="00267677" w:rsidRDefault="00DD0B9E" w:rsidP="00DD0B9E">
            <w:pPr>
              <w:jc w:val="center"/>
              <w:rPr>
                <w:sz w:val="22"/>
                <w:lang w:val="en-US"/>
              </w:rPr>
            </w:pPr>
            <w:r w:rsidRPr="00267677">
              <w:rPr>
                <w:color w:val="000000"/>
                <w:sz w:val="22"/>
              </w:rPr>
              <w:t>0.56%</w:t>
            </w:r>
          </w:p>
        </w:tc>
        <w:tc>
          <w:tcPr>
            <w:tcW w:w="1170" w:type="dxa"/>
            <w:vAlign w:val="bottom"/>
          </w:tcPr>
          <w:p w14:paraId="590FCF76" w14:textId="2ECCFD0D" w:rsidR="00DD0B9E" w:rsidRPr="00267677" w:rsidRDefault="00DD0B9E" w:rsidP="00DD0B9E">
            <w:pPr>
              <w:jc w:val="center"/>
              <w:rPr>
                <w:sz w:val="22"/>
                <w:lang w:val="en-US"/>
              </w:rPr>
            </w:pPr>
            <w:r w:rsidRPr="00267677">
              <w:rPr>
                <w:color w:val="000000"/>
                <w:sz w:val="22"/>
              </w:rPr>
              <w:t>-1.25%</w:t>
            </w:r>
          </w:p>
        </w:tc>
        <w:tc>
          <w:tcPr>
            <w:tcW w:w="1170" w:type="dxa"/>
            <w:vAlign w:val="bottom"/>
          </w:tcPr>
          <w:p w14:paraId="4E96D3D5" w14:textId="09149F89" w:rsidR="00DD0B9E" w:rsidRPr="00267677" w:rsidRDefault="00DD0B9E" w:rsidP="00DD0B9E">
            <w:pPr>
              <w:jc w:val="center"/>
              <w:rPr>
                <w:sz w:val="22"/>
                <w:lang w:val="en-US"/>
              </w:rPr>
            </w:pPr>
            <w:r w:rsidRPr="00267677">
              <w:rPr>
                <w:color w:val="000000"/>
                <w:sz w:val="22"/>
              </w:rPr>
              <w:t>-1.24%</w:t>
            </w:r>
          </w:p>
        </w:tc>
        <w:tc>
          <w:tcPr>
            <w:tcW w:w="1170" w:type="dxa"/>
            <w:vAlign w:val="bottom"/>
          </w:tcPr>
          <w:p w14:paraId="0B4976C9" w14:textId="77390D01" w:rsidR="00DD0B9E" w:rsidRPr="00267677" w:rsidRDefault="00DD0B9E" w:rsidP="00DD0B9E">
            <w:pPr>
              <w:jc w:val="center"/>
              <w:rPr>
                <w:sz w:val="22"/>
                <w:lang w:val="en-US"/>
              </w:rPr>
            </w:pPr>
            <w:r w:rsidRPr="00267677">
              <w:rPr>
                <w:color w:val="000000"/>
                <w:sz w:val="22"/>
              </w:rPr>
              <w:t>0.34%</w:t>
            </w:r>
          </w:p>
        </w:tc>
        <w:tc>
          <w:tcPr>
            <w:tcW w:w="1170" w:type="dxa"/>
            <w:vAlign w:val="bottom"/>
          </w:tcPr>
          <w:p w14:paraId="1C5EBFC8" w14:textId="62B4CF14" w:rsidR="00DD0B9E" w:rsidRPr="00267677" w:rsidRDefault="00DD0B9E" w:rsidP="00DD0B9E">
            <w:pPr>
              <w:jc w:val="center"/>
              <w:rPr>
                <w:sz w:val="22"/>
                <w:lang w:val="en-US"/>
              </w:rPr>
            </w:pPr>
            <w:r w:rsidRPr="00267677">
              <w:rPr>
                <w:color w:val="000000"/>
                <w:sz w:val="22"/>
              </w:rPr>
              <w:t>-1.31%</w:t>
            </w:r>
          </w:p>
        </w:tc>
        <w:tc>
          <w:tcPr>
            <w:tcW w:w="1080" w:type="dxa"/>
            <w:vAlign w:val="bottom"/>
          </w:tcPr>
          <w:p w14:paraId="79F02F6C" w14:textId="4D792BE0" w:rsidR="00DD0B9E" w:rsidRPr="00267677" w:rsidRDefault="00DD0B9E" w:rsidP="00DD0B9E">
            <w:pPr>
              <w:jc w:val="center"/>
              <w:rPr>
                <w:sz w:val="22"/>
                <w:lang w:val="en-US"/>
              </w:rPr>
            </w:pPr>
            <w:r w:rsidRPr="00267677">
              <w:rPr>
                <w:color w:val="000000"/>
                <w:sz w:val="22"/>
              </w:rPr>
              <w:t>-2.45%</w:t>
            </w:r>
          </w:p>
        </w:tc>
      </w:tr>
      <w:tr w:rsidR="00DD0B9E" w:rsidRPr="00DD0B9E" w14:paraId="48C1D31C" w14:textId="77777777" w:rsidTr="001A7465">
        <w:trPr>
          <w:trHeight w:val="20"/>
        </w:trPr>
        <w:tc>
          <w:tcPr>
            <w:tcW w:w="1097" w:type="dxa"/>
            <w:vAlign w:val="center"/>
          </w:tcPr>
          <w:p w14:paraId="5643EB2B" w14:textId="774F6076" w:rsidR="00DD0B9E" w:rsidRPr="00DD0B9E" w:rsidRDefault="00DD0B9E" w:rsidP="00DD0B9E">
            <w:pPr>
              <w:jc w:val="center"/>
              <w:rPr>
                <w:b/>
                <w:lang w:val="en-US"/>
              </w:rPr>
            </w:pPr>
            <w:r w:rsidRPr="00DD0B9E">
              <w:rPr>
                <w:b/>
                <w:lang w:val="en-US"/>
              </w:rPr>
              <w:t>6</w:t>
            </w:r>
          </w:p>
        </w:tc>
        <w:tc>
          <w:tcPr>
            <w:tcW w:w="1148" w:type="dxa"/>
            <w:vAlign w:val="bottom"/>
          </w:tcPr>
          <w:p w14:paraId="02ED045B" w14:textId="17185512" w:rsidR="00DD0B9E" w:rsidRPr="00267677" w:rsidRDefault="00DD0B9E" w:rsidP="00DD0B9E">
            <w:pPr>
              <w:jc w:val="center"/>
              <w:rPr>
                <w:sz w:val="22"/>
                <w:lang w:val="en-US"/>
              </w:rPr>
            </w:pPr>
            <w:r w:rsidRPr="00267677">
              <w:rPr>
                <w:color w:val="000000"/>
                <w:sz w:val="22"/>
              </w:rPr>
              <w:t>2.21</w:t>
            </w:r>
            <w:r w:rsidRPr="00AE0584">
              <w:rPr>
                <w:color w:val="000000"/>
                <w:sz w:val="22"/>
                <w:vertAlign w:val="superscript"/>
              </w:rPr>
              <w:t>**</w:t>
            </w:r>
          </w:p>
        </w:tc>
        <w:tc>
          <w:tcPr>
            <w:tcW w:w="1170" w:type="dxa"/>
            <w:vAlign w:val="bottom"/>
          </w:tcPr>
          <w:p w14:paraId="1D975D12" w14:textId="1B8451CF" w:rsidR="00DD0B9E" w:rsidRPr="00267677" w:rsidRDefault="00DD0B9E" w:rsidP="00DD0B9E">
            <w:pPr>
              <w:jc w:val="center"/>
              <w:rPr>
                <w:sz w:val="22"/>
                <w:lang w:val="en-US"/>
              </w:rPr>
            </w:pPr>
            <w:r w:rsidRPr="00267677">
              <w:rPr>
                <w:color w:val="000000"/>
                <w:sz w:val="22"/>
              </w:rPr>
              <w:t>45.09</w:t>
            </w:r>
          </w:p>
        </w:tc>
        <w:tc>
          <w:tcPr>
            <w:tcW w:w="1080" w:type="dxa"/>
            <w:vAlign w:val="bottom"/>
          </w:tcPr>
          <w:p w14:paraId="1A443BDB" w14:textId="3E432381" w:rsidR="00DD0B9E" w:rsidRPr="00267677" w:rsidRDefault="00DD0B9E" w:rsidP="00DD0B9E">
            <w:pPr>
              <w:jc w:val="center"/>
              <w:rPr>
                <w:sz w:val="22"/>
                <w:lang w:val="en-US"/>
              </w:rPr>
            </w:pPr>
            <w:r w:rsidRPr="00267677">
              <w:rPr>
                <w:color w:val="000000"/>
                <w:sz w:val="22"/>
              </w:rPr>
              <w:t>54.05</w:t>
            </w:r>
            <w:r w:rsidRPr="00AE0584">
              <w:rPr>
                <w:color w:val="000000"/>
                <w:sz w:val="22"/>
                <w:vertAlign w:val="superscript"/>
              </w:rPr>
              <w:t>*</w:t>
            </w:r>
            <w:r w:rsidR="00391D17" w:rsidRPr="00AE0584">
              <w:rPr>
                <w:color w:val="000000"/>
                <w:sz w:val="22"/>
                <w:vertAlign w:val="superscript"/>
              </w:rPr>
              <w:t>*</w:t>
            </w:r>
          </w:p>
        </w:tc>
        <w:tc>
          <w:tcPr>
            <w:tcW w:w="1080" w:type="dxa"/>
            <w:vAlign w:val="bottom"/>
          </w:tcPr>
          <w:p w14:paraId="43764C69" w14:textId="30B5D345" w:rsidR="00DD0B9E" w:rsidRPr="00267677" w:rsidRDefault="00DD0B9E" w:rsidP="00DD0B9E">
            <w:pPr>
              <w:jc w:val="center"/>
              <w:rPr>
                <w:sz w:val="22"/>
                <w:lang w:val="en-US"/>
              </w:rPr>
            </w:pPr>
            <w:r w:rsidRPr="00267677">
              <w:rPr>
                <w:sz w:val="22"/>
              </w:rPr>
              <w:t>-0.23</w:t>
            </w:r>
            <w:r w:rsidRPr="00AE0584">
              <w:rPr>
                <w:sz w:val="22"/>
                <w:vertAlign w:val="superscript"/>
              </w:rPr>
              <w:t>*</w:t>
            </w:r>
          </w:p>
        </w:tc>
        <w:tc>
          <w:tcPr>
            <w:tcW w:w="1170" w:type="dxa"/>
            <w:vAlign w:val="bottom"/>
          </w:tcPr>
          <w:p w14:paraId="3673ADEA" w14:textId="4A76DBE0" w:rsidR="00DD0B9E" w:rsidRPr="00267677" w:rsidRDefault="00DD0B9E" w:rsidP="00DD0B9E">
            <w:pPr>
              <w:jc w:val="center"/>
              <w:rPr>
                <w:sz w:val="22"/>
                <w:lang w:val="en-US"/>
              </w:rPr>
            </w:pPr>
            <w:r w:rsidRPr="00267677">
              <w:rPr>
                <w:sz w:val="22"/>
              </w:rPr>
              <w:t>-67.28</w:t>
            </w:r>
            <w:r w:rsidRPr="00AE0584">
              <w:rPr>
                <w:sz w:val="22"/>
                <w:vertAlign w:val="superscript"/>
              </w:rPr>
              <w:t>*</w:t>
            </w:r>
            <w:r w:rsidR="00391D17" w:rsidRPr="00AE0584">
              <w:rPr>
                <w:sz w:val="22"/>
                <w:vertAlign w:val="superscript"/>
              </w:rPr>
              <w:t>*</w:t>
            </w:r>
          </w:p>
        </w:tc>
        <w:tc>
          <w:tcPr>
            <w:tcW w:w="1080" w:type="dxa"/>
            <w:vAlign w:val="bottom"/>
          </w:tcPr>
          <w:p w14:paraId="5392455B" w14:textId="4CDE0A19" w:rsidR="00DD0B9E" w:rsidRPr="00267677" w:rsidRDefault="00DD0B9E" w:rsidP="00DD0B9E">
            <w:pPr>
              <w:jc w:val="center"/>
              <w:rPr>
                <w:sz w:val="22"/>
                <w:lang w:val="en-US"/>
              </w:rPr>
            </w:pPr>
            <w:r w:rsidRPr="00267677">
              <w:rPr>
                <w:sz w:val="22"/>
              </w:rPr>
              <w:t>-19.89</w:t>
            </w:r>
            <w:r w:rsidR="00391D17" w:rsidRPr="00391D17">
              <w:rPr>
                <w:sz w:val="22"/>
                <w:vertAlign w:val="superscript"/>
              </w:rPr>
              <w:t>**</w:t>
            </w:r>
          </w:p>
        </w:tc>
        <w:tc>
          <w:tcPr>
            <w:tcW w:w="1080" w:type="dxa"/>
            <w:vAlign w:val="bottom"/>
          </w:tcPr>
          <w:p w14:paraId="7944539C" w14:textId="7D36463B" w:rsidR="00DD0B9E" w:rsidRPr="00267677" w:rsidRDefault="00DD0B9E" w:rsidP="00DD0B9E">
            <w:pPr>
              <w:jc w:val="center"/>
              <w:rPr>
                <w:sz w:val="22"/>
                <w:lang w:val="en-US"/>
              </w:rPr>
            </w:pPr>
            <w:r w:rsidRPr="00267677">
              <w:rPr>
                <w:color w:val="000000"/>
                <w:sz w:val="22"/>
              </w:rPr>
              <w:t>0.31</w:t>
            </w:r>
            <w:r w:rsidRPr="00AE0584">
              <w:rPr>
                <w:color w:val="000000"/>
                <w:sz w:val="22"/>
                <w:vertAlign w:val="superscript"/>
              </w:rPr>
              <w:t>*</w:t>
            </w:r>
            <w:r w:rsidR="00391D17" w:rsidRPr="00AE0584">
              <w:rPr>
                <w:color w:val="000000"/>
                <w:sz w:val="22"/>
                <w:vertAlign w:val="superscript"/>
              </w:rPr>
              <w:t>*</w:t>
            </w:r>
          </w:p>
        </w:tc>
        <w:tc>
          <w:tcPr>
            <w:tcW w:w="1170" w:type="dxa"/>
            <w:vAlign w:val="bottom"/>
          </w:tcPr>
          <w:p w14:paraId="71B41827" w14:textId="26314DE1" w:rsidR="00DD0B9E" w:rsidRPr="00267677" w:rsidRDefault="00DD0B9E" w:rsidP="00DD0B9E">
            <w:pPr>
              <w:jc w:val="center"/>
              <w:rPr>
                <w:sz w:val="22"/>
                <w:lang w:val="en-US"/>
              </w:rPr>
            </w:pPr>
            <w:r w:rsidRPr="00267677">
              <w:rPr>
                <w:color w:val="000000"/>
                <w:sz w:val="22"/>
              </w:rPr>
              <w:t>-15.92</w:t>
            </w:r>
            <w:r w:rsidRPr="00AE0584">
              <w:rPr>
                <w:color w:val="000000"/>
                <w:sz w:val="22"/>
                <w:vertAlign w:val="superscript"/>
              </w:rPr>
              <w:t>*</w:t>
            </w:r>
          </w:p>
        </w:tc>
        <w:tc>
          <w:tcPr>
            <w:tcW w:w="1170" w:type="dxa"/>
            <w:vAlign w:val="bottom"/>
          </w:tcPr>
          <w:p w14:paraId="5EF7974B" w14:textId="64166DDC" w:rsidR="00DD0B9E" w:rsidRPr="00267677" w:rsidRDefault="00DD0B9E" w:rsidP="00DD0B9E">
            <w:pPr>
              <w:jc w:val="center"/>
              <w:rPr>
                <w:sz w:val="22"/>
                <w:lang w:val="en-US"/>
              </w:rPr>
            </w:pPr>
            <w:r w:rsidRPr="00267677">
              <w:rPr>
                <w:color w:val="000000"/>
                <w:sz w:val="22"/>
              </w:rPr>
              <w:t>1.56</w:t>
            </w:r>
          </w:p>
        </w:tc>
        <w:tc>
          <w:tcPr>
            <w:tcW w:w="1170" w:type="dxa"/>
            <w:vAlign w:val="bottom"/>
          </w:tcPr>
          <w:p w14:paraId="0A96A21B" w14:textId="4C8581BC" w:rsidR="00DD0B9E" w:rsidRPr="00267677" w:rsidRDefault="00DD0B9E" w:rsidP="00DD0B9E">
            <w:pPr>
              <w:jc w:val="center"/>
              <w:rPr>
                <w:sz w:val="22"/>
                <w:lang w:val="en-US"/>
              </w:rPr>
            </w:pPr>
            <w:r w:rsidRPr="00267677">
              <w:rPr>
                <w:color w:val="000000"/>
                <w:sz w:val="22"/>
              </w:rPr>
              <w:t>0.74</w:t>
            </w:r>
            <w:r w:rsidRPr="00AE0584">
              <w:rPr>
                <w:color w:val="000000"/>
                <w:sz w:val="22"/>
                <w:vertAlign w:val="superscript"/>
              </w:rPr>
              <w:t>*</w:t>
            </w:r>
            <w:r w:rsidR="00391D17" w:rsidRPr="00AE0584">
              <w:rPr>
                <w:color w:val="000000"/>
                <w:sz w:val="22"/>
                <w:vertAlign w:val="superscript"/>
              </w:rPr>
              <w:t>*</w:t>
            </w:r>
          </w:p>
        </w:tc>
        <w:tc>
          <w:tcPr>
            <w:tcW w:w="1170" w:type="dxa"/>
            <w:vAlign w:val="bottom"/>
          </w:tcPr>
          <w:p w14:paraId="52859EBF" w14:textId="3266E239" w:rsidR="00DD0B9E" w:rsidRPr="00267677" w:rsidRDefault="00DD0B9E" w:rsidP="00DD0B9E">
            <w:pPr>
              <w:jc w:val="center"/>
              <w:rPr>
                <w:sz w:val="22"/>
                <w:lang w:val="en-US"/>
              </w:rPr>
            </w:pPr>
            <w:r w:rsidRPr="00267677">
              <w:rPr>
                <w:color w:val="000000"/>
                <w:sz w:val="22"/>
              </w:rPr>
              <w:t>-4.95</w:t>
            </w:r>
          </w:p>
        </w:tc>
        <w:tc>
          <w:tcPr>
            <w:tcW w:w="1080" w:type="dxa"/>
            <w:vAlign w:val="bottom"/>
          </w:tcPr>
          <w:p w14:paraId="779C7859" w14:textId="38CEF0B3" w:rsidR="00DD0B9E" w:rsidRPr="00267677" w:rsidRDefault="00DD0B9E" w:rsidP="00DD0B9E">
            <w:pPr>
              <w:jc w:val="center"/>
              <w:rPr>
                <w:sz w:val="22"/>
                <w:lang w:val="en-US"/>
              </w:rPr>
            </w:pPr>
            <w:r w:rsidRPr="00267677">
              <w:rPr>
                <w:color w:val="000000"/>
                <w:sz w:val="22"/>
              </w:rPr>
              <w:t>12.90</w:t>
            </w:r>
            <w:r w:rsidRPr="00AE0584">
              <w:rPr>
                <w:color w:val="000000"/>
                <w:sz w:val="22"/>
                <w:vertAlign w:val="superscript"/>
              </w:rPr>
              <w:t>*</w:t>
            </w:r>
            <w:r w:rsidR="00AE0584" w:rsidRPr="00AE0584">
              <w:rPr>
                <w:color w:val="000000"/>
                <w:sz w:val="22"/>
                <w:vertAlign w:val="superscript"/>
              </w:rPr>
              <w:t>*</w:t>
            </w:r>
          </w:p>
        </w:tc>
      </w:tr>
      <w:tr w:rsidR="00DD0B9E" w:rsidRPr="00DD0B9E" w14:paraId="1401025B" w14:textId="77777777" w:rsidTr="001A7465">
        <w:trPr>
          <w:trHeight w:val="20"/>
        </w:trPr>
        <w:tc>
          <w:tcPr>
            <w:tcW w:w="1097" w:type="dxa"/>
            <w:vAlign w:val="center"/>
          </w:tcPr>
          <w:p w14:paraId="61BCDA9E" w14:textId="77777777" w:rsidR="00DD0B9E" w:rsidRPr="00DD0B9E" w:rsidRDefault="00DD0B9E" w:rsidP="00DD0B9E">
            <w:pPr>
              <w:jc w:val="center"/>
              <w:rPr>
                <w:b/>
                <w:lang w:val="en-US"/>
              </w:rPr>
            </w:pPr>
          </w:p>
        </w:tc>
        <w:tc>
          <w:tcPr>
            <w:tcW w:w="1148" w:type="dxa"/>
            <w:vAlign w:val="bottom"/>
          </w:tcPr>
          <w:p w14:paraId="251BD6C3" w14:textId="3C9502A6" w:rsidR="00DD0B9E" w:rsidRPr="00267677" w:rsidRDefault="00DD0B9E" w:rsidP="00DD0B9E">
            <w:pPr>
              <w:jc w:val="center"/>
              <w:rPr>
                <w:sz w:val="22"/>
                <w:lang w:val="en-US"/>
              </w:rPr>
            </w:pPr>
            <w:r w:rsidRPr="00267677">
              <w:rPr>
                <w:color w:val="000000"/>
                <w:sz w:val="22"/>
              </w:rPr>
              <w:t>20.22%</w:t>
            </w:r>
          </w:p>
        </w:tc>
        <w:tc>
          <w:tcPr>
            <w:tcW w:w="1170" w:type="dxa"/>
            <w:vAlign w:val="bottom"/>
          </w:tcPr>
          <w:p w14:paraId="380AB7E1" w14:textId="3B935EB7" w:rsidR="00DD0B9E" w:rsidRPr="00267677" w:rsidRDefault="00DD0B9E" w:rsidP="00DD0B9E">
            <w:pPr>
              <w:jc w:val="center"/>
              <w:rPr>
                <w:sz w:val="22"/>
                <w:lang w:val="en-US"/>
              </w:rPr>
            </w:pPr>
            <w:r w:rsidRPr="00267677">
              <w:rPr>
                <w:color w:val="000000"/>
                <w:sz w:val="22"/>
              </w:rPr>
              <w:t>1.27%</w:t>
            </w:r>
          </w:p>
        </w:tc>
        <w:tc>
          <w:tcPr>
            <w:tcW w:w="1080" w:type="dxa"/>
            <w:vAlign w:val="bottom"/>
          </w:tcPr>
          <w:p w14:paraId="0E3CFFB1" w14:textId="1FA5661A" w:rsidR="00DD0B9E" w:rsidRPr="00267677" w:rsidRDefault="00DD0B9E" w:rsidP="00DD0B9E">
            <w:pPr>
              <w:jc w:val="center"/>
              <w:rPr>
                <w:sz w:val="22"/>
                <w:lang w:val="en-US"/>
              </w:rPr>
            </w:pPr>
            <w:r w:rsidRPr="00267677">
              <w:rPr>
                <w:color w:val="000000"/>
                <w:sz w:val="22"/>
              </w:rPr>
              <w:t>20.74%</w:t>
            </w:r>
          </w:p>
        </w:tc>
        <w:tc>
          <w:tcPr>
            <w:tcW w:w="1080" w:type="dxa"/>
            <w:vAlign w:val="bottom"/>
          </w:tcPr>
          <w:p w14:paraId="5529F1AE" w14:textId="274AC232" w:rsidR="00DD0B9E" w:rsidRPr="00267677" w:rsidRDefault="00DD0B9E" w:rsidP="00DD0B9E">
            <w:pPr>
              <w:jc w:val="center"/>
              <w:rPr>
                <w:sz w:val="22"/>
                <w:lang w:val="en-US"/>
              </w:rPr>
            </w:pPr>
            <w:r w:rsidRPr="00267677">
              <w:rPr>
                <w:sz w:val="22"/>
              </w:rPr>
              <w:t>-2.31%</w:t>
            </w:r>
          </w:p>
        </w:tc>
        <w:tc>
          <w:tcPr>
            <w:tcW w:w="1170" w:type="dxa"/>
            <w:vAlign w:val="bottom"/>
          </w:tcPr>
          <w:p w14:paraId="45298BE2" w14:textId="7A08CE54" w:rsidR="00DD0B9E" w:rsidRPr="00267677" w:rsidRDefault="00DD0B9E" w:rsidP="00DD0B9E">
            <w:pPr>
              <w:jc w:val="center"/>
              <w:rPr>
                <w:sz w:val="22"/>
                <w:lang w:val="en-US"/>
              </w:rPr>
            </w:pPr>
            <w:r w:rsidRPr="00267677">
              <w:rPr>
                <w:sz w:val="22"/>
              </w:rPr>
              <w:t>-1.81%</w:t>
            </w:r>
          </w:p>
        </w:tc>
        <w:tc>
          <w:tcPr>
            <w:tcW w:w="1080" w:type="dxa"/>
            <w:vAlign w:val="bottom"/>
          </w:tcPr>
          <w:p w14:paraId="65E8379D" w14:textId="3EE0685F" w:rsidR="00DD0B9E" w:rsidRPr="00267677" w:rsidRDefault="00DD0B9E" w:rsidP="00DD0B9E">
            <w:pPr>
              <w:jc w:val="center"/>
              <w:rPr>
                <w:sz w:val="22"/>
                <w:lang w:val="en-US"/>
              </w:rPr>
            </w:pPr>
            <w:r w:rsidRPr="00267677">
              <w:rPr>
                <w:sz w:val="22"/>
              </w:rPr>
              <w:t>-7.72%</w:t>
            </w:r>
          </w:p>
        </w:tc>
        <w:tc>
          <w:tcPr>
            <w:tcW w:w="1080" w:type="dxa"/>
            <w:vAlign w:val="bottom"/>
          </w:tcPr>
          <w:p w14:paraId="18AA6C10" w14:textId="4210E817" w:rsidR="00DD0B9E" w:rsidRPr="00267677" w:rsidRDefault="00DD0B9E" w:rsidP="00DD0B9E">
            <w:pPr>
              <w:jc w:val="center"/>
              <w:rPr>
                <w:sz w:val="22"/>
                <w:lang w:val="en-US"/>
              </w:rPr>
            </w:pPr>
            <w:r w:rsidRPr="00267677">
              <w:rPr>
                <w:color w:val="000000"/>
                <w:sz w:val="22"/>
              </w:rPr>
              <w:t>3.07%</w:t>
            </w:r>
          </w:p>
        </w:tc>
        <w:tc>
          <w:tcPr>
            <w:tcW w:w="1170" w:type="dxa"/>
            <w:vAlign w:val="bottom"/>
          </w:tcPr>
          <w:p w14:paraId="5D00561C" w14:textId="1DA4A38F" w:rsidR="00DD0B9E" w:rsidRPr="00267677" w:rsidRDefault="00DD0B9E" w:rsidP="00DD0B9E">
            <w:pPr>
              <w:jc w:val="center"/>
              <w:rPr>
                <w:sz w:val="22"/>
                <w:lang w:val="en-US"/>
              </w:rPr>
            </w:pPr>
            <w:r w:rsidRPr="00267677">
              <w:rPr>
                <w:color w:val="000000"/>
                <w:sz w:val="22"/>
              </w:rPr>
              <w:t>-0.44%</w:t>
            </w:r>
          </w:p>
        </w:tc>
        <w:tc>
          <w:tcPr>
            <w:tcW w:w="1170" w:type="dxa"/>
            <w:vAlign w:val="bottom"/>
          </w:tcPr>
          <w:p w14:paraId="70F46821" w14:textId="50235953" w:rsidR="00DD0B9E" w:rsidRPr="00267677" w:rsidRDefault="00DD0B9E" w:rsidP="00DD0B9E">
            <w:pPr>
              <w:jc w:val="center"/>
              <w:rPr>
                <w:sz w:val="22"/>
                <w:lang w:val="en-US"/>
              </w:rPr>
            </w:pPr>
            <w:r w:rsidRPr="00267677">
              <w:rPr>
                <w:color w:val="000000"/>
                <w:sz w:val="22"/>
              </w:rPr>
              <w:t>0.58%</w:t>
            </w:r>
          </w:p>
        </w:tc>
        <w:tc>
          <w:tcPr>
            <w:tcW w:w="1170" w:type="dxa"/>
            <w:vAlign w:val="bottom"/>
          </w:tcPr>
          <w:p w14:paraId="6B4BB2C5" w14:textId="77269DB7" w:rsidR="00DD0B9E" w:rsidRPr="00267677" w:rsidRDefault="00DD0B9E" w:rsidP="00DD0B9E">
            <w:pPr>
              <w:jc w:val="center"/>
              <w:rPr>
                <w:sz w:val="22"/>
                <w:lang w:val="en-US"/>
              </w:rPr>
            </w:pPr>
            <w:r w:rsidRPr="00267677">
              <w:rPr>
                <w:color w:val="000000"/>
                <w:sz w:val="22"/>
              </w:rPr>
              <w:t>6.91%</w:t>
            </w:r>
          </w:p>
        </w:tc>
        <w:tc>
          <w:tcPr>
            <w:tcW w:w="1170" w:type="dxa"/>
            <w:vAlign w:val="bottom"/>
          </w:tcPr>
          <w:p w14:paraId="52162846" w14:textId="1F7D6A25" w:rsidR="00DD0B9E" w:rsidRPr="00267677" w:rsidRDefault="00DD0B9E" w:rsidP="00DD0B9E">
            <w:pPr>
              <w:jc w:val="center"/>
              <w:rPr>
                <w:sz w:val="22"/>
                <w:lang w:val="en-US"/>
              </w:rPr>
            </w:pPr>
            <w:r w:rsidRPr="00267677">
              <w:rPr>
                <w:color w:val="000000"/>
                <w:sz w:val="22"/>
              </w:rPr>
              <w:t>-0.13%</w:t>
            </w:r>
          </w:p>
        </w:tc>
        <w:tc>
          <w:tcPr>
            <w:tcW w:w="1080" w:type="dxa"/>
            <w:vAlign w:val="bottom"/>
          </w:tcPr>
          <w:p w14:paraId="3713F73F" w14:textId="295DE03D" w:rsidR="00DD0B9E" w:rsidRPr="00267677" w:rsidRDefault="00DD0B9E" w:rsidP="00DD0B9E">
            <w:pPr>
              <w:jc w:val="center"/>
              <w:rPr>
                <w:sz w:val="22"/>
                <w:lang w:val="en-US"/>
              </w:rPr>
            </w:pPr>
            <w:r w:rsidRPr="00267677">
              <w:rPr>
                <w:color w:val="000000"/>
                <w:sz w:val="22"/>
              </w:rPr>
              <w:t>4.93%</w:t>
            </w:r>
          </w:p>
        </w:tc>
      </w:tr>
      <w:tr w:rsidR="00DD0B9E" w:rsidRPr="00DD0B9E" w14:paraId="337F3A46" w14:textId="77777777" w:rsidTr="001A7465">
        <w:trPr>
          <w:trHeight w:val="20"/>
        </w:trPr>
        <w:tc>
          <w:tcPr>
            <w:tcW w:w="1097" w:type="dxa"/>
            <w:vAlign w:val="center"/>
          </w:tcPr>
          <w:p w14:paraId="4ECCBED9" w14:textId="3B347D50" w:rsidR="00DD0B9E" w:rsidRPr="00DD0B9E" w:rsidRDefault="00DD0B9E" w:rsidP="00DD0B9E">
            <w:pPr>
              <w:jc w:val="center"/>
              <w:rPr>
                <w:b/>
                <w:lang w:val="en-US"/>
              </w:rPr>
            </w:pPr>
            <w:r w:rsidRPr="00DD0B9E">
              <w:rPr>
                <w:b/>
                <w:lang w:val="en-US"/>
              </w:rPr>
              <w:t>7</w:t>
            </w:r>
          </w:p>
        </w:tc>
        <w:tc>
          <w:tcPr>
            <w:tcW w:w="1148" w:type="dxa"/>
            <w:vAlign w:val="bottom"/>
          </w:tcPr>
          <w:p w14:paraId="0268ABF5" w14:textId="1E7845BD" w:rsidR="00DD0B9E" w:rsidRPr="00267677" w:rsidRDefault="00DD0B9E" w:rsidP="00DD0B9E">
            <w:pPr>
              <w:jc w:val="center"/>
              <w:rPr>
                <w:sz w:val="22"/>
                <w:lang w:val="en-US"/>
              </w:rPr>
            </w:pPr>
            <w:r w:rsidRPr="00267677">
              <w:rPr>
                <w:color w:val="000000"/>
                <w:sz w:val="22"/>
              </w:rPr>
              <w:t>-0.06</w:t>
            </w:r>
          </w:p>
        </w:tc>
        <w:tc>
          <w:tcPr>
            <w:tcW w:w="1170" w:type="dxa"/>
            <w:vAlign w:val="bottom"/>
          </w:tcPr>
          <w:p w14:paraId="129D9574" w14:textId="46EB1575" w:rsidR="00DD0B9E" w:rsidRPr="00267677" w:rsidRDefault="00DD0B9E" w:rsidP="00DD0B9E">
            <w:pPr>
              <w:jc w:val="center"/>
              <w:rPr>
                <w:sz w:val="22"/>
                <w:lang w:val="en-US"/>
              </w:rPr>
            </w:pPr>
            <w:r w:rsidRPr="00267677">
              <w:rPr>
                <w:color w:val="000000"/>
                <w:sz w:val="22"/>
              </w:rPr>
              <w:t>-28.72</w:t>
            </w:r>
          </w:p>
        </w:tc>
        <w:tc>
          <w:tcPr>
            <w:tcW w:w="1080" w:type="dxa"/>
            <w:vAlign w:val="bottom"/>
          </w:tcPr>
          <w:p w14:paraId="0E12A845" w14:textId="60E0ABD6" w:rsidR="00DD0B9E" w:rsidRPr="00267677" w:rsidRDefault="00DD0B9E" w:rsidP="00DD0B9E">
            <w:pPr>
              <w:jc w:val="center"/>
              <w:rPr>
                <w:sz w:val="22"/>
                <w:lang w:val="en-US"/>
              </w:rPr>
            </w:pPr>
            <w:r w:rsidRPr="00267677">
              <w:rPr>
                <w:color w:val="000000"/>
                <w:sz w:val="22"/>
              </w:rPr>
              <w:t>-7.23</w:t>
            </w:r>
          </w:p>
        </w:tc>
        <w:tc>
          <w:tcPr>
            <w:tcW w:w="1080" w:type="dxa"/>
            <w:vAlign w:val="bottom"/>
          </w:tcPr>
          <w:p w14:paraId="081796C4" w14:textId="75F4CFFA" w:rsidR="00DD0B9E" w:rsidRPr="00267677" w:rsidRDefault="00DD0B9E" w:rsidP="00DD0B9E">
            <w:pPr>
              <w:jc w:val="center"/>
              <w:rPr>
                <w:sz w:val="22"/>
                <w:lang w:val="en-US"/>
              </w:rPr>
            </w:pPr>
            <w:r w:rsidRPr="00267677">
              <w:rPr>
                <w:sz w:val="22"/>
              </w:rPr>
              <w:t>-0.57</w:t>
            </w:r>
            <w:r w:rsidRPr="00AE0584">
              <w:rPr>
                <w:sz w:val="22"/>
                <w:vertAlign w:val="superscript"/>
              </w:rPr>
              <w:t>*</w:t>
            </w:r>
            <w:r w:rsidR="00391D17" w:rsidRPr="00AE0584">
              <w:rPr>
                <w:sz w:val="22"/>
                <w:vertAlign w:val="superscript"/>
              </w:rPr>
              <w:t>*</w:t>
            </w:r>
          </w:p>
        </w:tc>
        <w:tc>
          <w:tcPr>
            <w:tcW w:w="1170" w:type="dxa"/>
            <w:vAlign w:val="bottom"/>
          </w:tcPr>
          <w:p w14:paraId="691015D8" w14:textId="4BDB9890" w:rsidR="00DD0B9E" w:rsidRPr="00267677" w:rsidRDefault="00DD0B9E" w:rsidP="00DD0B9E">
            <w:pPr>
              <w:jc w:val="center"/>
              <w:rPr>
                <w:sz w:val="22"/>
                <w:lang w:val="en-US"/>
              </w:rPr>
            </w:pPr>
            <w:r w:rsidRPr="00267677">
              <w:rPr>
                <w:sz w:val="22"/>
              </w:rPr>
              <w:t>-51.50</w:t>
            </w:r>
            <w:r w:rsidRPr="00AE0584">
              <w:rPr>
                <w:sz w:val="22"/>
                <w:vertAlign w:val="superscript"/>
              </w:rPr>
              <w:t>*</w:t>
            </w:r>
            <w:r w:rsidR="00391D17" w:rsidRPr="00AE0584">
              <w:rPr>
                <w:sz w:val="22"/>
                <w:vertAlign w:val="superscript"/>
              </w:rPr>
              <w:t>*</w:t>
            </w:r>
          </w:p>
        </w:tc>
        <w:tc>
          <w:tcPr>
            <w:tcW w:w="1080" w:type="dxa"/>
            <w:vAlign w:val="bottom"/>
          </w:tcPr>
          <w:p w14:paraId="3A282FAA" w14:textId="4278B822" w:rsidR="00DD0B9E" w:rsidRPr="00267677" w:rsidRDefault="00DD0B9E" w:rsidP="00DD0B9E">
            <w:pPr>
              <w:jc w:val="center"/>
              <w:rPr>
                <w:sz w:val="22"/>
                <w:lang w:val="en-US"/>
              </w:rPr>
            </w:pPr>
            <w:r w:rsidRPr="00267677">
              <w:rPr>
                <w:sz w:val="22"/>
              </w:rPr>
              <w:t>-39.17</w:t>
            </w:r>
            <w:r w:rsidR="00391D17" w:rsidRPr="00391D17">
              <w:rPr>
                <w:sz w:val="22"/>
                <w:vertAlign w:val="superscript"/>
              </w:rPr>
              <w:t>**</w:t>
            </w:r>
          </w:p>
        </w:tc>
        <w:tc>
          <w:tcPr>
            <w:tcW w:w="1080" w:type="dxa"/>
            <w:vAlign w:val="bottom"/>
          </w:tcPr>
          <w:p w14:paraId="0B5767A4" w14:textId="1B7B49DD" w:rsidR="00DD0B9E" w:rsidRPr="00267677" w:rsidRDefault="00DD0B9E" w:rsidP="00DD0B9E">
            <w:pPr>
              <w:jc w:val="center"/>
              <w:rPr>
                <w:sz w:val="22"/>
                <w:lang w:val="en-US"/>
              </w:rPr>
            </w:pPr>
            <w:r w:rsidRPr="00267677">
              <w:rPr>
                <w:color w:val="000000"/>
                <w:sz w:val="22"/>
              </w:rPr>
              <w:t>0.09</w:t>
            </w:r>
          </w:p>
        </w:tc>
        <w:tc>
          <w:tcPr>
            <w:tcW w:w="1170" w:type="dxa"/>
            <w:vAlign w:val="bottom"/>
          </w:tcPr>
          <w:p w14:paraId="473EDB39" w14:textId="2C3CD8CE" w:rsidR="00DD0B9E" w:rsidRPr="00267677" w:rsidRDefault="00DD0B9E" w:rsidP="00DD0B9E">
            <w:pPr>
              <w:jc w:val="center"/>
              <w:rPr>
                <w:sz w:val="22"/>
                <w:lang w:val="en-US"/>
              </w:rPr>
            </w:pPr>
            <w:r w:rsidRPr="00267677">
              <w:rPr>
                <w:color w:val="000000"/>
                <w:sz w:val="22"/>
              </w:rPr>
              <w:t>-46.15</w:t>
            </w:r>
            <w:r w:rsidRPr="00AE0584">
              <w:rPr>
                <w:color w:val="000000"/>
                <w:sz w:val="22"/>
                <w:vertAlign w:val="superscript"/>
              </w:rPr>
              <w:t>*</w:t>
            </w:r>
            <w:r w:rsidR="00391D17" w:rsidRPr="00AE0584">
              <w:rPr>
                <w:color w:val="000000"/>
                <w:sz w:val="22"/>
                <w:vertAlign w:val="superscript"/>
              </w:rPr>
              <w:t>*</w:t>
            </w:r>
          </w:p>
        </w:tc>
        <w:tc>
          <w:tcPr>
            <w:tcW w:w="1170" w:type="dxa"/>
            <w:vAlign w:val="bottom"/>
          </w:tcPr>
          <w:p w14:paraId="5DD8FBBC" w14:textId="35561241" w:rsidR="00DD0B9E" w:rsidRPr="00267677" w:rsidRDefault="00DD0B9E" w:rsidP="00DD0B9E">
            <w:pPr>
              <w:jc w:val="center"/>
              <w:rPr>
                <w:sz w:val="22"/>
                <w:lang w:val="en-US"/>
              </w:rPr>
            </w:pPr>
            <w:r w:rsidRPr="00267677">
              <w:rPr>
                <w:color w:val="000000"/>
                <w:sz w:val="22"/>
              </w:rPr>
              <w:t>-7.35</w:t>
            </w:r>
            <w:r w:rsidRPr="00AE0584">
              <w:rPr>
                <w:color w:val="000000"/>
                <w:sz w:val="22"/>
                <w:vertAlign w:val="superscript"/>
              </w:rPr>
              <w:t>*</w:t>
            </w:r>
          </w:p>
        </w:tc>
        <w:tc>
          <w:tcPr>
            <w:tcW w:w="1170" w:type="dxa"/>
            <w:vAlign w:val="bottom"/>
          </w:tcPr>
          <w:p w14:paraId="36D102A5" w14:textId="2477388B" w:rsidR="00DD0B9E" w:rsidRPr="00267677" w:rsidRDefault="00DD0B9E" w:rsidP="00DD0B9E">
            <w:pPr>
              <w:jc w:val="center"/>
              <w:rPr>
                <w:sz w:val="22"/>
                <w:lang w:val="en-US"/>
              </w:rPr>
            </w:pPr>
            <w:r w:rsidRPr="00267677">
              <w:rPr>
                <w:color w:val="000000"/>
                <w:sz w:val="22"/>
              </w:rPr>
              <w:t>0.00</w:t>
            </w:r>
          </w:p>
        </w:tc>
        <w:tc>
          <w:tcPr>
            <w:tcW w:w="1170" w:type="dxa"/>
            <w:vAlign w:val="bottom"/>
          </w:tcPr>
          <w:p w14:paraId="60BC5466" w14:textId="42072307" w:rsidR="00DD0B9E" w:rsidRPr="00267677" w:rsidRDefault="00DD0B9E" w:rsidP="00DD0B9E">
            <w:pPr>
              <w:jc w:val="center"/>
              <w:rPr>
                <w:sz w:val="22"/>
                <w:lang w:val="en-US"/>
              </w:rPr>
            </w:pPr>
            <w:r w:rsidRPr="00267677">
              <w:rPr>
                <w:color w:val="000000"/>
                <w:sz w:val="22"/>
              </w:rPr>
              <w:t>-42.24</w:t>
            </w:r>
            <w:r w:rsidRPr="00AE0584">
              <w:rPr>
                <w:color w:val="000000"/>
                <w:sz w:val="22"/>
                <w:vertAlign w:val="superscript"/>
              </w:rPr>
              <w:t>*</w:t>
            </w:r>
            <w:r w:rsidR="00AE0584" w:rsidRPr="00AE0584">
              <w:rPr>
                <w:color w:val="000000"/>
                <w:sz w:val="22"/>
                <w:vertAlign w:val="superscript"/>
              </w:rPr>
              <w:t>*</w:t>
            </w:r>
          </w:p>
        </w:tc>
        <w:tc>
          <w:tcPr>
            <w:tcW w:w="1080" w:type="dxa"/>
            <w:vAlign w:val="bottom"/>
          </w:tcPr>
          <w:p w14:paraId="4C4CA5BE" w14:textId="26D78E19" w:rsidR="00DD0B9E" w:rsidRPr="00267677" w:rsidRDefault="00DD0B9E" w:rsidP="00DD0B9E">
            <w:pPr>
              <w:jc w:val="center"/>
              <w:rPr>
                <w:sz w:val="22"/>
                <w:lang w:val="en-US"/>
              </w:rPr>
            </w:pPr>
            <w:r w:rsidRPr="00267677">
              <w:rPr>
                <w:color w:val="000000"/>
                <w:sz w:val="22"/>
              </w:rPr>
              <w:t>-9.97</w:t>
            </w:r>
            <w:r w:rsidRPr="00AE0584">
              <w:rPr>
                <w:color w:val="000000"/>
                <w:sz w:val="22"/>
                <w:vertAlign w:val="superscript"/>
              </w:rPr>
              <w:t>*</w:t>
            </w:r>
            <w:r w:rsidR="00AE0584" w:rsidRPr="00AE0584">
              <w:rPr>
                <w:color w:val="000000"/>
                <w:sz w:val="22"/>
                <w:vertAlign w:val="superscript"/>
              </w:rPr>
              <w:t>*</w:t>
            </w:r>
          </w:p>
        </w:tc>
      </w:tr>
      <w:tr w:rsidR="00DD0B9E" w:rsidRPr="00DD0B9E" w14:paraId="7F6B2AF1" w14:textId="77777777" w:rsidTr="001A7465">
        <w:trPr>
          <w:trHeight w:val="20"/>
        </w:trPr>
        <w:tc>
          <w:tcPr>
            <w:tcW w:w="1097" w:type="dxa"/>
            <w:vAlign w:val="center"/>
          </w:tcPr>
          <w:p w14:paraId="436A229F" w14:textId="77777777" w:rsidR="00DD0B9E" w:rsidRPr="00DD0B9E" w:rsidRDefault="00DD0B9E" w:rsidP="00DD0B9E">
            <w:pPr>
              <w:jc w:val="center"/>
              <w:rPr>
                <w:b/>
                <w:lang w:val="en-US"/>
              </w:rPr>
            </w:pPr>
          </w:p>
        </w:tc>
        <w:tc>
          <w:tcPr>
            <w:tcW w:w="1148" w:type="dxa"/>
            <w:vAlign w:val="bottom"/>
          </w:tcPr>
          <w:p w14:paraId="59BF04D4" w14:textId="117052FD" w:rsidR="00DD0B9E" w:rsidRPr="00267677" w:rsidRDefault="00DD0B9E" w:rsidP="00DD0B9E">
            <w:pPr>
              <w:jc w:val="center"/>
              <w:rPr>
                <w:sz w:val="22"/>
                <w:lang w:val="en-US"/>
              </w:rPr>
            </w:pPr>
            <w:r w:rsidRPr="00267677">
              <w:rPr>
                <w:color w:val="000000"/>
                <w:sz w:val="22"/>
              </w:rPr>
              <w:t>-0.25%</w:t>
            </w:r>
          </w:p>
        </w:tc>
        <w:tc>
          <w:tcPr>
            <w:tcW w:w="1170" w:type="dxa"/>
            <w:vAlign w:val="bottom"/>
          </w:tcPr>
          <w:p w14:paraId="10291568" w14:textId="1D2C6AAF" w:rsidR="00DD0B9E" w:rsidRPr="00267677" w:rsidRDefault="00DD0B9E" w:rsidP="00DD0B9E">
            <w:pPr>
              <w:jc w:val="center"/>
              <w:rPr>
                <w:sz w:val="22"/>
                <w:lang w:val="en-US"/>
              </w:rPr>
            </w:pPr>
            <w:r w:rsidRPr="00267677">
              <w:rPr>
                <w:color w:val="000000"/>
                <w:sz w:val="22"/>
              </w:rPr>
              <w:t>-0.79%</w:t>
            </w:r>
          </w:p>
        </w:tc>
        <w:tc>
          <w:tcPr>
            <w:tcW w:w="1080" w:type="dxa"/>
            <w:vAlign w:val="bottom"/>
          </w:tcPr>
          <w:p w14:paraId="1326E8D6" w14:textId="4C058CF2" w:rsidR="00DD0B9E" w:rsidRPr="00267677" w:rsidRDefault="00DD0B9E" w:rsidP="00DD0B9E">
            <w:pPr>
              <w:jc w:val="center"/>
              <w:rPr>
                <w:sz w:val="22"/>
                <w:lang w:val="en-US"/>
              </w:rPr>
            </w:pPr>
            <w:r w:rsidRPr="00267677">
              <w:rPr>
                <w:color w:val="000000"/>
                <w:sz w:val="22"/>
              </w:rPr>
              <w:t>-1.43%</w:t>
            </w:r>
          </w:p>
        </w:tc>
        <w:tc>
          <w:tcPr>
            <w:tcW w:w="1080" w:type="dxa"/>
            <w:vAlign w:val="bottom"/>
          </w:tcPr>
          <w:p w14:paraId="56BF1A1B" w14:textId="0BFD03CC" w:rsidR="00DD0B9E" w:rsidRPr="00267677" w:rsidRDefault="00DD0B9E" w:rsidP="00DD0B9E">
            <w:pPr>
              <w:jc w:val="center"/>
              <w:rPr>
                <w:sz w:val="22"/>
                <w:lang w:val="en-US"/>
              </w:rPr>
            </w:pPr>
            <w:r w:rsidRPr="00267677">
              <w:rPr>
                <w:sz w:val="22"/>
              </w:rPr>
              <w:t>-2.68%</w:t>
            </w:r>
          </w:p>
        </w:tc>
        <w:tc>
          <w:tcPr>
            <w:tcW w:w="1170" w:type="dxa"/>
            <w:vAlign w:val="bottom"/>
          </w:tcPr>
          <w:p w14:paraId="7C5958C5" w14:textId="04876176" w:rsidR="00DD0B9E" w:rsidRPr="00267677" w:rsidRDefault="00DD0B9E" w:rsidP="00DD0B9E">
            <w:pPr>
              <w:jc w:val="center"/>
              <w:rPr>
                <w:sz w:val="22"/>
                <w:lang w:val="en-US"/>
              </w:rPr>
            </w:pPr>
            <w:r w:rsidRPr="00267677">
              <w:rPr>
                <w:sz w:val="22"/>
              </w:rPr>
              <w:t>-1.39%</w:t>
            </w:r>
          </w:p>
        </w:tc>
        <w:tc>
          <w:tcPr>
            <w:tcW w:w="1080" w:type="dxa"/>
            <w:vAlign w:val="bottom"/>
          </w:tcPr>
          <w:p w14:paraId="0AAF6B0A" w14:textId="58B28FC2" w:rsidR="00DD0B9E" w:rsidRPr="00267677" w:rsidRDefault="00DD0B9E" w:rsidP="00DD0B9E">
            <w:pPr>
              <w:jc w:val="center"/>
              <w:rPr>
                <w:sz w:val="22"/>
                <w:lang w:val="en-US"/>
              </w:rPr>
            </w:pPr>
            <w:r w:rsidRPr="00267677">
              <w:rPr>
                <w:sz w:val="22"/>
              </w:rPr>
              <w:t>-7.61%</w:t>
            </w:r>
          </w:p>
        </w:tc>
        <w:tc>
          <w:tcPr>
            <w:tcW w:w="1080" w:type="dxa"/>
            <w:vAlign w:val="bottom"/>
          </w:tcPr>
          <w:p w14:paraId="06AA20A6" w14:textId="5541DF8A" w:rsidR="00DD0B9E" w:rsidRPr="00267677" w:rsidRDefault="00DD0B9E" w:rsidP="00DD0B9E">
            <w:pPr>
              <w:jc w:val="center"/>
              <w:rPr>
                <w:sz w:val="22"/>
                <w:lang w:val="en-US"/>
              </w:rPr>
            </w:pPr>
            <w:r w:rsidRPr="00267677">
              <w:rPr>
                <w:color w:val="000000"/>
                <w:sz w:val="22"/>
              </w:rPr>
              <w:t>0.40%</w:t>
            </w:r>
          </w:p>
        </w:tc>
        <w:tc>
          <w:tcPr>
            <w:tcW w:w="1170" w:type="dxa"/>
            <w:vAlign w:val="bottom"/>
          </w:tcPr>
          <w:p w14:paraId="47B334C1" w14:textId="5B2997B5" w:rsidR="00DD0B9E" w:rsidRPr="00267677" w:rsidRDefault="00DD0B9E" w:rsidP="00DD0B9E">
            <w:pPr>
              <w:jc w:val="center"/>
              <w:rPr>
                <w:sz w:val="22"/>
                <w:lang w:val="en-US"/>
              </w:rPr>
            </w:pPr>
            <w:r w:rsidRPr="00267677">
              <w:rPr>
                <w:color w:val="000000"/>
                <w:sz w:val="22"/>
              </w:rPr>
              <w:t>-1.26%</w:t>
            </w:r>
          </w:p>
        </w:tc>
        <w:tc>
          <w:tcPr>
            <w:tcW w:w="1170" w:type="dxa"/>
            <w:vAlign w:val="bottom"/>
          </w:tcPr>
          <w:p w14:paraId="40FBAFA6" w14:textId="65ADEE24" w:rsidR="00DD0B9E" w:rsidRPr="00267677" w:rsidRDefault="00DD0B9E" w:rsidP="00DD0B9E">
            <w:pPr>
              <w:jc w:val="center"/>
              <w:rPr>
                <w:sz w:val="22"/>
                <w:lang w:val="en-US"/>
              </w:rPr>
            </w:pPr>
            <w:r w:rsidRPr="00267677">
              <w:rPr>
                <w:color w:val="000000"/>
                <w:sz w:val="22"/>
              </w:rPr>
              <w:t>-1.40%</w:t>
            </w:r>
          </w:p>
        </w:tc>
        <w:tc>
          <w:tcPr>
            <w:tcW w:w="1170" w:type="dxa"/>
            <w:vAlign w:val="bottom"/>
          </w:tcPr>
          <w:p w14:paraId="128E3D7D" w14:textId="5C95D0CA" w:rsidR="00DD0B9E" w:rsidRPr="00267677" w:rsidRDefault="00DD0B9E" w:rsidP="00DD0B9E">
            <w:pPr>
              <w:jc w:val="center"/>
              <w:rPr>
                <w:sz w:val="22"/>
                <w:lang w:val="en-US"/>
              </w:rPr>
            </w:pPr>
            <w:r w:rsidRPr="00267677">
              <w:rPr>
                <w:color w:val="000000"/>
                <w:sz w:val="22"/>
              </w:rPr>
              <w:t>-0.02%</w:t>
            </w:r>
          </w:p>
        </w:tc>
        <w:tc>
          <w:tcPr>
            <w:tcW w:w="1170" w:type="dxa"/>
            <w:vAlign w:val="bottom"/>
          </w:tcPr>
          <w:p w14:paraId="75D99124" w14:textId="7A77BCEE" w:rsidR="00DD0B9E" w:rsidRPr="00267677" w:rsidRDefault="00DD0B9E" w:rsidP="00DD0B9E">
            <w:pPr>
              <w:jc w:val="center"/>
              <w:rPr>
                <w:sz w:val="22"/>
                <w:lang w:val="en-US"/>
              </w:rPr>
            </w:pPr>
            <w:r w:rsidRPr="00267677">
              <w:rPr>
                <w:color w:val="000000"/>
                <w:sz w:val="22"/>
              </w:rPr>
              <w:t>-1.16%</w:t>
            </w:r>
          </w:p>
        </w:tc>
        <w:tc>
          <w:tcPr>
            <w:tcW w:w="1080" w:type="dxa"/>
            <w:vAlign w:val="bottom"/>
          </w:tcPr>
          <w:p w14:paraId="36A1FCC7" w14:textId="5E97F7B6" w:rsidR="00DD0B9E" w:rsidRPr="00267677" w:rsidRDefault="00DD0B9E" w:rsidP="00DD0B9E">
            <w:pPr>
              <w:jc w:val="center"/>
              <w:rPr>
                <w:sz w:val="22"/>
                <w:lang w:val="en-US"/>
              </w:rPr>
            </w:pPr>
            <w:r w:rsidRPr="00267677">
              <w:rPr>
                <w:color w:val="000000"/>
                <w:sz w:val="22"/>
              </w:rPr>
              <w:t>-1.92%</w:t>
            </w:r>
          </w:p>
        </w:tc>
      </w:tr>
      <w:tr w:rsidR="00DD0B9E" w:rsidRPr="00DD0B9E" w14:paraId="1396CAE5" w14:textId="77777777" w:rsidTr="001A7465">
        <w:trPr>
          <w:trHeight w:val="20"/>
        </w:trPr>
        <w:tc>
          <w:tcPr>
            <w:tcW w:w="1097" w:type="dxa"/>
            <w:vAlign w:val="center"/>
          </w:tcPr>
          <w:p w14:paraId="32EB5783" w14:textId="67B83602" w:rsidR="00DD0B9E" w:rsidRPr="00DD0B9E" w:rsidRDefault="00DD0B9E" w:rsidP="00DD0B9E">
            <w:pPr>
              <w:jc w:val="center"/>
              <w:rPr>
                <w:b/>
                <w:lang w:val="en-US"/>
              </w:rPr>
            </w:pPr>
            <w:r w:rsidRPr="00DD0B9E">
              <w:rPr>
                <w:b/>
                <w:lang w:val="en-US"/>
              </w:rPr>
              <w:t>8</w:t>
            </w:r>
          </w:p>
        </w:tc>
        <w:tc>
          <w:tcPr>
            <w:tcW w:w="1148" w:type="dxa"/>
            <w:vAlign w:val="bottom"/>
          </w:tcPr>
          <w:p w14:paraId="69AD1CF6" w14:textId="367324A8" w:rsidR="00DD0B9E" w:rsidRPr="00267677" w:rsidRDefault="00DD0B9E" w:rsidP="00DD0B9E">
            <w:pPr>
              <w:jc w:val="center"/>
              <w:rPr>
                <w:sz w:val="22"/>
                <w:lang w:val="en-US"/>
              </w:rPr>
            </w:pPr>
            <w:r w:rsidRPr="00267677">
              <w:rPr>
                <w:color w:val="000000"/>
                <w:sz w:val="22"/>
              </w:rPr>
              <w:t>4.24</w:t>
            </w:r>
            <w:r w:rsidRPr="00AE0584">
              <w:rPr>
                <w:color w:val="000000"/>
                <w:sz w:val="22"/>
                <w:vertAlign w:val="superscript"/>
              </w:rPr>
              <w:t>**</w:t>
            </w:r>
          </w:p>
        </w:tc>
        <w:tc>
          <w:tcPr>
            <w:tcW w:w="1170" w:type="dxa"/>
            <w:vAlign w:val="bottom"/>
          </w:tcPr>
          <w:p w14:paraId="0A18A095" w14:textId="062D9DA5" w:rsidR="00DD0B9E" w:rsidRPr="00267677" w:rsidRDefault="00DD0B9E" w:rsidP="00DD0B9E">
            <w:pPr>
              <w:jc w:val="center"/>
              <w:rPr>
                <w:sz w:val="22"/>
                <w:lang w:val="en-US"/>
              </w:rPr>
            </w:pPr>
            <w:r w:rsidRPr="00267677">
              <w:rPr>
                <w:color w:val="000000"/>
                <w:sz w:val="22"/>
              </w:rPr>
              <w:t>-14.23</w:t>
            </w:r>
          </w:p>
        </w:tc>
        <w:tc>
          <w:tcPr>
            <w:tcW w:w="1080" w:type="dxa"/>
            <w:vAlign w:val="bottom"/>
          </w:tcPr>
          <w:p w14:paraId="24FB7B61" w14:textId="7A52171F" w:rsidR="00DD0B9E" w:rsidRPr="00267677" w:rsidRDefault="00DD0B9E" w:rsidP="00DD0B9E">
            <w:pPr>
              <w:jc w:val="center"/>
              <w:rPr>
                <w:sz w:val="22"/>
                <w:lang w:val="en-US"/>
              </w:rPr>
            </w:pPr>
            <w:r w:rsidRPr="00267677">
              <w:rPr>
                <w:color w:val="000000"/>
                <w:sz w:val="22"/>
              </w:rPr>
              <w:t>115.23</w:t>
            </w:r>
            <w:r w:rsidRPr="00391D17">
              <w:rPr>
                <w:color w:val="000000"/>
                <w:sz w:val="22"/>
                <w:vertAlign w:val="superscript"/>
              </w:rPr>
              <w:t>*</w:t>
            </w:r>
            <w:r w:rsidR="00391D17" w:rsidRPr="00391D17">
              <w:rPr>
                <w:color w:val="000000"/>
                <w:sz w:val="22"/>
                <w:vertAlign w:val="superscript"/>
              </w:rPr>
              <w:t>*</w:t>
            </w:r>
          </w:p>
        </w:tc>
        <w:tc>
          <w:tcPr>
            <w:tcW w:w="1080" w:type="dxa"/>
            <w:vAlign w:val="bottom"/>
          </w:tcPr>
          <w:p w14:paraId="7AE672BB" w14:textId="3A4DF527" w:rsidR="00DD0B9E" w:rsidRPr="00267677" w:rsidRDefault="00DD0B9E" w:rsidP="00DD0B9E">
            <w:pPr>
              <w:jc w:val="center"/>
              <w:rPr>
                <w:sz w:val="22"/>
                <w:lang w:val="en-US"/>
              </w:rPr>
            </w:pPr>
            <w:r w:rsidRPr="00267677">
              <w:rPr>
                <w:sz w:val="22"/>
              </w:rPr>
              <w:t>-1.14</w:t>
            </w:r>
            <w:r w:rsidRPr="00AE0584">
              <w:rPr>
                <w:sz w:val="22"/>
                <w:vertAlign w:val="superscript"/>
              </w:rPr>
              <w:t>*</w:t>
            </w:r>
            <w:r w:rsidR="00391D17" w:rsidRPr="00AE0584">
              <w:rPr>
                <w:sz w:val="22"/>
                <w:vertAlign w:val="superscript"/>
              </w:rPr>
              <w:t>*</w:t>
            </w:r>
          </w:p>
        </w:tc>
        <w:tc>
          <w:tcPr>
            <w:tcW w:w="1170" w:type="dxa"/>
            <w:vAlign w:val="bottom"/>
          </w:tcPr>
          <w:p w14:paraId="3D8C90C2" w14:textId="5BC29A6E" w:rsidR="00DD0B9E" w:rsidRPr="00267677" w:rsidRDefault="00DD0B9E" w:rsidP="00DD0B9E">
            <w:pPr>
              <w:jc w:val="center"/>
              <w:rPr>
                <w:sz w:val="22"/>
                <w:lang w:val="en-US"/>
              </w:rPr>
            </w:pPr>
            <w:r w:rsidRPr="00267677">
              <w:rPr>
                <w:sz w:val="22"/>
              </w:rPr>
              <w:t>-158.13</w:t>
            </w:r>
            <w:r w:rsidRPr="00AE0584">
              <w:rPr>
                <w:sz w:val="22"/>
                <w:vertAlign w:val="superscript"/>
              </w:rPr>
              <w:t>*</w:t>
            </w:r>
          </w:p>
        </w:tc>
        <w:tc>
          <w:tcPr>
            <w:tcW w:w="1080" w:type="dxa"/>
            <w:vAlign w:val="bottom"/>
          </w:tcPr>
          <w:p w14:paraId="3A59947F" w14:textId="53AB4FD1" w:rsidR="00DD0B9E" w:rsidRPr="00267677" w:rsidRDefault="00DD0B9E" w:rsidP="00DD0B9E">
            <w:pPr>
              <w:jc w:val="center"/>
              <w:rPr>
                <w:sz w:val="22"/>
                <w:lang w:val="en-US"/>
              </w:rPr>
            </w:pPr>
            <w:r w:rsidRPr="00267677">
              <w:rPr>
                <w:sz w:val="22"/>
              </w:rPr>
              <w:t>-75.00</w:t>
            </w:r>
            <w:r w:rsidR="00391D17" w:rsidRPr="00391D17">
              <w:rPr>
                <w:sz w:val="22"/>
                <w:vertAlign w:val="superscript"/>
              </w:rPr>
              <w:t>**</w:t>
            </w:r>
          </w:p>
        </w:tc>
        <w:tc>
          <w:tcPr>
            <w:tcW w:w="1080" w:type="dxa"/>
            <w:vAlign w:val="bottom"/>
          </w:tcPr>
          <w:p w14:paraId="105BB2C5" w14:textId="6E21E74E" w:rsidR="00DD0B9E" w:rsidRPr="00267677" w:rsidRDefault="00DD0B9E" w:rsidP="00DD0B9E">
            <w:pPr>
              <w:jc w:val="center"/>
              <w:rPr>
                <w:sz w:val="22"/>
                <w:lang w:val="en-US"/>
              </w:rPr>
            </w:pPr>
            <w:r w:rsidRPr="00267677">
              <w:rPr>
                <w:color w:val="000000"/>
                <w:sz w:val="22"/>
              </w:rPr>
              <w:t>1.14</w:t>
            </w:r>
            <w:r w:rsidRPr="00AE0584">
              <w:rPr>
                <w:color w:val="000000"/>
                <w:sz w:val="22"/>
                <w:vertAlign w:val="superscript"/>
              </w:rPr>
              <w:t>*</w:t>
            </w:r>
            <w:r w:rsidR="00391D17" w:rsidRPr="00AE0584">
              <w:rPr>
                <w:color w:val="000000"/>
                <w:sz w:val="22"/>
                <w:vertAlign w:val="superscript"/>
              </w:rPr>
              <w:t>*</w:t>
            </w:r>
          </w:p>
        </w:tc>
        <w:tc>
          <w:tcPr>
            <w:tcW w:w="1170" w:type="dxa"/>
            <w:vAlign w:val="bottom"/>
          </w:tcPr>
          <w:p w14:paraId="18941408" w14:textId="25B38822" w:rsidR="00DD0B9E" w:rsidRPr="00267677" w:rsidRDefault="00DD0B9E" w:rsidP="00DD0B9E">
            <w:pPr>
              <w:jc w:val="center"/>
              <w:rPr>
                <w:sz w:val="22"/>
                <w:lang w:val="en-US"/>
              </w:rPr>
            </w:pPr>
            <w:r w:rsidRPr="00267677">
              <w:rPr>
                <w:color w:val="000000"/>
                <w:sz w:val="22"/>
              </w:rPr>
              <w:t>-44.53</w:t>
            </w:r>
            <w:r w:rsidRPr="00AE0584">
              <w:rPr>
                <w:color w:val="000000"/>
                <w:sz w:val="22"/>
                <w:vertAlign w:val="superscript"/>
              </w:rPr>
              <w:t>*</w:t>
            </w:r>
            <w:r w:rsidR="00391D17" w:rsidRPr="00AE0584">
              <w:rPr>
                <w:color w:val="000000"/>
                <w:sz w:val="22"/>
                <w:vertAlign w:val="superscript"/>
              </w:rPr>
              <w:t>*</w:t>
            </w:r>
          </w:p>
        </w:tc>
        <w:tc>
          <w:tcPr>
            <w:tcW w:w="1170" w:type="dxa"/>
            <w:vAlign w:val="bottom"/>
          </w:tcPr>
          <w:p w14:paraId="0984CC97" w14:textId="7C16A7CC" w:rsidR="00DD0B9E" w:rsidRPr="00267677" w:rsidRDefault="00DD0B9E" w:rsidP="00DD0B9E">
            <w:pPr>
              <w:jc w:val="center"/>
              <w:rPr>
                <w:sz w:val="22"/>
                <w:lang w:val="en-US"/>
              </w:rPr>
            </w:pPr>
            <w:r w:rsidRPr="00267677">
              <w:rPr>
                <w:color w:val="000000"/>
                <w:sz w:val="22"/>
              </w:rPr>
              <w:t>1.55</w:t>
            </w:r>
          </w:p>
        </w:tc>
        <w:tc>
          <w:tcPr>
            <w:tcW w:w="1170" w:type="dxa"/>
            <w:vAlign w:val="bottom"/>
          </w:tcPr>
          <w:p w14:paraId="6BAF10EA" w14:textId="737A504C" w:rsidR="00DD0B9E" w:rsidRPr="00267677" w:rsidRDefault="00DD0B9E" w:rsidP="00DD0B9E">
            <w:pPr>
              <w:jc w:val="center"/>
              <w:rPr>
                <w:sz w:val="22"/>
                <w:lang w:val="en-US"/>
              </w:rPr>
            </w:pPr>
            <w:r w:rsidRPr="00267677">
              <w:rPr>
                <w:color w:val="000000"/>
                <w:sz w:val="22"/>
              </w:rPr>
              <w:t>1.72</w:t>
            </w:r>
            <w:r w:rsidRPr="00AE0584">
              <w:rPr>
                <w:color w:val="000000"/>
                <w:sz w:val="22"/>
                <w:vertAlign w:val="superscript"/>
              </w:rPr>
              <w:t>*</w:t>
            </w:r>
            <w:r w:rsidR="00391D17" w:rsidRPr="00AE0584">
              <w:rPr>
                <w:color w:val="000000"/>
                <w:sz w:val="22"/>
                <w:vertAlign w:val="superscript"/>
              </w:rPr>
              <w:t>*</w:t>
            </w:r>
          </w:p>
        </w:tc>
        <w:tc>
          <w:tcPr>
            <w:tcW w:w="1170" w:type="dxa"/>
            <w:vAlign w:val="bottom"/>
          </w:tcPr>
          <w:p w14:paraId="54F9588B" w14:textId="36676C8B" w:rsidR="00DD0B9E" w:rsidRPr="00267677" w:rsidRDefault="00DD0B9E" w:rsidP="00DD0B9E">
            <w:pPr>
              <w:jc w:val="center"/>
              <w:rPr>
                <w:sz w:val="22"/>
                <w:lang w:val="en-US"/>
              </w:rPr>
            </w:pPr>
            <w:r w:rsidRPr="00267677">
              <w:rPr>
                <w:color w:val="000000"/>
                <w:sz w:val="22"/>
              </w:rPr>
              <w:t>-46.42</w:t>
            </w:r>
            <w:r w:rsidRPr="00AE0584">
              <w:rPr>
                <w:color w:val="000000"/>
                <w:sz w:val="22"/>
                <w:vertAlign w:val="superscript"/>
              </w:rPr>
              <w:t>*</w:t>
            </w:r>
            <w:r w:rsidR="00AE0584" w:rsidRPr="00AE0584">
              <w:rPr>
                <w:color w:val="000000"/>
                <w:sz w:val="22"/>
                <w:vertAlign w:val="superscript"/>
              </w:rPr>
              <w:t>*</w:t>
            </w:r>
          </w:p>
        </w:tc>
        <w:tc>
          <w:tcPr>
            <w:tcW w:w="1080" w:type="dxa"/>
            <w:vAlign w:val="bottom"/>
          </w:tcPr>
          <w:p w14:paraId="6B0AACDF" w14:textId="38BBF0EE" w:rsidR="00DD0B9E" w:rsidRPr="00267677" w:rsidRDefault="00DD0B9E" w:rsidP="00DD0B9E">
            <w:pPr>
              <w:jc w:val="center"/>
              <w:rPr>
                <w:sz w:val="22"/>
                <w:lang w:val="en-US"/>
              </w:rPr>
            </w:pPr>
            <w:r w:rsidRPr="00267677">
              <w:rPr>
                <w:color w:val="000000"/>
                <w:sz w:val="22"/>
              </w:rPr>
              <w:t>23.59</w:t>
            </w:r>
            <w:r w:rsidRPr="00AE0584">
              <w:rPr>
                <w:color w:val="000000"/>
                <w:sz w:val="22"/>
                <w:vertAlign w:val="superscript"/>
              </w:rPr>
              <w:t>*</w:t>
            </w:r>
            <w:r w:rsidR="00AE0584" w:rsidRPr="00AE0584">
              <w:rPr>
                <w:color w:val="000000"/>
                <w:sz w:val="22"/>
                <w:vertAlign w:val="superscript"/>
              </w:rPr>
              <w:t>*</w:t>
            </w:r>
          </w:p>
        </w:tc>
      </w:tr>
      <w:tr w:rsidR="00DD0B9E" w:rsidRPr="00DD0B9E" w14:paraId="7B9D32C9" w14:textId="77777777" w:rsidTr="001A7465">
        <w:trPr>
          <w:trHeight w:val="20"/>
        </w:trPr>
        <w:tc>
          <w:tcPr>
            <w:tcW w:w="1097" w:type="dxa"/>
            <w:vAlign w:val="center"/>
          </w:tcPr>
          <w:p w14:paraId="0762EFD8" w14:textId="77777777" w:rsidR="00DD0B9E" w:rsidRPr="00DD0B9E" w:rsidRDefault="00DD0B9E" w:rsidP="00DD0B9E">
            <w:pPr>
              <w:jc w:val="center"/>
              <w:rPr>
                <w:b/>
                <w:lang w:val="en-US"/>
              </w:rPr>
            </w:pPr>
          </w:p>
        </w:tc>
        <w:tc>
          <w:tcPr>
            <w:tcW w:w="1148" w:type="dxa"/>
            <w:vAlign w:val="bottom"/>
          </w:tcPr>
          <w:p w14:paraId="7997F760" w14:textId="0706E7B3" w:rsidR="00DD0B9E" w:rsidRPr="00267677" w:rsidRDefault="00DD0B9E" w:rsidP="00DD0B9E">
            <w:pPr>
              <w:jc w:val="center"/>
              <w:rPr>
                <w:sz w:val="22"/>
                <w:lang w:val="en-US"/>
              </w:rPr>
            </w:pPr>
            <w:r w:rsidRPr="00267677">
              <w:rPr>
                <w:color w:val="000000"/>
                <w:sz w:val="22"/>
              </w:rPr>
              <w:t>10.75%</w:t>
            </w:r>
          </w:p>
        </w:tc>
        <w:tc>
          <w:tcPr>
            <w:tcW w:w="1170" w:type="dxa"/>
            <w:vAlign w:val="bottom"/>
          </w:tcPr>
          <w:p w14:paraId="55FA09C5" w14:textId="2EF364B1" w:rsidR="00DD0B9E" w:rsidRPr="00267677" w:rsidRDefault="00DD0B9E" w:rsidP="00DD0B9E">
            <w:pPr>
              <w:jc w:val="center"/>
              <w:rPr>
                <w:sz w:val="22"/>
                <w:lang w:val="en-US"/>
              </w:rPr>
            </w:pPr>
            <w:r w:rsidRPr="00267677">
              <w:rPr>
                <w:color w:val="000000"/>
                <w:sz w:val="22"/>
              </w:rPr>
              <w:t>-0.37%</w:t>
            </w:r>
          </w:p>
        </w:tc>
        <w:tc>
          <w:tcPr>
            <w:tcW w:w="1080" w:type="dxa"/>
            <w:vAlign w:val="bottom"/>
          </w:tcPr>
          <w:p w14:paraId="7455B9FB" w14:textId="4A6AA9A6" w:rsidR="00DD0B9E" w:rsidRPr="00267677" w:rsidRDefault="00DD0B9E" w:rsidP="00DD0B9E">
            <w:pPr>
              <w:jc w:val="center"/>
              <w:rPr>
                <w:sz w:val="22"/>
                <w:lang w:val="en-US"/>
              </w:rPr>
            </w:pPr>
            <w:r w:rsidRPr="00267677">
              <w:rPr>
                <w:color w:val="000000"/>
                <w:sz w:val="22"/>
              </w:rPr>
              <w:t>11.92%</w:t>
            </w:r>
          </w:p>
        </w:tc>
        <w:tc>
          <w:tcPr>
            <w:tcW w:w="1080" w:type="dxa"/>
            <w:vAlign w:val="bottom"/>
          </w:tcPr>
          <w:p w14:paraId="17CCD636" w14:textId="78FB2CDA" w:rsidR="00DD0B9E" w:rsidRPr="00267677" w:rsidRDefault="00DD0B9E" w:rsidP="00DD0B9E">
            <w:pPr>
              <w:jc w:val="center"/>
              <w:rPr>
                <w:sz w:val="22"/>
                <w:lang w:val="en-US"/>
              </w:rPr>
            </w:pPr>
            <w:r w:rsidRPr="00267677">
              <w:rPr>
                <w:sz w:val="22"/>
              </w:rPr>
              <w:t>-2.85%</w:t>
            </w:r>
          </w:p>
        </w:tc>
        <w:tc>
          <w:tcPr>
            <w:tcW w:w="1170" w:type="dxa"/>
            <w:vAlign w:val="bottom"/>
          </w:tcPr>
          <w:p w14:paraId="28428B31" w14:textId="56F4A872" w:rsidR="00DD0B9E" w:rsidRPr="00267677" w:rsidRDefault="00DD0B9E" w:rsidP="00DD0B9E">
            <w:pPr>
              <w:jc w:val="center"/>
              <w:rPr>
                <w:sz w:val="22"/>
                <w:lang w:val="en-US"/>
              </w:rPr>
            </w:pPr>
            <w:r w:rsidRPr="00267677">
              <w:rPr>
                <w:sz w:val="22"/>
              </w:rPr>
              <w:t>-4.24%</w:t>
            </w:r>
          </w:p>
        </w:tc>
        <w:tc>
          <w:tcPr>
            <w:tcW w:w="1080" w:type="dxa"/>
            <w:vAlign w:val="bottom"/>
          </w:tcPr>
          <w:p w14:paraId="1BE2ABC6" w14:textId="02EF03FF" w:rsidR="00DD0B9E" w:rsidRPr="00267677" w:rsidRDefault="00DD0B9E" w:rsidP="00DD0B9E">
            <w:pPr>
              <w:jc w:val="center"/>
              <w:rPr>
                <w:sz w:val="22"/>
                <w:lang w:val="en-US"/>
              </w:rPr>
            </w:pPr>
            <w:r w:rsidRPr="00267677">
              <w:rPr>
                <w:sz w:val="22"/>
              </w:rPr>
              <w:t>-7.75%</w:t>
            </w:r>
          </w:p>
        </w:tc>
        <w:tc>
          <w:tcPr>
            <w:tcW w:w="1080" w:type="dxa"/>
            <w:vAlign w:val="bottom"/>
          </w:tcPr>
          <w:p w14:paraId="61E47DA8" w14:textId="2678F44D" w:rsidR="00DD0B9E" w:rsidRPr="00267677" w:rsidRDefault="00DD0B9E" w:rsidP="00DD0B9E">
            <w:pPr>
              <w:jc w:val="center"/>
              <w:rPr>
                <w:sz w:val="22"/>
                <w:lang w:val="en-US"/>
              </w:rPr>
            </w:pPr>
            <w:r w:rsidRPr="00267677">
              <w:rPr>
                <w:color w:val="000000"/>
                <w:sz w:val="22"/>
              </w:rPr>
              <w:t>2.90%</w:t>
            </w:r>
          </w:p>
        </w:tc>
        <w:tc>
          <w:tcPr>
            <w:tcW w:w="1170" w:type="dxa"/>
            <w:vAlign w:val="bottom"/>
          </w:tcPr>
          <w:p w14:paraId="15B56EC0" w14:textId="0940FD54" w:rsidR="00DD0B9E" w:rsidRPr="00267677" w:rsidRDefault="00DD0B9E" w:rsidP="00DD0B9E">
            <w:pPr>
              <w:jc w:val="center"/>
              <w:rPr>
                <w:sz w:val="22"/>
                <w:lang w:val="en-US"/>
              </w:rPr>
            </w:pPr>
            <w:r w:rsidRPr="00267677">
              <w:rPr>
                <w:color w:val="000000"/>
                <w:sz w:val="22"/>
              </w:rPr>
              <w:t>-1.22%</w:t>
            </w:r>
          </w:p>
        </w:tc>
        <w:tc>
          <w:tcPr>
            <w:tcW w:w="1170" w:type="dxa"/>
            <w:vAlign w:val="bottom"/>
          </w:tcPr>
          <w:p w14:paraId="6C66719F" w14:textId="1D433158" w:rsidR="00DD0B9E" w:rsidRPr="00267677" w:rsidRDefault="00DD0B9E" w:rsidP="00DD0B9E">
            <w:pPr>
              <w:jc w:val="center"/>
              <w:rPr>
                <w:sz w:val="22"/>
                <w:lang w:val="en-US"/>
              </w:rPr>
            </w:pPr>
            <w:r w:rsidRPr="00267677">
              <w:rPr>
                <w:color w:val="000000"/>
                <w:sz w:val="22"/>
              </w:rPr>
              <w:t>0.16%</w:t>
            </w:r>
          </w:p>
        </w:tc>
        <w:tc>
          <w:tcPr>
            <w:tcW w:w="1170" w:type="dxa"/>
            <w:vAlign w:val="bottom"/>
          </w:tcPr>
          <w:p w14:paraId="3121D19B" w14:textId="35C8CECB" w:rsidR="00DD0B9E" w:rsidRPr="00267677" w:rsidRDefault="00DD0B9E" w:rsidP="00DD0B9E">
            <w:pPr>
              <w:jc w:val="center"/>
              <w:rPr>
                <w:sz w:val="22"/>
                <w:lang w:val="en-US"/>
              </w:rPr>
            </w:pPr>
            <w:r w:rsidRPr="00267677">
              <w:rPr>
                <w:color w:val="000000"/>
                <w:sz w:val="22"/>
              </w:rPr>
              <w:t>4.38%</w:t>
            </w:r>
          </w:p>
        </w:tc>
        <w:tc>
          <w:tcPr>
            <w:tcW w:w="1170" w:type="dxa"/>
            <w:vAlign w:val="bottom"/>
          </w:tcPr>
          <w:p w14:paraId="7972F010" w14:textId="73B202B5" w:rsidR="00DD0B9E" w:rsidRPr="00267677" w:rsidRDefault="00DD0B9E" w:rsidP="00DD0B9E">
            <w:pPr>
              <w:jc w:val="center"/>
              <w:rPr>
                <w:sz w:val="22"/>
                <w:lang w:val="en-US"/>
              </w:rPr>
            </w:pPr>
            <w:r w:rsidRPr="00267677">
              <w:rPr>
                <w:color w:val="000000"/>
                <w:sz w:val="22"/>
              </w:rPr>
              <w:t>-1.26%</w:t>
            </w:r>
          </w:p>
        </w:tc>
        <w:tc>
          <w:tcPr>
            <w:tcW w:w="1080" w:type="dxa"/>
            <w:vAlign w:val="bottom"/>
          </w:tcPr>
          <w:p w14:paraId="49707DF6" w14:textId="0F1EC61B" w:rsidR="00DD0B9E" w:rsidRPr="00267677" w:rsidRDefault="00DD0B9E" w:rsidP="00DD0B9E">
            <w:pPr>
              <w:jc w:val="center"/>
              <w:rPr>
                <w:sz w:val="22"/>
                <w:lang w:val="en-US"/>
              </w:rPr>
            </w:pPr>
            <w:r w:rsidRPr="00267677">
              <w:rPr>
                <w:color w:val="000000"/>
                <w:sz w:val="22"/>
              </w:rPr>
              <w:t>2.44%</w:t>
            </w:r>
          </w:p>
        </w:tc>
      </w:tr>
      <w:tr w:rsidR="00DD0B9E" w:rsidRPr="00DD0B9E" w14:paraId="642BADF4" w14:textId="77777777" w:rsidTr="001A7465">
        <w:trPr>
          <w:trHeight w:val="20"/>
        </w:trPr>
        <w:tc>
          <w:tcPr>
            <w:tcW w:w="1097" w:type="dxa"/>
            <w:vAlign w:val="center"/>
          </w:tcPr>
          <w:p w14:paraId="1AF26B9D" w14:textId="20FCE3AA" w:rsidR="00DD0B9E" w:rsidRPr="00DD0B9E" w:rsidRDefault="00DD0B9E" w:rsidP="00DD0B9E">
            <w:pPr>
              <w:jc w:val="center"/>
              <w:rPr>
                <w:b/>
                <w:lang w:val="en-US"/>
              </w:rPr>
            </w:pPr>
            <w:r w:rsidRPr="00DD0B9E">
              <w:rPr>
                <w:b/>
                <w:lang w:val="en-US"/>
              </w:rPr>
              <w:t>9</w:t>
            </w:r>
          </w:p>
        </w:tc>
        <w:tc>
          <w:tcPr>
            <w:tcW w:w="1148" w:type="dxa"/>
            <w:vAlign w:val="bottom"/>
          </w:tcPr>
          <w:p w14:paraId="52AFB4EB" w14:textId="1D16AB89" w:rsidR="00DD0B9E" w:rsidRPr="00267677" w:rsidRDefault="00DD0B9E" w:rsidP="00DD0B9E">
            <w:pPr>
              <w:jc w:val="center"/>
              <w:rPr>
                <w:sz w:val="22"/>
                <w:lang w:val="en-US"/>
              </w:rPr>
            </w:pPr>
            <w:r w:rsidRPr="00267677">
              <w:rPr>
                <w:color w:val="000000"/>
                <w:sz w:val="22"/>
              </w:rPr>
              <w:t>0.67</w:t>
            </w:r>
            <w:r w:rsidRPr="00AE0584">
              <w:rPr>
                <w:color w:val="000000"/>
                <w:sz w:val="22"/>
                <w:vertAlign w:val="superscript"/>
              </w:rPr>
              <w:t>**</w:t>
            </w:r>
          </w:p>
        </w:tc>
        <w:tc>
          <w:tcPr>
            <w:tcW w:w="1170" w:type="dxa"/>
            <w:vAlign w:val="bottom"/>
          </w:tcPr>
          <w:p w14:paraId="0FE073A9" w14:textId="60796A1F" w:rsidR="00DD0B9E" w:rsidRPr="00267677" w:rsidRDefault="00DD0B9E" w:rsidP="00DD0B9E">
            <w:pPr>
              <w:jc w:val="center"/>
              <w:rPr>
                <w:sz w:val="22"/>
                <w:lang w:val="en-US"/>
              </w:rPr>
            </w:pPr>
            <w:r w:rsidRPr="00267677">
              <w:rPr>
                <w:color w:val="000000"/>
                <w:sz w:val="22"/>
              </w:rPr>
              <w:t>-3.32</w:t>
            </w:r>
          </w:p>
        </w:tc>
        <w:tc>
          <w:tcPr>
            <w:tcW w:w="1080" w:type="dxa"/>
            <w:vAlign w:val="bottom"/>
          </w:tcPr>
          <w:p w14:paraId="171A8924" w14:textId="09BF6EC7" w:rsidR="00DD0B9E" w:rsidRPr="00267677" w:rsidRDefault="00DD0B9E" w:rsidP="00DD0B9E">
            <w:pPr>
              <w:jc w:val="center"/>
              <w:rPr>
                <w:sz w:val="22"/>
                <w:lang w:val="en-US"/>
              </w:rPr>
            </w:pPr>
            <w:r w:rsidRPr="00267677">
              <w:rPr>
                <w:color w:val="000000"/>
                <w:sz w:val="22"/>
              </w:rPr>
              <w:t>12.58</w:t>
            </w:r>
            <w:r w:rsidRPr="00AE0584">
              <w:rPr>
                <w:color w:val="000000"/>
                <w:sz w:val="22"/>
                <w:vertAlign w:val="superscript"/>
              </w:rPr>
              <w:t>*</w:t>
            </w:r>
            <w:r w:rsidR="00391D17" w:rsidRPr="00AE0584">
              <w:rPr>
                <w:color w:val="000000"/>
                <w:sz w:val="22"/>
                <w:vertAlign w:val="superscript"/>
              </w:rPr>
              <w:t>*</w:t>
            </w:r>
          </w:p>
        </w:tc>
        <w:tc>
          <w:tcPr>
            <w:tcW w:w="1080" w:type="dxa"/>
            <w:vAlign w:val="bottom"/>
          </w:tcPr>
          <w:p w14:paraId="1583DCA0" w14:textId="10099120" w:rsidR="00DD0B9E" w:rsidRPr="00267677" w:rsidRDefault="00DD0B9E" w:rsidP="00DD0B9E">
            <w:pPr>
              <w:jc w:val="center"/>
              <w:rPr>
                <w:sz w:val="22"/>
                <w:lang w:val="en-US"/>
              </w:rPr>
            </w:pPr>
            <w:r w:rsidRPr="00267677">
              <w:rPr>
                <w:sz w:val="22"/>
              </w:rPr>
              <w:t>-0.34</w:t>
            </w:r>
            <w:r w:rsidRPr="00AE0584">
              <w:rPr>
                <w:sz w:val="22"/>
                <w:vertAlign w:val="superscript"/>
              </w:rPr>
              <w:t>*</w:t>
            </w:r>
          </w:p>
        </w:tc>
        <w:tc>
          <w:tcPr>
            <w:tcW w:w="1170" w:type="dxa"/>
            <w:vAlign w:val="bottom"/>
          </w:tcPr>
          <w:p w14:paraId="4F4B8A40" w14:textId="06F04A16" w:rsidR="00DD0B9E" w:rsidRPr="00267677" w:rsidRDefault="00DD0B9E" w:rsidP="00DD0B9E">
            <w:pPr>
              <w:jc w:val="center"/>
              <w:rPr>
                <w:sz w:val="22"/>
                <w:lang w:val="en-US"/>
              </w:rPr>
            </w:pPr>
            <w:r w:rsidRPr="00267677">
              <w:rPr>
                <w:sz w:val="22"/>
              </w:rPr>
              <w:t>-3.72</w:t>
            </w:r>
          </w:p>
        </w:tc>
        <w:tc>
          <w:tcPr>
            <w:tcW w:w="1080" w:type="dxa"/>
            <w:vAlign w:val="bottom"/>
          </w:tcPr>
          <w:p w14:paraId="431AB771" w14:textId="5A114161" w:rsidR="00DD0B9E" w:rsidRPr="00267677" w:rsidRDefault="00DD0B9E" w:rsidP="00DD0B9E">
            <w:pPr>
              <w:jc w:val="center"/>
              <w:rPr>
                <w:sz w:val="22"/>
                <w:lang w:val="en-US"/>
              </w:rPr>
            </w:pPr>
            <w:r w:rsidRPr="00267677">
              <w:rPr>
                <w:sz w:val="22"/>
              </w:rPr>
              <w:t>-15.12</w:t>
            </w:r>
            <w:r w:rsidR="00391D17" w:rsidRPr="00391D17">
              <w:rPr>
                <w:sz w:val="22"/>
                <w:vertAlign w:val="superscript"/>
              </w:rPr>
              <w:t>**</w:t>
            </w:r>
          </w:p>
        </w:tc>
        <w:tc>
          <w:tcPr>
            <w:tcW w:w="1080" w:type="dxa"/>
            <w:vAlign w:val="bottom"/>
          </w:tcPr>
          <w:p w14:paraId="547FFF95" w14:textId="63060E63" w:rsidR="00DD0B9E" w:rsidRPr="00267677" w:rsidRDefault="00DD0B9E" w:rsidP="00DD0B9E">
            <w:pPr>
              <w:jc w:val="center"/>
              <w:rPr>
                <w:sz w:val="22"/>
                <w:lang w:val="en-US"/>
              </w:rPr>
            </w:pPr>
            <w:r w:rsidRPr="00267677">
              <w:rPr>
                <w:color w:val="000000"/>
                <w:sz w:val="22"/>
              </w:rPr>
              <w:t>-0.09</w:t>
            </w:r>
          </w:p>
        </w:tc>
        <w:tc>
          <w:tcPr>
            <w:tcW w:w="1170" w:type="dxa"/>
            <w:vAlign w:val="bottom"/>
          </w:tcPr>
          <w:p w14:paraId="4AF8EE47" w14:textId="7A62D83C" w:rsidR="00DD0B9E" w:rsidRPr="00267677" w:rsidRDefault="00DD0B9E" w:rsidP="00DD0B9E">
            <w:pPr>
              <w:jc w:val="center"/>
              <w:rPr>
                <w:sz w:val="22"/>
                <w:lang w:val="en-US"/>
              </w:rPr>
            </w:pPr>
            <w:r w:rsidRPr="00267677">
              <w:rPr>
                <w:color w:val="000000"/>
                <w:sz w:val="22"/>
              </w:rPr>
              <w:t>-3.33</w:t>
            </w:r>
            <w:r w:rsidRPr="00AE0584">
              <w:rPr>
                <w:color w:val="000000"/>
                <w:sz w:val="22"/>
                <w:vertAlign w:val="superscript"/>
              </w:rPr>
              <w:t>*</w:t>
            </w:r>
          </w:p>
        </w:tc>
        <w:tc>
          <w:tcPr>
            <w:tcW w:w="1170" w:type="dxa"/>
            <w:vAlign w:val="bottom"/>
          </w:tcPr>
          <w:p w14:paraId="293E7EAD" w14:textId="3D0E61B2" w:rsidR="00DD0B9E" w:rsidRPr="00267677" w:rsidRDefault="00DD0B9E" w:rsidP="00DD0B9E">
            <w:pPr>
              <w:jc w:val="center"/>
              <w:rPr>
                <w:sz w:val="22"/>
                <w:lang w:val="en-US"/>
              </w:rPr>
            </w:pPr>
            <w:r w:rsidRPr="00267677">
              <w:rPr>
                <w:color w:val="000000"/>
                <w:sz w:val="22"/>
              </w:rPr>
              <w:t>-3.82</w:t>
            </w:r>
            <w:r w:rsidRPr="00AE0584">
              <w:rPr>
                <w:color w:val="000000"/>
                <w:sz w:val="22"/>
                <w:vertAlign w:val="superscript"/>
              </w:rPr>
              <w:t>*</w:t>
            </w:r>
            <w:r w:rsidR="00391D17" w:rsidRPr="00AE0584">
              <w:rPr>
                <w:color w:val="000000"/>
                <w:sz w:val="22"/>
                <w:vertAlign w:val="superscript"/>
              </w:rPr>
              <w:t>*</w:t>
            </w:r>
          </w:p>
        </w:tc>
        <w:tc>
          <w:tcPr>
            <w:tcW w:w="1170" w:type="dxa"/>
            <w:vAlign w:val="bottom"/>
          </w:tcPr>
          <w:p w14:paraId="3F032144" w14:textId="2A41591B" w:rsidR="00DD0B9E" w:rsidRPr="00267677" w:rsidRDefault="00DD0B9E" w:rsidP="00DD0B9E">
            <w:pPr>
              <w:jc w:val="center"/>
              <w:rPr>
                <w:sz w:val="22"/>
                <w:lang w:val="en-US"/>
              </w:rPr>
            </w:pPr>
            <w:r w:rsidRPr="00267677">
              <w:rPr>
                <w:color w:val="000000"/>
                <w:sz w:val="22"/>
              </w:rPr>
              <w:t>0.08</w:t>
            </w:r>
          </w:p>
        </w:tc>
        <w:tc>
          <w:tcPr>
            <w:tcW w:w="1170" w:type="dxa"/>
            <w:vAlign w:val="bottom"/>
          </w:tcPr>
          <w:p w14:paraId="479FDC38" w14:textId="454DA3D9" w:rsidR="00DD0B9E" w:rsidRPr="00267677" w:rsidRDefault="00DD0B9E" w:rsidP="00DD0B9E">
            <w:pPr>
              <w:jc w:val="center"/>
              <w:rPr>
                <w:sz w:val="22"/>
                <w:lang w:val="en-US"/>
              </w:rPr>
            </w:pPr>
            <w:r w:rsidRPr="00267677">
              <w:rPr>
                <w:color w:val="000000"/>
                <w:sz w:val="22"/>
              </w:rPr>
              <w:t>-3.36</w:t>
            </w:r>
          </w:p>
        </w:tc>
        <w:tc>
          <w:tcPr>
            <w:tcW w:w="1080" w:type="dxa"/>
            <w:vAlign w:val="bottom"/>
          </w:tcPr>
          <w:p w14:paraId="7C8DBA29" w14:textId="0E32610C" w:rsidR="00DD0B9E" w:rsidRPr="00267677" w:rsidRDefault="00DD0B9E" w:rsidP="00DD0B9E">
            <w:pPr>
              <w:jc w:val="center"/>
              <w:rPr>
                <w:sz w:val="22"/>
                <w:lang w:val="en-US"/>
              </w:rPr>
            </w:pPr>
            <w:r w:rsidRPr="00267677">
              <w:rPr>
                <w:color w:val="000000"/>
                <w:sz w:val="22"/>
              </w:rPr>
              <w:t>-0.66</w:t>
            </w:r>
          </w:p>
        </w:tc>
      </w:tr>
      <w:tr w:rsidR="00DD0B9E" w:rsidRPr="00DD0B9E" w14:paraId="1AB9C64F" w14:textId="77777777" w:rsidTr="001A7465">
        <w:trPr>
          <w:trHeight w:val="20"/>
        </w:trPr>
        <w:tc>
          <w:tcPr>
            <w:tcW w:w="1097" w:type="dxa"/>
            <w:vAlign w:val="center"/>
          </w:tcPr>
          <w:p w14:paraId="58DA4A71" w14:textId="77777777" w:rsidR="00DD0B9E" w:rsidRPr="00DD0B9E" w:rsidRDefault="00DD0B9E" w:rsidP="00DD0B9E">
            <w:pPr>
              <w:jc w:val="center"/>
              <w:rPr>
                <w:b/>
                <w:lang w:val="en-US"/>
              </w:rPr>
            </w:pPr>
          </w:p>
        </w:tc>
        <w:tc>
          <w:tcPr>
            <w:tcW w:w="1148" w:type="dxa"/>
            <w:vAlign w:val="bottom"/>
          </w:tcPr>
          <w:p w14:paraId="4966B5AE" w14:textId="2AA2A019" w:rsidR="00DD0B9E" w:rsidRPr="00267677" w:rsidRDefault="00DD0B9E" w:rsidP="00DD0B9E">
            <w:pPr>
              <w:jc w:val="center"/>
              <w:rPr>
                <w:sz w:val="22"/>
                <w:lang w:val="en-US"/>
              </w:rPr>
            </w:pPr>
            <w:r w:rsidRPr="00267677">
              <w:rPr>
                <w:color w:val="000000"/>
                <w:sz w:val="22"/>
              </w:rPr>
              <w:t>7.20%</w:t>
            </w:r>
          </w:p>
        </w:tc>
        <w:tc>
          <w:tcPr>
            <w:tcW w:w="1170" w:type="dxa"/>
            <w:vAlign w:val="bottom"/>
          </w:tcPr>
          <w:p w14:paraId="0454ABE2" w14:textId="3BE4B1F4" w:rsidR="00DD0B9E" w:rsidRPr="00267677" w:rsidRDefault="00DD0B9E" w:rsidP="00DD0B9E">
            <w:pPr>
              <w:jc w:val="center"/>
              <w:rPr>
                <w:sz w:val="22"/>
                <w:lang w:val="en-US"/>
              </w:rPr>
            </w:pPr>
            <w:r w:rsidRPr="00267677">
              <w:rPr>
                <w:color w:val="000000"/>
                <w:sz w:val="22"/>
              </w:rPr>
              <w:t>-0.09%</w:t>
            </w:r>
          </w:p>
        </w:tc>
        <w:tc>
          <w:tcPr>
            <w:tcW w:w="1080" w:type="dxa"/>
            <w:vAlign w:val="bottom"/>
          </w:tcPr>
          <w:p w14:paraId="3F529E25" w14:textId="4F8BB36F" w:rsidR="00DD0B9E" w:rsidRPr="00267677" w:rsidRDefault="00DD0B9E" w:rsidP="00DD0B9E">
            <w:pPr>
              <w:jc w:val="center"/>
              <w:rPr>
                <w:sz w:val="22"/>
                <w:lang w:val="en-US"/>
              </w:rPr>
            </w:pPr>
            <w:r w:rsidRPr="00267677">
              <w:rPr>
                <w:color w:val="000000"/>
                <w:sz w:val="22"/>
              </w:rPr>
              <w:t>7.52%</w:t>
            </w:r>
          </w:p>
        </w:tc>
        <w:tc>
          <w:tcPr>
            <w:tcW w:w="1080" w:type="dxa"/>
            <w:vAlign w:val="bottom"/>
          </w:tcPr>
          <w:p w14:paraId="5F89CF40" w14:textId="3D6F8257" w:rsidR="00DD0B9E" w:rsidRPr="00267677" w:rsidRDefault="00DD0B9E" w:rsidP="00DD0B9E">
            <w:pPr>
              <w:jc w:val="center"/>
              <w:rPr>
                <w:sz w:val="22"/>
                <w:lang w:val="en-US"/>
              </w:rPr>
            </w:pPr>
            <w:r w:rsidRPr="00267677">
              <w:rPr>
                <w:sz w:val="22"/>
              </w:rPr>
              <w:t>-3.64%</w:t>
            </w:r>
          </w:p>
        </w:tc>
        <w:tc>
          <w:tcPr>
            <w:tcW w:w="1170" w:type="dxa"/>
            <w:vAlign w:val="bottom"/>
          </w:tcPr>
          <w:p w14:paraId="44E0B3F9" w14:textId="79E81559" w:rsidR="00DD0B9E" w:rsidRPr="00267677" w:rsidRDefault="00DD0B9E" w:rsidP="00DD0B9E">
            <w:pPr>
              <w:jc w:val="center"/>
              <w:rPr>
                <w:sz w:val="22"/>
                <w:lang w:val="en-US"/>
              </w:rPr>
            </w:pPr>
            <w:r w:rsidRPr="00267677">
              <w:rPr>
                <w:sz w:val="22"/>
              </w:rPr>
              <w:t>-0.10%</w:t>
            </w:r>
          </w:p>
        </w:tc>
        <w:tc>
          <w:tcPr>
            <w:tcW w:w="1080" w:type="dxa"/>
            <w:vAlign w:val="bottom"/>
          </w:tcPr>
          <w:p w14:paraId="7B653C9B" w14:textId="5787FE0D" w:rsidR="00DD0B9E" w:rsidRPr="00267677" w:rsidRDefault="00DD0B9E" w:rsidP="00DD0B9E">
            <w:pPr>
              <w:jc w:val="center"/>
              <w:rPr>
                <w:sz w:val="22"/>
                <w:lang w:val="en-US"/>
              </w:rPr>
            </w:pPr>
            <w:r w:rsidRPr="00267677">
              <w:rPr>
                <w:sz w:val="22"/>
              </w:rPr>
              <w:t>-9.10%</w:t>
            </w:r>
          </w:p>
        </w:tc>
        <w:tc>
          <w:tcPr>
            <w:tcW w:w="1080" w:type="dxa"/>
            <w:vAlign w:val="bottom"/>
          </w:tcPr>
          <w:p w14:paraId="75D30EC0" w14:textId="172A2958" w:rsidR="00DD0B9E" w:rsidRPr="00267677" w:rsidRDefault="00DD0B9E" w:rsidP="00DD0B9E">
            <w:pPr>
              <w:jc w:val="center"/>
              <w:rPr>
                <w:sz w:val="22"/>
                <w:lang w:val="en-US"/>
              </w:rPr>
            </w:pPr>
            <w:r w:rsidRPr="00267677">
              <w:rPr>
                <w:color w:val="000000"/>
                <w:sz w:val="22"/>
              </w:rPr>
              <w:t>-1.08%</w:t>
            </w:r>
          </w:p>
        </w:tc>
        <w:tc>
          <w:tcPr>
            <w:tcW w:w="1170" w:type="dxa"/>
            <w:vAlign w:val="bottom"/>
          </w:tcPr>
          <w:p w14:paraId="3CE9D31C" w14:textId="4780C8AB" w:rsidR="00DD0B9E" w:rsidRPr="00267677" w:rsidRDefault="00DD0B9E" w:rsidP="00DD0B9E">
            <w:pPr>
              <w:jc w:val="center"/>
              <w:rPr>
                <w:sz w:val="22"/>
                <w:lang w:val="en-US"/>
              </w:rPr>
            </w:pPr>
            <w:r w:rsidRPr="00267677">
              <w:rPr>
                <w:color w:val="000000"/>
                <w:sz w:val="22"/>
              </w:rPr>
              <w:t>-0.09%</w:t>
            </w:r>
          </w:p>
        </w:tc>
        <w:tc>
          <w:tcPr>
            <w:tcW w:w="1170" w:type="dxa"/>
            <w:vAlign w:val="bottom"/>
          </w:tcPr>
          <w:p w14:paraId="7154C0A5" w14:textId="329F2EB3" w:rsidR="00DD0B9E" w:rsidRPr="00267677" w:rsidRDefault="00DD0B9E" w:rsidP="00DD0B9E">
            <w:pPr>
              <w:jc w:val="center"/>
              <w:rPr>
                <w:sz w:val="22"/>
                <w:lang w:val="en-US"/>
              </w:rPr>
            </w:pPr>
            <w:r w:rsidRPr="00267677">
              <w:rPr>
                <w:color w:val="000000"/>
                <w:sz w:val="22"/>
              </w:rPr>
              <w:t>-2.30%</w:t>
            </w:r>
          </w:p>
        </w:tc>
        <w:tc>
          <w:tcPr>
            <w:tcW w:w="1170" w:type="dxa"/>
            <w:vAlign w:val="bottom"/>
          </w:tcPr>
          <w:p w14:paraId="5B6F7439" w14:textId="1FCF560E" w:rsidR="00DD0B9E" w:rsidRPr="00267677" w:rsidRDefault="00DD0B9E" w:rsidP="00DD0B9E">
            <w:pPr>
              <w:jc w:val="center"/>
              <w:rPr>
                <w:sz w:val="22"/>
                <w:lang w:val="en-US"/>
              </w:rPr>
            </w:pPr>
            <w:r w:rsidRPr="00267677">
              <w:rPr>
                <w:color w:val="000000"/>
                <w:sz w:val="22"/>
              </w:rPr>
              <w:t>0.78%</w:t>
            </w:r>
          </w:p>
        </w:tc>
        <w:tc>
          <w:tcPr>
            <w:tcW w:w="1170" w:type="dxa"/>
            <w:vAlign w:val="bottom"/>
          </w:tcPr>
          <w:p w14:paraId="5DCA9954" w14:textId="7025266F" w:rsidR="00DD0B9E" w:rsidRPr="00267677" w:rsidRDefault="00DD0B9E" w:rsidP="00DD0B9E">
            <w:pPr>
              <w:jc w:val="center"/>
              <w:rPr>
                <w:sz w:val="22"/>
                <w:lang w:val="en-US"/>
              </w:rPr>
            </w:pPr>
            <w:r w:rsidRPr="00267677">
              <w:rPr>
                <w:color w:val="000000"/>
                <w:sz w:val="22"/>
              </w:rPr>
              <w:t>-0.09%</w:t>
            </w:r>
          </w:p>
        </w:tc>
        <w:tc>
          <w:tcPr>
            <w:tcW w:w="1080" w:type="dxa"/>
            <w:vAlign w:val="bottom"/>
          </w:tcPr>
          <w:p w14:paraId="40691790" w14:textId="5C4057E0" w:rsidR="00DD0B9E" w:rsidRPr="00267677" w:rsidRDefault="00DD0B9E" w:rsidP="00DD0B9E">
            <w:pPr>
              <w:jc w:val="center"/>
              <w:rPr>
                <w:sz w:val="22"/>
                <w:lang w:val="en-US"/>
              </w:rPr>
            </w:pPr>
            <w:r w:rsidRPr="00267677">
              <w:rPr>
                <w:color w:val="000000"/>
                <w:sz w:val="22"/>
              </w:rPr>
              <w:t>-0.41%</w:t>
            </w:r>
          </w:p>
        </w:tc>
      </w:tr>
      <w:tr w:rsidR="001F7143" w:rsidRPr="00DD0B9E" w14:paraId="35047CDE" w14:textId="77777777" w:rsidTr="001A7465">
        <w:trPr>
          <w:trHeight w:val="20"/>
        </w:trPr>
        <w:tc>
          <w:tcPr>
            <w:tcW w:w="1097" w:type="dxa"/>
            <w:vAlign w:val="center"/>
          </w:tcPr>
          <w:p w14:paraId="7ABD5B9A" w14:textId="77777777" w:rsidR="001F7143" w:rsidRPr="00DD0B9E" w:rsidRDefault="001F7143" w:rsidP="001F7143">
            <w:pPr>
              <w:jc w:val="center"/>
              <w:rPr>
                <w:b/>
                <w:lang w:val="en-US"/>
              </w:rPr>
            </w:pPr>
            <w:r w:rsidRPr="00DD0B9E">
              <w:rPr>
                <w:b/>
                <w:lang w:val="en-US"/>
              </w:rPr>
              <w:t>Average</w:t>
            </w:r>
          </w:p>
        </w:tc>
        <w:tc>
          <w:tcPr>
            <w:tcW w:w="1148" w:type="dxa"/>
            <w:vAlign w:val="bottom"/>
          </w:tcPr>
          <w:p w14:paraId="6396883D" w14:textId="6BC6B2B8" w:rsidR="001F7143" w:rsidRPr="001F7143" w:rsidRDefault="001F7143" w:rsidP="001F7143">
            <w:pPr>
              <w:jc w:val="center"/>
              <w:rPr>
                <w:sz w:val="22"/>
                <w:lang w:val="en-US"/>
              </w:rPr>
            </w:pPr>
            <w:r w:rsidRPr="001F7143">
              <w:rPr>
                <w:color w:val="000000"/>
                <w:sz w:val="22"/>
              </w:rPr>
              <w:t>1.58</w:t>
            </w:r>
            <w:r w:rsidRPr="00AE0584">
              <w:rPr>
                <w:color w:val="000000"/>
                <w:sz w:val="22"/>
                <w:vertAlign w:val="superscript"/>
              </w:rPr>
              <w:t>**</w:t>
            </w:r>
          </w:p>
        </w:tc>
        <w:tc>
          <w:tcPr>
            <w:tcW w:w="1170" w:type="dxa"/>
            <w:vAlign w:val="bottom"/>
          </w:tcPr>
          <w:p w14:paraId="062DC7F0" w14:textId="1F3E3FF3" w:rsidR="001F7143" w:rsidRPr="001F7143" w:rsidRDefault="001F7143" w:rsidP="001F7143">
            <w:pPr>
              <w:jc w:val="center"/>
              <w:rPr>
                <w:sz w:val="22"/>
                <w:lang w:val="en-US"/>
              </w:rPr>
            </w:pPr>
            <w:r w:rsidRPr="001F7143">
              <w:rPr>
                <w:color w:val="000000"/>
                <w:sz w:val="22"/>
              </w:rPr>
              <w:t>11.89</w:t>
            </w:r>
          </w:p>
        </w:tc>
        <w:tc>
          <w:tcPr>
            <w:tcW w:w="1080" w:type="dxa"/>
            <w:vAlign w:val="bottom"/>
          </w:tcPr>
          <w:p w14:paraId="522340FE" w14:textId="40C31A81" w:rsidR="001F7143" w:rsidRPr="001F7143" w:rsidRDefault="001F7143" w:rsidP="001F7143">
            <w:pPr>
              <w:jc w:val="center"/>
              <w:rPr>
                <w:sz w:val="22"/>
                <w:lang w:val="en-US"/>
              </w:rPr>
            </w:pPr>
            <w:r w:rsidRPr="001F7143">
              <w:rPr>
                <w:color w:val="000000"/>
                <w:sz w:val="22"/>
              </w:rPr>
              <w:t>50.15</w:t>
            </w:r>
            <w:r w:rsidRPr="00AE0584">
              <w:rPr>
                <w:color w:val="000000"/>
                <w:sz w:val="22"/>
                <w:vertAlign w:val="superscript"/>
              </w:rPr>
              <w:t>*</w:t>
            </w:r>
            <w:r w:rsidR="00391D17" w:rsidRPr="00AE0584">
              <w:rPr>
                <w:color w:val="000000"/>
                <w:sz w:val="22"/>
                <w:vertAlign w:val="superscript"/>
              </w:rPr>
              <w:t>*</w:t>
            </w:r>
          </w:p>
        </w:tc>
        <w:tc>
          <w:tcPr>
            <w:tcW w:w="1080" w:type="dxa"/>
            <w:vAlign w:val="bottom"/>
          </w:tcPr>
          <w:p w14:paraId="4F9E07AE" w14:textId="17DCA2CE" w:rsidR="001F7143" w:rsidRPr="001F7143" w:rsidRDefault="001F7143" w:rsidP="001F7143">
            <w:pPr>
              <w:jc w:val="center"/>
              <w:rPr>
                <w:sz w:val="22"/>
                <w:lang w:val="en-US"/>
              </w:rPr>
            </w:pPr>
            <w:r w:rsidRPr="001F7143">
              <w:rPr>
                <w:color w:val="000000"/>
                <w:sz w:val="22"/>
              </w:rPr>
              <w:t>-0.56</w:t>
            </w:r>
            <w:r w:rsidRPr="00AE0584">
              <w:rPr>
                <w:color w:val="000000"/>
                <w:sz w:val="22"/>
                <w:vertAlign w:val="superscript"/>
              </w:rPr>
              <w:t>*</w:t>
            </w:r>
          </w:p>
        </w:tc>
        <w:tc>
          <w:tcPr>
            <w:tcW w:w="1170" w:type="dxa"/>
            <w:vAlign w:val="bottom"/>
          </w:tcPr>
          <w:p w14:paraId="27EFAD44" w14:textId="065E6772" w:rsidR="001F7143" w:rsidRPr="001F7143" w:rsidRDefault="001F7143" w:rsidP="001F7143">
            <w:pPr>
              <w:jc w:val="center"/>
              <w:rPr>
                <w:sz w:val="22"/>
                <w:lang w:val="en-US"/>
              </w:rPr>
            </w:pPr>
            <w:r w:rsidRPr="001F7143">
              <w:rPr>
                <w:color w:val="000000"/>
                <w:sz w:val="22"/>
              </w:rPr>
              <w:t>-75.15</w:t>
            </w:r>
            <w:r w:rsidRPr="00AE0584">
              <w:rPr>
                <w:color w:val="000000"/>
                <w:sz w:val="22"/>
                <w:vertAlign w:val="superscript"/>
              </w:rPr>
              <w:t>**</w:t>
            </w:r>
          </w:p>
        </w:tc>
        <w:tc>
          <w:tcPr>
            <w:tcW w:w="1080" w:type="dxa"/>
            <w:vAlign w:val="bottom"/>
          </w:tcPr>
          <w:p w14:paraId="3B914373" w14:textId="6EB33323" w:rsidR="001F7143" w:rsidRPr="001F7143" w:rsidRDefault="001F7143" w:rsidP="001F7143">
            <w:pPr>
              <w:jc w:val="center"/>
              <w:rPr>
                <w:sz w:val="22"/>
                <w:lang w:val="en-US"/>
              </w:rPr>
            </w:pPr>
            <w:r w:rsidRPr="001F7143">
              <w:rPr>
                <w:color w:val="000000"/>
                <w:sz w:val="22"/>
              </w:rPr>
              <w:t>-38.03</w:t>
            </w:r>
            <w:r w:rsidR="00391D17" w:rsidRPr="00391D17">
              <w:rPr>
                <w:sz w:val="22"/>
                <w:vertAlign w:val="superscript"/>
              </w:rPr>
              <w:t>**</w:t>
            </w:r>
          </w:p>
        </w:tc>
        <w:tc>
          <w:tcPr>
            <w:tcW w:w="1080" w:type="dxa"/>
            <w:vAlign w:val="bottom"/>
          </w:tcPr>
          <w:p w14:paraId="6B78894B" w14:textId="6BBDC4CA" w:rsidR="001F7143" w:rsidRPr="001F7143" w:rsidRDefault="001F7143" w:rsidP="001F7143">
            <w:pPr>
              <w:jc w:val="center"/>
              <w:rPr>
                <w:sz w:val="22"/>
                <w:lang w:val="en-US"/>
              </w:rPr>
            </w:pPr>
            <w:r w:rsidRPr="001F7143">
              <w:rPr>
                <w:color w:val="000000"/>
                <w:sz w:val="22"/>
              </w:rPr>
              <w:t>0.36</w:t>
            </w:r>
            <w:r w:rsidRPr="00AE0584">
              <w:rPr>
                <w:color w:val="000000"/>
                <w:sz w:val="22"/>
                <w:vertAlign w:val="superscript"/>
              </w:rPr>
              <w:t>*</w:t>
            </w:r>
          </w:p>
        </w:tc>
        <w:tc>
          <w:tcPr>
            <w:tcW w:w="1170" w:type="dxa"/>
            <w:vAlign w:val="bottom"/>
          </w:tcPr>
          <w:p w14:paraId="20A35475" w14:textId="6A337BFB" w:rsidR="001F7143" w:rsidRPr="001F7143" w:rsidRDefault="001F7143" w:rsidP="001F7143">
            <w:pPr>
              <w:jc w:val="center"/>
              <w:rPr>
                <w:sz w:val="22"/>
                <w:lang w:val="en-US"/>
              </w:rPr>
            </w:pPr>
            <w:r w:rsidRPr="001F7143">
              <w:rPr>
                <w:color w:val="000000"/>
                <w:sz w:val="22"/>
              </w:rPr>
              <w:t>-31.39</w:t>
            </w:r>
            <w:r w:rsidRPr="00AE0584">
              <w:rPr>
                <w:color w:val="000000"/>
                <w:sz w:val="22"/>
                <w:vertAlign w:val="superscript"/>
              </w:rPr>
              <w:t>**</w:t>
            </w:r>
          </w:p>
        </w:tc>
        <w:tc>
          <w:tcPr>
            <w:tcW w:w="1170" w:type="dxa"/>
            <w:vAlign w:val="bottom"/>
          </w:tcPr>
          <w:p w14:paraId="586F3576" w14:textId="1CD83C95" w:rsidR="001F7143" w:rsidRPr="001F7143" w:rsidRDefault="001F7143" w:rsidP="001F7143">
            <w:pPr>
              <w:jc w:val="center"/>
              <w:rPr>
                <w:sz w:val="22"/>
                <w:lang w:val="en-US"/>
              </w:rPr>
            </w:pPr>
            <w:r w:rsidRPr="001F7143">
              <w:rPr>
                <w:color w:val="000000"/>
                <w:sz w:val="22"/>
              </w:rPr>
              <w:t>-2.08</w:t>
            </w:r>
          </w:p>
        </w:tc>
        <w:tc>
          <w:tcPr>
            <w:tcW w:w="1170" w:type="dxa"/>
            <w:vAlign w:val="bottom"/>
          </w:tcPr>
          <w:p w14:paraId="10DB6233" w14:textId="54283D1A" w:rsidR="001F7143" w:rsidRPr="001F7143" w:rsidRDefault="001F7143" w:rsidP="001F7143">
            <w:pPr>
              <w:jc w:val="center"/>
              <w:rPr>
                <w:sz w:val="22"/>
                <w:lang w:val="en-US"/>
              </w:rPr>
            </w:pPr>
            <w:r w:rsidRPr="001F7143">
              <w:rPr>
                <w:color w:val="000000"/>
                <w:sz w:val="22"/>
              </w:rPr>
              <w:t>0.59</w:t>
            </w:r>
            <w:r w:rsidRPr="00AE0584">
              <w:rPr>
                <w:color w:val="000000"/>
                <w:sz w:val="22"/>
                <w:vertAlign w:val="superscript"/>
              </w:rPr>
              <w:t>*</w:t>
            </w:r>
            <w:r w:rsidR="00AE0584" w:rsidRPr="00AE0584">
              <w:rPr>
                <w:color w:val="000000"/>
                <w:sz w:val="22"/>
                <w:vertAlign w:val="superscript"/>
              </w:rPr>
              <w:t>*</w:t>
            </w:r>
          </w:p>
        </w:tc>
        <w:tc>
          <w:tcPr>
            <w:tcW w:w="1170" w:type="dxa"/>
            <w:vAlign w:val="bottom"/>
          </w:tcPr>
          <w:p w14:paraId="46BF11AF" w14:textId="26BCDE05" w:rsidR="001F7143" w:rsidRPr="001F7143" w:rsidRDefault="001F7143" w:rsidP="001F7143">
            <w:pPr>
              <w:jc w:val="center"/>
              <w:rPr>
                <w:sz w:val="22"/>
                <w:lang w:val="en-US"/>
              </w:rPr>
            </w:pPr>
            <w:r w:rsidRPr="001F7143">
              <w:rPr>
                <w:color w:val="000000"/>
                <w:sz w:val="22"/>
              </w:rPr>
              <w:t>-24.22</w:t>
            </w:r>
            <w:r w:rsidRPr="00AE0584">
              <w:rPr>
                <w:color w:val="000000"/>
                <w:sz w:val="22"/>
                <w:vertAlign w:val="superscript"/>
              </w:rPr>
              <w:t>*</w:t>
            </w:r>
            <w:r w:rsidR="00AE0584" w:rsidRPr="00AE0584">
              <w:rPr>
                <w:color w:val="000000"/>
                <w:sz w:val="22"/>
                <w:vertAlign w:val="superscript"/>
              </w:rPr>
              <w:t>*</w:t>
            </w:r>
          </w:p>
        </w:tc>
        <w:tc>
          <w:tcPr>
            <w:tcW w:w="1080" w:type="dxa"/>
            <w:vAlign w:val="bottom"/>
          </w:tcPr>
          <w:p w14:paraId="0F9DD517" w14:textId="369E3BE9" w:rsidR="001F7143" w:rsidRPr="001F7143" w:rsidRDefault="001F7143" w:rsidP="001F7143">
            <w:pPr>
              <w:jc w:val="center"/>
              <w:rPr>
                <w:sz w:val="22"/>
                <w:lang w:val="en-US"/>
              </w:rPr>
            </w:pPr>
            <w:r w:rsidRPr="001F7143">
              <w:rPr>
                <w:color w:val="000000"/>
                <w:sz w:val="22"/>
              </w:rPr>
              <w:t>7.98</w:t>
            </w:r>
            <w:r w:rsidRPr="00AE0584">
              <w:rPr>
                <w:color w:val="000000"/>
                <w:sz w:val="22"/>
                <w:vertAlign w:val="superscript"/>
              </w:rPr>
              <w:t>*</w:t>
            </w:r>
          </w:p>
        </w:tc>
      </w:tr>
      <w:tr w:rsidR="00DD0B9E" w:rsidRPr="00DD0B9E" w14:paraId="6F9193E8" w14:textId="77777777" w:rsidTr="001A7465">
        <w:trPr>
          <w:trHeight w:val="20"/>
        </w:trPr>
        <w:tc>
          <w:tcPr>
            <w:tcW w:w="1097" w:type="dxa"/>
            <w:vAlign w:val="center"/>
          </w:tcPr>
          <w:p w14:paraId="26CE73B2" w14:textId="77777777" w:rsidR="00DD0B9E" w:rsidRPr="00DD0B9E" w:rsidRDefault="00DD0B9E" w:rsidP="00DD0B9E">
            <w:pPr>
              <w:jc w:val="center"/>
              <w:rPr>
                <w:b/>
                <w:lang w:val="en-US"/>
              </w:rPr>
            </w:pPr>
          </w:p>
        </w:tc>
        <w:tc>
          <w:tcPr>
            <w:tcW w:w="1148" w:type="dxa"/>
            <w:vAlign w:val="bottom"/>
          </w:tcPr>
          <w:p w14:paraId="5939318E" w14:textId="2B78076A" w:rsidR="00DD0B9E" w:rsidRPr="00267677" w:rsidRDefault="00DD0B9E" w:rsidP="00DD0B9E">
            <w:pPr>
              <w:jc w:val="center"/>
              <w:rPr>
                <w:sz w:val="22"/>
                <w:lang w:val="en-US"/>
              </w:rPr>
            </w:pPr>
            <w:r w:rsidRPr="00267677">
              <w:rPr>
                <w:color w:val="000000"/>
                <w:sz w:val="22"/>
              </w:rPr>
              <w:t>7.75%</w:t>
            </w:r>
          </w:p>
        </w:tc>
        <w:tc>
          <w:tcPr>
            <w:tcW w:w="1170" w:type="dxa"/>
            <w:vAlign w:val="bottom"/>
          </w:tcPr>
          <w:p w14:paraId="022EEFC7" w14:textId="36C13B95" w:rsidR="00DD0B9E" w:rsidRPr="00267677" w:rsidRDefault="00DD0B9E" w:rsidP="00DD0B9E">
            <w:pPr>
              <w:jc w:val="center"/>
              <w:rPr>
                <w:sz w:val="22"/>
                <w:lang w:val="en-US"/>
              </w:rPr>
            </w:pPr>
            <w:r w:rsidRPr="00267677">
              <w:rPr>
                <w:color w:val="000000"/>
                <w:sz w:val="22"/>
              </w:rPr>
              <w:t>0.34%</w:t>
            </w:r>
          </w:p>
        </w:tc>
        <w:tc>
          <w:tcPr>
            <w:tcW w:w="1080" w:type="dxa"/>
            <w:vAlign w:val="bottom"/>
          </w:tcPr>
          <w:p w14:paraId="5DB15AF1" w14:textId="2E17A74F" w:rsidR="00DD0B9E" w:rsidRPr="00267677" w:rsidRDefault="00DD0B9E" w:rsidP="00DD0B9E">
            <w:pPr>
              <w:jc w:val="center"/>
              <w:rPr>
                <w:sz w:val="22"/>
                <w:lang w:val="en-US"/>
              </w:rPr>
            </w:pPr>
            <w:r w:rsidRPr="00267677">
              <w:rPr>
                <w:color w:val="000000"/>
                <w:sz w:val="22"/>
              </w:rPr>
              <w:t>8.47%</w:t>
            </w:r>
          </w:p>
        </w:tc>
        <w:tc>
          <w:tcPr>
            <w:tcW w:w="1080" w:type="dxa"/>
            <w:vAlign w:val="bottom"/>
          </w:tcPr>
          <w:p w14:paraId="77FAAB7D" w14:textId="5C7A55EB" w:rsidR="00DD0B9E" w:rsidRPr="00267677" w:rsidRDefault="00DD0B9E" w:rsidP="00DD0B9E">
            <w:pPr>
              <w:jc w:val="center"/>
              <w:rPr>
                <w:sz w:val="22"/>
                <w:lang w:val="en-US"/>
              </w:rPr>
            </w:pPr>
            <w:r w:rsidRPr="00267677">
              <w:rPr>
                <w:color w:val="000000"/>
                <w:sz w:val="22"/>
              </w:rPr>
              <w:t>-2.70%</w:t>
            </w:r>
          </w:p>
        </w:tc>
        <w:tc>
          <w:tcPr>
            <w:tcW w:w="1170" w:type="dxa"/>
            <w:vAlign w:val="bottom"/>
          </w:tcPr>
          <w:p w14:paraId="6691C661" w14:textId="5C3EF881" w:rsidR="00DD0B9E" w:rsidRPr="00267677" w:rsidRDefault="00DD0B9E" w:rsidP="00DD0B9E">
            <w:pPr>
              <w:jc w:val="center"/>
              <w:rPr>
                <w:sz w:val="22"/>
                <w:lang w:val="en-US"/>
              </w:rPr>
            </w:pPr>
            <w:r w:rsidRPr="00267677">
              <w:rPr>
                <w:color w:val="000000"/>
                <w:sz w:val="22"/>
              </w:rPr>
              <w:t>-2.02%</w:t>
            </w:r>
          </w:p>
        </w:tc>
        <w:tc>
          <w:tcPr>
            <w:tcW w:w="1080" w:type="dxa"/>
            <w:vAlign w:val="bottom"/>
          </w:tcPr>
          <w:p w14:paraId="01746DB4" w14:textId="76D0486C" w:rsidR="00DD0B9E" w:rsidRPr="00267677" w:rsidRDefault="00DD0B9E" w:rsidP="00DD0B9E">
            <w:pPr>
              <w:jc w:val="center"/>
              <w:rPr>
                <w:sz w:val="22"/>
                <w:lang w:val="en-US"/>
              </w:rPr>
            </w:pPr>
            <w:r w:rsidRPr="00267677">
              <w:rPr>
                <w:color w:val="000000"/>
                <w:sz w:val="22"/>
              </w:rPr>
              <w:t>-7.84%</w:t>
            </w:r>
          </w:p>
        </w:tc>
        <w:tc>
          <w:tcPr>
            <w:tcW w:w="1080" w:type="dxa"/>
            <w:vAlign w:val="bottom"/>
          </w:tcPr>
          <w:p w14:paraId="6AA14C88" w14:textId="2F775617" w:rsidR="00DD0B9E" w:rsidRPr="00267677" w:rsidRDefault="00DD0B9E" w:rsidP="00DD0B9E">
            <w:pPr>
              <w:jc w:val="center"/>
              <w:rPr>
                <w:sz w:val="22"/>
                <w:lang w:val="en-US"/>
              </w:rPr>
            </w:pPr>
            <w:r w:rsidRPr="00267677">
              <w:rPr>
                <w:color w:val="000000"/>
                <w:sz w:val="22"/>
              </w:rPr>
              <w:t>1.45%</w:t>
            </w:r>
          </w:p>
        </w:tc>
        <w:tc>
          <w:tcPr>
            <w:tcW w:w="1170" w:type="dxa"/>
            <w:vAlign w:val="bottom"/>
          </w:tcPr>
          <w:p w14:paraId="4901FBD0" w14:textId="102E77C4" w:rsidR="00DD0B9E" w:rsidRPr="00267677" w:rsidRDefault="00DD0B9E" w:rsidP="00DD0B9E">
            <w:pPr>
              <w:jc w:val="center"/>
              <w:rPr>
                <w:sz w:val="22"/>
                <w:lang w:val="en-US"/>
              </w:rPr>
            </w:pPr>
            <w:r w:rsidRPr="00267677">
              <w:rPr>
                <w:color w:val="000000"/>
                <w:sz w:val="22"/>
              </w:rPr>
              <w:t>-0.86%</w:t>
            </w:r>
          </w:p>
        </w:tc>
        <w:tc>
          <w:tcPr>
            <w:tcW w:w="1170" w:type="dxa"/>
            <w:vAlign w:val="bottom"/>
          </w:tcPr>
          <w:p w14:paraId="6C2629E9" w14:textId="61B551A6" w:rsidR="00DD0B9E" w:rsidRPr="00267677" w:rsidRDefault="00DD0B9E" w:rsidP="00DD0B9E">
            <w:pPr>
              <w:jc w:val="center"/>
              <w:rPr>
                <w:sz w:val="22"/>
                <w:lang w:val="en-US"/>
              </w:rPr>
            </w:pPr>
            <w:r w:rsidRPr="00267677">
              <w:rPr>
                <w:color w:val="000000"/>
                <w:sz w:val="22"/>
              </w:rPr>
              <w:t>-0.58%</w:t>
            </w:r>
          </w:p>
        </w:tc>
        <w:tc>
          <w:tcPr>
            <w:tcW w:w="1170" w:type="dxa"/>
            <w:vAlign w:val="bottom"/>
          </w:tcPr>
          <w:p w14:paraId="0F22B733" w14:textId="040A3708" w:rsidR="00DD0B9E" w:rsidRPr="00267677" w:rsidRDefault="00DD0B9E" w:rsidP="00DD0B9E">
            <w:pPr>
              <w:jc w:val="center"/>
              <w:rPr>
                <w:sz w:val="22"/>
                <w:lang w:val="en-US"/>
              </w:rPr>
            </w:pPr>
            <w:r w:rsidRPr="00267677">
              <w:rPr>
                <w:color w:val="000000"/>
                <w:sz w:val="22"/>
              </w:rPr>
              <w:t>2.68%</w:t>
            </w:r>
          </w:p>
        </w:tc>
        <w:tc>
          <w:tcPr>
            <w:tcW w:w="1170" w:type="dxa"/>
            <w:vAlign w:val="bottom"/>
          </w:tcPr>
          <w:p w14:paraId="41DAD434" w14:textId="16EDECB3" w:rsidR="00DD0B9E" w:rsidRPr="00267677" w:rsidRDefault="00DD0B9E" w:rsidP="00DD0B9E">
            <w:pPr>
              <w:jc w:val="center"/>
              <w:rPr>
                <w:sz w:val="22"/>
                <w:lang w:val="en-US"/>
              </w:rPr>
            </w:pPr>
            <w:r w:rsidRPr="00267677">
              <w:rPr>
                <w:color w:val="000000"/>
                <w:sz w:val="22"/>
              </w:rPr>
              <w:t>-0.66%</w:t>
            </w:r>
          </w:p>
        </w:tc>
        <w:tc>
          <w:tcPr>
            <w:tcW w:w="1080" w:type="dxa"/>
            <w:vAlign w:val="bottom"/>
          </w:tcPr>
          <w:p w14:paraId="030B9CF8" w14:textId="409E4ABF" w:rsidR="00DD0B9E" w:rsidRPr="00267677" w:rsidRDefault="00DD0B9E" w:rsidP="00DD0B9E">
            <w:pPr>
              <w:jc w:val="center"/>
              <w:rPr>
                <w:sz w:val="22"/>
                <w:lang w:val="en-US"/>
              </w:rPr>
            </w:pPr>
            <w:r w:rsidRPr="00267677">
              <w:rPr>
                <w:color w:val="000000"/>
                <w:sz w:val="22"/>
              </w:rPr>
              <w:t>1.08%</w:t>
            </w:r>
          </w:p>
        </w:tc>
      </w:tr>
    </w:tbl>
    <w:p w14:paraId="3CBB222F" w14:textId="683D8944" w:rsidR="00EF2E15" w:rsidRPr="00F41B48" w:rsidRDefault="00A04F04" w:rsidP="00A0665C">
      <w:pPr>
        <w:rPr>
          <w:sz w:val="20"/>
          <w:szCs w:val="20"/>
          <w:vertAlign w:val="superscript"/>
        </w:rPr>
        <w:sectPr w:rsidR="00EF2E15" w:rsidRPr="00F41B48" w:rsidSect="00EF2E15">
          <w:pgSz w:w="16838" w:h="11906" w:orient="landscape"/>
          <w:pgMar w:top="720" w:right="1440" w:bottom="1440" w:left="720" w:header="706" w:footer="706" w:gutter="0"/>
          <w:cols w:space="708"/>
          <w:docGrid w:linePitch="360"/>
        </w:sectPr>
      </w:pPr>
      <w:r w:rsidRPr="007013A8">
        <w:rPr>
          <w:sz w:val="20"/>
          <w:szCs w:val="20"/>
        </w:rPr>
        <w:t xml:space="preserve">*: </w:t>
      </w:r>
      <w:r w:rsidRPr="007013A8">
        <w:rPr>
          <w:i/>
          <w:sz w:val="20"/>
          <w:szCs w:val="20"/>
        </w:rPr>
        <w:t>p</w:t>
      </w:r>
      <w:r w:rsidRPr="007013A8">
        <w:rPr>
          <w:sz w:val="20"/>
          <w:szCs w:val="20"/>
        </w:rPr>
        <w:t xml:space="preserve">&lt;.05, **: </w:t>
      </w:r>
      <w:r w:rsidRPr="007013A8">
        <w:rPr>
          <w:i/>
          <w:sz w:val="20"/>
          <w:szCs w:val="20"/>
        </w:rPr>
        <w:t>p</w:t>
      </w:r>
      <w:r w:rsidRPr="007013A8">
        <w:rPr>
          <w:sz w:val="20"/>
          <w:szCs w:val="20"/>
        </w:rPr>
        <w:t xml:space="preserve">&lt;.01, </w:t>
      </w:r>
      <w:r>
        <w:rPr>
          <w:sz w:val="20"/>
          <w:szCs w:val="20"/>
        </w:rPr>
        <w:t>one-tailed tests based on distribution across parameter draws.</w:t>
      </w:r>
      <w:r w:rsidR="006E1CE8">
        <w:rPr>
          <w:sz w:val="20"/>
          <w:szCs w:val="20"/>
          <w:vertAlign w:val="superscript"/>
        </w:rPr>
        <w:t xml:space="preserve"> </w:t>
      </w:r>
      <w:r w:rsidR="00AE0584" w:rsidRPr="00AE0584">
        <w:rPr>
          <w:sz w:val="20"/>
          <w:szCs w:val="20"/>
          <w:vertAlign w:val="superscript"/>
        </w:rPr>
        <w:t>a</w:t>
      </w:r>
      <w:r>
        <w:rPr>
          <w:sz w:val="20"/>
          <w:szCs w:val="20"/>
          <w:vertAlign w:val="superscript"/>
        </w:rPr>
        <w:t xml:space="preserve"> </w:t>
      </w:r>
      <w:r w:rsidR="00AE0584" w:rsidRPr="00D543F6">
        <w:rPr>
          <w:sz w:val="20"/>
          <w:szCs w:val="20"/>
        </w:rPr>
        <w:t xml:space="preserve">Conditional </w:t>
      </w:r>
      <w:r>
        <w:rPr>
          <w:sz w:val="20"/>
          <w:szCs w:val="20"/>
        </w:rPr>
        <w:t>P</w:t>
      </w:r>
      <w:r w:rsidR="00AE0584" w:rsidRPr="00D543F6">
        <w:rPr>
          <w:sz w:val="20"/>
          <w:szCs w:val="20"/>
        </w:rPr>
        <w:t xml:space="preserve">urchase </w:t>
      </w:r>
      <w:r>
        <w:rPr>
          <w:sz w:val="20"/>
          <w:szCs w:val="20"/>
        </w:rPr>
        <w:t>V</w:t>
      </w:r>
      <w:r w:rsidR="00AE0584" w:rsidRPr="00D543F6">
        <w:rPr>
          <w:sz w:val="20"/>
          <w:szCs w:val="20"/>
        </w:rPr>
        <w:t xml:space="preserve">olume’ is the change in purchase volume over the considered period, per household, given a visit, expressed in constant monetary value (Euros). ‘Total </w:t>
      </w:r>
      <w:r>
        <w:rPr>
          <w:sz w:val="20"/>
          <w:szCs w:val="20"/>
        </w:rPr>
        <w:t>P</w:t>
      </w:r>
      <w:r w:rsidR="00AE0584" w:rsidRPr="00D543F6">
        <w:rPr>
          <w:sz w:val="20"/>
          <w:szCs w:val="20"/>
        </w:rPr>
        <w:t xml:space="preserve">urchase </w:t>
      </w:r>
      <w:r>
        <w:rPr>
          <w:sz w:val="20"/>
          <w:szCs w:val="20"/>
        </w:rPr>
        <w:t>V</w:t>
      </w:r>
      <w:r w:rsidR="00AE0584" w:rsidRPr="00D543F6">
        <w:rPr>
          <w:sz w:val="20"/>
          <w:szCs w:val="20"/>
        </w:rPr>
        <w:t>olume’ is the change in total purchase volume (in Euros) over the considered period, per household, unconditional on a store visit (so: zero if the household did not visit the store in those weeks). The economic significance of these figures is clear from Table 9, where we report the equivalent value at the market level.</w:t>
      </w:r>
      <w:r w:rsidR="00AE0584" w:rsidRPr="00D543F6">
        <w:rPr>
          <w:sz w:val="20"/>
          <w:szCs w:val="20"/>
          <w:vertAlign w:val="superscript"/>
        </w:rPr>
        <w:t xml:space="preserve"> b</w:t>
      </w:r>
      <w:r w:rsidR="00AE0584" w:rsidRPr="00D543F6">
        <w:rPr>
          <w:sz w:val="20"/>
          <w:szCs w:val="20"/>
        </w:rPr>
        <w:t xml:space="preserve"> Impact over </w:t>
      </w:r>
      <w:r w:rsidR="00E769F2">
        <w:rPr>
          <w:sz w:val="20"/>
          <w:szCs w:val="20"/>
        </w:rPr>
        <w:t xml:space="preserve">the </w:t>
      </w:r>
      <w:r w:rsidR="00AE0584" w:rsidRPr="00D543F6">
        <w:rPr>
          <w:sz w:val="20"/>
          <w:szCs w:val="20"/>
        </w:rPr>
        <w:t xml:space="preserve">eight-week period following the event. </w:t>
      </w:r>
      <w:r w:rsidR="00AE0584" w:rsidRPr="00D543F6">
        <w:rPr>
          <w:sz w:val="20"/>
          <w:szCs w:val="20"/>
          <w:vertAlign w:val="superscript"/>
        </w:rPr>
        <w:t>c</w:t>
      </w:r>
      <w:r w:rsidR="00AE0584" w:rsidRPr="00D543F6">
        <w:rPr>
          <w:sz w:val="20"/>
          <w:szCs w:val="20"/>
        </w:rPr>
        <w:t xml:space="preserve"> Impact over </w:t>
      </w:r>
      <w:r w:rsidR="00E769F2">
        <w:rPr>
          <w:sz w:val="20"/>
          <w:szCs w:val="20"/>
        </w:rPr>
        <w:t xml:space="preserve">the </w:t>
      </w:r>
      <w:r w:rsidR="00AE0584" w:rsidRPr="00D543F6">
        <w:rPr>
          <w:sz w:val="20"/>
          <w:szCs w:val="20"/>
        </w:rPr>
        <w:t>twelve-week period (1 pre-event week + three event weeks + eight post-event weeks).</w:t>
      </w:r>
    </w:p>
    <w:p w14:paraId="11F49AAE" w14:textId="00DBDBA1" w:rsidR="00642D13" w:rsidRDefault="00926F9C" w:rsidP="00926F9C">
      <w:pPr>
        <w:jc w:val="center"/>
        <w:rPr>
          <w:b/>
          <w:vertAlign w:val="superscript"/>
        </w:rPr>
      </w:pPr>
      <w:r w:rsidRPr="00926F9C">
        <w:rPr>
          <w:b/>
        </w:rPr>
        <w:lastRenderedPageBreak/>
        <w:t>F</w:t>
      </w:r>
      <w:r w:rsidR="00D620CB">
        <w:rPr>
          <w:b/>
        </w:rPr>
        <w:t>IGURE</w:t>
      </w:r>
      <w:r w:rsidRPr="00926F9C">
        <w:rPr>
          <w:b/>
        </w:rPr>
        <w:t xml:space="preserve"> WA1: Impact of </w:t>
      </w:r>
      <w:proofErr w:type="spellStart"/>
      <w:r w:rsidRPr="00926F9C">
        <w:rPr>
          <w:b/>
        </w:rPr>
        <w:t>ReTSS</w:t>
      </w:r>
      <w:proofErr w:type="spellEnd"/>
      <w:r w:rsidR="00B81494">
        <w:rPr>
          <w:b/>
        </w:rPr>
        <w:t>’</w:t>
      </w:r>
      <w:r w:rsidRPr="00926F9C">
        <w:rPr>
          <w:b/>
        </w:rPr>
        <w:t xml:space="preserve"> </w:t>
      </w:r>
      <w:r w:rsidR="00BF7D53" w:rsidRPr="00926F9C">
        <w:rPr>
          <w:b/>
        </w:rPr>
        <w:t>Theme vs. Support (Discounts, Features and Advertising)</w:t>
      </w:r>
      <w:r w:rsidR="00642D13" w:rsidRPr="00926F9C">
        <w:rPr>
          <w:b/>
        </w:rPr>
        <w:t xml:space="preserve">, over </w:t>
      </w:r>
      <w:proofErr w:type="spellStart"/>
      <w:r w:rsidR="00642D13" w:rsidRPr="00926F9C">
        <w:rPr>
          <w:b/>
        </w:rPr>
        <w:t>Time</w:t>
      </w:r>
      <w:r w:rsidR="00642D13" w:rsidRPr="00926F9C">
        <w:rPr>
          <w:b/>
          <w:vertAlign w:val="superscript"/>
        </w:rPr>
        <w:t>a</w:t>
      </w:r>
      <w:proofErr w:type="spellEnd"/>
    </w:p>
    <w:tbl>
      <w:tblPr>
        <w:tblStyle w:val="TableGrid"/>
        <w:tblW w:w="10075" w:type="dxa"/>
        <w:tblLook w:val="04A0" w:firstRow="1" w:lastRow="0" w:firstColumn="1" w:lastColumn="0" w:noHBand="0" w:noVBand="1"/>
      </w:tblPr>
      <w:tblGrid>
        <w:gridCol w:w="5035"/>
        <w:gridCol w:w="5040"/>
      </w:tblGrid>
      <w:tr w:rsidR="00C762F5" w14:paraId="49B28416" w14:textId="77777777" w:rsidTr="00C762F5">
        <w:tc>
          <w:tcPr>
            <w:tcW w:w="5035" w:type="dxa"/>
          </w:tcPr>
          <w:p w14:paraId="32CAA353" w14:textId="279F4159" w:rsidR="00C762F5" w:rsidRDefault="00C762F5" w:rsidP="00C762F5">
            <w:pPr>
              <w:jc w:val="center"/>
              <w:rPr>
                <w:b/>
                <w:caps/>
                <w:lang w:val="en-US"/>
              </w:rPr>
            </w:pPr>
            <w:r w:rsidRPr="00800D00">
              <w:rPr>
                <w:caps/>
                <w:lang w:val="en-US"/>
              </w:rPr>
              <w:t>Panel A: VISITS</w:t>
            </w:r>
          </w:p>
        </w:tc>
        <w:tc>
          <w:tcPr>
            <w:tcW w:w="5040" w:type="dxa"/>
          </w:tcPr>
          <w:p w14:paraId="22E86D36" w14:textId="239AC801" w:rsidR="00C762F5" w:rsidRDefault="00C762F5" w:rsidP="00C762F5">
            <w:pPr>
              <w:jc w:val="center"/>
              <w:rPr>
                <w:b/>
                <w:caps/>
                <w:lang w:val="en-US"/>
              </w:rPr>
            </w:pPr>
            <w:r w:rsidRPr="00800D00">
              <w:rPr>
                <w:caps/>
                <w:lang w:val="en-US"/>
              </w:rPr>
              <w:t>Panel B: PURCHASES</w:t>
            </w:r>
          </w:p>
        </w:tc>
      </w:tr>
    </w:tbl>
    <w:tbl>
      <w:tblPr>
        <w:tblW w:w="10080" w:type="dxa"/>
        <w:tblLayout w:type="fixed"/>
        <w:tblLook w:val="04A0" w:firstRow="1" w:lastRow="0" w:firstColumn="1" w:lastColumn="0" w:noHBand="0" w:noVBand="1"/>
      </w:tblPr>
      <w:tblGrid>
        <w:gridCol w:w="5040"/>
        <w:gridCol w:w="5040"/>
      </w:tblGrid>
      <w:tr w:rsidR="00C762F5" w:rsidRPr="00800D00" w14:paraId="176510CF" w14:textId="77777777" w:rsidTr="002B4142">
        <w:tc>
          <w:tcPr>
            <w:tcW w:w="5040" w:type="dxa"/>
          </w:tcPr>
          <w:p w14:paraId="4BB1221D" w14:textId="1CE75E95" w:rsidR="00C762F5" w:rsidRPr="00800D00" w:rsidRDefault="00C762F5" w:rsidP="004025C8">
            <w:pPr>
              <w:jc w:val="center"/>
            </w:pPr>
            <w:r w:rsidRPr="00926F9C">
              <w:t xml:space="preserve">Event </w:t>
            </w:r>
            <w:r w:rsidRPr="00926F9C">
              <w:rPr>
                <w:caps/>
              </w:rPr>
              <w:t xml:space="preserve">4 </w:t>
            </w:r>
            <w:r w:rsidRPr="00926F9C">
              <w:t>(average)</w:t>
            </w:r>
          </w:p>
        </w:tc>
        <w:tc>
          <w:tcPr>
            <w:tcW w:w="5040" w:type="dxa"/>
          </w:tcPr>
          <w:p w14:paraId="6162690D" w14:textId="73244235" w:rsidR="00C762F5" w:rsidRPr="00800D00" w:rsidRDefault="00C762F5" w:rsidP="004025C8">
            <w:pPr>
              <w:jc w:val="center"/>
            </w:pPr>
            <w:r w:rsidRPr="00926F9C">
              <w:t xml:space="preserve">Event </w:t>
            </w:r>
            <w:r w:rsidRPr="00926F9C">
              <w:rPr>
                <w:caps/>
              </w:rPr>
              <w:t xml:space="preserve">4 </w:t>
            </w:r>
            <w:r w:rsidRPr="00926F9C">
              <w:t>(average)</w:t>
            </w:r>
          </w:p>
        </w:tc>
      </w:tr>
      <w:tr w:rsidR="00642D13" w:rsidRPr="00800D00" w14:paraId="60DD17F7" w14:textId="77777777" w:rsidTr="00081E38">
        <w:trPr>
          <w:trHeight w:val="3168"/>
        </w:trPr>
        <w:tc>
          <w:tcPr>
            <w:tcW w:w="5040" w:type="dxa"/>
          </w:tcPr>
          <w:p w14:paraId="1B429D0F" w14:textId="2CF4CD00" w:rsidR="00642D13" w:rsidRPr="00800D00" w:rsidRDefault="002B189F" w:rsidP="004025C8">
            <w:pPr>
              <w:jc w:val="center"/>
              <w:rPr>
                <w:vertAlign w:val="superscript"/>
              </w:rPr>
            </w:pPr>
            <w:r>
              <w:rPr>
                <w:noProof/>
              </w:rPr>
              <w:drawing>
                <wp:inline distT="0" distB="0" distL="0" distR="0" wp14:anchorId="64066057" wp14:editId="6484CF4A">
                  <wp:extent cx="3063240" cy="2164080"/>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3240" cy="2164080"/>
                          </a:xfrm>
                          <a:prstGeom prst="rect">
                            <a:avLst/>
                          </a:prstGeom>
                          <a:noFill/>
                          <a:ln>
                            <a:noFill/>
                          </a:ln>
                        </pic:spPr>
                      </pic:pic>
                    </a:graphicData>
                  </a:graphic>
                </wp:inline>
              </w:drawing>
            </w:r>
          </w:p>
        </w:tc>
        <w:tc>
          <w:tcPr>
            <w:tcW w:w="5040" w:type="dxa"/>
          </w:tcPr>
          <w:p w14:paraId="65900357" w14:textId="550D650A" w:rsidR="00642D13" w:rsidRPr="00800D00" w:rsidRDefault="0066125B" w:rsidP="004025C8">
            <w:r>
              <w:rPr>
                <w:noProof/>
              </w:rPr>
              <w:drawing>
                <wp:inline distT="0" distB="0" distL="0" distR="0" wp14:anchorId="6AD9657E" wp14:editId="68AF7B51">
                  <wp:extent cx="3063240" cy="2171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3240" cy="2171700"/>
                          </a:xfrm>
                          <a:prstGeom prst="rect">
                            <a:avLst/>
                          </a:prstGeom>
                          <a:noFill/>
                          <a:ln>
                            <a:noFill/>
                          </a:ln>
                        </pic:spPr>
                      </pic:pic>
                    </a:graphicData>
                  </a:graphic>
                </wp:inline>
              </w:drawing>
            </w:r>
          </w:p>
        </w:tc>
      </w:tr>
      <w:tr w:rsidR="00081E38" w:rsidRPr="00800D00" w14:paraId="100DDA3D" w14:textId="77777777" w:rsidTr="00081E38">
        <w:tc>
          <w:tcPr>
            <w:tcW w:w="5040" w:type="dxa"/>
          </w:tcPr>
          <w:p w14:paraId="084C1B28" w14:textId="76308A94" w:rsidR="00642D13" w:rsidRPr="00800D00" w:rsidRDefault="00C762F5" w:rsidP="004025C8">
            <w:pPr>
              <w:jc w:val="center"/>
              <w:rPr>
                <w:caps/>
                <w:vertAlign w:val="superscript"/>
              </w:rPr>
            </w:pPr>
            <w:r w:rsidRPr="00926F9C">
              <w:t xml:space="preserve">Event </w:t>
            </w:r>
            <w:r w:rsidRPr="00926F9C">
              <w:rPr>
                <w:caps/>
              </w:rPr>
              <w:t xml:space="preserve">1 </w:t>
            </w:r>
            <w:r w:rsidRPr="00926F9C">
              <w:t>(worst)</w:t>
            </w:r>
          </w:p>
        </w:tc>
        <w:tc>
          <w:tcPr>
            <w:tcW w:w="5040" w:type="dxa"/>
          </w:tcPr>
          <w:p w14:paraId="6ABA81AE" w14:textId="510CE16A" w:rsidR="00642D13" w:rsidRPr="00800D00" w:rsidRDefault="00C762F5" w:rsidP="004025C8">
            <w:pPr>
              <w:jc w:val="center"/>
            </w:pPr>
            <w:r w:rsidRPr="00926F9C">
              <w:t xml:space="preserve">Event </w:t>
            </w:r>
            <w:r w:rsidRPr="00926F9C">
              <w:rPr>
                <w:caps/>
              </w:rPr>
              <w:t xml:space="preserve">1 </w:t>
            </w:r>
            <w:r w:rsidRPr="00926F9C">
              <w:t>(worst)</w:t>
            </w:r>
          </w:p>
        </w:tc>
      </w:tr>
      <w:tr w:rsidR="00081E38" w:rsidRPr="00800D00" w14:paraId="596701BA" w14:textId="77777777" w:rsidTr="00081E38">
        <w:trPr>
          <w:trHeight w:val="3249"/>
        </w:trPr>
        <w:tc>
          <w:tcPr>
            <w:tcW w:w="5040" w:type="dxa"/>
          </w:tcPr>
          <w:p w14:paraId="7E7A0A75" w14:textId="0F21A5A0" w:rsidR="00642D13" w:rsidRPr="00800D00" w:rsidRDefault="002B189F" w:rsidP="004025C8">
            <w:pPr>
              <w:jc w:val="center"/>
              <w:rPr>
                <w:vertAlign w:val="superscript"/>
              </w:rPr>
            </w:pPr>
            <w:r>
              <w:rPr>
                <w:noProof/>
              </w:rPr>
              <w:drawing>
                <wp:inline distT="0" distB="0" distL="0" distR="0" wp14:anchorId="56B0DE1C" wp14:editId="52C52A3B">
                  <wp:extent cx="3063240" cy="200406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3240" cy="2004060"/>
                          </a:xfrm>
                          <a:prstGeom prst="rect">
                            <a:avLst/>
                          </a:prstGeom>
                          <a:noFill/>
                          <a:ln>
                            <a:noFill/>
                          </a:ln>
                        </pic:spPr>
                      </pic:pic>
                    </a:graphicData>
                  </a:graphic>
                </wp:inline>
              </w:drawing>
            </w:r>
          </w:p>
        </w:tc>
        <w:tc>
          <w:tcPr>
            <w:tcW w:w="5040" w:type="dxa"/>
          </w:tcPr>
          <w:p w14:paraId="2AF02277" w14:textId="4DF9343F" w:rsidR="00642D13" w:rsidRPr="00800D00" w:rsidRDefault="002B189F" w:rsidP="004025C8">
            <w:r>
              <w:rPr>
                <w:noProof/>
              </w:rPr>
              <w:drawing>
                <wp:inline distT="0" distB="0" distL="0" distR="0" wp14:anchorId="4B4D99AA" wp14:editId="3CD8752B">
                  <wp:extent cx="2854325" cy="199644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037" cy="2015823"/>
                          </a:xfrm>
                          <a:prstGeom prst="rect">
                            <a:avLst/>
                          </a:prstGeom>
                          <a:noFill/>
                          <a:ln>
                            <a:noFill/>
                          </a:ln>
                        </pic:spPr>
                      </pic:pic>
                    </a:graphicData>
                  </a:graphic>
                </wp:inline>
              </w:drawing>
            </w:r>
          </w:p>
        </w:tc>
      </w:tr>
      <w:tr w:rsidR="00642D13" w:rsidRPr="00800D00" w14:paraId="106337FB" w14:textId="77777777" w:rsidTr="00081E38">
        <w:tc>
          <w:tcPr>
            <w:tcW w:w="5040" w:type="dxa"/>
          </w:tcPr>
          <w:p w14:paraId="63C6823B" w14:textId="3F413F42" w:rsidR="00642D13" w:rsidRPr="00800D00" w:rsidRDefault="00C762F5" w:rsidP="004025C8">
            <w:pPr>
              <w:jc w:val="center"/>
              <w:rPr>
                <w:caps/>
                <w:vertAlign w:val="superscript"/>
              </w:rPr>
            </w:pPr>
            <w:r w:rsidRPr="00926F9C">
              <w:t xml:space="preserve">Event </w:t>
            </w:r>
            <w:r w:rsidRPr="00926F9C">
              <w:rPr>
                <w:caps/>
              </w:rPr>
              <w:t>2 (</w:t>
            </w:r>
            <w:r w:rsidRPr="00926F9C">
              <w:t>best</w:t>
            </w:r>
            <w:r w:rsidRPr="00926F9C">
              <w:rPr>
                <w:caps/>
              </w:rPr>
              <w:t>)</w:t>
            </w:r>
          </w:p>
        </w:tc>
        <w:tc>
          <w:tcPr>
            <w:tcW w:w="5040" w:type="dxa"/>
          </w:tcPr>
          <w:p w14:paraId="517F0157" w14:textId="4524AB9B" w:rsidR="00642D13" w:rsidRPr="00800D00" w:rsidRDefault="00C762F5" w:rsidP="004025C8">
            <w:pPr>
              <w:jc w:val="center"/>
            </w:pPr>
            <w:r w:rsidRPr="00926F9C">
              <w:t xml:space="preserve">Event </w:t>
            </w:r>
            <w:r w:rsidRPr="00926F9C">
              <w:rPr>
                <w:caps/>
              </w:rPr>
              <w:t>2 (</w:t>
            </w:r>
            <w:r w:rsidRPr="00926F9C">
              <w:t>best</w:t>
            </w:r>
            <w:r w:rsidRPr="00926F9C">
              <w:rPr>
                <w:caps/>
              </w:rPr>
              <w:t>)</w:t>
            </w:r>
          </w:p>
        </w:tc>
      </w:tr>
      <w:tr w:rsidR="00642D13" w:rsidRPr="00800D00" w14:paraId="33BD26EA" w14:textId="77777777" w:rsidTr="00081E38">
        <w:tc>
          <w:tcPr>
            <w:tcW w:w="5040" w:type="dxa"/>
          </w:tcPr>
          <w:p w14:paraId="496755B3" w14:textId="06A1D904" w:rsidR="00642D13" w:rsidRPr="00800D00" w:rsidRDefault="002B189F" w:rsidP="004025C8">
            <w:pPr>
              <w:jc w:val="center"/>
              <w:rPr>
                <w:vertAlign w:val="superscript"/>
              </w:rPr>
            </w:pPr>
            <w:r>
              <w:rPr>
                <w:noProof/>
              </w:rPr>
              <w:drawing>
                <wp:inline distT="0" distB="0" distL="0" distR="0" wp14:anchorId="2943D43B" wp14:editId="7AFA0B59">
                  <wp:extent cx="3063240" cy="21640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3240" cy="2164080"/>
                          </a:xfrm>
                          <a:prstGeom prst="rect">
                            <a:avLst/>
                          </a:prstGeom>
                          <a:noFill/>
                          <a:ln>
                            <a:noFill/>
                          </a:ln>
                        </pic:spPr>
                      </pic:pic>
                    </a:graphicData>
                  </a:graphic>
                </wp:inline>
              </w:drawing>
            </w:r>
          </w:p>
        </w:tc>
        <w:tc>
          <w:tcPr>
            <w:tcW w:w="5040" w:type="dxa"/>
          </w:tcPr>
          <w:p w14:paraId="1C4F92BD" w14:textId="144D015B" w:rsidR="00642D13" w:rsidRPr="00800D00" w:rsidRDefault="002B189F" w:rsidP="004025C8">
            <w:r>
              <w:rPr>
                <w:noProof/>
              </w:rPr>
              <w:drawing>
                <wp:inline distT="0" distB="0" distL="0" distR="0" wp14:anchorId="3A2D199A" wp14:editId="426C9613">
                  <wp:extent cx="2946399" cy="22098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1846" cy="2221385"/>
                          </a:xfrm>
                          <a:prstGeom prst="rect">
                            <a:avLst/>
                          </a:prstGeom>
                          <a:noFill/>
                          <a:ln>
                            <a:noFill/>
                          </a:ln>
                        </pic:spPr>
                      </pic:pic>
                    </a:graphicData>
                  </a:graphic>
                </wp:inline>
              </w:drawing>
            </w:r>
          </w:p>
        </w:tc>
      </w:tr>
    </w:tbl>
    <w:p w14:paraId="7B296F10" w14:textId="61AABE56" w:rsidR="005741D7" w:rsidRPr="00800D00" w:rsidRDefault="00642D13" w:rsidP="00745E84">
      <w:pPr>
        <w:rPr>
          <w:b/>
          <w:i/>
        </w:rPr>
      </w:pPr>
      <w:proofErr w:type="gramStart"/>
      <w:r w:rsidRPr="003749E6">
        <w:rPr>
          <w:vertAlign w:val="superscript"/>
        </w:rPr>
        <w:t>a</w:t>
      </w:r>
      <w:proofErr w:type="gramEnd"/>
      <w:r w:rsidRPr="00800D00">
        <w:rPr>
          <w:sz w:val="20"/>
          <w:szCs w:val="20"/>
        </w:rPr>
        <w:t xml:space="preserve"> X-axis indicates week numbers. The event is scheduled from week 29 to 31. Y-axis indicates the </w:t>
      </w:r>
      <w:r w:rsidR="00D620CB">
        <w:rPr>
          <w:sz w:val="20"/>
          <w:szCs w:val="20"/>
        </w:rPr>
        <w:t xml:space="preserve">relative </w:t>
      </w:r>
      <w:r w:rsidRPr="00800D00">
        <w:rPr>
          <w:sz w:val="20"/>
          <w:szCs w:val="20"/>
        </w:rPr>
        <w:t xml:space="preserve">increase in </w:t>
      </w:r>
      <w:r w:rsidRPr="00E44F94">
        <w:rPr>
          <w:sz w:val="20"/>
          <w:szCs w:val="20"/>
        </w:rPr>
        <w:t xml:space="preserve">visits and spending </w:t>
      </w:r>
      <w:r w:rsidR="00D620CB">
        <w:rPr>
          <w:sz w:val="20"/>
          <w:szCs w:val="20"/>
        </w:rPr>
        <w:t>(</w:t>
      </w:r>
      <w:r w:rsidRPr="00E44F94">
        <w:rPr>
          <w:sz w:val="20"/>
          <w:szCs w:val="20"/>
        </w:rPr>
        <w:t>relative to the baseline</w:t>
      </w:r>
      <w:r w:rsidR="00D620CB">
        <w:rPr>
          <w:sz w:val="20"/>
          <w:szCs w:val="20"/>
        </w:rPr>
        <w:t>)</w:t>
      </w:r>
      <w:r w:rsidRPr="00E44F94">
        <w:rPr>
          <w:sz w:val="20"/>
          <w:szCs w:val="20"/>
        </w:rPr>
        <w:t>, for (</w:t>
      </w:r>
      <w:proofErr w:type="spellStart"/>
      <w:r w:rsidRPr="00E44F94">
        <w:rPr>
          <w:sz w:val="20"/>
          <w:szCs w:val="20"/>
        </w:rPr>
        <w:t>i</w:t>
      </w:r>
      <w:proofErr w:type="spellEnd"/>
      <w:r w:rsidRPr="00E44F94">
        <w:rPr>
          <w:sz w:val="20"/>
          <w:szCs w:val="20"/>
        </w:rPr>
        <w:t xml:space="preserve">) </w:t>
      </w:r>
      <w:r w:rsidR="0074607C">
        <w:rPr>
          <w:sz w:val="20"/>
          <w:szCs w:val="20"/>
        </w:rPr>
        <w:t xml:space="preserve">the ‘Support Only’ scenario, </w:t>
      </w:r>
      <w:r w:rsidRPr="00E44F94">
        <w:rPr>
          <w:sz w:val="20"/>
          <w:szCs w:val="20"/>
        </w:rPr>
        <w:t xml:space="preserve">with extra discount and advertising support only (dotted line) and (ii) </w:t>
      </w:r>
      <w:r w:rsidR="0074607C">
        <w:rPr>
          <w:sz w:val="20"/>
          <w:szCs w:val="20"/>
        </w:rPr>
        <w:t xml:space="preserve">the ‘Event + Support’ scenario, </w:t>
      </w:r>
      <w:r w:rsidRPr="00E44F94">
        <w:rPr>
          <w:sz w:val="20"/>
          <w:szCs w:val="20"/>
        </w:rPr>
        <w:t>with extra discounts and advertising support around the event theme (i.e.</w:t>
      </w:r>
      <w:r w:rsidR="007C280E">
        <w:rPr>
          <w:sz w:val="20"/>
          <w:szCs w:val="20"/>
        </w:rPr>
        <w:t>,</w:t>
      </w:r>
      <w:r w:rsidRPr="00E44F94">
        <w:rPr>
          <w:sz w:val="20"/>
          <w:szCs w:val="20"/>
        </w:rPr>
        <w:t xml:space="preserve"> the event dummy set to one) (full line).</w:t>
      </w:r>
      <w:r w:rsidR="005741D7" w:rsidRPr="00800D00">
        <w:rPr>
          <w:b/>
          <w:i/>
        </w:rPr>
        <w:br w:type="page"/>
      </w:r>
    </w:p>
    <w:p w14:paraId="44E8AF8E" w14:textId="00BC505F" w:rsidR="00F07544" w:rsidRDefault="00F07544">
      <w:pPr>
        <w:rPr>
          <w:sz w:val="20"/>
          <w:szCs w:val="20"/>
        </w:rPr>
      </w:pPr>
    </w:p>
    <w:p w14:paraId="096E2790" w14:textId="48400F97" w:rsidR="00641C92" w:rsidRPr="000F3E75" w:rsidRDefault="00F07544" w:rsidP="00DB7780">
      <w:pPr>
        <w:jc w:val="center"/>
        <w:rPr>
          <w:b/>
        </w:rPr>
      </w:pPr>
      <w:r>
        <w:rPr>
          <w:b/>
        </w:rPr>
        <w:t>TABLE</w:t>
      </w:r>
      <w:r w:rsidRPr="00926F9C">
        <w:rPr>
          <w:b/>
        </w:rPr>
        <w:t xml:space="preserve"> WA</w:t>
      </w:r>
      <w:r>
        <w:rPr>
          <w:b/>
        </w:rPr>
        <w:t>6</w:t>
      </w:r>
      <w:r w:rsidRPr="00926F9C">
        <w:rPr>
          <w:b/>
        </w:rPr>
        <w:t>:</w:t>
      </w:r>
      <w:r>
        <w:rPr>
          <w:b/>
        </w:rPr>
        <w:t xml:space="preserve"> Impact of </w:t>
      </w:r>
      <w:proofErr w:type="spellStart"/>
      <w:r>
        <w:rPr>
          <w:b/>
        </w:rPr>
        <w:t>ReTSS</w:t>
      </w:r>
      <w:proofErr w:type="spellEnd"/>
      <w:r>
        <w:rPr>
          <w:b/>
        </w:rPr>
        <w:t xml:space="preserve"> as a whole vs. Support </w:t>
      </w:r>
      <w:r w:rsidR="00641C92">
        <w:rPr>
          <w:b/>
        </w:rPr>
        <w:t>O</w:t>
      </w:r>
      <w:r>
        <w:rPr>
          <w:b/>
        </w:rPr>
        <w:t>nly</w:t>
      </w:r>
    </w:p>
    <w:tbl>
      <w:tblPr>
        <w:tblStyle w:val="TableGrid"/>
        <w:tblW w:w="8635" w:type="dxa"/>
        <w:tblLayout w:type="fixed"/>
        <w:tblLook w:val="04A0" w:firstRow="1" w:lastRow="0" w:firstColumn="1" w:lastColumn="0" w:noHBand="0" w:noVBand="1"/>
      </w:tblPr>
      <w:tblGrid>
        <w:gridCol w:w="1075"/>
        <w:gridCol w:w="1350"/>
        <w:gridCol w:w="1350"/>
        <w:gridCol w:w="1080"/>
        <w:gridCol w:w="1440"/>
        <w:gridCol w:w="1170"/>
        <w:gridCol w:w="1170"/>
      </w:tblGrid>
      <w:tr w:rsidR="0067631E" w:rsidRPr="00DD0B9E" w14:paraId="3508EEA5" w14:textId="5CB82DCB" w:rsidTr="00F30CC3">
        <w:trPr>
          <w:trHeight w:val="383"/>
        </w:trPr>
        <w:tc>
          <w:tcPr>
            <w:tcW w:w="1075" w:type="dxa"/>
          </w:tcPr>
          <w:p w14:paraId="3C6E39C6" w14:textId="77777777" w:rsidR="0067631E" w:rsidRPr="00FC2F5C" w:rsidRDefault="0067631E" w:rsidP="001B1761">
            <w:pPr>
              <w:rPr>
                <w:lang w:val="en-US"/>
              </w:rPr>
            </w:pPr>
          </w:p>
        </w:tc>
        <w:tc>
          <w:tcPr>
            <w:tcW w:w="2700" w:type="dxa"/>
            <w:gridSpan w:val="2"/>
          </w:tcPr>
          <w:p w14:paraId="234AE59F" w14:textId="0E833E1B" w:rsidR="0067631E" w:rsidRPr="00DD0B9E" w:rsidRDefault="0067631E" w:rsidP="001B1761">
            <w:pPr>
              <w:rPr>
                <w:sz w:val="20"/>
                <w:szCs w:val="20"/>
                <w:lang w:val="en-US"/>
              </w:rPr>
            </w:pPr>
            <w:r>
              <w:rPr>
                <w:sz w:val="20"/>
                <w:szCs w:val="20"/>
                <w:lang w:val="en-US"/>
              </w:rPr>
              <w:t>(1)‘Event + Support’ Scenario</w:t>
            </w:r>
          </w:p>
        </w:tc>
        <w:tc>
          <w:tcPr>
            <w:tcW w:w="2520" w:type="dxa"/>
            <w:gridSpan w:val="2"/>
          </w:tcPr>
          <w:p w14:paraId="3F2CCEDE" w14:textId="5BF23A45" w:rsidR="0067631E" w:rsidRPr="00DD0B9E" w:rsidRDefault="0067631E" w:rsidP="001B1761">
            <w:pPr>
              <w:rPr>
                <w:sz w:val="20"/>
                <w:szCs w:val="20"/>
                <w:lang w:val="en-US"/>
              </w:rPr>
            </w:pPr>
            <w:r>
              <w:rPr>
                <w:sz w:val="20"/>
                <w:szCs w:val="20"/>
                <w:lang w:val="en-US"/>
              </w:rPr>
              <w:t>(2)‘Support Only’ Scenario</w:t>
            </w:r>
          </w:p>
        </w:tc>
        <w:tc>
          <w:tcPr>
            <w:tcW w:w="2340" w:type="dxa"/>
            <w:gridSpan w:val="2"/>
          </w:tcPr>
          <w:p w14:paraId="20C1B18B" w14:textId="3BD49441" w:rsidR="0067631E" w:rsidRPr="00FC2F5C" w:rsidRDefault="0067631E" w:rsidP="001B1761">
            <w:pPr>
              <w:rPr>
                <w:sz w:val="20"/>
                <w:szCs w:val="20"/>
                <w:lang w:val="en-US"/>
              </w:rPr>
            </w:pPr>
            <w:r w:rsidRPr="00FC2F5C">
              <w:rPr>
                <w:sz w:val="20"/>
                <w:szCs w:val="20"/>
                <w:lang w:val="en-US"/>
              </w:rPr>
              <w:t>Share of ‘Support Only’ (=(2)/(1))</w:t>
            </w:r>
          </w:p>
        </w:tc>
      </w:tr>
      <w:tr w:rsidR="0067631E" w:rsidRPr="00DD0B9E" w14:paraId="5C2C600C" w14:textId="41C4F172" w:rsidTr="006E6A62">
        <w:trPr>
          <w:trHeight w:val="383"/>
        </w:trPr>
        <w:tc>
          <w:tcPr>
            <w:tcW w:w="1075" w:type="dxa"/>
            <w:vAlign w:val="center"/>
          </w:tcPr>
          <w:p w14:paraId="173B6B20" w14:textId="6F27BB27" w:rsidR="0067631E" w:rsidRPr="00DD0B9E" w:rsidRDefault="006E6A62" w:rsidP="006E6A62">
            <w:pPr>
              <w:jc w:val="center"/>
              <w:rPr>
                <w:lang w:val="en-US"/>
              </w:rPr>
            </w:pPr>
            <w:r w:rsidRPr="00DD0B9E">
              <w:rPr>
                <w:b/>
                <w:lang w:val="en-US"/>
              </w:rPr>
              <w:t>Event</w:t>
            </w:r>
          </w:p>
        </w:tc>
        <w:tc>
          <w:tcPr>
            <w:tcW w:w="1350" w:type="dxa"/>
          </w:tcPr>
          <w:p w14:paraId="5D8974E1" w14:textId="77777777" w:rsidR="0067631E" w:rsidRPr="00DD0B9E" w:rsidRDefault="0067631E" w:rsidP="0067631E">
            <w:pPr>
              <w:rPr>
                <w:sz w:val="20"/>
                <w:szCs w:val="20"/>
                <w:lang w:val="en-US"/>
              </w:rPr>
            </w:pPr>
            <w:r w:rsidRPr="00DD0B9E">
              <w:rPr>
                <w:sz w:val="20"/>
                <w:szCs w:val="20"/>
                <w:lang w:val="en-US"/>
              </w:rPr>
              <w:t>Visit Propensity</w:t>
            </w:r>
          </w:p>
        </w:tc>
        <w:tc>
          <w:tcPr>
            <w:tcW w:w="1350" w:type="dxa"/>
          </w:tcPr>
          <w:p w14:paraId="7D55B5CC" w14:textId="77777777" w:rsidR="0067631E" w:rsidRPr="00DD0B9E" w:rsidRDefault="0067631E" w:rsidP="0067631E">
            <w:pPr>
              <w:rPr>
                <w:sz w:val="20"/>
                <w:szCs w:val="20"/>
                <w:lang w:val="en-US"/>
              </w:rPr>
            </w:pPr>
            <w:r w:rsidRPr="00DD0B9E">
              <w:rPr>
                <w:sz w:val="20"/>
                <w:szCs w:val="20"/>
                <w:lang w:val="en-US"/>
              </w:rPr>
              <w:t>Conditional Purchase Volume</w:t>
            </w:r>
          </w:p>
        </w:tc>
        <w:tc>
          <w:tcPr>
            <w:tcW w:w="1080" w:type="dxa"/>
          </w:tcPr>
          <w:p w14:paraId="47F30543" w14:textId="2320BAF0" w:rsidR="0067631E" w:rsidRPr="00DD0B9E" w:rsidRDefault="0067631E" w:rsidP="0067631E">
            <w:pPr>
              <w:rPr>
                <w:sz w:val="20"/>
                <w:szCs w:val="20"/>
                <w:lang w:val="en-US"/>
              </w:rPr>
            </w:pPr>
            <w:r w:rsidRPr="00DD0B9E">
              <w:rPr>
                <w:sz w:val="20"/>
                <w:szCs w:val="20"/>
                <w:lang w:val="en-US"/>
              </w:rPr>
              <w:t>Visit Propensity</w:t>
            </w:r>
          </w:p>
        </w:tc>
        <w:tc>
          <w:tcPr>
            <w:tcW w:w="1440" w:type="dxa"/>
          </w:tcPr>
          <w:p w14:paraId="5DEEA84F" w14:textId="39B05FE1" w:rsidR="0067631E" w:rsidRPr="00DD0B9E" w:rsidRDefault="0067631E" w:rsidP="0067631E">
            <w:pPr>
              <w:rPr>
                <w:sz w:val="20"/>
                <w:szCs w:val="20"/>
                <w:lang w:val="en-US"/>
              </w:rPr>
            </w:pPr>
            <w:r w:rsidRPr="00DD0B9E">
              <w:rPr>
                <w:sz w:val="20"/>
                <w:szCs w:val="20"/>
                <w:lang w:val="en-US"/>
              </w:rPr>
              <w:t>Conditional Purchase Volume</w:t>
            </w:r>
          </w:p>
        </w:tc>
        <w:tc>
          <w:tcPr>
            <w:tcW w:w="1170" w:type="dxa"/>
          </w:tcPr>
          <w:p w14:paraId="3C878754" w14:textId="2EF3A81C" w:rsidR="0067631E" w:rsidRPr="00FC2F5C" w:rsidRDefault="0067631E" w:rsidP="0067631E">
            <w:pPr>
              <w:rPr>
                <w:sz w:val="20"/>
                <w:szCs w:val="20"/>
                <w:lang w:val="en-US"/>
              </w:rPr>
            </w:pPr>
            <w:r w:rsidRPr="00FC2F5C">
              <w:rPr>
                <w:sz w:val="20"/>
                <w:szCs w:val="20"/>
                <w:lang w:val="en-US"/>
              </w:rPr>
              <w:t>Visit Propensity</w:t>
            </w:r>
          </w:p>
        </w:tc>
        <w:tc>
          <w:tcPr>
            <w:tcW w:w="1170" w:type="dxa"/>
          </w:tcPr>
          <w:p w14:paraId="3B6F74FC" w14:textId="548507A6" w:rsidR="0067631E" w:rsidRPr="00FC2F5C" w:rsidRDefault="0067631E" w:rsidP="0067631E">
            <w:pPr>
              <w:rPr>
                <w:sz w:val="20"/>
                <w:szCs w:val="20"/>
                <w:lang w:val="en-US"/>
              </w:rPr>
            </w:pPr>
            <w:r w:rsidRPr="00FC2F5C">
              <w:rPr>
                <w:sz w:val="20"/>
                <w:szCs w:val="20"/>
                <w:lang w:val="en-US"/>
              </w:rPr>
              <w:t>Conditional Purchase Volume</w:t>
            </w:r>
          </w:p>
        </w:tc>
      </w:tr>
      <w:tr w:rsidR="0067631E" w:rsidRPr="00267677" w14:paraId="6BC6F04A" w14:textId="4E160D33" w:rsidTr="00FC2F5C">
        <w:trPr>
          <w:trHeight w:val="20"/>
        </w:trPr>
        <w:tc>
          <w:tcPr>
            <w:tcW w:w="1075" w:type="dxa"/>
            <w:vAlign w:val="center"/>
          </w:tcPr>
          <w:p w14:paraId="4A7D1B88" w14:textId="2AD830FA" w:rsidR="0067631E" w:rsidRPr="00DD0B9E" w:rsidRDefault="0067631E" w:rsidP="0067631E">
            <w:pPr>
              <w:jc w:val="center"/>
              <w:rPr>
                <w:b/>
                <w:lang w:val="en-US"/>
              </w:rPr>
            </w:pPr>
            <w:r w:rsidRPr="00DD0B9E">
              <w:rPr>
                <w:b/>
                <w:lang w:val="en-US"/>
              </w:rPr>
              <w:t>1</w:t>
            </w:r>
          </w:p>
        </w:tc>
        <w:tc>
          <w:tcPr>
            <w:tcW w:w="1350" w:type="dxa"/>
            <w:vAlign w:val="bottom"/>
          </w:tcPr>
          <w:p w14:paraId="3C960839" w14:textId="77777777" w:rsidR="0067631E" w:rsidRPr="0001451E" w:rsidRDefault="0067631E" w:rsidP="0067631E">
            <w:pPr>
              <w:jc w:val="center"/>
              <w:rPr>
                <w:sz w:val="22"/>
                <w:lang w:val="en-US"/>
              </w:rPr>
            </w:pPr>
            <w:r w:rsidRPr="0001451E">
              <w:rPr>
                <w:color w:val="000000"/>
                <w:sz w:val="22"/>
              </w:rPr>
              <w:t>0.39</w:t>
            </w:r>
          </w:p>
        </w:tc>
        <w:tc>
          <w:tcPr>
            <w:tcW w:w="1350" w:type="dxa"/>
            <w:vAlign w:val="bottom"/>
          </w:tcPr>
          <w:p w14:paraId="62C6480C" w14:textId="5B199C1A" w:rsidR="0067631E" w:rsidRPr="0001451E" w:rsidRDefault="0067631E" w:rsidP="0067631E">
            <w:pPr>
              <w:jc w:val="center"/>
              <w:rPr>
                <w:sz w:val="22"/>
                <w:lang w:val="en-US"/>
              </w:rPr>
            </w:pPr>
            <w:r w:rsidRPr="0001451E">
              <w:rPr>
                <w:color w:val="000000"/>
                <w:sz w:val="22"/>
              </w:rPr>
              <w:t>-69.33</w:t>
            </w:r>
            <w:r w:rsidRPr="0001451E">
              <w:rPr>
                <w:color w:val="000000"/>
                <w:sz w:val="22"/>
                <w:vertAlign w:val="superscript"/>
              </w:rPr>
              <w:t>**</w:t>
            </w:r>
          </w:p>
        </w:tc>
        <w:tc>
          <w:tcPr>
            <w:tcW w:w="1080" w:type="dxa"/>
            <w:vAlign w:val="bottom"/>
          </w:tcPr>
          <w:p w14:paraId="33E23E71" w14:textId="00868823" w:rsidR="0067631E" w:rsidRPr="0001451E" w:rsidRDefault="0067631E" w:rsidP="0067631E">
            <w:pPr>
              <w:jc w:val="center"/>
              <w:rPr>
                <w:color w:val="000000"/>
                <w:sz w:val="22"/>
              </w:rPr>
            </w:pPr>
            <w:r w:rsidRPr="0001451E">
              <w:rPr>
                <w:color w:val="000000"/>
                <w:sz w:val="22"/>
              </w:rPr>
              <w:t>0.18</w:t>
            </w:r>
            <w:r w:rsidRPr="0001451E">
              <w:rPr>
                <w:color w:val="000000"/>
                <w:sz w:val="22"/>
                <w:vertAlign w:val="superscript"/>
              </w:rPr>
              <w:t>**</w:t>
            </w:r>
          </w:p>
        </w:tc>
        <w:tc>
          <w:tcPr>
            <w:tcW w:w="1440" w:type="dxa"/>
            <w:vAlign w:val="bottom"/>
          </w:tcPr>
          <w:p w14:paraId="345ADBCA" w14:textId="1EFCEB8E" w:rsidR="0067631E" w:rsidRPr="0001451E" w:rsidRDefault="0067631E" w:rsidP="0067631E">
            <w:pPr>
              <w:jc w:val="center"/>
              <w:rPr>
                <w:color w:val="000000"/>
                <w:sz w:val="22"/>
              </w:rPr>
            </w:pPr>
            <w:r w:rsidRPr="0001451E">
              <w:rPr>
                <w:color w:val="000000"/>
                <w:sz w:val="22"/>
              </w:rPr>
              <w:t>1.46</w:t>
            </w:r>
          </w:p>
        </w:tc>
        <w:tc>
          <w:tcPr>
            <w:tcW w:w="1170" w:type="dxa"/>
            <w:vAlign w:val="bottom"/>
          </w:tcPr>
          <w:p w14:paraId="61D9B379" w14:textId="42EC5672" w:rsidR="0067631E" w:rsidRPr="00FC2F5C" w:rsidRDefault="0067631E" w:rsidP="0067631E">
            <w:pPr>
              <w:jc w:val="center"/>
              <w:rPr>
                <w:color w:val="000000"/>
                <w:highlight w:val="yellow"/>
              </w:rPr>
            </w:pPr>
            <w:r w:rsidRPr="00FC2F5C">
              <w:rPr>
                <w:color w:val="000000"/>
                <w:sz w:val="22"/>
              </w:rPr>
              <w:t>46.15%</w:t>
            </w:r>
          </w:p>
        </w:tc>
        <w:tc>
          <w:tcPr>
            <w:tcW w:w="1170" w:type="dxa"/>
            <w:vAlign w:val="bottom"/>
          </w:tcPr>
          <w:p w14:paraId="3F054C0C" w14:textId="18415F7E" w:rsidR="0067631E" w:rsidRPr="00FC2F5C" w:rsidRDefault="0067631E" w:rsidP="0067631E">
            <w:pPr>
              <w:jc w:val="center"/>
              <w:rPr>
                <w:color w:val="000000"/>
                <w:highlight w:val="yellow"/>
              </w:rPr>
            </w:pPr>
            <w:r w:rsidRPr="00FC2F5C">
              <w:rPr>
                <w:color w:val="000000"/>
                <w:sz w:val="22"/>
              </w:rPr>
              <w:t>-2.11%</w:t>
            </w:r>
          </w:p>
        </w:tc>
      </w:tr>
      <w:tr w:rsidR="0067631E" w:rsidRPr="00267677" w14:paraId="789E5E1D" w14:textId="49433F20" w:rsidTr="00FC2F5C">
        <w:trPr>
          <w:trHeight w:val="20"/>
        </w:trPr>
        <w:tc>
          <w:tcPr>
            <w:tcW w:w="1075" w:type="dxa"/>
            <w:vAlign w:val="center"/>
          </w:tcPr>
          <w:p w14:paraId="49FD315B" w14:textId="77777777" w:rsidR="0067631E" w:rsidRPr="00DD0B9E" w:rsidRDefault="0067631E" w:rsidP="0067631E">
            <w:pPr>
              <w:jc w:val="center"/>
              <w:rPr>
                <w:b/>
                <w:lang w:val="en-US"/>
              </w:rPr>
            </w:pPr>
          </w:p>
        </w:tc>
        <w:tc>
          <w:tcPr>
            <w:tcW w:w="1350" w:type="dxa"/>
            <w:vAlign w:val="bottom"/>
          </w:tcPr>
          <w:p w14:paraId="115B4E3F" w14:textId="405D4191" w:rsidR="0067631E" w:rsidRPr="0001451E" w:rsidRDefault="0067631E" w:rsidP="0067631E">
            <w:pPr>
              <w:jc w:val="center"/>
              <w:rPr>
                <w:sz w:val="22"/>
              </w:rPr>
            </w:pPr>
            <w:r w:rsidRPr="0001451E">
              <w:rPr>
                <w:color w:val="000000"/>
                <w:sz w:val="22"/>
              </w:rPr>
              <w:t>3.55%</w:t>
            </w:r>
          </w:p>
        </w:tc>
        <w:tc>
          <w:tcPr>
            <w:tcW w:w="1350" w:type="dxa"/>
            <w:vAlign w:val="bottom"/>
          </w:tcPr>
          <w:p w14:paraId="76D586B9" w14:textId="54A92227" w:rsidR="0067631E" w:rsidRPr="0001451E" w:rsidRDefault="0067631E" w:rsidP="0067631E">
            <w:pPr>
              <w:jc w:val="center"/>
              <w:rPr>
                <w:sz w:val="22"/>
                <w:lang w:val="en-US"/>
              </w:rPr>
            </w:pPr>
            <w:r w:rsidRPr="0001451E">
              <w:rPr>
                <w:color w:val="000000"/>
                <w:sz w:val="22"/>
              </w:rPr>
              <w:t>-1.94%</w:t>
            </w:r>
          </w:p>
        </w:tc>
        <w:tc>
          <w:tcPr>
            <w:tcW w:w="1080" w:type="dxa"/>
            <w:vAlign w:val="bottom"/>
          </w:tcPr>
          <w:p w14:paraId="63509E15" w14:textId="77902122" w:rsidR="0067631E" w:rsidRPr="0001451E" w:rsidRDefault="0067631E" w:rsidP="0067631E">
            <w:pPr>
              <w:jc w:val="center"/>
              <w:rPr>
                <w:color w:val="000000"/>
                <w:sz w:val="22"/>
              </w:rPr>
            </w:pPr>
            <w:r w:rsidRPr="0001451E">
              <w:rPr>
                <w:color w:val="000000"/>
                <w:sz w:val="22"/>
              </w:rPr>
              <w:t>1.66%</w:t>
            </w:r>
          </w:p>
        </w:tc>
        <w:tc>
          <w:tcPr>
            <w:tcW w:w="1440" w:type="dxa"/>
            <w:vAlign w:val="bottom"/>
          </w:tcPr>
          <w:p w14:paraId="73CED8D8" w14:textId="6F5415ED" w:rsidR="0067631E" w:rsidRPr="0001451E" w:rsidRDefault="0067631E" w:rsidP="0067631E">
            <w:pPr>
              <w:jc w:val="center"/>
              <w:rPr>
                <w:color w:val="000000"/>
                <w:sz w:val="22"/>
              </w:rPr>
            </w:pPr>
            <w:r w:rsidRPr="0001451E">
              <w:rPr>
                <w:color w:val="000000"/>
                <w:sz w:val="22"/>
              </w:rPr>
              <w:t>0.05%</w:t>
            </w:r>
          </w:p>
        </w:tc>
        <w:tc>
          <w:tcPr>
            <w:tcW w:w="1170" w:type="dxa"/>
            <w:vAlign w:val="bottom"/>
          </w:tcPr>
          <w:p w14:paraId="2B2D21FA" w14:textId="77777777" w:rsidR="0067631E" w:rsidRPr="00FC2F5C" w:rsidRDefault="0067631E" w:rsidP="0067631E">
            <w:pPr>
              <w:jc w:val="center"/>
              <w:rPr>
                <w:color w:val="000000"/>
                <w:highlight w:val="yellow"/>
              </w:rPr>
            </w:pPr>
          </w:p>
        </w:tc>
        <w:tc>
          <w:tcPr>
            <w:tcW w:w="1170" w:type="dxa"/>
            <w:vAlign w:val="bottom"/>
          </w:tcPr>
          <w:p w14:paraId="33D99581" w14:textId="77777777" w:rsidR="0067631E" w:rsidRPr="00FC2F5C" w:rsidRDefault="0067631E" w:rsidP="0067631E">
            <w:pPr>
              <w:jc w:val="center"/>
              <w:rPr>
                <w:color w:val="000000"/>
                <w:highlight w:val="yellow"/>
              </w:rPr>
            </w:pPr>
          </w:p>
        </w:tc>
      </w:tr>
      <w:tr w:rsidR="0067631E" w:rsidRPr="00267677" w14:paraId="0A8F42A2" w14:textId="3D493866" w:rsidTr="00FC2F5C">
        <w:trPr>
          <w:trHeight w:val="20"/>
        </w:trPr>
        <w:tc>
          <w:tcPr>
            <w:tcW w:w="1075" w:type="dxa"/>
            <w:vAlign w:val="center"/>
          </w:tcPr>
          <w:p w14:paraId="6E8D88ED" w14:textId="42DBAE3A" w:rsidR="0067631E" w:rsidRPr="00DD0B9E" w:rsidRDefault="0067631E" w:rsidP="0067631E">
            <w:pPr>
              <w:jc w:val="center"/>
              <w:rPr>
                <w:b/>
                <w:lang w:val="en-US"/>
              </w:rPr>
            </w:pPr>
            <w:r w:rsidRPr="00DD0B9E">
              <w:rPr>
                <w:b/>
                <w:lang w:val="en-US"/>
              </w:rPr>
              <w:t>2</w:t>
            </w:r>
          </w:p>
        </w:tc>
        <w:tc>
          <w:tcPr>
            <w:tcW w:w="1350" w:type="dxa"/>
            <w:vAlign w:val="bottom"/>
          </w:tcPr>
          <w:p w14:paraId="46CAD8D2" w14:textId="44214F67" w:rsidR="0067631E" w:rsidRPr="0001451E" w:rsidRDefault="0067631E" w:rsidP="0067631E">
            <w:pPr>
              <w:jc w:val="center"/>
              <w:rPr>
                <w:sz w:val="22"/>
                <w:lang w:val="en-US"/>
              </w:rPr>
            </w:pPr>
            <w:r w:rsidRPr="0001451E">
              <w:rPr>
                <w:color w:val="000000"/>
                <w:sz w:val="22"/>
              </w:rPr>
              <w:t>2.85</w:t>
            </w:r>
            <w:r w:rsidRPr="0001451E">
              <w:rPr>
                <w:color w:val="000000"/>
                <w:sz w:val="22"/>
                <w:vertAlign w:val="superscript"/>
              </w:rPr>
              <w:t>**</w:t>
            </w:r>
          </w:p>
        </w:tc>
        <w:tc>
          <w:tcPr>
            <w:tcW w:w="1350" w:type="dxa"/>
            <w:vAlign w:val="bottom"/>
          </w:tcPr>
          <w:p w14:paraId="6EECB957" w14:textId="4CEFEE19" w:rsidR="0067631E" w:rsidRPr="0001451E" w:rsidRDefault="0067631E" w:rsidP="0067631E">
            <w:pPr>
              <w:jc w:val="center"/>
              <w:rPr>
                <w:sz w:val="22"/>
                <w:lang w:val="en-US"/>
              </w:rPr>
            </w:pPr>
            <w:r w:rsidRPr="0001451E">
              <w:rPr>
                <w:color w:val="000000"/>
                <w:sz w:val="22"/>
              </w:rPr>
              <w:t>43.14</w:t>
            </w:r>
            <w:r w:rsidRPr="0001451E">
              <w:rPr>
                <w:color w:val="000000"/>
                <w:sz w:val="22"/>
                <w:vertAlign w:val="superscript"/>
              </w:rPr>
              <w:t>**</w:t>
            </w:r>
          </w:p>
        </w:tc>
        <w:tc>
          <w:tcPr>
            <w:tcW w:w="1080" w:type="dxa"/>
            <w:vAlign w:val="bottom"/>
          </w:tcPr>
          <w:p w14:paraId="31D151B9" w14:textId="2B8E058E" w:rsidR="0067631E" w:rsidRPr="0001451E" w:rsidRDefault="0067631E" w:rsidP="0067631E">
            <w:pPr>
              <w:jc w:val="center"/>
              <w:rPr>
                <w:color w:val="000000"/>
                <w:sz w:val="22"/>
              </w:rPr>
            </w:pPr>
            <w:r w:rsidRPr="0001451E">
              <w:rPr>
                <w:color w:val="000000"/>
                <w:sz w:val="22"/>
              </w:rPr>
              <w:t>0.22</w:t>
            </w:r>
            <w:r w:rsidRPr="0001451E">
              <w:rPr>
                <w:color w:val="000000"/>
                <w:sz w:val="22"/>
                <w:vertAlign w:val="superscript"/>
              </w:rPr>
              <w:t>**</w:t>
            </w:r>
          </w:p>
        </w:tc>
        <w:tc>
          <w:tcPr>
            <w:tcW w:w="1440" w:type="dxa"/>
            <w:vAlign w:val="bottom"/>
          </w:tcPr>
          <w:p w14:paraId="7DC680A6" w14:textId="191C69BC" w:rsidR="0067631E" w:rsidRPr="0001451E" w:rsidRDefault="0067631E" w:rsidP="0067631E">
            <w:pPr>
              <w:jc w:val="center"/>
              <w:rPr>
                <w:color w:val="000000"/>
                <w:sz w:val="22"/>
              </w:rPr>
            </w:pPr>
            <w:r w:rsidRPr="0001451E">
              <w:rPr>
                <w:color w:val="000000"/>
                <w:sz w:val="22"/>
              </w:rPr>
              <w:t>1.17</w:t>
            </w:r>
          </w:p>
        </w:tc>
        <w:tc>
          <w:tcPr>
            <w:tcW w:w="1170" w:type="dxa"/>
            <w:vAlign w:val="bottom"/>
          </w:tcPr>
          <w:p w14:paraId="4A7DE50D" w14:textId="5917F366" w:rsidR="0067631E" w:rsidRPr="00FC2F5C" w:rsidRDefault="0067631E" w:rsidP="0067631E">
            <w:pPr>
              <w:jc w:val="center"/>
              <w:rPr>
                <w:color w:val="000000"/>
                <w:highlight w:val="yellow"/>
              </w:rPr>
            </w:pPr>
            <w:r w:rsidRPr="00FC2F5C">
              <w:rPr>
                <w:color w:val="000000"/>
                <w:sz w:val="22"/>
              </w:rPr>
              <w:t>7.72%</w:t>
            </w:r>
          </w:p>
        </w:tc>
        <w:tc>
          <w:tcPr>
            <w:tcW w:w="1170" w:type="dxa"/>
            <w:vAlign w:val="bottom"/>
          </w:tcPr>
          <w:p w14:paraId="3D058649" w14:textId="11AAFC3A" w:rsidR="0067631E" w:rsidRPr="00FC2F5C" w:rsidRDefault="0067631E" w:rsidP="0067631E">
            <w:pPr>
              <w:jc w:val="center"/>
              <w:rPr>
                <w:color w:val="000000"/>
                <w:highlight w:val="yellow"/>
              </w:rPr>
            </w:pPr>
            <w:r w:rsidRPr="00FC2F5C">
              <w:rPr>
                <w:color w:val="000000"/>
                <w:sz w:val="22"/>
              </w:rPr>
              <w:t>2.71%</w:t>
            </w:r>
          </w:p>
        </w:tc>
      </w:tr>
      <w:tr w:rsidR="0067631E" w:rsidRPr="00267677" w14:paraId="638F66EB" w14:textId="17FD6135" w:rsidTr="00FC2F5C">
        <w:trPr>
          <w:trHeight w:val="20"/>
        </w:trPr>
        <w:tc>
          <w:tcPr>
            <w:tcW w:w="1075" w:type="dxa"/>
            <w:vAlign w:val="center"/>
          </w:tcPr>
          <w:p w14:paraId="34FBF66D" w14:textId="77777777" w:rsidR="0067631E" w:rsidRPr="00DD0B9E" w:rsidRDefault="0067631E" w:rsidP="0067631E">
            <w:pPr>
              <w:jc w:val="center"/>
              <w:rPr>
                <w:b/>
                <w:lang w:val="en-US"/>
              </w:rPr>
            </w:pPr>
          </w:p>
        </w:tc>
        <w:tc>
          <w:tcPr>
            <w:tcW w:w="1350" w:type="dxa"/>
            <w:vAlign w:val="bottom"/>
          </w:tcPr>
          <w:p w14:paraId="41298891" w14:textId="07DA199D" w:rsidR="0067631E" w:rsidRPr="0001451E" w:rsidRDefault="0067631E" w:rsidP="0067631E">
            <w:pPr>
              <w:jc w:val="center"/>
              <w:rPr>
                <w:sz w:val="22"/>
                <w:lang w:val="en-US"/>
              </w:rPr>
            </w:pPr>
            <w:r w:rsidRPr="0001451E">
              <w:rPr>
                <w:color w:val="000000"/>
                <w:sz w:val="22"/>
              </w:rPr>
              <w:t>13.30%</w:t>
            </w:r>
          </w:p>
        </w:tc>
        <w:tc>
          <w:tcPr>
            <w:tcW w:w="1350" w:type="dxa"/>
            <w:vAlign w:val="bottom"/>
          </w:tcPr>
          <w:p w14:paraId="7168FBC3" w14:textId="551560E5" w:rsidR="0067631E" w:rsidRPr="0001451E" w:rsidRDefault="0067631E" w:rsidP="0067631E">
            <w:pPr>
              <w:jc w:val="center"/>
              <w:rPr>
                <w:sz w:val="22"/>
                <w:lang w:val="en-US"/>
              </w:rPr>
            </w:pPr>
            <w:r w:rsidRPr="0001451E">
              <w:rPr>
                <w:color w:val="000000"/>
                <w:sz w:val="22"/>
              </w:rPr>
              <w:t>1.23%</w:t>
            </w:r>
          </w:p>
        </w:tc>
        <w:tc>
          <w:tcPr>
            <w:tcW w:w="1080" w:type="dxa"/>
            <w:vAlign w:val="bottom"/>
          </w:tcPr>
          <w:p w14:paraId="11485A9E" w14:textId="30330842" w:rsidR="0067631E" w:rsidRPr="0001451E" w:rsidRDefault="0067631E" w:rsidP="0067631E">
            <w:pPr>
              <w:jc w:val="center"/>
              <w:rPr>
                <w:color w:val="000000"/>
                <w:sz w:val="22"/>
              </w:rPr>
            </w:pPr>
            <w:r w:rsidRPr="0001451E">
              <w:rPr>
                <w:color w:val="000000"/>
                <w:sz w:val="22"/>
              </w:rPr>
              <w:t>1.06%</w:t>
            </w:r>
          </w:p>
        </w:tc>
        <w:tc>
          <w:tcPr>
            <w:tcW w:w="1440" w:type="dxa"/>
            <w:vAlign w:val="bottom"/>
          </w:tcPr>
          <w:p w14:paraId="6110747E" w14:textId="30D0A85D" w:rsidR="0067631E" w:rsidRPr="0001451E" w:rsidRDefault="0067631E" w:rsidP="0067631E">
            <w:pPr>
              <w:jc w:val="center"/>
              <w:rPr>
                <w:color w:val="000000"/>
                <w:sz w:val="22"/>
              </w:rPr>
            </w:pPr>
            <w:r w:rsidRPr="0001451E">
              <w:rPr>
                <w:color w:val="000000"/>
                <w:sz w:val="22"/>
              </w:rPr>
              <w:t>0.04%</w:t>
            </w:r>
          </w:p>
        </w:tc>
        <w:tc>
          <w:tcPr>
            <w:tcW w:w="1170" w:type="dxa"/>
            <w:vAlign w:val="bottom"/>
          </w:tcPr>
          <w:p w14:paraId="6A7DDCF3" w14:textId="77777777" w:rsidR="0067631E" w:rsidRPr="00FC2F5C" w:rsidRDefault="0067631E" w:rsidP="0067631E">
            <w:pPr>
              <w:jc w:val="center"/>
              <w:rPr>
                <w:color w:val="000000"/>
                <w:highlight w:val="yellow"/>
              </w:rPr>
            </w:pPr>
          </w:p>
        </w:tc>
        <w:tc>
          <w:tcPr>
            <w:tcW w:w="1170" w:type="dxa"/>
            <w:vAlign w:val="bottom"/>
          </w:tcPr>
          <w:p w14:paraId="6E86FB0E" w14:textId="77777777" w:rsidR="0067631E" w:rsidRPr="00FC2F5C" w:rsidRDefault="0067631E" w:rsidP="0067631E">
            <w:pPr>
              <w:jc w:val="center"/>
              <w:rPr>
                <w:color w:val="000000"/>
                <w:highlight w:val="yellow"/>
              </w:rPr>
            </w:pPr>
          </w:p>
        </w:tc>
      </w:tr>
      <w:tr w:rsidR="0067631E" w:rsidRPr="00267677" w14:paraId="46B80E25" w14:textId="4B5A28E5" w:rsidTr="00FC2F5C">
        <w:trPr>
          <w:trHeight w:val="20"/>
        </w:trPr>
        <w:tc>
          <w:tcPr>
            <w:tcW w:w="1075" w:type="dxa"/>
            <w:vAlign w:val="center"/>
          </w:tcPr>
          <w:p w14:paraId="0F6C219C" w14:textId="00B7C4E2" w:rsidR="0067631E" w:rsidRPr="00DD0B9E" w:rsidRDefault="0067631E" w:rsidP="0067631E">
            <w:pPr>
              <w:jc w:val="center"/>
              <w:rPr>
                <w:b/>
                <w:lang w:val="en-US"/>
              </w:rPr>
            </w:pPr>
            <w:r w:rsidRPr="00DD0B9E">
              <w:rPr>
                <w:b/>
                <w:lang w:val="en-US"/>
              </w:rPr>
              <w:t>3</w:t>
            </w:r>
          </w:p>
        </w:tc>
        <w:tc>
          <w:tcPr>
            <w:tcW w:w="1350" w:type="dxa"/>
            <w:vAlign w:val="bottom"/>
          </w:tcPr>
          <w:p w14:paraId="42522827" w14:textId="0277F593" w:rsidR="0067631E" w:rsidRPr="0001451E" w:rsidRDefault="0067631E" w:rsidP="0067631E">
            <w:pPr>
              <w:jc w:val="center"/>
              <w:rPr>
                <w:sz w:val="22"/>
                <w:lang w:val="en-US"/>
              </w:rPr>
            </w:pPr>
            <w:r w:rsidRPr="0001451E">
              <w:rPr>
                <w:color w:val="000000"/>
                <w:sz w:val="22"/>
              </w:rPr>
              <w:t>2.99</w:t>
            </w:r>
            <w:r w:rsidRPr="0001451E">
              <w:rPr>
                <w:color w:val="000000"/>
                <w:sz w:val="22"/>
                <w:vertAlign w:val="superscript"/>
              </w:rPr>
              <w:t>**</w:t>
            </w:r>
          </w:p>
        </w:tc>
        <w:tc>
          <w:tcPr>
            <w:tcW w:w="1350" w:type="dxa"/>
            <w:vAlign w:val="bottom"/>
          </w:tcPr>
          <w:p w14:paraId="64DB28C6" w14:textId="4F14CBD6" w:rsidR="0067631E" w:rsidRPr="0001451E" w:rsidRDefault="0067631E" w:rsidP="0067631E">
            <w:pPr>
              <w:jc w:val="center"/>
              <w:rPr>
                <w:sz w:val="22"/>
                <w:lang w:val="en-US"/>
              </w:rPr>
            </w:pPr>
            <w:r w:rsidRPr="0001451E">
              <w:rPr>
                <w:color w:val="000000"/>
                <w:sz w:val="22"/>
              </w:rPr>
              <w:t>178.82</w:t>
            </w:r>
            <w:r w:rsidRPr="0001451E">
              <w:rPr>
                <w:color w:val="000000"/>
                <w:sz w:val="22"/>
                <w:vertAlign w:val="superscript"/>
              </w:rPr>
              <w:t>**</w:t>
            </w:r>
          </w:p>
        </w:tc>
        <w:tc>
          <w:tcPr>
            <w:tcW w:w="1080" w:type="dxa"/>
            <w:vAlign w:val="bottom"/>
          </w:tcPr>
          <w:p w14:paraId="7E565F05" w14:textId="6BDCBCDD" w:rsidR="0067631E" w:rsidRPr="0001451E" w:rsidRDefault="0067631E" w:rsidP="0067631E">
            <w:pPr>
              <w:jc w:val="center"/>
              <w:rPr>
                <w:color w:val="000000"/>
                <w:sz w:val="22"/>
              </w:rPr>
            </w:pPr>
            <w:r w:rsidRPr="0001451E">
              <w:rPr>
                <w:color w:val="000000"/>
                <w:sz w:val="22"/>
              </w:rPr>
              <w:t>0.13</w:t>
            </w:r>
            <w:r w:rsidRPr="0001451E">
              <w:rPr>
                <w:color w:val="000000"/>
                <w:sz w:val="22"/>
                <w:vertAlign w:val="superscript"/>
              </w:rPr>
              <w:t>**</w:t>
            </w:r>
          </w:p>
        </w:tc>
        <w:tc>
          <w:tcPr>
            <w:tcW w:w="1440" w:type="dxa"/>
            <w:vAlign w:val="bottom"/>
          </w:tcPr>
          <w:p w14:paraId="13A5F414" w14:textId="0FAF0CBD" w:rsidR="0067631E" w:rsidRPr="0001451E" w:rsidRDefault="0067631E" w:rsidP="0067631E">
            <w:pPr>
              <w:jc w:val="center"/>
              <w:rPr>
                <w:color w:val="000000"/>
                <w:sz w:val="22"/>
              </w:rPr>
            </w:pPr>
            <w:r w:rsidRPr="0001451E">
              <w:rPr>
                <w:color w:val="000000"/>
                <w:sz w:val="22"/>
              </w:rPr>
              <w:t>6.16</w:t>
            </w:r>
          </w:p>
        </w:tc>
        <w:tc>
          <w:tcPr>
            <w:tcW w:w="1170" w:type="dxa"/>
            <w:vAlign w:val="bottom"/>
          </w:tcPr>
          <w:p w14:paraId="7BB0D983" w14:textId="3FE26752" w:rsidR="0067631E" w:rsidRPr="00FC2F5C" w:rsidRDefault="0067631E" w:rsidP="0067631E">
            <w:pPr>
              <w:jc w:val="center"/>
              <w:rPr>
                <w:color w:val="000000"/>
                <w:highlight w:val="yellow"/>
              </w:rPr>
            </w:pPr>
            <w:r w:rsidRPr="00FC2F5C">
              <w:rPr>
                <w:color w:val="000000"/>
                <w:sz w:val="22"/>
              </w:rPr>
              <w:t>4.35%</w:t>
            </w:r>
          </w:p>
        </w:tc>
        <w:tc>
          <w:tcPr>
            <w:tcW w:w="1170" w:type="dxa"/>
            <w:vAlign w:val="bottom"/>
          </w:tcPr>
          <w:p w14:paraId="5CDFA6BE" w14:textId="5868AF96" w:rsidR="0067631E" w:rsidRPr="00FC2F5C" w:rsidRDefault="0067631E" w:rsidP="0067631E">
            <w:pPr>
              <w:jc w:val="center"/>
              <w:rPr>
                <w:color w:val="000000"/>
                <w:highlight w:val="yellow"/>
              </w:rPr>
            </w:pPr>
            <w:r w:rsidRPr="00FC2F5C">
              <w:rPr>
                <w:color w:val="000000"/>
                <w:sz w:val="22"/>
              </w:rPr>
              <w:t>3.44%</w:t>
            </w:r>
          </w:p>
        </w:tc>
      </w:tr>
      <w:tr w:rsidR="0067631E" w:rsidRPr="00267677" w14:paraId="1E660461" w14:textId="0B0CA0CB" w:rsidTr="00FC2F5C">
        <w:trPr>
          <w:trHeight w:val="20"/>
        </w:trPr>
        <w:tc>
          <w:tcPr>
            <w:tcW w:w="1075" w:type="dxa"/>
            <w:vAlign w:val="center"/>
          </w:tcPr>
          <w:p w14:paraId="1E036F98" w14:textId="77777777" w:rsidR="0067631E" w:rsidRPr="00DD0B9E" w:rsidRDefault="0067631E" w:rsidP="0067631E">
            <w:pPr>
              <w:jc w:val="center"/>
              <w:rPr>
                <w:b/>
                <w:lang w:val="en-US"/>
              </w:rPr>
            </w:pPr>
          </w:p>
        </w:tc>
        <w:tc>
          <w:tcPr>
            <w:tcW w:w="1350" w:type="dxa"/>
            <w:vAlign w:val="bottom"/>
          </w:tcPr>
          <w:p w14:paraId="04DCDF02" w14:textId="4FD7D033" w:rsidR="0067631E" w:rsidRPr="0001451E" w:rsidRDefault="0067631E" w:rsidP="0067631E">
            <w:pPr>
              <w:jc w:val="center"/>
              <w:rPr>
                <w:sz w:val="22"/>
                <w:lang w:val="en-US"/>
              </w:rPr>
            </w:pPr>
            <w:r w:rsidRPr="0001451E">
              <w:rPr>
                <w:color w:val="000000"/>
                <w:sz w:val="22"/>
              </w:rPr>
              <w:t>7.57%</w:t>
            </w:r>
          </w:p>
        </w:tc>
        <w:tc>
          <w:tcPr>
            <w:tcW w:w="1350" w:type="dxa"/>
            <w:vAlign w:val="bottom"/>
          </w:tcPr>
          <w:p w14:paraId="2863F977" w14:textId="255B1B42" w:rsidR="0067631E" w:rsidRPr="0001451E" w:rsidRDefault="0067631E" w:rsidP="0067631E">
            <w:pPr>
              <w:jc w:val="center"/>
              <w:rPr>
                <w:sz w:val="22"/>
                <w:lang w:val="en-US"/>
              </w:rPr>
            </w:pPr>
            <w:r w:rsidRPr="0001451E">
              <w:rPr>
                <w:color w:val="000000"/>
                <w:sz w:val="22"/>
              </w:rPr>
              <w:t>5.00%</w:t>
            </w:r>
          </w:p>
        </w:tc>
        <w:tc>
          <w:tcPr>
            <w:tcW w:w="1080" w:type="dxa"/>
            <w:vAlign w:val="bottom"/>
          </w:tcPr>
          <w:p w14:paraId="500A0DF1" w14:textId="33316794" w:rsidR="0067631E" w:rsidRPr="0001451E" w:rsidRDefault="0067631E" w:rsidP="0067631E">
            <w:pPr>
              <w:jc w:val="center"/>
              <w:rPr>
                <w:color w:val="000000"/>
                <w:sz w:val="22"/>
              </w:rPr>
            </w:pPr>
            <w:r w:rsidRPr="0001451E">
              <w:rPr>
                <w:color w:val="000000"/>
                <w:sz w:val="22"/>
              </w:rPr>
              <w:t>0.33%</w:t>
            </w:r>
          </w:p>
        </w:tc>
        <w:tc>
          <w:tcPr>
            <w:tcW w:w="1440" w:type="dxa"/>
            <w:vAlign w:val="bottom"/>
          </w:tcPr>
          <w:p w14:paraId="4676BDA1" w14:textId="095F5FE0" w:rsidR="0067631E" w:rsidRPr="0001451E" w:rsidRDefault="0067631E" w:rsidP="0067631E">
            <w:pPr>
              <w:jc w:val="center"/>
              <w:rPr>
                <w:color w:val="000000"/>
                <w:sz w:val="22"/>
              </w:rPr>
            </w:pPr>
            <w:r w:rsidRPr="0001451E">
              <w:rPr>
                <w:color w:val="000000"/>
                <w:sz w:val="22"/>
              </w:rPr>
              <w:t>0.17%</w:t>
            </w:r>
          </w:p>
        </w:tc>
        <w:tc>
          <w:tcPr>
            <w:tcW w:w="1170" w:type="dxa"/>
            <w:vAlign w:val="bottom"/>
          </w:tcPr>
          <w:p w14:paraId="6060397F" w14:textId="77777777" w:rsidR="0067631E" w:rsidRPr="00FC2F5C" w:rsidRDefault="0067631E" w:rsidP="0067631E">
            <w:pPr>
              <w:jc w:val="center"/>
              <w:rPr>
                <w:color w:val="000000"/>
                <w:highlight w:val="yellow"/>
              </w:rPr>
            </w:pPr>
          </w:p>
        </w:tc>
        <w:tc>
          <w:tcPr>
            <w:tcW w:w="1170" w:type="dxa"/>
            <w:vAlign w:val="bottom"/>
          </w:tcPr>
          <w:p w14:paraId="7E813015" w14:textId="77777777" w:rsidR="0067631E" w:rsidRPr="00FC2F5C" w:rsidRDefault="0067631E" w:rsidP="0067631E">
            <w:pPr>
              <w:jc w:val="center"/>
              <w:rPr>
                <w:color w:val="000000"/>
                <w:highlight w:val="yellow"/>
              </w:rPr>
            </w:pPr>
          </w:p>
        </w:tc>
      </w:tr>
      <w:tr w:rsidR="0067631E" w:rsidRPr="00267677" w14:paraId="51B7224F" w14:textId="3D1E9981" w:rsidTr="00FC2F5C">
        <w:trPr>
          <w:trHeight w:val="20"/>
        </w:trPr>
        <w:tc>
          <w:tcPr>
            <w:tcW w:w="1075" w:type="dxa"/>
            <w:vAlign w:val="center"/>
          </w:tcPr>
          <w:p w14:paraId="4AC2AEEA" w14:textId="2508D577" w:rsidR="0067631E" w:rsidRPr="00DD0B9E" w:rsidRDefault="0067631E" w:rsidP="0067631E">
            <w:pPr>
              <w:jc w:val="center"/>
              <w:rPr>
                <w:b/>
                <w:lang w:val="en-US"/>
              </w:rPr>
            </w:pPr>
            <w:r w:rsidRPr="00DD0B9E">
              <w:rPr>
                <w:b/>
                <w:lang w:val="en-US"/>
              </w:rPr>
              <w:t>4</w:t>
            </w:r>
          </w:p>
        </w:tc>
        <w:tc>
          <w:tcPr>
            <w:tcW w:w="1350" w:type="dxa"/>
            <w:vAlign w:val="bottom"/>
          </w:tcPr>
          <w:p w14:paraId="29BD3142" w14:textId="0E465F40" w:rsidR="0067631E" w:rsidRPr="0001451E" w:rsidRDefault="0067631E" w:rsidP="0067631E">
            <w:pPr>
              <w:jc w:val="center"/>
              <w:rPr>
                <w:sz w:val="22"/>
                <w:lang w:val="en-US"/>
              </w:rPr>
            </w:pPr>
            <w:r w:rsidRPr="0001451E">
              <w:rPr>
                <w:color w:val="000000"/>
                <w:sz w:val="22"/>
              </w:rPr>
              <w:t>0.74</w:t>
            </w:r>
            <w:r w:rsidRPr="0001451E">
              <w:rPr>
                <w:color w:val="000000"/>
                <w:sz w:val="22"/>
                <w:vertAlign w:val="superscript"/>
              </w:rPr>
              <w:t>**</w:t>
            </w:r>
          </w:p>
        </w:tc>
        <w:tc>
          <w:tcPr>
            <w:tcW w:w="1350" w:type="dxa"/>
            <w:vAlign w:val="bottom"/>
          </w:tcPr>
          <w:p w14:paraId="5A177A2E" w14:textId="77777777" w:rsidR="0067631E" w:rsidRPr="0001451E" w:rsidRDefault="0067631E" w:rsidP="0067631E">
            <w:pPr>
              <w:jc w:val="center"/>
              <w:rPr>
                <w:sz w:val="22"/>
                <w:lang w:val="en-US"/>
              </w:rPr>
            </w:pPr>
            <w:r w:rsidRPr="0001451E">
              <w:rPr>
                <w:color w:val="000000"/>
                <w:sz w:val="22"/>
              </w:rPr>
              <w:t>7.53</w:t>
            </w:r>
          </w:p>
        </w:tc>
        <w:tc>
          <w:tcPr>
            <w:tcW w:w="1080" w:type="dxa"/>
            <w:vAlign w:val="bottom"/>
          </w:tcPr>
          <w:p w14:paraId="35A56E2B" w14:textId="3CC0E28E" w:rsidR="0067631E" w:rsidRPr="0001451E" w:rsidRDefault="0067631E" w:rsidP="0067631E">
            <w:pPr>
              <w:jc w:val="center"/>
              <w:rPr>
                <w:color w:val="000000"/>
                <w:sz w:val="22"/>
              </w:rPr>
            </w:pPr>
            <w:r w:rsidRPr="0001451E">
              <w:rPr>
                <w:color w:val="000000"/>
                <w:sz w:val="22"/>
              </w:rPr>
              <w:t>0.18</w:t>
            </w:r>
            <w:r w:rsidRPr="0001451E">
              <w:rPr>
                <w:color w:val="000000"/>
                <w:sz w:val="22"/>
                <w:vertAlign w:val="superscript"/>
              </w:rPr>
              <w:t>**</w:t>
            </w:r>
          </w:p>
        </w:tc>
        <w:tc>
          <w:tcPr>
            <w:tcW w:w="1440" w:type="dxa"/>
            <w:vAlign w:val="bottom"/>
          </w:tcPr>
          <w:p w14:paraId="75A6B0D4" w14:textId="2C93440F" w:rsidR="0067631E" w:rsidRPr="0001451E" w:rsidRDefault="0067631E" w:rsidP="0067631E">
            <w:pPr>
              <w:jc w:val="center"/>
              <w:rPr>
                <w:color w:val="000000"/>
                <w:sz w:val="22"/>
              </w:rPr>
            </w:pPr>
            <w:r w:rsidRPr="0001451E">
              <w:rPr>
                <w:color w:val="000000"/>
                <w:sz w:val="22"/>
              </w:rPr>
              <w:t>1.46</w:t>
            </w:r>
          </w:p>
        </w:tc>
        <w:tc>
          <w:tcPr>
            <w:tcW w:w="1170" w:type="dxa"/>
            <w:vAlign w:val="bottom"/>
          </w:tcPr>
          <w:p w14:paraId="6E55E069" w14:textId="7D1E5344" w:rsidR="0067631E" w:rsidRPr="00FC2F5C" w:rsidRDefault="0067631E" w:rsidP="0067631E">
            <w:pPr>
              <w:jc w:val="center"/>
              <w:rPr>
                <w:color w:val="000000"/>
                <w:highlight w:val="yellow"/>
              </w:rPr>
            </w:pPr>
            <w:r w:rsidRPr="00FC2F5C">
              <w:rPr>
                <w:color w:val="000000"/>
                <w:sz w:val="22"/>
              </w:rPr>
              <w:t>24.32%</w:t>
            </w:r>
          </w:p>
        </w:tc>
        <w:tc>
          <w:tcPr>
            <w:tcW w:w="1170" w:type="dxa"/>
            <w:vAlign w:val="bottom"/>
          </w:tcPr>
          <w:p w14:paraId="59F3B7B6" w14:textId="71EBE45A" w:rsidR="0067631E" w:rsidRPr="00FC2F5C" w:rsidRDefault="0067631E" w:rsidP="0067631E">
            <w:pPr>
              <w:jc w:val="center"/>
              <w:rPr>
                <w:color w:val="000000"/>
                <w:highlight w:val="yellow"/>
              </w:rPr>
            </w:pPr>
            <w:r w:rsidRPr="00FC2F5C">
              <w:rPr>
                <w:color w:val="000000"/>
                <w:sz w:val="22"/>
              </w:rPr>
              <w:t>19.39%</w:t>
            </w:r>
          </w:p>
        </w:tc>
      </w:tr>
      <w:tr w:rsidR="0067631E" w:rsidRPr="00267677" w14:paraId="317EAF01" w14:textId="75DBB6C0" w:rsidTr="00FC2F5C">
        <w:trPr>
          <w:trHeight w:val="20"/>
        </w:trPr>
        <w:tc>
          <w:tcPr>
            <w:tcW w:w="1075" w:type="dxa"/>
            <w:vAlign w:val="center"/>
          </w:tcPr>
          <w:p w14:paraId="79AC043E" w14:textId="77777777" w:rsidR="0067631E" w:rsidRPr="00DD0B9E" w:rsidRDefault="0067631E" w:rsidP="0067631E">
            <w:pPr>
              <w:jc w:val="center"/>
              <w:rPr>
                <w:b/>
                <w:lang w:val="en-US"/>
              </w:rPr>
            </w:pPr>
          </w:p>
        </w:tc>
        <w:tc>
          <w:tcPr>
            <w:tcW w:w="1350" w:type="dxa"/>
            <w:vAlign w:val="bottom"/>
          </w:tcPr>
          <w:p w14:paraId="572BACAB" w14:textId="2AEDD650" w:rsidR="0067631E" w:rsidRPr="0001451E" w:rsidRDefault="0067631E" w:rsidP="0067631E">
            <w:pPr>
              <w:jc w:val="center"/>
              <w:rPr>
                <w:sz w:val="22"/>
                <w:lang w:val="en-US"/>
              </w:rPr>
            </w:pPr>
            <w:r w:rsidRPr="0001451E">
              <w:rPr>
                <w:color w:val="000000"/>
                <w:sz w:val="22"/>
              </w:rPr>
              <w:t>6.70%</w:t>
            </w:r>
          </w:p>
        </w:tc>
        <w:tc>
          <w:tcPr>
            <w:tcW w:w="1350" w:type="dxa"/>
            <w:vAlign w:val="bottom"/>
          </w:tcPr>
          <w:p w14:paraId="418BF68F" w14:textId="01438EE9" w:rsidR="0067631E" w:rsidRPr="0001451E" w:rsidRDefault="0067631E" w:rsidP="0067631E">
            <w:pPr>
              <w:jc w:val="center"/>
              <w:rPr>
                <w:sz w:val="22"/>
                <w:lang w:val="en-US"/>
              </w:rPr>
            </w:pPr>
            <w:r w:rsidRPr="0001451E">
              <w:rPr>
                <w:color w:val="000000"/>
                <w:sz w:val="22"/>
              </w:rPr>
              <w:t>0.20%</w:t>
            </w:r>
          </w:p>
        </w:tc>
        <w:tc>
          <w:tcPr>
            <w:tcW w:w="1080" w:type="dxa"/>
            <w:vAlign w:val="bottom"/>
          </w:tcPr>
          <w:p w14:paraId="1E00A436" w14:textId="17CE3DF0" w:rsidR="0067631E" w:rsidRPr="0001451E" w:rsidRDefault="0067631E" w:rsidP="0067631E">
            <w:pPr>
              <w:jc w:val="center"/>
              <w:rPr>
                <w:color w:val="000000"/>
                <w:sz w:val="22"/>
              </w:rPr>
            </w:pPr>
            <w:r w:rsidRPr="0001451E">
              <w:rPr>
                <w:color w:val="000000"/>
                <w:sz w:val="22"/>
              </w:rPr>
              <w:t>1.66%</w:t>
            </w:r>
          </w:p>
        </w:tc>
        <w:tc>
          <w:tcPr>
            <w:tcW w:w="1440" w:type="dxa"/>
            <w:vAlign w:val="bottom"/>
          </w:tcPr>
          <w:p w14:paraId="5FC5D2BF" w14:textId="5E2AE9FE" w:rsidR="0067631E" w:rsidRPr="0001451E" w:rsidRDefault="0067631E" w:rsidP="0067631E">
            <w:pPr>
              <w:jc w:val="center"/>
              <w:rPr>
                <w:color w:val="000000"/>
                <w:sz w:val="22"/>
              </w:rPr>
            </w:pPr>
            <w:r w:rsidRPr="0001451E">
              <w:rPr>
                <w:color w:val="000000"/>
                <w:sz w:val="22"/>
              </w:rPr>
              <w:t>0.05%</w:t>
            </w:r>
          </w:p>
        </w:tc>
        <w:tc>
          <w:tcPr>
            <w:tcW w:w="1170" w:type="dxa"/>
            <w:vAlign w:val="bottom"/>
          </w:tcPr>
          <w:p w14:paraId="5FE63803" w14:textId="77777777" w:rsidR="0067631E" w:rsidRPr="00FC2F5C" w:rsidRDefault="0067631E" w:rsidP="0067631E">
            <w:pPr>
              <w:jc w:val="center"/>
              <w:rPr>
                <w:color w:val="000000"/>
                <w:highlight w:val="yellow"/>
              </w:rPr>
            </w:pPr>
          </w:p>
        </w:tc>
        <w:tc>
          <w:tcPr>
            <w:tcW w:w="1170" w:type="dxa"/>
            <w:vAlign w:val="bottom"/>
          </w:tcPr>
          <w:p w14:paraId="08FEEAB3" w14:textId="77777777" w:rsidR="0067631E" w:rsidRPr="00FC2F5C" w:rsidRDefault="0067631E" w:rsidP="0067631E">
            <w:pPr>
              <w:jc w:val="center"/>
              <w:rPr>
                <w:color w:val="000000"/>
                <w:highlight w:val="yellow"/>
              </w:rPr>
            </w:pPr>
          </w:p>
        </w:tc>
      </w:tr>
      <w:tr w:rsidR="0067631E" w:rsidRPr="00267677" w14:paraId="3AF56900" w14:textId="367E8DC0" w:rsidTr="00FC2F5C">
        <w:trPr>
          <w:trHeight w:val="20"/>
        </w:trPr>
        <w:tc>
          <w:tcPr>
            <w:tcW w:w="1075" w:type="dxa"/>
            <w:vAlign w:val="center"/>
          </w:tcPr>
          <w:p w14:paraId="640C9825" w14:textId="5EF1F505" w:rsidR="0067631E" w:rsidRPr="00DD0B9E" w:rsidRDefault="0067631E" w:rsidP="0067631E">
            <w:pPr>
              <w:jc w:val="center"/>
              <w:rPr>
                <w:b/>
                <w:lang w:val="en-US"/>
              </w:rPr>
            </w:pPr>
            <w:r w:rsidRPr="00DD0B9E">
              <w:rPr>
                <w:b/>
                <w:lang w:val="en-US"/>
              </w:rPr>
              <w:t>5</w:t>
            </w:r>
          </w:p>
        </w:tc>
        <w:tc>
          <w:tcPr>
            <w:tcW w:w="1350" w:type="dxa"/>
            <w:vAlign w:val="bottom"/>
          </w:tcPr>
          <w:p w14:paraId="5235BB07" w14:textId="77777777" w:rsidR="0067631E" w:rsidRPr="0001451E" w:rsidRDefault="0067631E" w:rsidP="0067631E">
            <w:pPr>
              <w:jc w:val="center"/>
              <w:rPr>
                <w:sz w:val="22"/>
                <w:lang w:val="en-US"/>
              </w:rPr>
            </w:pPr>
            <w:r w:rsidRPr="0001451E">
              <w:rPr>
                <w:color w:val="000000"/>
                <w:sz w:val="22"/>
              </w:rPr>
              <w:t>0.16</w:t>
            </w:r>
          </w:p>
        </w:tc>
        <w:tc>
          <w:tcPr>
            <w:tcW w:w="1350" w:type="dxa"/>
            <w:vAlign w:val="bottom"/>
          </w:tcPr>
          <w:p w14:paraId="7254D17C" w14:textId="4EC0464A" w:rsidR="0067631E" w:rsidRPr="0001451E" w:rsidRDefault="0067631E" w:rsidP="0067631E">
            <w:pPr>
              <w:jc w:val="center"/>
              <w:rPr>
                <w:sz w:val="22"/>
                <w:lang w:val="en-US"/>
              </w:rPr>
            </w:pPr>
            <w:r w:rsidRPr="0001451E">
              <w:rPr>
                <w:color w:val="000000"/>
                <w:sz w:val="22"/>
              </w:rPr>
              <w:t>-51.94</w:t>
            </w:r>
            <w:r w:rsidRPr="0001451E">
              <w:rPr>
                <w:color w:val="000000"/>
                <w:sz w:val="22"/>
                <w:vertAlign w:val="superscript"/>
              </w:rPr>
              <w:t>*</w:t>
            </w:r>
          </w:p>
        </w:tc>
        <w:tc>
          <w:tcPr>
            <w:tcW w:w="1080" w:type="dxa"/>
            <w:vAlign w:val="bottom"/>
          </w:tcPr>
          <w:p w14:paraId="6BF30646" w14:textId="41556384" w:rsidR="0067631E" w:rsidRPr="0001451E" w:rsidRDefault="0067631E" w:rsidP="0067631E">
            <w:pPr>
              <w:jc w:val="center"/>
              <w:rPr>
                <w:color w:val="000000"/>
                <w:sz w:val="22"/>
              </w:rPr>
            </w:pPr>
            <w:r w:rsidRPr="0001451E">
              <w:rPr>
                <w:color w:val="000000"/>
                <w:sz w:val="22"/>
              </w:rPr>
              <w:t>0.22</w:t>
            </w:r>
            <w:r w:rsidRPr="0001451E">
              <w:rPr>
                <w:color w:val="000000"/>
                <w:sz w:val="22"/>
                <w:vertAlign w:val="superscript"/>
              </w:rPr>
              <w:t>**</w:t>
            </w:r>
          </w:p>
        </w:tc>
        <w:tc>
          <w:tcPr>
            <w:tcW w:w="1440" w:type="dxa"/>
            <w:vAlign w:val="bottom"/>
          </w:tcPr>
          <w:p w14:paraId="1004DC63" w14:textId="151FF08B" w:rsidR="0067631E" w:rsidRPr="0001451E" w:rsidRDefault="0067631E" w:rsidP="0067631E">
            <w:pPr>
              <w:jc w:val="center"/>
              <w:rPr>
                <w:color w:val="000000"/>
                <w:sz w:val="22"/>
              </w:rPr>
            </w:pPr>
            <w:r w:rsidRPr="0001451E">
              <w:rPr>
                <w:color w:val="000000"/>
                <w:sz w:val="22"/>
              </w:rPr>
              <w:t>1.17</w:t>
            </w:r>
          </w:p>
        </w:tc>
        <w:tc>
          <w:tcPr>
            <w:tcW w:w="1170" w:type="dxa"/>
            <w:vAlign w:val="bottom"/>
          </w:tcPr>
          <w:p w14:paraId="753E7AEC" w14:textId="15B250E5" w:rsidR="0067631E" w:rsidRPr="00FC2F5C" w:rsidRDefault="0067631E" w:rsidP="0067631E">
            <w:pPr>
              <w:jc w:val="center"/>
              <w:rPr>
                <w:color w:val="000000"/>
                <w:highlight w:val="yellow"/>
              </w:rPr>
            </w:pPr>
            <w:r w:rsidRPr="00FC2F5C">
              <w:rPr>
                <w:color w:val="000000"/>
                <w:sz w:val="22"/>
              </w:rPr>
              <w:t>137.50%</w:t>
            </w:r>
          </w:p>
        </w:tc>
        <w:tc>
          <w:tcPr>
            <w:tcW w:w="1170" w:type="dxa"/>
            <w:vAlign w:val="bottom"/>
          </w:tcPr>
          <w:p w14:paraId="3010C57C" w14:textId="579B367D" w:rsidR="0067631E" w:rsidRPr="00FC2F5C" w:rsidRDefault="0067631E" w:rsidP="0067631E">
            <w:pPr>
              <w:jc w:val="center"/>
              <w:rPr>
                <w:color w:val="000000"/>
                <w:highlight w:val="yellow"/>
              </w:rPr>
            </w:pPr>
            <w:r w:rsidRPr="00FC2F5C">
              <w:rPr>
                <w:color w:val="000000"/>
                <w:sz w:val="22"/>
              </w:rPr>
              <w:t>-2.25%</w:t>
            </w:r>
          </w:p>
        </w:tc>
      </w:tr>
      <w:tr w:rsidR="0067631E" w:rsidRPr="00267677" w14:paraId="3F0E41BE" w14:textId="0E74EB82" w:rsidTr="00FC2F5C">
        <w:trPr>
          <w:trHeight w:val="20"/>
        </w:trPr>
        <w:tc>
          <w:tcPr>
            <w:tcW w:w="1075" w:type="dxa"/>
            <w:vAlign w:val="center"/>
          </w:tcPr>
          <w:p w14:paraId="73C9EEA7" w14:textId="77777777" w:rsidR="0067631E" w:rsidRPr="00DD0B9E" w:rsidRDefault="0067631E" w:rsidP="0067631E">
            <w:pPr>
              <w:jc w:val="center"/>
              <w:rPr>
                <w:b/>
                <w:lang w:val="en-US"/>
              </w:rPr>
            </w:pPr>
          </w:p>
        </w:tc>
        <w:tc>
          <w:tcPr>
            <w:tcW w:w="1350" w:type="dxa"/>
            <w:vAlign w:val="bottom"/>
          </w:tcPr>
          <w:p w14:paraId="24D56BB7" w14:textId="2F5F9765" w:rsidR="0067631E" w:rsidRPr="0001451E" w:rsidRDefault="0067631E" w:rsidP="0067631E">
            <w:pPr>
              <w:jc w:val="center"/>
              <w:rPr>
                <w:sz w:val="22"/>
                <w:lang w:val="en-US"/>
              </w:rPr>
            </w:pPr>
            <w:r w:rsidRPr="0001451E">
              <w:rPr>
                <w:color w:val="000000"/>
                <w:sz w:val="22"/>
              </w:rPr>
              <w:t>0.75%</w:t>
            </w:r>
          </w:p>
        </w:tc>
        <w:tc>
          <w:tcPr>
            <w:tcW w:w="1350" w:type="dxa"/>
            <w:vAlign w:val="bottom"/>
          </w:tcPr>
          <w:p w14:paraId="2A920673" w14:textId="013FBEE2" w:rsidR="0067631E" w:rsidRPr="0001451E" w:rsidRDefault="0067631E" w:rsidP="0067631E">
            <w:pPr>
              <w:jc w:val="center"/>
              <w:rPr>
                <w:sz w:val="22"/>
                <w:lang w:val="en-US"/>
              </w:rPr>
            </w:pPr>
            <w:r w:rsidRPr="0001451E">
              <w:rPr>
                <w:color w:val="000000"/>
                <w:sz w:val="22"/>
              </w:rPr>
              <w:t>-1.44%</w:t>
            </w:r>
          </w:p>
        </w:tc>
        <w:tc>
          <w:tcPr>
            <w:tcW w:w="1080" w:type="dxa"/>
            <w:vAlign w:val="bottom"/>
          </w:tcPr>
          <w:p w14:paraId="16EF1239" w14:textId="058A98A1" w:rsidR="0067631E" w:rsidRPr="0001451E" w:rsidRDefault="0067631E" w:rsidP="0067631E">
            <w:pPr>
              <w:jc w:val="center"/>
              <w:rPr>
                <w:color w:val="000000"/>
                <w:sz w:val="22"/>
              </w:rPr>
            </w:pPr>
            <w:r w:rsidRPr="0001451E">
              <w:rPr>
                <w:color w:val="000000"/>
                <w:sz w:val="22"/>
              </w:rPr>
              <w:t>1.06%</w:t>
            </w:r>
          </w:p>
        </w:tc>
        <w:tc>
          <w:tcPr>
            <w:tcW w:w="1440" w:type="dxa"/>
            <w:vAlign w:val="bottom"/>
          </w:tcPr>
          <w:p w14:paraId="5C2979C2" w14:textId="310E18A1" w:rsidR="0067631E" w:rsidRPr="0001451E" w:rsidRDefault="0067631E" w:rsidP="0067631E">
            <w:pPr>
              <w:jc w:val="center"/>
              <w:rPr>
                <w:color w:val="000000"/>
                <w:sz w:val="22"/>
              </w:rPr>
            </w:pPr>
            <w:r w:rsidRPr="0001451E">
              <w:rPr>
                <w:color w:val="000000"/>
                <w:sz w:val="22"/>
              </w:rPr>
              <w:t>0.04%</w:t>
            </w:r>
          </w:p>
        </w:tc>
        <w:tc>
          <w:tcPr>
            <w:tcW w:w="1170" w:type="dxa"/>
            <w:vAlign w:val="bottom"/>
          </w:tcPr>
          <w:p w14:paraId="5A12C593" w14:textId="77777777" w:rsidR="0067631E" w:rsidRPr="00FC2F5C" w:rsidRDefault="0067631E" w:rsidP="0067631E">
            <w:pPr>
              <w:jc w:val="center"/>
              <w:rPr>
                <w:color w:val="000000"/>
                <w:highlight w:val="yellow"/>
              </w:rPr>
            </w:pPr>
          </w:p>
        </w:tc>
        <w:tc>
          <w:tcPr>
            <w:tcW w:w="1170" w:type="dxa"/>
            <w:vAlign w:val="bottom"/>
          </w:tcPr>
          <w:p w14:paraId="367B9C50" w14:textId="77777777" w:rsidR="0067631E" w:rsidRPr="00FC2F5C" w:rsidRDefault="0067631E" w:rsidP="0067631E">
            <w:pPr>
              <w:jc w:val="center"/>
              <w:rPr>
                <w:color w:val="000000"/>
                <w:highlight w:val="yellow"/>
              </w:rPr>
            </w:pPr>
          </w:p>
        </w:tc>
      </w:tr>
      <w:tr w:rsidR="0067631E" w:rsidRPr="00267677" w14:paraId="45390C77" w14:textId="3F288AD8" w:rsidTr="00FC2F5C">
        <w:trPr>
          <w:trHeight w:val="20"/>
        </w:trPr>
        <w:tc>
          <w:tcPr>
            <w:tcW w:w="1075" w:type="dxa"/>
            <w:vAlign w:val="center"/>
          </w:tcPr>
          <w:p w14:paraId="20FCF94E" w14:textId="0351AE67" w:rsidR="0067631E" w:rsidRPr="00DD0B9E" w:rsidRDefault="0067631E" w:rsidP="0067631E">
            <w:pPr>
              <w:jc w:val="center"/>
              <w:rPr>
                <w:b/>
                <w:lang w:val="en-US"/>
              </w:rPr>
            </w:pPr>
            <w:r w:rsidRPr="00DD0B9E">
              <w:rPr>
                <w:b/>
                <w:lang w:val="en-US"/>
              </w:rPr>
              <w:t>6</w:t>
            </w:r>
          </w:p>
        </w:tc>
        <w:tc>
          <w:tcPr>
            <w:tcW w:w="1350" w:type="dxa"/>
            <w:vAlign w:val="bottom"/>
          </w:tcPr>
          <w:p w14:paraId="23F4F2AA" w14:textId="03D7A89B" w:rsidR="0067631E" w:rsidRPr="0001451E" w:rsidRDefault="0067631E" w:rsidP="0067631E">
            <w:pPr>
              <w:jc w:val="center"/>
              <w:rPr>
                <w:sz w:val="22"/>
                <w:lang w:val="en-US"/>
              </w:rPr>
            </w:pPr>
            <w:r w:rsidRPr="0001451E">
              <w:rPr>
                <w:color w:val="000000"/>
                <w:sz w:val="22"/>
              </w:rPr>
              <w:t>2.21</w:t>
            </w:r>
            <w:r w:rsidRPr="0001451E">
              <w:rPr>
                <w:color w:val="000000"/>
                <w:sz w:val="22"/>
                <w:vertAlign w:val="superscript"/>
              </w:rPr>
              <w:t>**</w:t>
            </w:r>
          </w:p>
        </w:tc>
        <w:tc>
          <w:tcPr>
            <w:tcW w:w="1350" w:type="dxa"/>
            <w:vAlign w:val="bottom"/>
          </w:tcPr>
          <w:p w14:paraId="070E289F" w14:textId="036BFA22" w:rsidR="0067631E" w:rsidRPr="0001451E" w:rsidRDefault="0067631E" w:rsidP="0067631E">
            <w:pPr>
              <w:jc w:val="center"/>
              <w:rPr>
                <w:sz w:val="22"/>
                <w:lang w:val="en-US"/>
              </w:rPr>
            </w:pPr>
            <w:r w:rsidRPr="0001451E">
              <w:rPr>
                <w:color w:val="000000"/>
                <w:sz w:val="22"/>
              </w:rPr>
              <w:t>45.09</w:t>
            </w:r>
          </w:p>
        </w:tc>
        <w:tc>
          <w:tcPr>
            <w:tcW w:w="1080" w:type="dxa"/>
            <w:vAlign w:val="bottom"/>
          </w:tcPr>
          <w:p w14:paraId="0C59FE15" w14:textId="6067AA30" w:rsidR="0067631E" w:rsidRPr="0001451E" w:rsidRDefault="0067631E" w:rsidP="0067631E">
            <w:pPr>
              <w:jc w:val="center"/>
              <w:rPr>
                <w:color w:val="000000"/>
                <w:sz w:val="22"/>
              </w:rPr>
            </w:pPr>
            <w:r w:rsidRPr="0001451E">
              <w:rPr>
                <w:color w:val="000000"/>
                <w:sz w:val="22"/>
              </w:rPr>
              <w:t>0.18</w:t>
            </w:r>
            <w:r w:rsidRPr="0001451E">
              <w:rPr>
                <w:color w:val="000000"/>
                <w:sz w:val="22"/>
                <w:vertAlign w:val="superscript"/>
              </w:rPr>
              <w:t>**</w:t>
            </w:r>
          </w:p>
        </w:tc>
        <w:tc>
          <w:tcPr>
            <w:tcW w:w="1440" w:type="dxa"/>
            <w:vAlign w:val="bottom"/>
          </w:tcPr>
          <w:p w14:paraId="78D29D75" w14:textId="70F99B79" w:rsidR="0067631E" w:rsidRPr="0001451E" w:rsidRDefault="0067631E" w:rsidP="0067631E">
            <w:pPr>
              <w:jc w:val="center"/>
              <w:rPr>
                <w:color w:val="000000"/>
                <w:sz w:val="22"/>
              </w:rPr>
            </w:pPr>
            <w:r w:rsidRPr="0001451E">
              <w:rPr>
                <w:color w:val="000000"/>
                <w:sz w:val="22"/>
              </w:rPr>
              <w:t>1.46</w:t>
            </w:r>
          </w:p>
        </w:tc>
        <w:tc>
          <w:tcPr>
            <w:tcW w:w="1170" w:type="dxa"/>
            <w:vAlign w:val="bottom"/>
          </w:tcPr>
          <w:p w14:paraId="37B693C2" w14:textId="4E5ABC14" w:rsidR="0067631E" w:rsidRPr="00FC2F5C" w:rsidRDefault="0067631E" w:rsidP="0067631E">
            <w:pPr>
              <w:jc w:val="center"/>
              <w:rPr>
                <w:color w:val="000000"/>
                <w:highlight w:val="yellow"/>
              </w:rPr>
            </w:pPr>
            <w:r w:rsidRPr="00FC2F5C">
              <w:rPr>
                <w:color w:val="000000"/>
                <w:sz w:val="22"/>
              </w:rPr>
              <w:t>8.14%</w:t>
            </w:r>
          </w:p>
        </w:tc>
        <w:tc>
          <w:tcPr>
            <w:tcW w:w="1170" w:type="dxa"/>
            <w:vAlign w:val="bottom"/>
          </w:tcPr>
          <w:p w14:paraId="11635BE2" w14:textId="1090C8CB" w:rsidR="0067631E" w:rsidRPr="00FC2F5C" w:rsidRDefault="0067631E" w:rsidP="0067631E">
            <w:pPr>
              <w:jc w:val="center"/>
              <w:rPr>
                <w:color w:val="000000"/>
                <w:highlight w:val="yellow"/>
              </w:rPr>
            </w:pPr>
            <w:r w:rsidRPr="00FC2F5C">
              <w:rPr>
                <w:color w:val="000000"/>
                <w:sz w:val="22"/>
              </w:rPr>
              <w:t>3.24%</w:t>
            </w:r>
          </w:p>
        </w:tc>
      </w:tr>
      <w:tr w:rsidR="0067631E" w:rsidRPr="00267677" w14:paraId="61EC29EB" w14:textId="2BC8B7A8" w:rsidTr="00FC2F5C">
        <w:trPr>
          <w:trHeight w:val="20"/>
        </w:trPr>
        <w:tc>
          <w:tcPr>
            <w:tcW w:w="1075" w:type="dxa"/>
            <w:vAlign w:val="center"/>
          </w:tcPr>
          <w:p w14:paraId="38A00D9E" w14:textId="77777777" w:rsidR="0067631E" w:rsidRPr="00DD0B9E" w:rsidRDefault="0067631E" w:rsidP="0067631E">
            <w:pPr>
              <w:jc w:val="center"/>
              <w:rPr>
                <w:b/>
                <w:lang w:val="en-US"/>
              </w:rPr>
            </w:pPr>
          </w:p>
        </w:tc>
        <w:tc>
          <w:tcPr>
            <w:tcW w:w="1350" w:type="dxa"/>
            <w:vAlign w:val="bottom"/>
          </w:tcPr>
          <w:p w14:paraId="6F373ED0" w14:textId="04D3AA0C" w:rsidR="0067631E" w:rsidRPr="0001451E" w:rsidRDefault="0067631E" w:rsidP="0067631E">
            <w:pPr>
              <w:jc w:val="center"/>
              <w:rPr>
                <w:sz w:val="22"/>
                <w:lang w:val="en-US"/>
              </w:rPr>
            </w:pPr>
            <w:r w:rsidRPr="0001451E">
              <w:rPr>
                <w:color w:val="000000"/>
                <w:sz w:val="22"/>
              </w:rPr>
              <w:t>20.22%</w:t>
            </w:r>
          </w:p>
        </w:tc>
        <w:tc>
          <w:tcPr>
            <w:tcW w:w="1350" w:type="dxa"/>
            <w:vAlign w:val="bottom"/>
          </w:tcPr>
          <w:p w14:paraId="3571984A" w14:textId="472F4279" w:rsidR="0067631E" w:rsidRPr="0001451E" w:rsidRDefault="0067631E" w:rsidP="0067631E">
            <w:pPr>
              <w:jc w:val="center"/>
              <w:rPr>
                <w:sz w:val="22"/>
                <w:lang w:val="en-US"/>
              </w:rPr>
            </w:pPr>
            <w:r w:rsidRPr="0001451E">
              <w:rPr>
                <w:color w:val="000000"/>
                <w:sz w:val="22"/>
              </w:rPr>
              <w:t>1.27%</w:t>
            </w:r>
          </w:p>
        </w:tc>
        <w:tc>
          <w:tcPr>
            <w:tcW w:w="1080" w:type="dxa"/>
            <w:vAlign w:val="bottom"/>
          </w:tcPr>
          <w:p w14:paraId="6E796903" w14:textId="7B15EF50" w:rsidR="0067631E" w:rsidRPr="0001451E" w:rsidRDefault="0067631E" w:rsidP="0067631E">
            <w:pPr>
              <w:jc w:val="center"/>
              <w:rPr>
                <w:color w:val="000000"/>
                <w:sz w:val="22"/>
              </w:rPr>
            </w:pPr>
            <w:r w:rsidRPr="0001451E">
              <w:rPr>
                <w:color w:val="000000"/>
                <w:sz w:val="22"/>
              </w:rPr>
              <w:t>1.66%</w:t>
            </w:r>
          </w:p>
        </w:tc>
        <w:tc>
          <w:tcPr>
            <w:tcW w:w="1440" w:type="dxa"/>
            <w:vAlign w:val="bottom"/>
          </w:tcPr>
          <w:p w14:paraId="7D3F6CB4" w14:textId="138AC002" w:rsidR="0067631E" w:rsidRPr="0001451E" w:rsidRDefault="0067631E" w:rsidP="0067631E">
            <w:pPr>
              <w:jc w:val="center"/>
              <w:rPr>
                <w:color w:val="000000"/>
                <w:sz w:val="22"/>
              </w:rPr>
            </w:pPr>
            <w:r w:rsidRPr="0001451E">
              <w:rPr>
                <w:color w:val="000000"/>
                <w:sz w:val="22"/>
              </w:rPr>
              <w:t>0.05%</w:t>
            </w:r>
          </w:p>
        </w:tc>
        <w:tc>
          <w:tcPr>
            <w:tcW w:w="1170" w:type="dxa"/>
            <w:vAlign w:val="bottom"/>
          </w:tcPr>
          <w:p w14:paraId="68C615E3" w14:textId="77777777" w:rsidR="0067631E" w:rsidRPr="00FC2F5C" w:rsidRDefault="0067631E" w:rsidP="0067631E">
            <w:pPr>
              <w:jc w:val="center"/>
              <w:rPr>
                <w:color w:val="000000"/>
                <w:highlight w:val="yellow"/>
              </w:rPr>
            </w:pPr>
          </w:p>
        </w:tc>
        <w:tc>
          <w:tcPr>
            <w:tcW w:w="1170" w:type="dxa"/>
            <w:vAlign w:val="bottom"/>
          </w:tcPr>
          <w:p w14:paraId="4E3A779B" w14:textId="77777777" w:rsidR="0067631E" w:rsidRPr="00FC2F5C" w:rsidRDefault="0067631E" w:rsidP="0067631E">
            <w:pPr>
              <w:jc w:val="center"/>
              <w:rPr>
                <w:color w:val="000000"/>
                <w:highlight w:val="yellow"/>
              </w:rPr>
            </w:pPr>
          </w:p>
        </w:tc>
      </w:tr>
      <w:tr w:rsidR="0067631E" w:rsidRPr="00267677" w14:paraId="4C3172A3" w14:textId="340B4B67" w:rsidTr="00FC2F5C">
        <w:trPr>
          <w:trHeight w:val="20"/>
        </w:trPr>
        <w:tc>
          <w:tcPr>
            <w:tcW w:w="1075" w:type="dxa"/>
            <w:vAlign w:val="center"/>
          </w:tcPr>
          <w:p w14:paraId="3C1110CF" w14:textId="6F9C5EA9" w:rsidR="0067631E" w:rsidRPr="00DD0B9E" w:rsidRDefault="0067631E" w:rsidP="0067631E">
            <w:pPr>
              <w:jc w:val="center"/>
              <w:rPr>
                <w:b/>
                <w:lang w:val="en-US"/>
              </w:rPr>
            </w:pPr>
            <w:r w:rsidRPr="00DD0B9E">
              <w:rPr>
                <w:b/>
                <w:lang w:val="en-US"/>
              </w:rPr>
              <w:t>7</w:t>
            </w:r>
          </w:p>
        </w:tc>
        <w:tc>
          <w:tcPr>
            <w:tcW w:w="1350" w:type="dxa"/>
            <w:vAlign w:val="bottom"/>
          </w:tcPr>
          <w:p w14:paraId="75BEB960" w14:textId="77777777" w:rsidR="0067631E" w:rsidRPr="0001451E" w:rsidRDefault="0067631E" w:rsidP="0067631E">
            <w:pPr>
              <w:jc w:val="center"/>
              <w:rPr>
                <w:sz w:val="22"/>
                <w:lang w:val="en-US"/>
              </w:rPr>
            </w:pPr>
            <w:r w:rsidRPr="0001451E">
              <w:rPr>
                <w:color w:val="000000"/>
                <w:sz w:val="22"/>
              </w:rPr>
              <w:t>-0.06</w:t>
            </w:r>
          </w:p>
        </w:tc>
        <w:tc>
          <w:tcPr>
            <w:tcW w:w="1350" w:type="dxa"/>
            <w:vAlign w:val="bottom"/>
          </w:tcPr>
          <w:p w14:paraId="30DA9275" w14:textId="77777777" w:rsidR="0067631E" w:rsidRPr="0001451E" w:rsidRDefault="0067631E" w:rsidP="0067631E">
            <w:pPr>
              <w:jc w:val="center"/>
              <w:rPr>
                <w:sz w:val="22"/>
                <w:lang w:val="en-US"/>
              </w:rPr>
            </w:pPr>
            <w:r w:rsidRPr="0001451E">
              <w:rPr>
                <w:color w:val="000000"/>
                <w:sz w:val="22"/>
              </w:rPr>
              <w:t>-28.72</w:t>
            </w:r>
          </w:p>
        </w:tc>
        <w:tc>
          <w:tcPr>
            <w:tcW w:w="1080" w:type="dxa"/>
            <w:vAlign w:val="bottom"/>
          </w:tcPr>
          <w:p w14:paraId="255841D2" w14:textId="03F8EA5A" w:rsidR="0067631E" w:rsidRPr="0001451E" w:rsidRDefault="0067631E" w:rsidP="0067631E">
            <w:pPr>
              <w:jc w:val="center"/>
              <w:rPr>
                <w:color w:val="000000"/>
                <w:sz w:val="22"/>
              </w:rPr>
            </w:pPr>
            <w:r w:rsidRPr="0001451E">
              <w:rPr>
                <w:color w:val="000000"/>
                <w:sz w:val="22"/>
              </w:rPr>
              <w:t>0.22</w:t>
            </w:r>
            <w:r w:rsidRPr="0001451E">
              <w:rPr>
                <w:color w:val="000000"/>
                <w:sz w:val="22"/>
                <w:vertAlign w:val="superscript"/>
              </w:rPr>
              <w:t>**</w:t>
            </w:r>
          </w:p>
        </w:tc>
        <w:tc>
          <w:tcPr>
            <w:tcW w:w="1440" w:type="dxa"/>
            <w:vAlign w:val="bottom"/>
          </w:tcPr>
          <w:p w14:paraId="26B66811" w14:textId="4E0F98DC" w:rsidR="0067631E" w:rsidRPr="0001451E" w:rsidRDefault="0067631E" w:rsidP="0067631E">
            <w:pPr>
              <w:jc w:val="center"/>
              <w:rPr>
                <w:color w:val="000000"/>
                <w:sz w:val="22"/>
              </w:rPr>
            </w:pPr>
            <w:r w:rsidRPr="0001451E">
              <w:rPr>
                <w:color w:val="000000"/>
                <w:sz w:val="22"/>
              </w:rPr>
              <w:t>1.17</w:t>
            </w:r>
          </w:p>
        </w:tc>
        <w:tc>
          <w:tcPr>
            <w:tcW w:w="1170" w:type="dxa"/>
            <w:vAlign w:val="bottom"/>
          </w:tcPr>
          <w:p w14:paraId="20E8EDA9" w14:textId="7F2FD60C" w:rsidR="0067631E" w:rsidRPr="00FC2F5C" w:rsidRDefault="0067631E" w:rsidP="0067631E">
            <w:pPr>
              <w:jc w:val="center"/>
              <w:rPr>
                <w:color w:val="000000"/>
                <w:highlight w:val="yellow"/>
              </w:rPr>
            </w:pPr>
            <w:r w:rsidRPr="00FC2F5C">
              <w:rPr>
                <w:color w:val="000000"/>
                <w:sz w:val="22"/>
              </w:rPr>
              <w:t>-366.67%</w:t>
            </w:r>
          </w:p>
        </w:tc>
        <w:tc>
          <w:tcPr>
            <w:tcW w:w="1170" w:type="dxa"/>
            <w:vAlign w:val="bottom"/>
          </w:tcPr>
          <w:p w14:paraId="30587CF2" w14:textId="7701A2F5" w:rsidR="0067631E" w:rsidRPr="00FC2F5C" w:rsidRDefault="0067631E" w:rsidP="0067631E">
            <w:pPr>
              <w:jc w:val="center"/>
              <w:rPr>
                <w:color w:val="000000"/>
                <w:highlight w:val="yellow"/>
              </w:rPr>
            </w:pPr>
            <w:r w:rsidRPr="00FC2F5C">
              <w:rPr>
                <w:color w:val="000000"/>
                <w:sz w:val="22"/>
              </w:rPr>
              <w:t>-4.07%</w:t>
            </w:r>
          </w:p>
        </w:tc>
      </w:tr>
      <w:tr w:rsidR="0067631E" w:rsidRPr="00267677" w14:paraId="5B0BD589" w14:textId="4DBE112D" w:rsidTr="00FC2F5C">
        <w:trPr>
          <w:trHeight w:val="20"/>
        </w:trPr>
        <w:tc>
          <w:tcPr>
            <w:tcW w:w="1075" w:type="dxa"/>
            <w:vAlign w:val="center"/>
          </w:tcPr>
          <w:p w14:paraId="2007B2C8" w14:textId="77777777" w:rsidR="0067631E" w:rsidRPr="00DD0B9E" w:rsidRDefault="0067631E" w:rsidP="0067631E">
            <w:pPr>
              <w:jc w:val="center"/>
              <w:rPr>
                <w:b/>
                <w:lang w:val="en-US"/>
              </w:rPr>
            </w:pPr>
          </w:p>
        </w:tc>
        <w:tc>
          <w:tcPr>
            <w:tcW w:w="1350" w:type="dxa"/>
            <w:vAlign w:val="bottom"/>
          </w:tcPr>
          <w:p w14:paraId="626254C8" w14:textId="4CF4CE97" w:rsidR="0067631E" w:rsidRPr="0001451E" w:rsidRDefault="0067631E" w:rsidP="0067631E">
            <w:pPr>
              <w:jc w:val="center"/>
              <w:rPr>
                <w:sz w:val="22"/>
                <w:lang w:val="en-US"/>
              </w:rPr>
            </w:pPr>
            <w:r w:rsidRPr="0001451E">
              <w:rPr>
                <w:color w:val="000000"/>
                <w:sz w:val="22"/>
              </w:rPr>
              <w:t>-0.25%</w:t>
            </w:r>
          </w:p>
        </w:tc>
        <w:tc>
          <w:tcPr>
            <w:tcW w:w="1350" w:type="dxa"/>
            <w:vAlign w:val="bottom"/>
          </w:tcPr>
          <w:p w14:paraId="715B6A59" w14:textId="66A643BB" w:rsidR="0067631E" w:rsidRPr="0001451E" w:rsidRDefault="0067631E" w:rsidP="0067631E">
            <w:pPr>
              <w:jc w:val="center"/>
              <w:rPr>
                <w:sz w:val="22"/>
                <w:lang w:val="en-US"/>
              </w:rPr>
            </w:pPr>
            <w:r w:rsidRPr="0001451E">
              <w:rPr>
                <w:color w:val="000000"/>
                <w:sz w:val="22"/>
              </w:rPr>
              <w:t>-0.79%</w:t>
            </w:r>
          </w:p>
        </w:tc>
        <w:tc>
          <w:tcPr>
            <w:tcW w:w="1080" w:type="dxa"/>
            <w:vAlign w:val="bottom"/>
          </w:tcPr>
          <w:p w14:paraId="06E4BF12" w14:textId="138144B6" w:rsidR="0067631E" w:rsidRPr="0001451E" w:rsidRDefault="0067631E" w:rsidP="0067631E">
            <w:pPr>
              <w:jc w:val="center"/>
              <w:rPr>
                <w:color w:val="000000"/>
                <w:sz w:val="22"/>
              </w:rPr>
            </w:pPr>
            <w:r w:rsidRPr="0001451E">
              <w:rPr>
                <w:color w:val="000000"/>
                <w:sz w:val="22"/>
              </w:rPr>
              <w:t>1.06%</w:t>
            </w:r>
          </w:p>
        </w:tc>
        <w:tc>
          <w:tcPr>
            <w:tcW w:w="1440" w:type="dxa"/>
            <w:vAlign w:val="bottom"/>
          </w:tcPr>
          <w:p w14:paraId="5D736789" w14:textId="6135C38C" w:rsidR="0067631E" w:rsidRPr="0001451E" w:rsidRDefault="0067631E" w:rsidP="0067631E">
            <w:pPr>
              <w:jc w:val="center"/>
              <w:rPr>
                <w:color w:val="000000"/>
                <w:sz w:val="22"/>
              </w:rPr>
            </w:pPr>
            <w:r w:rsidRPr="0001451E">
              <w:rPr>
                <w:color w:val="000000"/>
                <w:sz w:val="22"/>
              </w:rPr>
              <w:t>0.04%</w:t>
            </w:r>
          </w:p>
        </w:tc>
        <w:tc>
          <w:tcPr>
            <w:tcW w:w="1170" w:type="dxa"/>
            <w:vAlign w:val="bottom"/>
          </w:tcPr>
          <w:p w14:paraId="3DCEBEE8" w14:textId="77777777" w:rsidR="0067631E" w:rsidRPr="00FC2F5C" w:rsidRDefault="0067631E" w:rsidP="0067631E">
            <w:pPr>
              <w:jc w:val="center"/>
              <w:rPr>
                <w:color w:val="000000"/>
                <w:highlight w:val="yellow"/>
              </w:rPr>
            </w:pPr>
          </w:p>
        </w:tc>
        <w:tc>
          <w:tcPr>
            <w:tcW w:w="1170" w:type="dxa"/>
            <w:vAlign w:val="bottom"/>
          </w:tcPr>
          <w:p w14:paraId="0FA5CD35" w14:textId="77777777" w:rsidR="0067631E" w:rsidRPr="00FC2F5C" w:rsidRDefault="0067631E" w:rsidP="0067631E">
            <w:pPr>
              <w:jc w:val="center"/>
              <w:rPr>
                <w:color w:val="000000"/>
                <w:highlight w:val="yellow"/>
              </w:rPr>
            </w:pPr>
          </w:p>
        </w:tc>
      </w:tr>
      <w:tr w:rsidR="0067631E" w:rsidRPr="00267677" w14:paraId="60EF9EBA" w14:textId="66BE2645" w:rsidTr="00FC2F5C">
        <w:trPr>
          <w:trHeight w:val="20"/>
        </w:trPr>
        <w:tc>
          <w:tcPr>
            <w:tcW w:w="1075" w:type="dxa"/>
            <w:vAlign w:val="center"/>
          </w:tcPr>
          <w:p w14:paraId="700BD6B0" w14:textId="5CE870E8" w:rsidR="0067631E" w:rsidRPr="00DD0B9E" w:rsidRDefault="0067631E" w:rsidP="0067631E">
            <w:pPr>
              <w:jc w:val="center"/>
              <w:rPr>
                <w:b/>
                <w:lang w:val="en-US"/>
              </w:rPr>
            </w:pPr>
            <w:r w:rsidRPr="00DD0B9E">
              <w:rPr>
                <w:b/>
                <w:lang w:val="en-US"/>
              </w:rPr>
              <w:t>8</w:t>
            </w:r>
          </w:p>
        </w:tc>
        <w:tc>
          <w:tcPr>
            <w:tcW w:w="1350" w:type="dxa"/>
            <w:vAlign w:val="bottom"/>
          </w:tcPr>
          <w:p w14:paraId="113809B0" w14:textId="7F433C48" w:rsidR="0067631E" w:rsidRPr="0001451E" w:rsidRDefault="0067631E" w:rsidP="0067631E">
            <w:pPr>
              <w:jc w:val="center"/>
              <w:rPr>
                <w:sz w:val="22"/>
                <w:lang w:val="en-US"/>
              </w:rPr>
            </w:pPr>
            <w:r w:rsidRPr="0001451E">
              <w:rPr>
                <w:color w:val="000000"/>
                <w:sz w:val="22"/>
              </w:rPr>
              <w:t>4.24</w:t>
            </w:r>
            <w:r w:rsidRPr="0001451E">
              <w:rPr>
                <w:color w:val="000000"/>
                <w:sz w:val="22"/>
                <w:vertAlign w:val="superscript"/>
              </w:rPr>
              <w:t>**</w:t>
            </w:r>
          </w:p>
        </w:tc>
        <w:tc>
          <w:tcPr>
            <w:tcW w:w="1350" w:type="dxa"/>
            <w:vAlign w:val="bottom"/>
          </w:tcPr>
          <w:p w14:paraId="2DD86035" w14:textId="77777777" w:rsidR="0067631E" w:rsidRPr="0001451E" w:rsidRDefault="0067631E" w:rsidP="0067631E">
            <w:pPr>
              <w:jc w:val="center"/>
              <w:rPr>
                <w:sz w:val="22"/>
                <w:lang w:val="en-US"/>
              </w:rPr>
            </w:pPr>
            <w:r w:rsidRPr="0001451E">
              <w:rPr>
                <w:color w:val="000000"/>
                <w:sz w:val="22"/>
              </w:rPr>
              <w:t>-14.23</w:t>
            </w:r>
          </w:p>
        </w:tc>
        <w:tc>
          <w:tcPr>
            <w:tcW w:w="1080" w:type="dxa"/>
            <w:vAlign w:val="bottom"/>
          </w:tcPr>
          <w:p w14:paraId="043B5212" w14:textId="516CA232" w:rsidR="0067631E" w:rsidRPr="0001451E" w:rsidRDefault="0067631E" w:rsidP="0067631E">
            <w:pPr>
              <w:jc w:val="center"/>
              <w:rPr>
                <w:color w:val="000000"/>
                <w:sz w:val="22"/>
              </w:rPr>
            </w:pPr>
            <w:r w:rsidRPr="0001451E">
              <w:rPr>
                <w:color w:val="000000"/>
                <w:sz w:val="22"/>
              </w:rPr>
              <w:t>0.13</w:t>
            </w:r>
            <w:r w:rsidRPr="0001451E">
              <w:rPr>
                <w:color w:val="000000"/>
                <w:sz w:val="22"/>
                <w:vertAlign w:val="superscript"/>
              </w:rPr>
              <w:t>**</w:t>
            </w:r>
          </w:p>
        </w:tc>
        <w:tc>
          <w:tcPr>
            <w:tcW w:w="1440" w:type="dxa"/>
            <w:vAlign w:val="bottom"/>
          </w:tcPr>
          <w:p w14:paraId="55B33575" w14:textId="7B535FAC" w:rsidR="0067631E" w:rsidRPr="0001451E" w:rsidRDefault="0067631E" w:rsidP="0067631E">
            <w:pPr>
              <w:jc w:val="center"/>
              <w:rPr>
                <w:color w:val="000000"/>
                <w:sz w:val="22"/>
              </w:rPr>
            </w:pPr>
            <w:r w:rsidRPr="0001451E">
              <w:rPr>
                <w:color w:val="000000"/>
                <w:sz w:val="22"/>
              </w:rPr>
              <w:t>6.16</w:t>
            </w:r>
          </w:p>
        </w:tc>
        <w:tc>
          <w:tcPr>
            <w:tcW w:w="1170" w:type="dxa"/>
            <w:vAlign w:val="bottom"/>
          </w:tcPr>
          <w:p w14:paraId="7A64F42B" w14:textId="5D64B047" w:rsidR="0067631E" w:rsidRPr="00FC2F5C" w:rsidRDefault="0067631E" w:rsidP="0067631E">
            <w:pPr>
              <w:jc w:val="center"/>
              <w:rPr>
                <w:color w:val="000000"/>
                <w:highlight w:val="yellow"/>
              </w:rPr>
            </w:pPr>
            <w:r w:rsidRPr="00FC2F5C">
              <w:rPr>
                <w:color w:val="000000"/>
                <w:sz w:val="22"/>
              </w:rPr>
              <w:t>3.07%</w:t>
            </w:r>
          </w:p>
        </w:tc>
        <w:tc>
          <w:tcPr>
            <w:tcW w:w="1170" w:type="dxa"/>
            <w:vAlign w:val="bottom"/>
          </w:tcPr>
          <w:p w14:paraId="27CF11DD" w14:textId="69CC4AED" w:rsidR="0067631E" w:rsidRPr="00FC2F5C" w:rsidRDefault="0067631E" w:rsidP="0067631E">
            <w:pPr>
              <w:jc w:val="center"/>
              <w:rPr>
                <w:color w:val="000000"/>
                <w:highlight w:val="yellow"/>
              </w:rPr>
            </w:pPr>
            <w:r w:rsidRPr="00FC2F5C">
              <w:rPr>
                <w:color w:val="000000"/>
                <w:sz w:val="22"/>
              </w:rPr>
              <w:t>-43.29%</w:t>
            </w:r>
          </w:p>
        </w:tc>
      </w:tr>
      <w:tr w:rsidR="0067631E" w:rsidRPr="00267677" w14:paraId="1B2AD57C" w14:textId="4DED1B3C" w:rsidTr="00FC2F5C">
        <w:trPr>
          <w:trHeight w:val="20"/>
        </w:trPr>
        <w:tc>
          <w:tcPr>
            <w:tcW w:w="1075" w:type="dxa"/>
            <w:vAlign w:val="center"/>
          </w:tcPr>
          <w:p w14:paraId="63A93EBA" w14:textId="77777777" w:rsidR="0067631E" w:rsidRPr="00DD0B9E" w:rsidRDefault="0067631E" w:rsidP="0067631E">
            <w:pPr>
              <w:jc w:val="center"/>
              <w:rPr>
                <w:b/>
                <w:lang w:val="en-US"/>
              </w:rPr>
            </w:pPr>
          </w:p>
        </w:tc>
        <w:tc>
          <w:tcPr>
            <w:tcW w:w="1350" w:type="dxa"/>
            <w:vAlign w:val="bottom"/>
          </w:tcPr>
          <w:p w14:paraId="6ED85AC1" w14:textId="669BABFF" w:rsidR="0067631E" w:rsidRPr="0001451E" w:rsidRDefault="0067631E" w:rsidP="0067631E">
            <w:pPr>
              <w:jc w:val="center"/>
              <w:rPr>
                <w:sz w:val="22"/>
                <w:lang w:val="en-US"/>
              </w:rPr>
            </w:pPr>
            <w:r w:rsidRPr="0001451E">
              <w:rPr>
                <w:color w:val="000000"/>
                <w:sz w:val="22"/>
              </w:rPr>
              <w:t>10.75%</w:t>
            </w:r>
          </w:p>
        </w:tc>
        <w:tc>
          <w:tcPr>
            <w:tcW w:w="1350" w:type="dxa"/>
            <w:vAlign w:val="bottom"/>
          </w:tcPr>
          <w:p w14:paraId="7D1EA19C" w14:textId="7D22432E" w:rsidR="0067631E" w:rsidRPr="0001451E" w:rsidRDefault="0067631E" w:rsidP="0067631E">
            <w:pPr>
              <w:jc w:val="center"/>
              <w:rPr>
                <w:sz w:val="22"/>
                <w:lang w:val="en-US"/>
              </w:rPr>
            </w:pPr>
            <w:r w:rsidRPr="0001451E">
              <w:rPr>
                <w:color w:val="000000"/>
                <w:sz w:val="22"/>
              </w:rPr>
              <w:t>-0.37%</w:t>
            </w:r>
          </w:p>
        </w:tc>
        <w:tc>
          <w:tcPr>
            <w:tcW w:w="1080" w:type="dxa"/>
            <w:vAlign w:val="bottom"/>
          </w:tcPr>
          <w:p w14:paraId="029995A4" w14:textId="26782AFB" w:rsidR="0067631E" w:rsidRPr="0001451E" w:rsidRDefault="0067631E" w:rsidP="0067631E">
            <w:pPr>
              <w:jc w:val="center"/>
              <w:rPr>
                <w:color w:val="000000"/>
                <w:sz w:val="22"/>
              </w:rPr>
            </w:pPr>
            <w:r w:rsidRPr="0001451E">
              <w:rPr>
                <w:color w:val="000000"/>
                <w:sz w:val="22"/>
              </w:rPr>
              <w:t>0.33%</w:t>
            </w:r>
          </w:p>
        </w:tc>
        <w:tc>
          <w:tcPr>
            <w:tcW w:w="1440" w:type="dxa"/>
            <w:vAlign w:val="bottom"/>
          </w:tcPr>
          <w:p w14:paraId="19ECDF7F" w14:textId="6B15AEFB" w:rsidR="0067631E" w:rsidRPr="0001451E" w:rsidRDefault="0067631E" w:rsidP="0067631E">
            <w:pPr>
              <w:jc w:val="center"/>
              <w:rPr>
                <w:color w:val="000000"/>
                <w:sz w:val="22"/>
              </w:rPr>
            </w:pPr>
            <w:r w:rsidRPr="0001451E">
              <w:rPr>
                <w:color w:val="000000"/>
                <w:sz w:val="22"/>
              </w:rPr>
              <w:t>0.17%</w:t>
            </w:r>
          </w:p>
        </w:tc>
        <w:tc>
          <w:tcPr>
            <w:tcW w:w="1170" w:type="dxa"/>
            <w:vAlign w:val="bottom"/>
          </w:tcPr>
          <w:p w14:paraId="01E2CBF9" w14:textId="77777777" w:rsidR="0067631E" w:rsidRPr="00FC2F5C" w:rsidRDefault="0067631E" w:rsidP="0067631E">
            <w:pPr>
              <w:jc w:val="center"/>
              <w:rPr>
                <w:color w:val="000000"/>
                <w:highlight w:val="yellow"/>
              </w:rPr>
            </w:pPr>
          </w:p>
        </w:tc>
        <w:tc>
          <w:tcPr>
            <w:tcW w:w="1170" w:type="dxa"/>
            <w:vAlign w:val="bottom"/>
          </w:tcPr>
          <w:p w14:paraId="1C3A9F5F" w14:textId="77777777" w:rsidR="0067631E" w:rsidRPr="00FC2F5C" w:rsidRDefault="0067631E" w:rsidP="0067631E">
            <w:pPr>
              <w:jc w:val="center"/>
              <w:rPr>
                <w:color w:val="000000"/>
                <w:highlight w:val="yellow"/>
              </w:rPr>
            </w:pPr>
          </w:p>
        </w:tc>
      </w:tr>
      <w:tr w:rsidR="0067631E" w:rsidRPr="00267677" w14:paraId="5686A986" w14:textId="1000B96F" w:rsidTr="00FC2F5C">
        <w:trPr>
          <w:trHeight w:val="20"/>
        </w:trPr>
        <w:tc>
          <w:tcPr>
            <w:tcW w:w="1075" w:type="dxa"/>
            <w:vAlign w:val="center"/>
          </w:tcPr>
          <w:p w14:paraId="554CBA9B" w14:textId="5C405A42" w:rsidR="0067631E" w:rsidRPr="00DD0B9E" w:rsidRDefault="0067631E" w:rsidP="0067631E">
            <w:pPr>
              <w:jc w:val="center"/>
              <w:rPr>
                <w:b/>
                <w:lang w:val="en-US"/>
              </w:rPr>
            </w:pPr>
            <w:r w:rsidRPr="00DD0B9E">
              <w:rPr>
                <w:b/>
                <w:lang w:val="en-US"/>
              </w:rPr>
              <w:t>9</w:t>
            </w:r>
          </w:p>
        </w:tc>
        <w:tc>
          <w:tcPr>
            <w:tcW w:w="1350" w:type="dxa"/>
            <w:vAlign w:val="bottom"/>
          </w:tcPr>
          <w:p w14:paraId="7B9FADDD" w14:textId="4F9744BC" w:rsidR="0067631E" w:rsidRPr="0001451E" w:rsidRDefault="0067631E" w:rsidP="0067631E">
            <w:pPr>
              <w:jc w:val="center"/>
              <w:rPr>
                <w:sz w:val="22"/>
                <w:lang w:val="en-US"/>
              </w:rPr>
            </w:pPr>
            <w:r w:rsidRPr="0001451E">
              <w:rPr>
                <w:color w:val="000000"/>
                <w:sz w:val="22"/>
              </w:rPr>
              <w:t>0.67</w:t>
            </w:r>
            <w:r w:rsidRPr="0001451E">
              <w:rPr>
                <w:color w:val="000000"/>
                <w:sz w:val="22"/>
                <w:vertAlign w:val="superscript"/>
              </w:rPr>
              <w:t>**</w:t>
            </w:r>
          </w:p>
        </w:tc>
        <w:tc>
          <w:tcPr>
            <w:tcW w:w="1350" w:type="dxa"/>
            <w:vAlign w:val="bottom"/>
          </w:tcPr>
          <w:p w14:paraId="37DDE428" w14:textId="77777777" w:rsidR="0067631E" w:rsidRPr="0001451E" w:rsidRDefault="0067631E" w:rsidP="0067631E">
            <w:pPr>
              <w:jc w:val="center"/>
              <w:rPr>
                <w:sz w:val="22"/>
                <w:lang w:val="en-US"/>
              </w:rPr>
            </w:pPr>
            <w:r w:rsidRPr="0001451E">
              <w:rPr>
                <w:color w:val="000000"/>
                <w:sz w:val="22"/>
              </w:rPr>
              <w:t>-3.32</w:t>
            </w:r>
          </w:p>
        </w:tc>
        <w:tc>
          <w:tcPr>
            <w:tcW w:w="1080" w:type="dxa"/>
            <w:vAlign w:val="bottom"/>
          </w:tcPr>
          <w:p w14:paraId="18CBF1FD" w14:textId="7934C1B3" w:rsidR="0067631E" w:rsidRPr="0001451E" w:rsidRDefault="0067631E" w:rsidP="0067631E">
            <w:pPr>
              <w:jc w:val="center"/>
              <w:rPr>
                <w:color w:val="000000"/>
                <w:sz w:val="22"/>
              </w:rPr>
            </w:pPr>
            <w:r w:rsidRPr="0001451E">
              <w:rPr>
                <w:color w:val="000000"/>
                <w:sz w:val="22"/>
              </w:rPr>
              <w:t>0.08</w:t>
            </w:r>
            <w:r w:rsidRPr="0001451E">
              <w:rPr>
                <w:color w:val="000000"/>
                <w:sz w:val="22"/>
                <w:vertAlign w:val="superscript"/>
              </w:rPr>
              <w:t>**</w:t>
            </w:r>
          </w:p>
        </w:tc>
        <w:tc>
          <w:tcPr>
            <w:tcW w:w="1440" w:type="dxa"/>
            <w:vAlign w:val="bottom"/>
          </w:tcPr>
          <w:p w14:paraId="4BF69192" w14:textId="48058A68" w:rsidR="0067631E" w:rsidRPr="0001451E" w:rsidRDefault="0067631E" w:rsidP="0067631E">
            <w:pPr>
              <w:jc w:val="center"/>
              <w:rPr>
                <w:color w:val="000000"/>
                <w:sz w:val="22"/>
              </w:rPr>
            </w:pPr>
            <w:r w:rsidRPr="0001451E">
              <w:rPr>
                <w:color w:val="000000"/>
                <w:sz w:val="22"/>
              </w:rPr>
              <w:t>0.21</w:t>
            </w:r>
          </w:p>
        </w:tc>
        <w:tc>
          <w:tcPr>
            <w:tcW w:w="1170" w:type="dxa"/>
            <w:vAlign w:val="bottom"/>
          </w:tcPr>
          <w:p w14:paraId="46C71321" w14:textId="4689C9FA" w:rsidR="0067631E" w:rsidRPr="00FC2F5C" w:rsidRDefault="0067631E" w:rsidP="0067631E">
            <w:pPr>
              <w:jc w:val="center"/>
              <w:rPr>
                <w:color w:val="000000"/>
                <w:highlight w:val="yellow"/>
              </w:rPr>
            </w:pPr>
            <w:r w:rsidRPr="00FC2F5C">
              <w:rPr>
                <w:color w:val="000000"/>
                <w:sz w:val="22"/>
              </w:rPr>
              <w:t>11.94%</w:t>
            </w:r>
          </w:p>
        </w:tc>
        <w:tc>
          <w:tcPr>
            <w:tcW w:w="1170" w:type="dxa"/>
            <w:vAlign w:val="bottom"/>
          </w:tcPr>
          <w:p w14:paraId="06D69A77" w14:textId="05FB106B" w:rsidR="0067631E" w:rsidRPr="00FC2F5C" w:rsidRDefault="0067631E" w:rsidP="0067631E">
            <w:pPr>
              <w:jc w:val="center"/>
              <w:rPr>
                <w:color w:val="000000"/>
                <w:highlight w:val="yellow"/>
              </w:rPr>
            </w:pPr>
            <w:r w:rsidRPr="00FC2F5C">
              <w:rPr>
                <w:color w:val="000000"/>
                <w:sz w:val="22"/>
              </w:rPr>
              <w:t>-6.33%</w:t>
            </w:r>
          </w:p>
        </w:tc>
      </w:tr>
      <w:tr w:rsidR="0067631E" w:rsidRPr="00267677" w14:paraId="1B21493D" w14:textId="71F0711D" w:rsidTr="00FC2F5C">
        <w:trPr>
          <w:trHeight w:val="20"/>
        </w:trPr>
        <w:tc>
          <w:tcPr>
            <w:tcW w:w="1075" w:type="dxa"/>
            <w:vAlign w:val="center"/>
          </w:tcPr>
          <w:p w14:paraId="07224F1A" w14:textId="77777777" w:rsidR="0067631E" w:rsidRPr="00DD0B9E" w:rsidRDefault="0067631E" w:rsidP="0067631E">
            <w:pPr>
              <w:jc w:val="center"/>
              <w:rPr>
                <w:b/>
                <w:lang w:val="en-US"/>
              </w:rPr>
            </w:pPr>
          </w:p>
        </w:tc>
        <w:tc>
          <w:tcPr>
            <w:tcW w:w="1350" w:type="dxa"/>
            <w:vAlign w:val="bottom"/>
          </w:tcPr>
          <w:p w14:paraId="4A414E9E" w14:textId="39E6BE2F" w:rsidR="0067631E" w:rsidRPr="0001451E" w:rsidRDefault="0067631E" w:rsidP="0067631E">
            <w:pPr>
              <w:jc w:val="center"/>
              <w:rPr>
                <w:sz w:val="22"/>
                <w:lang w:val="en-US"/>
              </w:rPr>
            </w:pPr>
            <w:r w:rsidRPr="0001451E">
              <w:rPr>
                <w:color w:val="000000"/>
                <w:sz w:val="22"/>
              </w:rPr>
              <w:t>7.20%</w:t>
            </w:r>
          </w:p>
        </w:tc>
        <w:tc>
          <w:tcPr>
            <w:tcW w:w="1350" w:type="dxa"/>
            <w:vAlign w:val="bottom"/>
          </w:tcPr>
          <w:p w14:paraId="4671E9C0" w14:textId="641AD33C" w:rsidR="0067631E" w:rsidRPr="0001451E" w:rsidRDefault="0067631E" w:rsidP="0067631E">
            <w:pPr>
              <w:jc w:val="center"/>
              <w:rPr>
                <w:sz w:val="22"/>
                <w:lang w:val="en-US"/>
              </w:rPr>
            </w:pPr>
            <w:r w:rsidRPr="0001451E">
              <w:rPr>
                <w:color w:val="000000"/>
                <w:sz w:val="22"/>
              </w:rPr>
              <w:t>-0.09%</w:t>
            </w:r>
          </w:p>
        </w:tc>
        <w:tc>
          <w:tcPr>
            <w:tcW w:w="1080" w:type="dxa"/>
            <w:vAlign w:val="bottom"/>
          </w:tcPr>
          <w:p w14:paraId="57868D63" w14:textId="74268D8B" w:rsidR="0067631E" w:rsidRPr="0001451E" w:rsidRDefault="0067631E" w:rsidP="0067631E">
            <w:pPr>
              <w:jc w:val="center"/>
              <w:rPr>
                <w:color w:val="000000"/>
                <w:sz w:val="22"/>
              </w:rPr>
            </w:pPr>
            <w:r w:rsidRPr="0001451E">
              <w:rPr>
                <w:color w:val="000000"/>
                <w:sz w:val="22"/>
              </w:rPr>
              <w:t>0.84%</w:t>
            </w:r>
          </w:p>
        </w:tc>
        <w:tc>
          <w:tcPr>
            <w:tcW w:w="1440" w:type="dxa"/>
            <w:vAlign w:val="bottom"/>
          </w:tcPr>
          <w:p w14:paraId="7DE9F36E" w14:textId="06110B28" w:rsidR="0067631E" w:rsidRPr="0001451E" w:rsidRDefault="0067631E" w:rsidP="0067631E">
            <w:pPr>
              <w:jc w:val="center"/>
              <w:rPr>
                <w:color w:val="000000"/>
                <w:sz w:val="22"/>
              </w:rPr>
            </w:pPr>
            <w:r w:rsidRPr="0001451E">
              <w:rPr>
                <w:color w:val="000000"/>
                <w:sz w:val="22"/>
              </w:rPr>
              <w:t>0.01%</w:t>
            </w:r>
          </w:p>
        </w:tc>
        <w:tc>
          <w:tcPr>
            <w:tcW w:w="1170" w:type="dxa"/>
            <w:vAlign w:val="bottom"/>
          </w:tcPr>
          <w:p w14:paraId="4F536715" w14:textId="77777777" w:rsidR="0067631E" w:rsidRPr="00FC2F5C" w:rsidRDefault="0067631E" w:rsidP="0067631E">
            <w:pPr>
              <w:jc w:val="center"/>
              <w:rPr>
                <w:color w:val="000000"/>
                <w:highlight w:val="yellow"/>
              </w:rPr>
            </w:pPr>
          </w:p>
        </w:tc>
        <w:tc>
          <w:tcPr>
            <w:tcW w:w="1170" w:type="dxa"/>
            <w:vAlign w:val="bottom"/>
          </w:tcPr>
          <w:p w14:paraId="303053FB" w14:textId="77777777" w:rsidR="0067631E" w:rsidRPr="00FC2F5C" w:rsidRDefault="0067631E" w:rsidP="0067631E">
            <w:pPr>
              <w:jc w:val="center"/>
              <w:rPr>
                <w:color w:val="000000"/>
                <w:highlight w:val="yellow"/>
              </w:rPr>
            </w:pPr>
          </w:p>
        </w:tc>
      </w:tr>
      <w:tr w:rsidR="0067631E" w:rsidRPr="001F7143" w14:paraId="4A6A37DA" w14:textId="49129422" w:rsidTr="00FC2F5C">
        <w:trPr>
          <w:trHeight w:val="20"/>
        </w:trPr>
        <w:tc>
          <w:tcPr>
            <w:tcW w:w="1075" w:type="dxa"/>
            <w:vAlign w:val="center"/>
          </w:tcPr>
          <w:p w14:paraId="67035E82" w14:textId="77777777" w:rsidR="0067631E" w:rsidRPr="00DD0B9E" w:rsidRDefault="0067631E" w:rsidP="0067631E">
            <w:pPr>
              <w:jc w:val="center"/>
              <w:rPr>
                <w:b/>
                <w:lang w:val="en-US"/>
              </w:rPr>
            </w:pPr>
            <w:r w:rsidRPr="00DD0B9E">
              <w:rPr>
                <w:b/>
                <w:lang w:val="en-US"/>
              </w:rPr>
              <w:t>Average</w:t>
            </w:r>
          </w:p>
        </w:tc>
        <w:tc>
          <w:tcPr>
            <w:tcW w:w="1350" w:type="dxa"/>
            <w:vAlign w:val="bottom"/>
          </w:tcPr>
          <w:p w14:paraId="074D87A8" w14:textId="77F7F552" w:rsidR="0067631E" w:rsidRPr="0001451E" w:rsidRDefault="0067631E" w:rsidP="0067631E">
            <w:pPr>
              <w:jc w:val="center"/>
              <w:rPr>
                <w:sz w:val="22"/>
                <w:lang w:val="en-US"/>
              </w:rPr>
            </w:pPr>
            <w:r w:rsidRPr="0001451E">
              <w:rPr>
                <w:color w:val="000000"/>
                <w:sz w:val="22"/>
              </w:rPr>
              <w:t>1.58</w:t>
            </w:r>
            <w:r w:rsidRPr="0001451E">
              <w:rPr>
                <w:color w:val="000000"/>
                <w:sz w:val="22"/>
                <w:vertAlign w:val="superscript"/>
              </w:rPr>
              <w:t>**</w:t>
            </w:r>
          </w:p>
        </w:tc>
        <w:tc>
          <w:tcPr>
            <w:tcW w:w="1350" w:type="dxa"/>
            <w:vAlign w:val="bottom"/>
          </w:tcPr>
          <w:p w14:paraId="4459F71F" w14:textId="77777777" w:rsidR="0067631E" w:rsidRPr="0001451E" w:rsidRDefault="0067631E" w:rsidP="0067631E">
            <w:pPr>
              <w:jc w:val="center"/>
              <w:rPr>
                <w:sz w:val="22"/>
                <w:lang w:val="en-US"/>
              </w:rPr>
            </w:pPr>
            <w:r w:rsidRPr="0001451E">
              <w:rPr>
                <w:color w:val="000000"/>
                <w:sz w:val="22"/>
              </w:rPr>
              <w:t>11.89</w:t>
            </w:r>
          </w:p>
        </w:tc>
        <w:tc>
          <w:tcPr>
            <w:tcW w:w="1080" w:type="dxa"/>
            <w:vAlign w:val="bottom"/>
          </w:tcPr>
          <w:p w14:paraId="528A51A7" w14:textId="7E8B5062" w:rsidR="0067631E" w:rsidRPr="0001451E" w:rsidRDefault="0067631E" w:rsidP="0067631E">
            <w:pPr>
              <w:jc w:val="center"/>
              <w:rPr>
                <w:color w:val="000000"/>
                <w:sz w:val="22"/>
              </w:rPr>
            </w:pPr>
            <w:r w:rsidRPr="0001451E">
              <w:rPr>
                <w:color w:val="000000"/>
                <w:sz w:val="22"/>
              </w:rPr>
              <w:t>0.17</w:t>
            </w:r>
            <w:r w:rsidRPr="0001451E">
              <w:rPr>
                <w:color w:val="000000"/>
                <w:sz w:val="22"/>
                <w:vertAlign w:val="superscript"/>
              </w:rPr>
              <w:t>**</w:t>
            </w:r>
          </w:p>
        </w:tc>
        <w:tc>
          <w:tcPr>
            <w:tcW w:w="1440" w:type="dxa"/>
            <w:vAlign w:val="bottom"/>
          </w:tcPr>
          <w:p w14:paraId="34F4EEB3" w14:textId="1DFCAAAE" w:rsidR="0067631E" w:rsidRPr="0001451E" w:rsidRDefault="0067631E" w:rsidP="0067631E">
            <w:pPr>
              <w:jc w:val="center"/>
              <w:rPr>
                <w:color w:val="000000"/>
                <w:sz w:val="22"/>
              </w:rPr>
            </w:pPr>
            <w:r w:rsidRPr="0001451E">
              <w:rPr>
                <w:color w:val="000000"/>
                <w:sz w:val="22"/>
              </w:rPr>
              <w:t>2.27</w:t>
            </w:r>
          </w:p>
        </w:tc>
        <w:tc>
          <w:tcPr>
            <w:tcW w:w="1170" w:type="dxa"/>
            <w:vAlign w:val="bottom"/>
          </w:tcPr>
          <w:p w14:paraId="02B161E5" w14:textId="32FADFAE" w:rsidR="0067631E" w:rsidRPr="00FC2F5C" w:rsidRDefault="0067631E" w:rsidP="0067631E">
            <w:pPr>
              <w:jc w:val="center"/>
              <w:rPr>
                <w:color w:val="000000"/>
                <w:highlight w:val="yellow"/>
              </w:rPr>
            </w:pPr>
            <w:r w:rsidRPr="00FC2F5C">
              <w:rPr>
                <w:color w:val="000000"/>
                <w:sz w:val="22"/>
              </w:rPr>
              <w:t>10.76%</w:t>
            </w:r>
          </w:p>
        </w:tc>
        <w:tc>
          <w:tcPr>
            <w:tcW w:w="1170" w:type="dxa"/>
            <w:vAlign w:val="bottom"/>
          </w:tcPr>
          <w:p w14:paraId="68C9AEEC" w14:textId="5DDA75F2" w:rsidR="0067631E" w:rsidRPr="00FC2F5C" w:rsidRDefault="0067631E" w:rsidP="0067631E">
            <w:pPr>
              <w:jc w:val="center"/>
              <w:rPr>
                <w:color w:val="000000"/>
                <w:highlight w:val="yellow"/>
              </w:rPr>
            </w:pPr>
            <w:r w:rsidRPr="00FC2F5C">
              <w:rPr>
                <w:color w:val="000000"/>
                <w:sz w:val="22"/>
              </w:rPr>
              <w:t>19.09%</w:t>
            </w:r>
          </w:p>
        </w:tc>
      </w:tr>
      <w:tr w:rsidR="0067631E" w:rsidRPr="00267677" w14:paraId="17D4F6DB" w14:textId="1C487405" w:rsidTr="00FC2F5C">
        <w:trPr>
          <w:trHeight w:val="20"/>
        </w:trPr>
        <w:tc>
          <w:tcPr>
            <w:tcW w:w="1075" w:type="dxa"/>
            <w:vAlign w:val="center"/>
          </w:tcPr>
          <w:p w14:paraId="67ED8CFF" w14:textId="77777777" w:rsidR="0067631E" w:rsidRPr="00DD0B9E" w:rsidRDefault="0067631E" w:rsidP="0067631E">
            <w:pPr>
              <w:jc w:val="center"/>
              <w:rPr>
                <w:b/>
                <w:lang w:val="en-US"/>
              </w:rPr>
            </w:pPr>
          </w:p>
        </w:tc>
        <w:tc>
          <w:tcPr>
            <w:tcW w:w="1350" w:type="dxa"/>
            <w:vAlign w:val="bottom"/>
          </w:tcPr>
          <w:p w14:paraId="1F46F492" w14:textId="56E5A22C" w:rsidR="0067631E" w:rsidRPr="0001451E" w:rsidRDefault="0067631E" w:rsidP="0067631E">
            <w:pPr>
              <w:jc w:val="center"/>
              <w:rPr>
                <w:sz w:val="22"/>
                <w:lang w:val="en-US"/>
              </w:rPr>
            </w:pPr>
            <w:r w:rsidRPr="0001451E">
              <w:rPr>
                <w:color w:val="000000"/>
                <w:sz w:val="22"/>
              </w:rPr>
              <w:t>7.75%</w:t>
            </w:r>
          </w:p>
        </w:tc>
        <w:tc>
          <w:tcPr>
            <w:tcW w:w="1350" w:type="dxa"/>
            <w:vAlign w:val="bottom"/>
          </w:tcPr>
          <w:p w14:paraId="00214807" w14:textId="428B4501" w:rsidR="0067631E" w:rsidRPr="0001451E" w:rsidRDefault="0067631E" w:rsidP="0067631E">
            <w:pPr>
              <w:jc w:val="center"/>
              <w:rPr>
                <w:sz w:val="22"/>
                <w:lang w:val="en-US"/>
              </w:rPr>
            </w:pPr>
            <w:r w:rsidRPr="0001451E">
              <w:rPr>
                <w:color w:val="000000"/>
                <w:sz w:val="22"/>
              </w:rPr>
              <w:t>0.34%</w:t>
            </w:r>
          </w:p>
        </w:tc>
        <w:tc>
          <w:tcPr>
            <w:tcW w:w="1080" w:type="dxa"/>
            <w:vAlign w:val="bottom"/>
          </w:tcPr>
          <w:p w14:paraId="743B525E" w14:textId="73E31B17" w:rsidR="0067631E" w:rsidRPr="0001451E" w:rsidRDefault="0067631E" w:rsidP="0067631E">
            <w:pPr>
              <w:jc w:val="center"/>
              <w:rPr>
                <w:color w:val="000000"/>
                <w:sz w:val="22"/>
              </w:rPr>
            </w:pPr>
            <w:r w:rsidRPr="0001451E">
              <w:rPr>
                <w:color w:val="000000"/>
                <w:sz w:val="22"/>
              </w:rPr>
              <w:t>1.07%</w:t>
            </w:r>
          </w:p>
        </w:tc>
        <w:tc>
          <w:tcPr>
            <w:tcW w:w="1440" w:type="dxa"/>
            <w:vAlign w:val="bottom"/>
          </w:tcPr>
          <w:p w14:paraId="576F0172" w14:textId="009D26A5" w:rsidR="0067631E" w:rsidRPr="0001451E" w:rsidRDefault="0067631E" w:rsidP="0067631E">
            <w:pPr>
              <w:jc w:val="center"/>
              <w:rPr>
                <w:color w:val="000000"/>
                <w:sz w:val="22"/>
              </w:rPr>
            </w:pPr>
            <w:r w:rsidRPr="0001451E">
              <w:rPr>
                <w:color w:val="000000"/>
                <w:sz w:val="22"/>
              </w:rPr>
              <w:t>0.07%</w:t>
            </w:r>
          </w:p>
        </w:tc>
        <w:tc>
          <w:tcPr>
            <w:tcW w:w="1170" w:type="dxa"/>
            <w:vAlign w:val="bottom"/>
          </w:tcPr>
          <w:p w14:paraId="6395F2BF" w14:textId="63B687F3" w:rsidR="0067631E" w:rsidRPr="00FC2F5C" w:rsidRDefault="0067631E" w:rsidP="0067631E">
            <w:pPr>
              <w:jc w:val="center"/>
              <w:rPr>
                <w:color w:val="000000"/>
                <w:sz w:val="22"/>
                <w:highlight w:val="yellow"/>
              </w:rPr>
            </w:pPr>
          </w:p>
        </w:tc>
        <w:tc>
          <w:tcPr>
            <w:tcW w:w="1170" w:type="dxa"/>
            <w:vAlign w:val="bottom"/>
          </w:tcPr>
          <w:p w14:paraId="2297A6F4" w14:textId="7E38CA51" w:rsidR="0067631E" w:rsidRPr="00FC2F5C" w:rsidRDefault="0067631E" w:rsidP="0067631E">
            <w:pPr>
              <w:jc w:val="center"/>
              <w:rPr>
                <w:color w:val="000000"/>
                <w:sz w:val="22"/>
                <w:highlight w:val="yellow"/>
              </w:rPr>
            </w:pPr>
          </w:p>
        </w:tc>
      </w:tr>
    </w:tbl>
    <w:p w14:paraId="704CE19B" w14:textId="78C806DF" w:rsidR="004B311E" w:rsidRDefault="000F3E75">
      <w:pPr>
        <w:rPr>
          <w:sz w:val="20"/>
          <w:szCs w:val="20"/>
        </w:rPr>
      </w:pPr>
      <w:r w:rsidRPr="007013A8">
        <w:rPr>
          <w:sz w:val="20"/>
          <w:szCs w:val="20"/>
        </w:rPr>
        <w:t xml:space="preserve">*: </w:t>
      </w:r>
      <w:r w:rsidRPr="007013A8">
        <w:rPr>
          <w:i/>
          <w:sz w:val="20"/>
          <w:szCs w:val="20"/>
        </w:rPr>
        <w:t>p</w:t>
      </w:r>
      <w:r w:rsidRPr="007013A8">
        <w:rPr>
          <w:sz w:val="20"/>
          <w:szCs w:val="20"/>
        </w:rPr>
        <w:t xml:space="preserve">&lt;.05, **: </w:t>
      </w:r>
      <w:r w:rsidRPr="007013A8">
        <w:rPr>
          <w:i/>
          <w:sz w:val="20"/>
          <w:szCs w:val="20"/>
        </w:rPr>
        <w:t>p</w:t>
      </w:r>
      <w:r w:rsidRPr="007013A8">
        <w:rPr>
          <w:sz w:val="20"/>
          <w:szCs w:val="20"/>
        </w:rPr>
        <w:t xml:space="preserve">&lt;.01, </w:t>
      </w:r>
      <w:r>
        <w:rPr>
          <w:sz w:val="20"/>
          <w:szCs w:val="20"/>
        </w:rPr>
        <w:t xml:space="preserve">one-tailed tests based on distribution across parameter draws. </w:t>
      </w:r>
      <w:r w:rsidR="00641C92" w:rsidRPr="00641C92">
        <w:rPr>
          <w:sz w:val="20"/>
          <w:szCs w:val="20"/>
        </w:rPr>
        <w:t>Because the ‘Support Only’ effects hardly extend beyond the promotion period (see Figure WA1), we only compare the effects during the event period.</w:t>
      </w:r>
      <w:r w:rsidR="004B311E">
        <w:rPr>
          <w:sz w:val="20"/>
          <w:szCs w:val="20"/>
        </w:rPr>
        <w:br w:type="page"/>
      </w:r>
    </w:p>
    <w:p w14:paraId="5077F1D1" w14:textId="77777777" w:rsidR="004B311E" w:rsidRDefault="004B311E" w:rsidP="004B311E">
      <w:pPr>
        <w:jc w:val="center"/>
        <w:rPr>
          <w:b/>
          <w:vertAlign w:val="superscript"/>
        </w:rPr>
      </w:pPr>
      <w:r w:rsidRPr="00926F9C">
        <w:rPr>
          <w:b/>
        </w:rPr>
        <w:lastRenderedPageBreak/>
        <w:t>F</w:t>
      </w:r>
      <w:r>
        <w:rPr>
          <w:b/>
        </w:rPr>
        <w:t>IGURE</w:t>
      </w:r>
      <w:r w:rsidRPr="00926F9C">
        <w:rPr>
          <w:b/>
        </w:rPr>
        <w:t xml:space="preserve"> WA</w:t>
      </w:r>
      <w:r>
        <w:rPr>
          <w:b/>
        </w:rPr>
        <w:t>2</w:t>
      </w:r>
      <w:r w:rsidRPr="00926F9C">
        <w:rPr>
          <w:b/>
        </w:rPr>
        <w:t xml:space="preserve">: Impact of </w:t>
      </w:r>
      <w:proofErr w:type="spellStart"/>
      <w:r w:rsidRPr="00926F9C">
        <w:rPr>
          <w:b/>
        </w:rPr>
        <w:t>ReTSS</w:t>
      </w:r>
      <w:proofErr w:type="spellEnd"/>
      <w:r w:rsidRPr="00926F9C">
        <w:rPr>
          <w:b/>
        </w:rPr>
        <w:t xml:space="preserve"> </w:t>
      </w:r>
      <w:r>
        <w:rPr>
          <w:b/>
        </w:rPr>
        <w:t>by Customer Group,</w:t>
      </w:r>
      <w:r w:rsidRPr="00926F9C">
        <w:rPr>
          <w:b/>
        </w:rPr>
        <w:t xml:space="preserve"> over </w:t>
      </w:r>
      <w:proofErr w:type="spellStart"/>
      <w:r w:rsidRPr="00926F9C">
        <w:rPr>
          <w:b/>
        </w:rPr>
        <w:t>Time</w:t>
      </w:r>
      <w:r w:rsidRPr="00926F9C">
        <w:rPr>
          <w:b/>
          <w:vertAlign w:val="superscript"/>
        </w:rPr>
        <w:t>a</w:t>
      </w:r>
      <w:proofErr w:type="spellEnd"/>
    </w:p>
    <w:tbl>
      <w:tblPr>
        <w:tblStyle w:val="TableGrid"/>
        <w:tblW w:w="10075" w:type="dxa"/>
        <w:tblLook w:val="04A0" w:firstRow="1" w:lastRow="0" w:firstColumn="1" w:lastColumn="0" w:noHBand="0" w:noVBand="1"/>
      </w:tblPr>
      <w:tblGrid>
        <w:gridCol w:w="5035"/>
        <w:gridCol w:w="5040"/>
      </w:tblGrid>
      <w:tr w:rsidR="004B311E" w14:paraId="3A7B03A4" w14:textId="77777777" w:rsidTr="001B1761">
        <w:tc>
          <w:tcPr>
            <w:tcW w:w="5035" w:type="dxa"/>
          </w:tcPr>
          <w:p w14:paraId="2484B82B" w14:textId="77777777" w:rsidR="004B311E" w:rsidRDefault="004B311E" w:rsidP="001B1761">
            <w:pPr>
              <w:jc w:val="center"/>
              <w:rPr>
                <w:b/>
                <w:caps/>
                <w:lang w:val="en-US"/>
              </w:rPr>
            </w:pPr>
            <w:r w:rsidRPr="00800D00">
              <w:rPr>
                <w:caps/>
                <w:lang w:val="en-US"/>
              </w:rPr>
              <w:t>Panel A: VISITS</w:t>
            </w:r>
          </w:p>
        </w:tc>
        <w:tc>
          <w:tcPr>
            <w:tcW w:w="5040" w:type="dxa"/>
          </w:tcPr>
          <w:p w14:paraId="129A09EA" w14:textId="77777777" w:rsidR="004B311E" w:rsidRDefault="004B311E" w:rsidP="001B1761">
            <w:pPr>
              <w:jc w:val="center"/>
              <w:rPr>
                <w:b/>
                <w:caps/>
                <w:lang w:val="en-US"/>
              </w:rPr>
            </w:pPr>
            <w:r w:rsidRPr="00800D00">
              <w:rPr>
                <w:caps/>
                <w:lang w:val="en-US"/>
              </w:rPr>
              <w:t>Panel B: PURCHASES</w:t>
            </w:r>
          </w:p>
        </w:tc>
      </w:tr>
    </w:tbl>
    <w:tbl>
      <w:tblPr>
        <w:tblW w:w="10080" w:type="dxa"/>
        <w:tblLayout w:type="fixed"/>
        <w:tblLook w:val="04A0" w:firstRow="1" w:lastRow="0" w:firstColumn="1" w:lastColumn="0" w:noHBand="0" w:noVBand="1"/>
      </w:tblPr>
      <w:tblGrid>
        <w:gridCol w:w="5040"/>
        <w:gridCol w:w="5040"/>
      </w:tblGrid>
      <w:tr w:rsidR="004B311E" w:rsidRPr="00800D00" w14:paraId="39F0DB35" w14:textId="77777777" w:rsidTr="001B1761">
        <w:tc>
          <w:tcPr>
            <w:tcW w:w="5040" w:type="dxa"/>
          </w:tcPr>
          <w:p w14:paraId="1C4775CF" w14:textId="2BD377FC" w:rsidR="004B311E" w:rsidRPr="00800D00" w:rsidRDefault="004B311E" w:rsidP="001B1761">
            <w:pPr>
              <w:jc w:val="center"/>
            </w:pPr>
            <w:r w:rsidRPr="00926F9C">
              <w:t xml:space="preserve">Event </w:t>
            </w:r>
            <w:r w:rsidRPr="00926F9C">
              <w:rPr>
                <w:caps/>
              </w:rPr>
              <w:t xml:space="preserve">4 </w:t>
            </w:r>
            <w:r w:rsidRPr="00926F9C">
              <w:t>(</w:t>
            </w:r>
            <w:r>
              <w:t xml:space="preserve">close to </w:t>
            </w:r>
            <w:r w:rsidRPr="00926F9C">
              <w:t>average)</w:t>
            </w:r>
          </w:p>
        </w:tc>
        <w:tc>
          <w:tcPr>
            <w:tcW w:w="5040" w:type="dxa"/>
          </w:tcPr>
          <w:p w14:paraId="7C7F47C2" w14:textId="6AAEC880" w:rsidR="004B311E" w:rsidRPr="00800D00" w:rsidRDefault="004B311E" w:rsidP="001B1761">
            <w:pPr>
              <w:jc w:val="center"/>
            </w:pPr>
            <w:r w:rsidRPr="00926F9C">
              <w:t xml:space="preserve">Event </w:t>
            </w:r>
            <w:r w:rsidRPr="00926F9C">
              <w:rPr>
                <w:caps/>
              </w:rPr>
              <w:t xml:space="preserve">4 </w:t>
            </w:r>
            <w:r w:rsidRPr="00926F9C">
              <w:t>(</w:t>
            </w:r>
            <w:r>
              <w:t xml:space="preserve">close to </w:t>
            </w:r>
            <w:r w:rsidRPr="00926F9C">
              <w:t>average)</w:t>
            </w:r>
          </w:p>
        </w:tc>
      </w:tr>
      <w:tr w:rsidR="004B311E" w:rsidRPr="00800D00" w14:paraId="7331FD16" w14:textId="77777777" w:rsidTr="001B1761">
        <w:trPr>
          <w:trHeight w:val="3168"/>
        </w:trPr>
        <w:tc>
          <w:tcPr>
            <w:tcW w:w="5040" w:type="dxa"/>
          </w:tcPr>
          <w:p w14:paraId="6816524C" w14:textId="77777777" w:rsidR="004B311E" w:rsidRPr="00800D00" w:rsidRDefault="004B311E" w:rsidP="001B1761">
            <w:pPr>
              <w:jc w:val="center"/>
              <w:rPr>
                <w:vertAlign w:val="superscript"/>
              </w:rPr>
            </w:pPr>
            <w:r>
              <w:rPr>
                <w:noProof/>
              </w:rPr>
              <w:drawing>
                <wp:inline distT="0" distB="0" distL="0" distR="0" wp14:anchorId="25F04289" wp14:editId="0D3552B2">
                  <wp:extent cx="3063240" cy="2297430"/>
                  <wp:effectExtent l="0" t="0" r="381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63240" cy="2297430"/>
                          </a:xfrm>
                          <a:prstGeom prst="rect">
                            <a:avLst/>
                          </a:prstGeom>
                          <a:noFill/>
                          <a:ln>
                            <a:noFill/>
                          </a:ln>
                        </pic:spPr>
                      </pic:pic>
                    </a:graphicData>
                  </a:graphic>
                </wp:inline>
              </w:drawing>
            </w:r>
          </w:p>
        </w:tc>
        <w:tc>
          <w:tcPr>
            <w:tcW w:w="5040" w:type="dxa"/>
          </w:tcPr>
          <w:p w14:paraId="3B6029D7" w14:textId="77777777" w:rsidR="004B311E" w:rsidRPr="00800D00" w:rsidRDefault="004B311E" w:rsidP="001B1761">
            <w:r>
              <w:rPr>
                <w:noProof/>
              </w:rPr>
              <w:drawing>
                <wp:inline distT="0" distB="0" distL="0" distR="0" wp14:anchorId="51B230BC" wp14:editId="3C046D5F">
                  <wp:extent cx="3063240" cy="22904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ending_Per_group_Retailer_2_Event_4.png"/>
                          <pic:cNvPicPr/>
                        </pic:nvPicPr>
                        <pic:blipFill>
                          <a:blip r:embed="rId21"/>
                          <a:stretch>
                            <a:fillRect/>
                          </a:stretch>
                        </pic:blipFill>
                        <pic:spPr>
                          <a:xfrm>
                            <a:off x="0" y="0"/>
                            <a:ext cx="3063240" cy="2290445"/>
                          </a:xfrm>
                          <a:prstGeom prst="rect">
                            <a:avLst/>
                          </a:prstGeom>
                        </pic:spPr>
                      </pic:pic>
                    </a:graphicData>
                  </a:graphic>
                </wp:inline>
              </w:drawing>
            </w:r>
          </w:p>
        </w:tc>
      </w:tr>
      <w:tr w:rsidR="004B311E" w:rsidRPr="00800D00" w14:paraId="0EFBCEF5" w14:textId="77777777" w:rsidTr="001B1761">
        <w:tc>
          <w:tcPr>
            <w:tcW w:w="5040" w:type="dxa"/>
          </w:tcPr>
          <w:p w14:paraId="5FC728FB" w14:textId="3D6AD8C9" w:rsidR="004B311E" w:rsidRPr="00800D00" w:rsidRDefault="004B311E" w:rsidP="001B1761">
            <w:pPr>
              <w:jc w:val="center"/>
              <w:rPr>
                <w:caps/>
                <w:vertAlign w:val="superscript"/>
              </w:rPr>
            </w:pPr>
            <w:r w:rsidRPr="00926F9C">
              <w:t xml:space="preserve">Event </w:t>
            </w:r>
            <w:r w:rsidRPr="00926F9C">
              <w:rPr>
                <w:caps/>
              </w:rPr>
              <w:t xml:space="preserve">1 </w:t>
            </w:r>
            <w:r w:rsidRPr="00926F9C">
              <w:t>(worst)</w:t>
            </w:r>
          </w:p>
        </w:tc>
        <w:tc>
          <w:tcPr>
            <w:tcW w:w="5040" w:type="dxa"/>
          </w:tcPr>
          <w:p w14:paraId="767C05EA" w14:textId="4E4EBB0E" w:rsidR="004B311E" w:rsidRPr="00800D00" w:rsidRDefault="004B311E" w:rsidP="001B1761">
            <w:pPr>
              <w:jc w:val="center"/>
            </w:pPr>
            <w:r w:rsidRPr="00926F9C">
              <w:t xml:space="preserve">Event </w:t>
            </w:r>
            <w:r w:rsidRPr="00926F9C">
              <w:rPr>
                <w:caps/>
              </w:rPr>
              <w:t xml:space="preserve">1 </w:t>
            </w:r>
            <w:r w:rsidRPr="00926F9C">
              <w:t>(worst)</w:t>
            </w:r>
          </w:p>
        </w:tc>
      </w:tr>
      <w:tr w:rsidR="004B311E" w:rsidRPr="00800D00" w14:paraId="71452679" w14:textId="77777777" w:rsidTr="001B1761">
        <w:trPr>
          <w:trHeight w:val="3249"/>
        </w:trPr>
        <w:tc>
          <w:tcPr>
            <w:tcW w:w="5040" w:type="dxa"/>
          </w:tcPr>
          <w:p w14:paraId="6D3F44AC" w14:textId="77777777" w:rsidR="004B311E" w:rsidRPr="00800D00" w:rsidRDefault="004B311E" w:rsidP="001B1761">
            <w:pPr>
              <w:jc w:val="center"/>
              <w:rPr>
                <w:vertAlign w:val="superscript"/>
              </w:rPr>
            </w:pPr>
            <w:r>
              <w:rPr>
                <w:noProof/>
              </w:rPr>
              <w:drawing>
                <wp:inline distT="0" distB="0" distL="0" distR="0" wp14:anchorId="10E49D85" wp14:editId="2D7BC026">
                  <wp:extent cx="3063240" cy="2297430"/>
                  <wp:effectExtent l="0" t="0" r="381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3240" cy="2297430"/>
                          </a:xfrm>
                          <a:prstGeom prst="rect">
                            <a:avLst/>
                          </a:prstGeom>
                          <a:noFill/>
                          <a:ln>
                            <a:noFill/>
                          </a:ln>
                        </pic:spPr>
                      </pic:pic>
                    </a:graphicData>
                  </a:graphic>
                </wp:inline>
              </w:drawing>
            </w:r>
          </w:p>
        </w:tc>
        <w:tc>
          <w:tcPr>
            <w:tcW w:w="5040" w:type="dxa"/>
          </w:tcPr>
          <w:p w14:paraId="2F3A791D" w14:textId="77777777" w:rsidR="004B311E" w:rsidRPr="00800D00" w:rsidRDefault="004B311E" w:rsidP="001B1761">
            <w:r>
              <w:rPr>
                <w:noProof/>
              </w:rPr>
              <w:drawing>
                <wp:inline distT="0" distB="0" distL="0" distR="0" wp14:anchorId="7F873A8E" wp14:editId="01DE681B">
                  <wp:extent cx="3063240" cy="22904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ending_Per_group_Retailer_2_Event_1.png"/>
                          <pic:cNvPicPr/>
                        </pic:nvPicPr>
                        <pic:blipFill>
                          <a:blip r:embed="rId23"/>
                          <a:stretch>
                            <a:fillRect/>
                          </a:stretch>
                        </pic:blipFill>
                        <pic:spPr>
                          <a:xfrm>
                            <a:off x="0" y="0"/>
                            <a:ext cx="3063240" cy="2290445"/>
                          </a:xfrm>
                          <a:prstGeom prst="rect">
                            <a:avLst/>
                          </a:prstGeom>
                        </pic:spPr>
                      </pic:pic>
                    </a:graphicData>
                  </a:graphic>
                </wp:inline>
              </w:drawing>
            </w:r>
          </w:p>
        </w:tc>
      </w:tr>
      <w:tr w:rsidR="004B311E" w:rsidRPr="00800D00" w14:paraId="5FDBFDC8" w14:textId="77777777" w:rsidTr="001B1761">
        <w:tc>
          <w:tcPr>
            <w:tcW w:w="5040" w:type="dxa"/>
          </w:tcPr>
          <w:p w14:paraId="04E1E11A" w14:textId="470B628C" w:rsidR="004B311E" w:rsidRPr="00800D00" w:rsidRDefault="004B311E" w:rsidP="001B1761">
            <w:pPr>
              <w:jc w:val="center"/>
              <w:rPr>
                <w:caps/>
                <w:vertAlign w:val="superscript"/>
              </w:rPr>
            </w:pPr>
            <w:r w:rsidRPr="00926F9C">
              <w:t xml:space="preserve">Event </w:t>
            </w:r>
            <w:r w:rsidRPr="00926F9C">
              <w:rPr>
                <w:caps/>
              </w:rPr>
              <w:t>2 (</w:t>
            </w:r>
            <w:r w:rsidRPr="00926F9C">
              <w:t>best</w:t>
            </w:r>
            <w:r w:rsidRPr="00926F9C">
              <w:rPr>
                <w:caps/>
              </w:rPr>
              <w:t>)</w:t>
            </w:r>
          </w:p>
        </w:tc>
        <w:tc>
          <w:tcPr>
            <w:tcW w:w="5040" w:type="dxa"/>
          </w:tcPr>
          <w:p w14:paraId="688560B5" w14:textId="1AD0724C" w:rsidR="004B311E" w:rsidRPr="00800D00" w:rsidRDefault="004B311E" w:rsidP="001B1761">
            <w:pPr>
              <w:jc w:val="center"/>
            </w:pPr>
            <w:r w:rsidRPr="00926F9C">
              <w:t xml:space="preserve">Event </w:t>
            </w:r>
            <w:r w:rsidRPr="00926F9C">
              <w:rPr>
                <w:caps/>
              </w:rPr>
              <w:t>2 (</w:t>
            </w:r>
            <w:r w:rsidRPr="00926F9C">
              <w:t>best</w:t>
            </w:r>
            <w:r w:rsidRPr="00926F9C">
              <w:rPr>
                <w:caps/>
              </w:rPr>
              <w:t>)</w:t>
            </w:r>
          </w:p>
        </w:tc>
      </w:tr>
      <w:tr w:rsidR="004B311E" w:rsidRPr="00800D00" w14:paraId="28BA8D82" w14:textId="77777777" w:rsidTr="001B1761">
        <w:tc>
          <w:tcPr>
            <w:tcW w:w="5040" w:type="dxa"/>
          </w:tcPr>
          <w:p w14:paraId="15A3CF6E" w14:textId="77777777" w:rsidR="004B311E" w:rsidRPr="00800D00" w:rsidRDefault="004B311E" w:rsidP="001B1761">
            <w:pPr>
              <w:jc w:val="center"/>
              <w:rPr>
                <w:vertAlign w:val="superscript"/>
              </w:rPr>
            </w:pPr>
            <w:r>
              <w:rPr>
                <w:noProof/>
              </w:rPr>
              <w:drawing>
                <wp:inline distT="0" distB="0" distL="0" distR="0" wp14:anchorId="4C4C7381" wp14:editId="2BF7EF56">
                  <wp:extent cx="3063240" cy="2297430"/>
                  <wp:effectExtent l="0" t="0" r="381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3240" cy="2297430"/>
                          </a:xfrm>
                          <a:prstGeom prst="rect">
                            <a:avLst/>
                          </a:prstGeom>
                          <a:noFill/>
                          <a:ln>
                            <a:noFill/>
                          </a:ln>
                        </pic:spPr>
                      </pic:pic>
                    </a:graphicData>
                  </a:graphic>
                </wp:inline>
              </w:drawing>
            </w:r>
          </w:p>
        </w:tc>
        <w:tc>
          <w:tcPr>
            <w:tcW w:w="5040" w:type="dxa"/>
          </w:tcPr>
          <w:p w14:paraId="48596668" w14:textId="77777777" w:rsidR="004B311E" w:rsidRPr="00800D00" w:rsidRDefault="004B311E" w:rsidP="001B1761">
            <w:r>
              <w:rPr>
                <w:noProof/>
              </w:rPr>
              <w:drawing>
                <wp:inline distT="0" distB="0" distL="0" distR="0" wp14:anchorId="61A58E0E" wp14:editId="2747AACB">
                  <wp:extent cx="3063240" cy="22904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nding_Per_group_Retailer_2_Event_2.png"/>
                          <pic:cNvPicPr/>
                        </pic:nvPicPr>
                        <pic:blipFill>
                          <a:blip r:embed="rId25"/>
                          <a:stretch>
                            <a:fillRect/>
                          </a:stretch>
                        </pic:blipFill>
                        <pic:spPr>
                          <a:xfrm>
                            <a:off x="0" y="0"/>
                            <a:ext cx="3063240" cy="2290445"/>
                          </a:xfrm>
                          <a:prstGeom prst="rect">
                            <a:avLst/>
                          </a:prstGeom>
                        </pic:spPr>
                      </pic:pic>
                    </a:graphicData>
                  </a:graphic>
                </wp:inline>
              </w:drawing>
            </w:r>
          </w:p>
        </w:tc>
      </w:tr>
    </w:tbl>
    <w:p w14:paraId="36D4D371" w14:textId="4B767932" w:rsidR="00641C92" w:rsidRDefault="004B311E">
      <w:pPr>
        <w:rPr>
          <w:sz w:val="20"/>
          <w:szCs w:val="20"/>
        </w:rPr>
      </w:pPr>
      <w:r w:rsidRPr="003749E6">
        <w:rPr>
          <w:vertAlign w:val="superscript"/>
        </w:rPr>
        <w:t>a</w:t>
      </w:r>
      <w:r w:rsidRPr="00800D00">
        <w:rPr>
          <w:sz w:val="20"/>
          <w:szCs w:val="20"/>
        </w:rPr>
        <w:t xml:space="preserve"> </w:t>
      </w:r>
      <w:r>
        <w:rPr>
          <w:sz w:val="20"/>
          <w:szCs w:val="20"/>
        </w:rPr>
        <w:t>Bins are based on the consumers’ share of wallet in the 26-week initialization period, at the store running the event. E.g.</w:t>
      </w:r>
      <w:r w:rsidR="007C280E">
        <w:rPr>
          <w:sz w:val="20"/>
          <w:szCs w:val="20"/>
        </w:rPr>
        <w:t>,</w:t>
      </w:r>
      <w:r>
        <w:rPr>
          <w:sz w:val="20"/>
          <w:szCs w:val="20"/>
        </w:rPr>
        <w:t xml:space="preserve"> the first bin comprises consumers who spent up to 10% of their wallet at the </w:t>
      </w:r>
      <w:r w:rsidR="0074607C">
        <w:rPr>
          <w:sz w:val="20"/>
          <w:szCs w:val="20"/>
        </w:rPr>
        <w:t>store</w:t>
      </w:r>
      <w:r>
        <w:rPr>
          <w:sz w:val="20"/>
          <w:szCs w:val="20"/>
        </w:rPr>
        <w:t>, etc.</w:t>
      </w:r>
      <w:r w:rsidR="00641C92">
        <w:rPr>
          <w:sz w:val="20"/>
          <w:szCs w:val="20"/>
        </w:rPr>
        <w:br w:type="page"/>
      </w:r>
    </w:p>
    <w:p w14:paraId="405A47D2" w14:textId="77777777" w:rsidR="00D53F90" w:rsidRPr="00641C92" w:rsidRDefault="00D53F90">
      <w:pPr>
        <w:rPr>
          <w:sz w:val="20"/>
          <w:szCs w:val="20"/>
        </w:rPr>
        <w:sectPr w:rsidR="00D53F90" w:rsidRPr="00641C92" w:rsidSect="00D53F90">
          <w:pgSz w:w="11906" w:h="16838"/>
          <w:pgMar w:top="1440" w:right="1440" w:bottom="720" w:left="1440" w:header="706" w:footer="706" w:gutter="0"/>
          <w:cols w:space="708"/>
          <w:docGrid w:linePitch="360"/>
        </w:sectPr>
      </w:pPr>
    </w:p>
    <w:p w14:paraId="64371A4C" w14:textId="02FD7B8A" w:rsidR="00D620CB" w:rsidRPr="00B500B8" w:rsidRDefault="00B500B8" w:rsidP="00717BEB">
      <w:pPr>
        <w:jc w:val="center"/>
        <w:rPr>
          <w:bCs/>
          <w:i/>
        </w:rPr>
      </w:pPr>
      <w:r w:rsidRPr="00B500B8">
        <w:rPr>
          <w:bCs/>
          <w:i/>
        </w:rPr>
        <w:lastRenderedPageBreak/>
        <w:t>WEB APPENDIX W6: COMPETITIVE SHIFTS</w:t>
      </w:r>
    </w:p>
    <w:p w14:paraId="181EE380" w14:textId="77777777" w:rsidR="00B500B8" w:rsidRDefault="00B500B8" w:rsidP="00717BEB">
      <w:pPr>
        <w:jc w:val="center"/>
        <w:rPr>
          <w:b/>
          <w:iCs/>
        </w:rPr>
      </w:pPr>
    </w:p>
    <w:p w14:paraId="5D420554" w14:textId="3BB133D9" w:rsidR="00D53F90" w:rsidRPr="00717BEB" w:rsidRDefault="00D620CB" w:rsidP="00717BEB">
      <w:pPr>
        <w:jc w:val="center"/>
        <w:rPr>
          <w:b/>
          <w:iCs/>
        </w:rPr>
      </w:pPr>
      <w:r>
        <w:rPr>
          <w:b/>
          <w:iCs/>
        </w:rPr>
        <w:t>TABLE WA</w:t>
      </w:r>
      <w:r w:rsidR="00F07544">
        <w:rPr>
          <w:b/>
          <w:iCs/>
        </w:rPr>
        <w:t>7</w:t>
      </w:r>
      <w:r>
        <w:rPr>
          <w:b/>
          <w:iCs/>
        </w:rPr>
        <w:t xml:space="preserve">: </w:t>
      </w:r>
      <w:r w:rsidR="00D53F90" w:rsidRPr="00717BEB">
        <w:rPr>
          <w:b/>
          <w:iCs/>
        </w:rPr>
        <w:t>Store</w:t>
      </w:r>
      <w:r w:rsidR="0074607C">
        <w:rPr>
          <w:b/>
          <w:iCs/>
        </w:rPr>
        <w:t xml:space="preserve">-type </w:t>
      </w:r>
      <w:r w:rsidR="00D53F90" w:rsidRPr="00717BEB">
        <w:rPr>
          <w:b/>
          <w:iCs/>
        </w:rPr>
        <w:t xml:space="preserve">Allegiance of </w:t>
      </w:r>
      <w:r>
        <w:rPr>
          <w:b/>
          <w:iCs/>
        </w:rPr>
        <w:t xml:space="preserve">Consumers </w:t>
      </w:r>
      <w:r w:rsidR="00D53F90" w:rsidRPr="00717BEB">
        <w:rPr>
          <w:b/>
          <w:iCs/>
        </w:rPr>
        <w:t xml:space="preserve">Most vs. Least </w:t>
      </w:r>
      <w:r w:rsidR="003215CF" w:rsidRPr="00717BEB">
        <w:rPr>
          <w:b/>
          <w:iCs/>
        </w:rPr>
        <w:t>R</w:t>
      </w:r>
      <w:r w:rsidR="00D53F90" w:rsidRPr="00717BEB">
        <w:rPr>
          <w:b/>
          <w:iCs/>
        </w:rPr>
        <w:t xml:space="preserve">esponsive </w:t>
      </w:r>
      <w:r>
        <w:rPr>
          <w:b/>
          <w:iCs/>
        </w:rPr>
        <w:t xml:space="preserve">to </w:t>
      </w:r>
      <w:proofErr w:type="spellStart"/>
      <w:r>
        <w:rPr>
          <w:b/>
          <w:iCs/>
        </w:rPr>
        <w:t>ReTSS</w:t>
      </w:r>
      <w:proofErr w:type="spellEnd"/>
    </w:p>
    <w:tbl>
      <w:tblPr>
        <w:tblStyle w:val="TableGrid"/>
        <w:tblW w:w="15385" w:type="dxa"/>
        <w:tblLook w:val="04A0" w:firstRow="1" w:lastRow="0" w:firstColumn="1" w:lastColumn="0" w:noHBand="0" w:noVBand="1"/>
      </w:tblPr>
      <w:tblGrid>
        <w:gridCol w:w="1705"/>
        <w:gridCol w:w="1170"/>
        <w:gridCol w:w="1260"/>
        <w:gridCol w:w="1170"/>
        <w:gridCol w:w="1260"/>
        <w:gridCol w:w="900"/>
        <w:gridCol w:w="990"/>
        <w:gridCol w:w="1170"/>
        <w:gridCol w:w="1260"/>
        <w:gridCol w:w="1260"/>
        <w:gridCol w:w="1260"/>
        <w:gridCol w:w="914"/>
        <w:gridCol w:w="1066"/>
      </w:tblGrid>
      <w:tr w:rsidR="00D53F90" w14:paraId="6E3B54C9" w14:textId="2D4527E9" w:rsidTr="00541915">
        <w:tc>
          <w:tcPr>
            <w:tcW w:w="1705" w:type="dxa"/>
          </w:tcPr>
          <w:p w14:paraId="68633C87" w14:textId="686E5209" w:rsidR="00D53F90" w:rsidRDefault="00D53F90">
            <w:pPr>
              <w:rPr>
                <w:b/>
                <w:lang w:val="en-US"/>
              </w:rPr>
            </w:pPr>
          </w:p>
        </w:tc>
        <w:tc>
          <w:tcPr>
            <w:tcW w:w="5760" w:type="dxa"/>
            <w:gridSpan w:val="5"/>
          </w:tcPr>
          <w:p w14:paraId="6A090F45" w14:textId="440C300A" w:rsidR="00D53F90" w:rsidRDefault="00D53F90">
            <w:pPr>
              <w:rPr>
                <w:b/>
                <w:lang w:val="en-US"/>
              </w:rPr>
            </w:pPr>
            <w:r>
              <w:rPr>
                <w:b/>
                <w:lang w:val="en-US"/>
              </w:rPr>
              <w:t>Visits</w:t>
            </w:r>
          </w:p>
        </w:tc>
        <w:tc>
          <w:tcPr>
            <w:tcW w:w="990" w:type="dxa"/>
          </w:tcPr>
          <w:p w14:paraId="33D7BC44" w14:textId="77777777" w:rsidR="00D53F90" w:rsidRDefault="00D53F90">
            <w:pPr>
              <w:rPr>
                <w:b/>
                <w:lang w:val="en-US"/>
              </w:rPr>
            </w:pPr>
          </w:p>
        </w:tc>
        <w:tc>
          <w:tcPr>
            <w:tcW w:w="5864" w:type="dxa"/>
            <w:gridSpan w:val="5"/>
          </w:tcPr>
          <w:p w14:paraId="1B8591E9" w14:textId="630437A6" w:rsidR="00D53F90" w:rsidRDefault="00D53F90">
            <w:pPr>
              <w:rPr>
                <w:b/>
                <w:lang w:val="en-US"/>
              </w:rPr>
            </w:pPr>
            <w:r>
              <w:rPr>
                <w:b/>
                <w:lang w:val="en-US"/>
              </w:rPr>
              <w:t>Purchase Volumes</w:t>
            </w:r>
          </w:p>
        </w:tc>
        <w:tc>
          <w:tcPr>
            <w:tcW w:w="1066" w:type="dxa"/>
          </w:tcPr>
          <w:p w14:paraId="5118F328" w14:textId="77777777" w:rsidR="00D53F90" w:rsidRDefault="00D53F90">
            <w:pPr>
              <w:rPr>
                <w:b/>
                <w:lang w:val="en-US"/>
              </w:rPr>
            </w:pPr>
          </w:p>
        </w:tc>
      </w:tr>
      <w:tr w:rsidR="006E6A62" w14:paraId="65EA2C29" w14:textId="45351362" w:rsidTr="006E1CE8">
        <w:tc>
          <w:tcPr>
            <w:tcW w:w="1705" w:type="dxa"/>
            <w:vMerge w:val="restart"/>
            <w:vAlign w:val="center"/>
          </w:tcPr>
          <w:p w14:paraId="7530853F" w14:textId="40EE24BE" w:rsidR="006E6A62" w:rsidRDefault="006E6A62" w:rsidP="006E1CE8">
            <w:pPr>
              <w:jc w:val="center"/>
              <w:rPr>
                <w:b/>
                <w:lang w:val="en-US"/>
              </w:rPr>
            </w:pPr>
            <w:r>
              <w:rPr>
                <w:b/>
                <w:lang w:val="en-US"/>
              </w:rPr>
              <w:t>Event</w:t>
            </w:r>
          </w:p>
        </w:tc>
        <w:tc>
          <w:tcPr>
            <w:tcW w:w="2430" w:type="dxa"/>
            <w:gridSpan w:val="2"/>
          </w:tcPr>
          <w:p w14:paraId="580A354F" w14:textId="52553991" w:rsidR="006E6A62" w:rsidRDefault="006E6A62" w:rsidP="00D53F90">
            <w:pPr>
              <w:rPr>
                <w:b/>
                <w:lang w:val="en-US"/>
              </w:rPr>
            </w:pPr>
            <w:r>
              <w:rPr>
                <w:b/>
                <w:lang w:val="en-US"/>
              </w:rPr>
              <w:t xml:space="preserve">Most </w:t>
            </w:r>
            <w:proofErr w:type="spellStart"/>
            <w:r>
              <w:rPr>
                <w:b/>
                <w:lang w:val="en-US"/>
              </w:rPr>
              <w:t>Responsive</w:t>
            </w:r>
            <w:r w:rsidRPr="00541915">
              <w:rPr>
                <w:b/>
                <w:vertAlign w:val="superscript"/>
                <w:lang w:val="en-US"/>
              </w:rPr>
              <w:t>a</w:t>
            </w:r>
            <w:proofErr w:type="spellEnd"/>
          </w:p>
        </w:tc>
        <w:tc>
          <w:tcPr>
            <w:tcW w:w="2430" w:type="dxa"/>
            <w:gridSpan w:val="2"/>
          </w:tcPr>
          <w:p w14:paraId="5097B5BA" w14:textId="73F33AB4" w:rsidR="006E6A62" w:rsidRDefault="006E6A62" w:rsidP="00D53F90">
            <w:pPr>
              <w:rPr>
                <w:b/>
                <w:lang w:val="en-US"/>
              </w:rPr>
            </w:pPr>
            <w:r>
              <w:rPr>
                <w:b/>
                <w:lang w:val="en-US"/>
              </w:rPr>
              <w:t xml:space="preserve">Least </w:t>
            </w:r>
            <w:proofErr w:type="spellStart"/>
            <w:r>
              <w:rPr>
                <w:b/>
                <w:lang w:val="en-US"/>
              </w:rPr>
              <w:t>Responsive</w:t>
            </w:r>
            <w:r w:rsidRPr="00541915">
              <w:rPr>
                <w:b/>
                <w:vertAlign w:val="superscript"/>
                <w:lang w:val="en-US"/>
              </w:rPr>
              <w:t>a</w:t>
            </w:r>
            <w:proofErr w:type="spellEnd"/>
          </w:p>
        </w:tc>
        <w:tc>
          <w:tcPr>
            <w:tcW w:w="900" w:type="dxa"/>
            <w:vMerge w:val="restart"/>
          </w:tcPr>
          <w:p w14:paraId="5A6DD6B3" w14:textId="2E66A1B3" w:rsidR="006E6A62" w:rsidRDefault="006E6A62" w:rsidP="00D53F90">
            <w:pPr>
              <w:rPr>
                <w:b/>
                <w:lang w:val="en-US"/>
              </w:rPr>
            </w:pPr>
            <w:r>
              <w:rPr>
                <w:b/>
                <w:lang w:val="en-US"/>
              </w:rPr>
              <w:t>Δ HD share</w:t>
            </w:r>
          </w:p>
          <w:p w14:paraId="672389C4" w14:textId="692CE13C" w:rsidR="006E6A62" w:rsidRDefault="006E6A62" w:rsidP="00D53F90">
            <w:pPr>
              <w:rPr>
                <w:b/>
                <w:lang w:val="en-US"/>
              </w:rPr>
            </w:pPr>
          </w:p>
        </w:tc>
        <w:tc>
          <w:tcPr>
            <w:tcW w:w="990" w:type="dxa"/>
            <w:vMerge w:val="restart"/>
          </w:tcPr>
          <w:p w14:paraId="70AC02BD" w14:textId="77777777" w:rsidR="006E6A62" w:rsidRDefault="006E6A62" w:rsidP="00D53F90">
            <w:pPr>
              <w:rPr>
                <w:b/>
                <w:lang w:val="en-US"/>
              </w:rPr>
            </w:pPr>
            <w:r>
              <w:rPr>
                <w:b/>
                <w:lang w:val="en-US"/>
              </w:rPr>
              <w:t>p-value</w:t>
            </w:r>
          </w:p>
          <w:p w14:paraId="18622FC1" w14:textId="79C99BFA" w:rsidR="006E6A62" w:rsidRDefault="006E6A62" w:rsidP="00D53F90">
            <w:pPr>
              <w:rPr>
                <w:b/>
                <w:lang w:val="en-US"/>
              </w:rPr>
            </w:pPr>
          </w:p>
        </w:tc>
        <w:tc>
          <w:tcPr>
            <w:tcW w:w="2430" w:type="dxa"/>
            <w:gridSpan w:val="2"/>
          </w:tcPr>
          <w:p w14:paraId="31C8F9E7" w14:textId="75D29424" w:rsidR="006E6A62" w:rsidRDefault="006E6A62" w:rsidP="00D53F90">
            <w:pPr>
              <w:rPr>
                <w:b/>
                <w:lang w:val="en-US"/>
              </w:rPr>
            </w:pPr>
            <w:r>
              <w:rPr>
                <w:b/>
                <w:lang w:val="en-US"/>
              </w:rPr>
              <w:t xml:space="preserve">Most </w:t>
            </w:r>
            <w:proofErr w:type="spellStart"/>
            <w:r>
              <w:rPr>
                <w:b/>
                <w:lang w:val="en-US"/>
              </w:rPr>
              <w:t>Responsive</w:t>
            </w:r>
            <w:r>
              <w:rPr>
                <w:b/>
                <w:vertAlign w:val="superscript"/>
                <w:lang w:val="en-US"/>
              </w:rPr>
              <w:t>b</w:t>
            </w:r>
            <w:proofErr w:type="spellEnd"/>
          </w:p>
        </w:tc>
        <w:tc>
          <w:tcPr>
            <w:tcW w:w="2520" w:type="dxa"/>
            <w:gridSpan w:val="2"/>
          </w:tcPr>
          <w:p w14:paraId="42F7F411" w14:textId="0D39D0B4" w:rsidR="006E6A62" w:rsidRDefault="006E6A62" w:rsidP="00D53F90">
            <w:pPr>
              <w:rPr>
                <w:b/>
                <w:lang w:val="en-US"/>
              </w:rPr>
            </w:pPr>
            <w:r>
              <w:rPr>
                <w:b/>
                <w:lang w:val="en-US"/>
              </w:rPr>
              <w:t xml:space="preserve">Least </w:t>
            </w:r>
            <w:proofErr w:type="spellStart"/>
            <w:r>
              <w:rPr>
                <w:b/>
                <w:lang w:val="en-US"/>
              </w:rPr>
              <w:t>Responsive</w:t>
            </w:r>
            <w:r>
              <w:rPr>
                <w:b/>
                <w:vertAlign w:val="superscript"/>
                <w:lang w:val="en-US"/>
              </w:rPr>
              <w:t>b</w:t>
            </w:r>
            <w:proofErr w:type="spellEnd"/>
          </w:p>
        </w:tc>
        <w:tc>
          <w:tcPr>
            <w:tcW w:w="914" w:type="dxa"/>
            <w:vMerge w:val="restart"/>
          </w:tcPr>
          <w:p w14:paraId="2EED1977" w14:textId="121E3392" w:rsidR="006E6A62" w:rsidRDefault="006E6A62" w:rsidP="00D53F90">
            <w:pPr>
              <w:rPr>
                <w:b/>
                <w:lang w:val="en-US"/>
              </w:rPr>
            </w:pPr>
            <w:r>
              <w:rPr>
                <w:b/>
                <w:lang w:val="en-US"/>
              </w:rPr>
              <w:t>Δ HD share</w:t>
            </w:r>
          </w:p>
          <w:p w14:paraId="3D5AF808" w14:textId="21A76C29" w:rsidR="006E6A62" w:rsidRDefault="006E6A62" w:rsidP="00D53F90">
            <w:pPr>
              <w:rPr>
                <w:b/>
                <w:lang w:val="en-US"/>
              </w:rPr>
            </w:pPr>
          </w:p>
        </w:tc>
        <w:tc>
          <w:tcPr>
            <w:tcW w:w="1066" w:type="dxa"/>
            <w:vMerge w:val="restart"/>
          </w:tcPr>
          <w:p w14:paraId="0E98CF08" w14:textId="77777777" w:rsidR="006E6A62" w:rsidRDefault="006E6A62" w:rsidP="00D53F90">
            <w:pPr>
              <w:rPr>
                <w:b/>
                <w:lang w:val="en-US"/>
              </w:rPr>
            </w:pPr>
            <w:r>
              <w:rPr>
                <w:b/>
                <w:lang w:val="en-US"/>
              </w:rPr>
              <w:t>p-value</w:t>
            </w:r>
          </w:p>
          <w:p w14:paraId="203565E1" w14:textId="58F6C963" w:rsidR="006E6A62" w:rsidRDefault="006E6A62" w:rsidP="00D53F90">
            <w:pPr>
              <w:rPr>
                <w:b/>
                <w:lang w:val="en-US"/>
              </w:rPr>
            </w:pPr>
          </w:p>
        </w:tc>
      </w:tr>
      <w:tr w:rsidR="006E6A62" w14:paraId="34DA15E9" w14:textId="77777777" w:rsidTr="00541915">
        <w:tc>
          <w:tcPr>
            <w:tcW w:w="1705" w:type="dxa"/>
            <w:vMerge/>
          </w:tcPr>
          <w:p w14:paraId="35A28EA2" w14:textId="77777777" w:rsidR="006E6A62" w:rsidRDefault="006E6A62" w:rsidP="00D53F90">
            <w:pPr>
              <w:rPr>
                <w:b/>
                <w:lang w:val="en-US"/>
              </w:rPr>
            </w:pPr>
          </w:p>
        </w:tc>
        <w:tc>
          <w:tcPr>
            <w:tcW w:w="1170" w:type="dxa"/>
          </w:tcPr>
          <w:p w14:paraId="38469B6B" w14:textId="74A7E741" w:rsidR="006E6A62" w:rsidRDefault="006E6A62" w:rsidP="00D53F90">
            <w:pPr>
              <w:rPr>
                <w:b/>
                <w:lang w:val="en-US"/>
              </w:rPr>
            </w:pPr>
            <w:r>
              <w:rPr>
                <w:b/>
                <w:lang w:val="en-US"/>
              </w:rPr>
              <w:t xml:space="preserve">TS </w:t>
            </w:r>
            <w:proofErr w:type="spellStart"/>
            <w:r>
              <w:rPr>
                <w:b/>
                <w:lang w:val="en-US"/>
              </w:rPr>
              <w:t>share</w:t>
            </w:r>
            <w:r w:rsidRPr="00541915">
              <w:rPr>
                <w:b/>
                <w:vertAlign w:val="superscript"/>
                <w:lang w:val="en-US"/>
              </w:rPr>
              <w:t>c</w:t>
            </w:r>
            <w:proofErr w:type="spellEnd"/>
          </w:p>
        </w:tc>
        <w:tc>
          <w:tcPr>
            <w:tcW w:w="1260" w:type="dxa"/>
          </w:tcPr>
          <w:p w14:paraId="07C5250D" w14:textId="3AA9C19F" w:rsidR="006E6A62" w:rsidRDefault="006E6A62" w:rsidP="00D53F90">
            <w:pPr>
              <w:rPr>
                <w:b/>
                <w:lang w:val="en-US"/>
              </w:rPr>
            </w:pPr>
            <w:r>
              <w:rPr>
                <w:b/>
                <w:lang w:val="en-US"/>
              </w:rPr>
              <w:t>HD share</w:t>
            </w:r>
          </w:p>
        </w:tc>
        <w:tc>
          <w:tcPr>
            <w:tcW w:w="1170" w:type="dxa"/>
          </w:tcPr>
          <w:p w14:paraId="312B1AA5" w14:textId="64688750" w:rsidR="006E6A62" w:rsidRDefault="006E6A62" w:rsidP="00D53F90">
            <w:pPr>
              <w:rPr>
                <w:b/>
                <w:lang w:val="en-US"/>
              </w:rPr>
            </w:pPr>
            <w:r>
              <w:rPr>
                <w:b/>
                <w:lang w:val="en-US"/>
              </w:rPr>
              <w:t>TS share</w:t>
            </w:r>
          </w:p>
        </w:tc>
        <w:tc>
          <w:tcPr>
            <w:tcW w:w="1260" w:type="dxa"/>
          </w:tcPr>
          <w:p w14:paraId="5DAA0B40" w14:textId="191BF72F" w:rsidR="006E6A62" w:rsidRDefault="006E6A62" w:rsidP="00D53F90">
            <w:pPr>
              <w:rPr>
                <w:b/>
                <w:lang w:val="en-US"/>
              </w:rPr>
            </w:pPr>
            <w:r>
              <w:rPr>
                <w:b/>
                <w:lang w:val="en-US"/>
              </w:rPr>
              <w:t>HD share</w:t>
            </w:r>
          </w:p>
        </w:tc>
        <w:tc>
          <w:tcPr>
            <w:tcW w:w="900" w:type="dxa"/>
            <w:vMerge/>
          </w:tcPr>
          <w:p w14:paraId="5F7E71E3" w14:textId="00BC3917" w:rsidR="006E6A62" w:rsidRDefault="006E6A62" w:rsidP="00D53F90">
            <w:pPr>
              <w:rPr>
                <w:b/>
                <w:lang w:val="en-US"/>
              </w:rPr>
            </w:pPr>
          </w:p>
        </w:tc>
        <w:tc>
          <w:tcPr>
            <w:tcW w:w="990" w:type="dxa"/>
            <w:vMerge/>
          </w:tcPr>
          <w:p w14:paraId="10E3F0ED" w14:textId="67DB9E18" w:rsidR="006E6A62" w:rsidRDefault="006E6A62" w:rsidP="00D53F90">
            <w:pPr>
              <w:rPr>
                <w:b/>
                <w:lang w:val="en-US"/>
              </w:rPr>
            </w:pPr>
          </w:p>
        </w:tc>
        <w:tc>
          <w:tcPr>
            <w:tcW w:w="1170" w:type="dxa"/>
          </w:tcPr>
          <w:p w14:paraId="139E7750" w14:textId="4E82D900" w:rsidR="006E6A62" w:rsidRDefault="006E6A62" w:rsidP="00D53F90">
            <w:pPr>
              <w:rPr>
                <w:b/>
                <w:lang w:val="en-US"/>
              </w:rPr>
            </w:pPr>
            <w:r>
              <w:rPr>
                <w:b/>
                <w:lang w:val="en-US"/>
              </w:rPr>
              <w:t>TS share</w:t>
            </w:r>
          </w:p>
        </w:tc>
        <w:tc>
          <w:tcPr>
            <w:tcW w:w="1260" w:type="dxa"/>
          </w:tcPr>
          <w:p w14:paraId="4153E8EA" w14:textId="0CCBBE6D" w:rsidR="006E6A62" w:rsidRDefault="006E6A62" w:rsidP="00D53F90">
            <w:pPr>
              <w:rPr>
                <w:b/>
                <w:lang w:val="en-US"/>
              </w:rPr>
            </w:pPr>
            <w:r>
              <w:rPr>
                <w:b/>
                <w:lang w:val="en-US"/>
              </w:rPr>
              <w:t>HD share</w:t>
            </w:r>
          </w:p>
        </w:tc>
        <w:tc>
          <w:tcPr>
            <w:tcW w:w="1260" w:type="dxa"/>
          </w:tcPr>
          <w:p w14:paraId="4B1B4355" w14:textId="78D187FA" w:rsidR="006E6A62" w:rsidRDefault="006E6A62" w:rsidP="00D53F90">
            <w:pPr>
              <w:rPr>
                <w:b/>
                <w:lang w:val="en-US"/>
              </w:rPr>
            </w:pPr>
            <w:r>
              <w:rPr>
                <w:b/>
                <w:lang w:val="en-US"/>
              </w:rPr>
              <w:t>TS share</w:t>
            </w:r>
          </w:p>
        </w:tc>
        <w:tc>
          <w:tcPr>
            <w:tcW w:w="1260" w:type="dxa"/>
          </w:tcPr>
          <w:p w14:paraId="6FF2E40D" w14:textId="195A77C3" w:rsidR="006E6A62" w:rsidRDefault="006E6A62" w:rsidP="00D53F90">
            <w:pPr>
              <w:rPr>
                <w:b/>
                <w:lang w:val="en-US"/>
              </w:rPr>
            </w:pPr>
            <w:r>
              <w:rPr>
                <w:b/>
                <w:lang w:val="en-US"/>
              </w:rPr>
              <w:t>HD share</w:t>
            </w:r>
          </w:p>
        </w:tc>
        <w:tc>
          <w:tcPr>
            <w:tcW w:w="914" w:type="dxa"/>
            <w:vMerge/>
          </w:tcPr>
          <w:p w14:paraId="5423AE33" w14:textId="77777777" w:rsidR="006E6A62" w:rsidRDefault="006E6A62" w:rsidP="00D53F90">
            <w:pPr>
              <w:rPr>
                <w:b/>
                <w:lang w:val="en-US"/>
              </w:rPr>
            </w:pPr>
          </w:p>
        </w:tc>
        <w:tc>
          <w:tcPr>
            <w:tcW w:w="1066" w:type="dxa"/>
            <w:vMerge/>
          </w:tcPr>
          <w:p w14:paraId="77DEAE85" w14:textId="77777777" w:rsidR="006E6A62" w:rsidRDefault="006E6A62" w:rsidP="00D53F90">
            <w:pPr>
              <w:rPr>
                <w:b/>
                <w:lang w:val="en-US"/>
              </w:rPr>
            </w:pPr>
          </w:p>
        </w:tc>
      </w:tr>
      <w:tr w:rsidR="00541915" w14:paraId="1DF42ACB" w14:textId="3B9222F5" w:rsidTr="006E1CE8">
        <w:tc>
          <w:tcPr>
            <w:tcW w:w="1705" w:type="dxa"/>
            <w:vAlign w:val="center"/>
          </w:tcPr>
          <w:p w14:paraId="63AD1841" w14:textId="49BD947E" w:rsidR="00541915" w:rsidRDefault="00541915" w:rsidP="006E1CE8">
            <w:pPr>
              <w:jc w:val="center"/>
              <w:rPr>
                <w:b/>
                <w:lang w:val="en-US"/>
              </w:rPr>
            </w:pPr>
            <w:r>
              <w:rPr>
                <w:b/>
                <w:lang w:val="en-US"/>
              </w:rPr>
              <w:t>1</w:t>
            </w:r>
          </w:p>
        </w:tc>
        <w:tc>
          <w:tcPr>
            <w:tcW w:w="1170" w:type="dxa"/>
            <w:vAlign w:val="bottom"/>
          </w:tcPr>
          <w:p w14:paraId="02885D05" w14:textId="58356FF9" w:rsidR="00541915" w:rsidRPr="00541915" w:rsidRDefault="00541915" w:rsidP="00541915">
            <w:pPr>
              <w:jc w:val="center"/>
              <w:rPr>
                <w:b/>
                <w:lang w:val="en-US"/>
              </w:rPr>
            </w:pPr>
            <w:r w:rsidRPr="00541915">
              <w:rPr>
                <w:color w:val="000000"/>
              </w:rPr>
              <w:t>0.697</w:t>
            </w:r>
          </w:p>
        </w:tc>
        <w:tc>
          <w:tcPr>
            <w:tcW w:w="1260" w:type="dxa"/>
            <w:vAlign w:val="bottom"/>
          </w:tcPr>
          <w:p w14:paraId="44652F68" w14:textId="15157847" w:rsidR="00541915" w:rsidRPr="00541915" w:rsidRDefault="00541915" w:rsidP="00541915">
            <w:pPr>
              <w:jc w:val="center"/>
              <w:rPr>
                <w:b/>
                <w:lang w:val="en-US"/>
              </w:rPr>
            </w:pPr>
            <w:r w:rsidRPr="00541915">
              <w:rPr>
                <w:color w:val="000000"/>
              </w:rPr>
              <w:t>0.303</w:t>
            </w:r>
          </w:p>
        </w:tc>
        <w:tc>
          <w:tcPr>
            <w:tcW w:w="1170" w:type="dxa"/>
            <w:vAlign w:val="bottom"/>
          </w:tcPr>
          <w:p w14:paraId="78D87129" w14:textId="73B406F1" w:rsidR="00541915" w:rsidRPr="00541915" w:rsidRDefault="00541915" w:rsidP="00541915">
            <w:pPr>
              <w:jc w:val="center"/>
              <w:rPr>
                <w:b/>
                <w:lang w:val="en-US"/>
              </w:rPr>
            </w:pPr>
            <w:r w:rsidRPr="00541915">
              <w:rPr>
                <w:color w:val="000000"/>
              </w:rPr>
              <w:t>0.790</w:t>
            </w:r>
          </w:p>
        </w:tc>
        <w:tc>
          <w:tcPr>
            <w:tcW w:w="1260" w:type="dxa"/>
            <w:vAlign w:val="bottom"/>
          </w:tcPr>
          <w:p w14:paraId="227A3492" w14:textId="5C7B52DF" w:rsidR="00541915" w:rsidRPr="00541915" w:rsidRDefault="00541915" w:rsidP="00541915">
            <w:pPr>
              <w:jc w:val="center"/>
              <w:rPr>
                <w:b/>
                <w:lang w:val="en-US"/>
              </w:rPr>
            </w:pPr>
            <w:r w:rsidRPr="00541915">
              <w:rPr>
                <w:color w:val="000000"/>
              </w:rPr>
              <w:t>0.210</w:t>
            </w:r>
          </w:p>
        </w:tc>
        <w:tc>
          <w:tcPr>
            <w:tcW w:w="900" w:type="dxa"/>
            <w:vAlign w:val="bottom"/>
          </w:tcPr>
          <w:p w14:paraId="453F967C" w14:textId="7EB7E4BA" w:rsidR="00541915" w:rsidRPr="00541915" w:rsidRDefault="00541915" w:rsidP="00541915">
            <w:pPr>
              <w:jc w:val="center"/>
              <w:rPr>
                <w:b/>
                <w:lang w:val="en-US"/>
              </w:rPr>
            </w:pPr>
            <w:r w:rsidRPr="00541915">
              <w:rPr>
                <w:color w:val="000000"/>
              </w:rPr>
              <w:t>0.093</w:t>
            </w:r>
          </w:p>
        </w:tc>
        <w:tc>
          <w:tcPr>
            <w:tcW w:w="990" w:type="dxa"/>
            <w:vAlign w:val="bottom"/>
          </w:tcPr>
          <w:p w14:paraId="5ABFCFDA" w14:textId="6CCAB0AC" w:rsidR="00541915" w:rsidRPr="00541915" w:rsidRDefault="00541915" w:rsidP="00541915">
            <w:pPr>
              <w:jc w:val="center"/>
              <w:rPr>
                <w:b/>
                <w:lang w:val="en-US"/>
              </w:rPr>
            </w:pPr>
            <w:r w:rsidRPr="00541915">
              <w:rPr>
                <w:color w:val="000000"/>
              </w:rPr>
              <w:t>0.013</w:t>
            </w:r>
          </w:p>
        </w:tc>
        <w:tc>
          <w:tcPr>
            <w:tcW w:w="1170" w:type="dxa"/>
            <w:vAlign w:val="bottom"/>
          </w:tcPr>
          <w:p w14:paraId="337CFDE5" w14:textId="4B134569" w:rsidR="00541915" w:rsidRPr="00541915" w:rsidRDefault="00541915" w:rsidP="00541915">
            <w:pPr>
              <w:jc w:val="center"/>
              <w:rPr>
                <w:b/>
                <w:lang w:val="en-US"/>
              </w:rPr>
            </w:pPr>
            <w:r w:rsidRPr="00541915">
              <w:rPr>
                <w:color w:val="000000"/>
              </w:rPr>
              <w:t>0.689</w:t>
            </w:r>
          </w:p>
        </w:tc>
        <w:tc>
          <w:tcPr>
            <w:tcW w:w="1260" w:type="dxa"/>
            <w:vAlign w:val="bottom"/>
          </w:tcPr>
          <w:p w14:paraId="5D2514C7" w14:textId="3D5AACD4" w:rsidR="00541915" w:rsidRPr="00541915" w:rsidRDefault="00541915" w:rsidP="00541915">
            <w:pPr>
              <w:jc w:val="center"/>
              <w:rPr>
                <w:b/>
                <w:lang w:val="en-US"/>
              </w:rPr>
            </w:pPr>
            <w:r w:rsidRPr="00541915">
              <w:rPr>
                <w:color w:val="000000"/>
              </w:rPr>
              <w:t>0.311</w:t>
            </w:r>
          </w:p>
        </w:tc>
        <w:tc>
          <w:tcPr>
            <w:tcW w:w="1260" w:type="dxa"/>
            <w:vAlign w:val="bottom"/>
          </w:tcPr>
          <w:p w14:paraId="729B0748" w14:textId="5AA51921" w:rsidR="00541915" w:rsidRPr="00541915" w:rsidRDefault="00541915" w:rsidP="00541915">
            <w:pPr>
              <w:jc w:val="center"/>
              <w:rPr>
                <w:b/>
                <w:lang w:val="en-US"/>
              </w:rPr>
            </w:pPr>
            <w:r w:rsidRPr="00541915">
              <w:rPr>
                <w:color w:val="000000"/>
              </w:rPr>
              <w:t>0.855</w:t>
            </w:r>
          </w:p>
        </w:tc>
        <w:tc>
          <w:tcPr>
            <w:tcW w:w="1260" w:type="dxa"/>
            <w:vAlign w:val="bottom"/>
          </w:tcPr>
          <w:p w14:paraId="40735210" w14:textId="0AC1F835" w:rsidR="00541915" w:rsidRPr="00541915" w:rsidRDefault="00541915" w:rsidP="00541915">
            <w:pPr>
              <w:jc w:val="center"/>
              <w:rPr>
                <w:b/>
                <w:lang w:val="en-US"/>
              </w:rPr>
            </w:pPr>
            <w:r w:rsidRPr="00541915">
              <w:rPr>
                <w:color w:val="000000"/>
              </w:rPr>
              <w:t>0.145</w:t>
            </w:r>
          </w:p>
        </w:tc>
        <w:tc>
          <w:tcPr>
            <w:tcW w:w="914" w:type="dxa"/>
            <w:vAlign w:val="bottom"/>
          </w:tcPr>
          <w:p w14:paraId="232001DC" w14:textId="5286D621" w:rsidR="00541915" w:rsidRPr="00541915" w:rsidRDefault="00541915" w:rsidP="00541915">
            <w:pPr>
              <w:jc w:val="center"/>
              <w:rPr>
                <w:b/>
                <w:lang w:val="en-US"/>
              </w:rPr>
            </w:pPr>
            <w:r w:rsidRPr="00541915">
              <w:rPr>
                <w:color w:val="000000"/>
              </w:rPr>
              <w:t>0.166</w:t>
            </w:r>
          </w:p>
        </w:tc>
        <w:tc>
          <w:tcPr>
            <w:tcW w:w="1066" w:type="dxa"/>
            <w:vAlign w:val="bottom"/>
          </w:tcPr>
          <w:p w14:paraId="7053F003" w14:textId="59A01642" w:rsidR="00541915" w:rsidRPr="00541915" w:rsidRDefault="00541915" w:rsidP="00541915">
            <w:pPr>
              <w:jc w:val="center"/>
              <w:rPr>
                <w:b/>
                <w:lang w:val="en-US"/>
              </w:rPr>
            </w:pPr>
            <w:r w:rsidRPr="00541915">
              <w:rPr>
                <w:color w:val="000000"/>
              </w:rPr>
              <w:t>0.000</w:t>
            </w:r>
          </w:p>
        </w:tc>
      </w:tr>
      <w:tr w:rsidR="00541915" w14:paraId="7A01F602" w14:textId="5F2B8937" w:rsidTr="006E1CE8">
        <w:tc>
          <w:tcPr>
            <w:tcW w:w="1705" w:type="dxa"/>
            <w:vAlign w:val="center"/>
          </w:tcPr>
          <w:p w14:paraId="3B1A675E" w14:textId="08F6792C" w:rsidR="00541915" w:rsidRDefault="00541915" w:rsidP="006E1CE8">
            <w:pPr>
              <w:jc w:val="center"/>
              <w:rPr>
                <w:b/>
                <w:lang w:val="en-US"/>
              </w:rPr>
            </w:pPr>
            <w:r>
              <w:rPr>
                <w:b/>
                <w:lang w:val="en-US"/>
              </w:rPr>
              <w:t>2</w:t>
            </w:r>
          </w:p>
        </w:tc>
        <w:tc>
          <w:tcPr>
            <w:tcW w:w="1170" w:type="dxa"/>
            <w:vAlign w:val="bottom"/>
          </w:tcPr>
          <w:p w14:paraId="7EFC4EC5" w14:textId="022710A7" w:rsidR="00541915" w:rsidRPr="00541915" w:rsidRDefault="00541915" w:rsidP="00541915">
            <w:pPr>
              <w:jc w:val="center"/>
              <w:rPr>
                <w:b/>
                <w:lang w:val="en-US"/>
              </w:rPr>
            </w:pPr>
            <w:r w:rsidRPr="00541915">
              <w:rPr>
                <w:color w:val="000000"/>
              </w:rPr>
              <w:t>0.661</w:t>
            </w:r>
          </w:p>
        </w:tc>
        <w:tc>
          <w:tcPr>
            <w:tcW w:w="1260" w:type="dxa"/>
            <w:vAlign w:val="bottom"/>
          </w:tcPr>
          <w:p w14:paraId="3066E2AA" w14:textId="2FB68FC4" w:rsidR="00541915" w:rsidRPr="00541915" w:rsidRDefault="00541915" w:rsidP="00541915">
            <w:pPr>
              <w:jc w:val="center"/>
              <w:rPr>
                <w:b/>
                <w:lang w:val="en-US"/>
              </w:rPr>
            </w:pPr>
            <w:r w:rsidRPr="00541915">
              <w:rPr>
                <w:color w:val="000000"/>
              </w:rPr>
              <w:t>0.339</w:t>
            </w:r>
          </w:p>
        </w:tc>
        <w:tc>
          <w:tcPr>
            <w:tcW w:w="1170" w:type="dxa"/>
            <w:vAlign w:val="bottom"/>
          </w:tcPr>
          <w:p w14:paraId="76125A6A" w14:textId="09B6156B" w:rsidR="00541915" w:rsidRPr="00541915" w:rsidRDefault="00541915" w:rsidP="00541915">
            <w:pPr>
              <w:jc w:val="center"/>
              <w:rPr>
                <w:b/>
                <w:lang w:val="en-US"/>
              </w:rPr>
            </w:pPr>
            <w:r w:rsidRPr="00541915">
              <w:rPr>
                <w:color w:val="000000"/>
              </w:rPr>
              <w:t>0.891</w:t>
            </w:r>
          </w:p>
        </w:tc>
        <w:tc>
          <w:tcPr>
            <w:tcW w:w="1260" w:type="dxa"/>
            <w:vAlign w:val="bottom"/>
          </w:tcPr>
          <w:p w14:paraId="3923795D" w14:textId="296071BB" w:rsidR="00541915" w:rsidRPr="00541915" w:rsidRDefault="00541915" w:rsidP="00541915">
            <w:pPr>
              <w:jc w:val="center"/>
              <w:rPr>
                <w:b/>
                <w:lang w:val="en-US"/>
              </w:rPr>
            </w:pPr>
            <w:r w:rsidRPr="00541915">
              <w:rPr>
                <w:color w:val="000000"/>
              </w:rPr>
              <w:t>0.109</w:t>
            </w:r>
          </w:p>
        </w:tc>
        <w:tc>
          <w:tcPr>
            <w:tcW w:w="900" w:type="dxa"/>
            <w:vAlign w:val="bottom"/>
          </w:tcPr>
          <w:p w14:paraId="20F3AB25" w14:textId="6FCE9E57" w:rsidR="00541915" w:rsidRPr="00541915" w:rsidRDefault="00541915" w:rsidP="00541915">
            <w:pPr>
              <w:jc w:val="center"/>
              <w:rPr>
                <w:b/>
                <w:lang w:val="en-US"/>
              </w:rPr>
            </w:pPr>
            <w:r w:rsidRPr="00541915">
              <w:rPr>
                <w:color w:val="000000"/>
              </w:rPr>
              <w:t>0.230</w:t>
            </w:r>
          </w:p>
        </w:tc>
        <w:tc>
          <w:tcPr>
            <w:tcW w:w="990" w:type="dxa"/>
            <w:vAlign w:val="bottom"/>
          </w:tcPr>
          <w:p w14:paraId="0C68646D" w14:textId="36E8A4DB" w:rsidR="00541915" w:rsidRPr="00541915" w:rsidRDefault="00541915" w:rsidP="00541915">
            <w:pPr>
              <w:jc w:val="center"/>
              <w:rPr>
                <w:b/>
                <w:lang w:val="en-US"/>
              </w:rPr>
            </w:pPr>
            <w:r w:rsidRPr="00541915">
              <w:rPr>
                <w:color w:val="000000"/>
              </w:rPr>
              <w:t>0.000</w:t>
            </w:r>
          </w:p>
        </w:tc>
        <w:tc>
          <w:tcPr>
            <w:tcW w:w="1170" w:type="dxa"/>
            <w:vAlign w:val="bottom"/>
          </w:tcPr>
          <w:p w14:paraId="3EF9736C" w14:textId="4E5BCE56" w:rsidR="00541915" w:rsidRPr="00541915" w:rsidRDefault="00541915" w:rsidP="00541915">
            <w:pPr>
              <w:jc w:val="center"/>
              <w:rPr>
                <w:b/>
                <w:lang w:val="en-US"/>
              </w:rPr>
            </w:pPr>
            <w:r w:rsidRPr="00541915">
              <w:rPr>
                <w:color w:val="000000"/>
              </w:rPr>
              <w:t>0.683</w:t>
            </w:r>
          </w:p>
        </w:tc>
        <w:tc>
          <w:tcPr>
            <w:tcW w:w="1260" w:type="dxa"/>
            <w:vAlign w:val="bottom"/>
          </w:tcPr>
          <w:p w14:paraId="02CDCCEE" w14:textId="3307A537" w:rsidR="00541915" w:rsidRPr="00541915" w:rsidRDefault="00541915" w:rsidP="00541915">
            <w:pPr>
              <w:jc w:val="center"/>
              <w:rPr>
                <w:b/>
                <w:lang w:val="en-US"/>
              </w:rPr>
            </w:pPr>
            <w:r w:rsidRPr="00541915">
              <w:rPr>
                <w:color w:val="000000"/>
              </w:rPr>
              <w:t>0.317</w:t>
            </w:r>
          </w:p>
        </w:tc>
        <w:tc>
          <w:tcPr>
            <w:tcW w:w="1260" w:type="dxa"/>
            <w:vAlign w:val="bottom"/>
          </w:tcPr>
          <w:p w14:paraId="2C3B8002" w14:textId="4759FF01" w:rsidR="00541915" w:rsidRPr="00541915" w:rsidRDefault="00541915" w:rsidP="00541915">
            <w:pPr>
              <w:jc w:val="center"/>
              <w:rPr>
                <w:b/>
                <w:lang w:val="en-US"/>
              </w:rPr>
            </w:pPr>
            <w:r w:rsidRPr="00541915">
              <w:rPr>
                <w:color w:val="000000"/>
              </w:rPr>
              <w:t>0.870</w:t>
            </w:r>
          </w:p>
        </w:tc>
        <w:tc>
          <w:tcPr>
            <w:tcW w:w="1260" w:type="dxa"/>
            <w:vAlign w:val="bottom"/>
          </w:tcPr>
          <w:p w14:paraId="01AA9364" w14:textId="6298A2E7" w:rsidR="00541915" w:rsidRPr="00541915" w:rsidRDefault="00541915" w:rsidP="00541915">
            <w:pPr>
              <w:jc w:val="center"/>
              <w:rPr>
                <w:b/>
                <w:lang w:val="en-US"/>
              </w:rPr>
            </w:pPr>
            <w:r w:rsidRPr="00541915">
              <w:rPr>
                <w:color w:val="000000"/>
              </w:rPr>
              <w:t>0.130</w:t>
            </w:r>
          </w:p>
        </w:tc>
        <w:tc>
          <w:tcPr>
            <w:tcW w:w="914" w:type="dxa"/>
            <w:vAlign w:val="bottom"/>
          </w:tcPr>
          <w:p w14:paraId="07E51276" w14:textId="19D17EF7" w:rsidR="00541915" w:rsidRPr="00541915" w:rsidRDefault="00541915" w:rsidP="00541915">
            <w:pPr>
              <w:jc w:val="center"/>
              <w:rPr>
                <w:b/>
                <w:lang w:val="en-US"/>
              </w:rPr>
            </w:pPr>
            <w:r w:rsidRPr="00541915">
              <w:rPr>
                <w:color w:val="000000"/>
              </w:rPr>
              <w:t>0.187</w:t>
            </w:r>
          </w:p>
        </w:tc>
        <w:tc>
          <w:tcPr>
            <w:tcW w:w="1066" w:type="dxa"/>
            <w:vAlign w:val="bottom"/>
          </w:tcPr>
          <w:p w14:paraId="243BF300" w14:textId="6D82C9C0" w:rsidR="00541915" w:rsidRPr="00541915" w:rsidRDefault="00541915" w:rsidP="00541915">
            <w:pPr>
              <w:jc w:val="center"/>
              <w:rPr>
                <w:b/>
                <w:lang w:val="en-US"/>
              </w:rPr>
            </w:pPr>
            <w:r w:rsidRPr="00541915">
              <w:rPr>
                <w:color w:val="000000"/>
              </w:rPr>
              <w:t>0.000</w:t>
            </w:r>
          </w:p>
        </w:tc>
      </w:tr>
      <w:tr w:rsidR="00541915" w14:paraId="67435C86" w14:textId="2AE60FAF" w:rsidTr="006E1CE8">
        <w:tc>
          <w:tcPr>
            <w:tcW w:w="1705" w:type="dxa"/>
            <w:vAlign w:val="center"/>
          </w:tcPr>
          <w:p w14:paraId="3847A3F4" w14:textId="729346D4" w:rsidR="00541915" w:rsidRDefault="00541915" w:rsidP="006E1CE8">
            <w:pPr>
              <w:jc w:val="center"/>
              <w:rPr>
                <w:b/>
                <w:lang w:val="en-US"/>
              </w:rPr>
            </w:pPr>
            <w:r>
              <w:rPr>
                <w:b/>
                <w:lang w:val="en-US"/>
              </w:rPr>
              <w:t>3</w:t>
            </w:r>
          </w:p>
        </w:tc>
        <w:tc>
          <w:tcPr>
            <w:tcW w:w="1170" w:type="dxa"/>
            <w:vAlign w:val="bottom"/>
          </w:tcPr>
          <w:p w14:paraId="2F698E4D" w14:textId="73F7CDD3" w:rsidR="00541915" w:rsidRPr="00541915" w:rsidRDefault="00541915" w:rsidP="00541915">
            <w:pPr>
              <w:jc w:val="center"/>
              <w:rPr>
                <w:b/>
                <w:lang w:val="en-US"/>
              </w:rPr>
            </w:pPr>
            <w:r w:rsidRPr="00541915">
              <w:rPr>
                <w:color w:val="000000"/>
              </w:rPr>
              <w:t>0.637</w:t>
            </w:r>
          </w:p>
        </w:tc>
        <w:tc>
          <w:tcPr>
            <w:tcW w:w="1260" w:type="dxa"/>
            <w:vAlign w:val="bottom"/>
          </w:tcPr>
          <w:p w14:paraId="7F84DE76" w14:textId="04A00F04" w:rsidR="00541915" w:rsidRPr="00541915" w:rsidRDefault="00541915" w:rsidP="00541915">
            <w:pPr>
              <w:jc w:val="center"/>
              <w:rPr>
                <w:b/>
                <w:lang w:val="en-US"/>
              </w:rPr>
            </w:pPr>
            <w:r w:rsidRPr="00541915">
              <w:rPr>
                <w:color w:val="000000"/>
              </w:rPr>
              <w:t>0.363</w:t>
            </w:r>
          </w:p>
        </w:tc>
        <w:tc>
          <w:tcPr>
            <w:tcW w:w="1170" w:type="dxa"/>
            <w:vAlign w:val="bottom"/>
          </w:tcPr>
          <w:p w14:paraId="27574171" w14:textId="0B6CCD92" w:rsidR="00541915" w:rsidRPr="00541915" w:rsidRDefault="00541915" w:rsidP="00541915">
            <w:pPr>
              <w:jc w:val="center"/>
              <w:rPr>
                <w:b/>
                <w:lang w:val="en-US"/>
              </w:rPr>
            </w:pPr>
            <w:r w:rsidRPr="00541915">
              <w:rPr>
                <w:color w:val="000000"/>
              </w:rPr>
              <w:t>0.944</w:t>
            </w:r>
          </w:p>
        </w:tc>
        <w:tc>
          <w:tcPr>
            <w:tcW w:w="1260" w:type="dxa"/>
            <w:vAlign w:val="bottom"/>
          </w:tcPr>
          <w:p w14:paraId="5976472B" w14:textId="68170798" w:rsidR="00541915" w:rsidRPr="00541915" w:rsidRDefault="00541915" w:rsidP="00541915">
            <w:pPr>
              <w:jc w:val="center"/>
              <w:rPr>
                <w:b/>
                <w:lang w:val="en-US"/>
              </w:rPr>
            </w:pPr>
            <w:r w:rsidRPr="00541915">
              <w:rPr>
                <w:color w:val="000000"/>
              </w:rPr>
              <w:t>0.056</w:t>
            </w:r>
          </w:p>
        </w:tc>
        <w:tc>
          <w:tcPr>
            <w:tcW w:w="900" w:type="dxa"/>
            <w:vAlign w:val="bottom"/>
          </w:tcPr>
          <w:p w14:paraId="29952286" w14:textId="649D69A9" w:rsidR="00541915" w:rsidRPr="00541915" w:rsidRDefault="00541915" w:rsidP="00541915">
            <w:pPr>
              <w:jc w:val="center"/>
              <w:rPr>
                <w:b/>
                <w:lang w:val="en-US"/>
              </w:rPr>
            </w:pPr>
            <w:r w:rsidRPr="00541915">
              <w:rPr>
                <w:color w:val="000000"/>
              </w:rPr>
              <w:t>0.308</w:t>
            </w:r>
          </w:p>
        </w:tc>
        <w:tc>
          <w:tcPr>
            <w:tcW w:w="990" w:type="dxa"/>
            <w:vAlign w:val="bottom"/>
          </w:tcPr>
          <w:p w14:paraId="2DA5CBA1" w14:textId="16092E77" w:rsidR="00541915" w:rsidRPr="00541915" w:rsidRDefault="00541915" w:rsidP="00541915">
            <w:pPr>
              <w:jc w:val="center"/>
              <w:rPr>
                <w:b/>
                <w:lang w:val="en-US"/>
              </w:rPr>
            </w:pPr>
            <w:r w:rsidRPr="00541915">
              <w:rPr>
                <w:color w:val="000000"/>
              </w:rPr>
              <w:t>0.000</w:t>
            </w:r>
          </w:p>
        </w:tc>
        <w:tc>
          <w:tcPr>
            <w:tcW w:w="1170" w:type="dxa"/>
            <w:vAlign w:val="bottom"/>
          </w:tcPr>
          <w:p w14:paraId="595A49B7" w14:textId="14AE5415" w:rsidR="00541915" w:rsidRPr="00541915" w:rsidRDefault="00541915" w:rsidP="00541915">
            <w:pPr>
              <w:jc w:val="center"/>
              <w:rPr>
                <w:b/>
                <w:lang w:val="en-US"/>
              </w:rPr>
            </w:pPr>
            <w:r w:rsidRPr="00541915">
              <w:rPr>
                <w:color w:val="000000"/>
              </w:rPr>
              <w:t>0.725</w:t>
            </w:r>
          </w:p>
        </w:tc>
        <w:tc>
          <w:tcPr>
            <w:tcW w:w="1260" w:type="dxa"/>
            <w:vAlign w:val="bottom"/>
          </w:tcPr>
          <w:p w14:paraId="77CAE5EA" w14:textId="7EDC6D23" w:rsidR="00541915" w:rsidRPr="00541915" w:rsidRDefault="00541915" w:rsidP="00541915">
            <w:pPr>
              <w:jc w:val="center"/>
              <w:rPr>
                <w:b/>
                <w:lang w:val="en-US"/>
              </w:rPr>
            </w:pPr>
            <w:r w:rsidRPr="00541915">
              <w:rPr>
                <w:color w:val="000000"/>
              </w:rPr>
              <w:t>0.275</w:t>
            </w:r>
          </w:p>
        </w:tc>
        <w:tc>
          <w:tcPr>
            <w:tcW w:w="1260" w:type="dxa"/>
            <w:vAlign w:val="bottom"/>
          </w:tcPr>
          <w:p w14:paraId="3DE34C8D" w14:textId="6953CACD" w:rsidR="00541915" w:rsidRPr="00541915" w:rsidRDefault="00541915" w:rsidP="00541915">
            <w:pPr>
              <w:jc w:val="center"/>
              <w:rPr>
                <w:b/>
                <w:lang w:val="en-US"/>
              </w:rPr>
            </w:pPr>
            <w:r w:rsidRPr="00541915">
              <w:rPr>
                <w:color w:val="000000"/>
              </w:rPr>
              <w:t>0.950</w:t>
            </w:r>
          </w:p>
        </w:tc>
        <w:tc>
          <w:tcPr>
            <w:tcW w:w="1260" w:type="dxa"/>
            <w:vAlign w:val="bottom"/>
          </w:tcPr>
          <w:p w14:paraId="53FC9184" w14:textId="4E981AAD" w:rsidR="00541915" w:rsidRPr="00541915" w:rsidRDefault="00541915" w:rsidP="00541915">
            <w:pPr>
              <w:jc w:val="center"/>
              <w:rPr>
                <w:b/>
                <w:lang w:val="en-US"/>
              </w:rPr>
            </w:pPr>
            <w:r w:rsidRPr="00541915">
              <w:rPr>
                <w:color w:val="000000"/>
              </w:rPr>
              <w:t>0.050</w:t>
            </w:r>
          </w:p>
        </w:tc>
        <w:tc>
          <w:tcPr>
            <w:tcW w:w="914" w:type="dxa"/>
            <w:vAlign w:val="bottom"/>
          </w:tcPr>
          <w:p w14:paraId="1B675C0F" w14:textId="15008E71" w:rsidR="00541915" w:rsidRPr="00541915" w:rsidRDefault="00541915" w:rsidP="00541915">
            <w:pPr>
              <w:jc w:val="center"/>
              <w:rPr>
                <w:b/>
                <w:lang w:val="en-US"/>
              </w:rPr>
            </w:pPr>
            <w:r w:rsidRPr="00541915">
              <w:rPr>
                <w:color w:val="000000"/>
              </w:rPr>
              <w:t>0.225</w:t>
            </w:r>
          </w:p>
        </w:tc>
        <w:tc>
          <w:tcPr>
            <w:tcW w:w="1066" w:type="dxa"/>
            <w:vAlign w:val="bottom"/>
          </w:tcPr>
          <w:p w14:paraId="56F46764" w14:textId="4D82BA8B" w:rsidR="00541915" w:rsidRPr="00541915" w:rsidRDefault="00541915" w:rsidP="00541915">
            <w:pPr>
              <w:jc w:val="center"/>
              <w:rPr>
                <w:b/>
                <w:lang w:val="en-US"/>
              </w:rPr>
            </w:pPr>
            <w:r w:rsidRPr="00541915">
              <w:rPr>
                <w:color w:val="000000"/>
              </w:rPr>
              <w:t>0.000</w:t>
            </w:r>
          </w:p>
        </w:tc>
      </w:tr>
      <w:tr w:rsidR="00541915" w14:paraId="606865D0" w14:textId="792F57B8" w:rsidTr="006E1CE8">
        <w:tc>
          <w:tcPr>
            <w:tcW w:w="1705" w:type="dxa"/>
            <w:vAlign w:val="center"/>
          </w:tcPr>
          <w:p w14:paraId="1E417FE9" w14:textId="1711158D" w:rsidR="00541915" w:rsidRDefault="00541915" w:rsidP="006E1CE8">
            <w:pPr>
              <w:jc w:val="center"/>
              <w:rPr>
                <w:b/>
                <w:lang w:val="en-US"/>
              </w:rPr>
            </w:pPr>
            <w:r>
              <w:rPr>
                <w:b/>
                <w:lang w:val="en-US"/>
              </w:rPr>
              <w:t>4</w:t>
            </w:r>
          </w:p>
        </w:tc>
        <w:tc>
          <w:tcPr>
            <w:tcW w:w="1170" w:type="dxa"/>
            <w:vAlign w:val="bottom"/>
          </w:tcPr>
          <w:p w14:paraId="51D4D174" w14:textId="568B3CD7" w:rsidR="00541915" w:rsidRPr="00541915" w:rsidRDefault="00541915" w:rsidP="00541915">
            <w:pPr>
              <w:jc w:val="center"/>
              <w:rPr>
                <w:b/>
                <w:lang w:val="en-US"/>
              </w:rPr>
            </w:pPr>
            <w:r w:rsidRPr="00541915">
              <w:rPr>
                <w:color w:val="000000"/>
              </w:rPr>
              <w:t>0.708</w:t>
            </w:r>
          </w:p>
        </w:tc>
        <w:tc>
          <w:tcPr>
            <w:tcW w:w="1260" w:type="dxa"/>
            <w:vAlign w:val="bottom"/>
          </w:tcPr>
          <w:p w14:paraId="6C7437BD" w14:textId="36A9F027" w:rsidR="00541915" w:rsidRPr="00541915" w:rsidRDefault="00541915" w:rsidP="00541915">
            <w:pPr>
              <w:jc w:val="center"/>
              <w:rPr>
                <w:b/>
                <w:lang w:val="en-US"/>
              </w:rPr>
            </w:pPr>
            <w:r w:rsidRPr="00541915">
              <w:rPr>
                <w:color w:val="000000"/>
              </w:rPr>
              <w:t>0.292</w:t>
            </w:r>
          </w:p>
        </w:tc>
        <w:tc>
          <w:tcPr>
            <w:tcW w:w="1170" w:type="dxa"/>
            <w:vAlign w:val="bottom"/>
          </w:tcPr>
          <w:p w14:paraId="418B3D61" w14:textId="306EDF29" w:rsidR="00541915" w:rsidRPr="00541915" w:rsidRDefault="00541915" w:rsidP="00541915">
            <w:pPr>
              <w:jc w:val="center"/>
              <w:rPr>
                <w:b/>
                <w:lang w:val="en-US"/>
              </w:rPr>
            </w:pPr>
            <w:r w:rsidRPr="00541915">
              <w:rPr>
                <w:color w:val="000000"/>
              </w:rPr>
              <w:t>0.818</w:t>
            </w:r>
          </w:p>
        </w:tc>
        <w:tc>
          <w:tcPr>
            <w:tcW w:w="1260" w:type="dxa"/>
            <w:vAlign w:val="bottom"/>
          </w:tcPr>
          <w:p w14:paraId="15BE857D" w14:textId="2873FD51" w:rsidR="00541915" w:rsidRPr="00541915" w:rsidRDefault="00541915" w:rsidP="00541915">
            <w:pPr>
              <w:jc w:val="center"/>
              <w:rPr>
                <w:b/>
                <w:lang w:val="en-US"/>
              </w:rPr>
            </w:pPr>
            <w:r w:rsidRPr="00541915">
              <w:rPr>
                <w:color w:val="000000"/>
              </w:rPr>
              <w:t>0.182</w:t>
            </w:r>
          </w:p>
        </w:tc>
        <w:tc>
          <w:tcPr>
            <w:tcW w:w="900" w:type="dxa"/>
            <w:vAlign w:val="bottom"/>
          </w:tcPr>
          <w:p w14:paraId="4913B851" w14:textId="05EB748E" w:rsidR="00541915" w:rsidRPr="00541915" w:rsidRDefault="00541915" w:rsidP="00541915">
            <w:pPr>
              <w:jc w:val="center"/>
              <w:rPr>
                <w:b/>
                <w:lang w:val="en-US"/>
              </w:rPr>
            </w:pPr>
            <w:r w:rsidRPr="00541915">
              <w:rPr>
                <w:color w:val="000000"/>
              </w:rPr>
              <w:t>0.109</w:t>
            </w:r>
          </w:p>
        </w:tc>
        <w:tc>
          <w:tcPr>
            <w:tcW w:w="990" w:type="dxa"/>
            <w:vAlign w:val="bottom"/>
          </w:tcPr>
          <w:p w14:paraId="27819F42" w14:textId="79485AF3" w:rsidR="00541915" w:rsidRPr="00541915" w:rsidRDefault="00541915" w:rsidP="00541915">
            <w:pPr>
              <w:jc w:val="center"/>
              <w:rPr>
                <w:b/>
                <w:lang w:val="en-US"/>
              </w:rPr>
            </w:pPr>
            <w:r w:rsidRPr="00541915">
              <w:rPr>
                <w:color w:val="000000"/>
              </w:rPr>
              <w:t>0.005</w:t>
            </w:r>
          </w:p>
        </w:tc>
        <w:tc>
          <w:tcPr>
            <w:tcW w:w="1170" w:type="dxa"/>
            <w:vAlign w:val="bottom"/>
          </w:tcPr>
          <w:p w14:paraId="1492E634" w14:textId="3C443085" w:rsidR="00541915" w:rsidRPr="00541915" w:rsidRDefault="00541915" w:rsidP="00541915">
            <w:pPr>
              <w:jc w:val="center"/>
              <w:rPr>
                <w:b/>
                <w:lang w:val="en-US"/>
              </w:rPr>
            </w:pPr>
            <w:r w:rsidRPr="00541915">
              <w:rPr>
                <w:color w:val="000000"/>
              </w:rPr>
              <w:t>0.730</w:t>
            </w:r>
          </w:p>
        </w:tc>
        <w:tc>
          <w:tcPr>
            <w:tcW w:w="1260" w:type="dxa"/>
            <w:vAlign w:val="bottom"/>
          </w:tcPr>
          <w:p w14:paraId="62960625" w14:textId="1F0637B5" w:rsidR="00541915" w:rsidRPr="00541915" w:rsidRDefault="00541915" w:rsidP="00541915">
            <w:pPr>
              <w:jc w:val="center"/>
              <w:rPr>
                <w:b/>
                <w:lang w:val="en-US"/>
              </w:rPr>
            </w:pPr>
            <w:r w:rsidRPr="00541915">
              <w:rPr>
                <w:color w:val="000000"/>
              </w:rPr>
              <w:t>0.270</w:t>
            </w:r>
          </w:p>
        </w:tc>
        <w:tc>
          <w:tcPr>
            <w:tcW w:w="1260" w:type="dxa"/>
            <w:vAlign w:val="bottom"/>
          </w:tcPr>
          <w:p w14:paraId="3076AE8E" w14:textId="4C93E8FB" w:rsidR="00541915" w:rsidRPr="00541915" w:rsidRDefault="00541915" w:rsidP="00541915">
            <w:pPr>
              <w:jc w:val="center"/>
              <w:rPr>
                <w:b/>
                <w:lang w:val="en-US"/>
              </w:rPr>
            </w:pPr>
            <w:r w:rsidRPr="00541915">
              <w:rPr>
                <w:color w:val="000000"/>
              </w:rPr>
              <w:t>0.819</w:t>
            </w:r>
          </w:p>
        </w:tc>
        <w:tc>
          <w:tcPr>
            <w:tcW w:w="1260" w:type="dxa"/>
            <w:vAlign w:val="bottom"/>
          </w:tcPr>
          <w:p w14:paraId="541353C1" w14:textId="615DB0EF" w:rsidR="00541915" w:rsidRPr="00541915" w:rsidRDefault="00541915" w:rsidP="00541915">
            <w:pPr>
              <w:jc w:val="center"/>
              <w:rPr>
                <w:b/>
                <w:lang w:val="en-US"/>
              </w:rPr>
            </w:pPr>
            <w:r w:rsidRPr="00541915">
              <w:rPr>
                <w:color w:val="000000"/>
              </w:rPr>
              <w:t>0.181</w:t>
            </w:r>
          </w:p>
        </w:tc>
        <w:tc>
          <w:tcPr>
            <w:tcW w:w="914" w:type="dxa"/>
            <w:vAlign w:val="bottom"/>
          </w:tcPr>
          <w:p w14:paraId="0480E89C" w14:textId="51654E2E" w:rsidR="00541915" w:rsidRPr="00541915" w:rsidRDefault="00541915" w:rsidP="00541915">
            <w:pPr>
              <w:jc w:val="center"/>
              <w:rPr>
                <w:b/>
                <w:lang w:val="en-US"/>
              </w:rPr>
            </w:pPr>
            <w:r w:rsidRPr="00541915">
              <w:rPr>
                <w:color w:val="000000"/>
              </w:rPr>
              <w:t>0.089</w:t>
            </w:r>
          </w:p>
        </w:tc>
        <w:tc>
          <w:tcPr>
            <w:tcW w:w="1066" w:type="dxa"/>
            <w:vAlign w:val="bottom"/>
          </w:tcPr>
          <w:p w14:paraId="2845195E" w14:textId="2B3B40A3" w:rsidR="00541915" w:rsidRPr="00541915" w:rsidRDefault="00541915" w:rsidP="00541915">
            <w:pPr>
              <w:jc w:val="center"/>
              <w:rPr>
                <w:b/>
                <w:lang w:val="en-US"/>
              </w:rPr>
            </w:pPr>
            <w:r w:rsidRPr="00541915">
              <w:rPr>
                <w:color w:val="000000"/>
              </w:rPr>
              <w:t>0.011</w:t>
            </w:r>
          </w:p>
        </w:tc>
      </w:tr>
      <w:tr w:rsidR="00541915" w14:paraId="6573F8C5" w14:textId="7DEAF7CC" w:rsidTr="006E1CE8">
        <w:tc>
          <w:tcPr>
            <w:tcW w:w="1705" w:type="dxa"/>
            <w:vAlign w:val="center"/>
          </w:tcPr>
          <w:p w14:paraId="2016BECC" w14:textId="0574704F" w:rsidR="00541915" w:rsidRDefault="00541915" w:rsidP="006E1CE8">
            <w:pPr>
              <w:jc w:val="center"/>
              <w:rPr>
                <w:b/>
                <w:lang w:val="en-US"/>
              </w:rPr>
            </w:pPr>
            <w:r>
              <w:rPr>
                <w:b/>
                <w:lang w:val="en-US"/>
              </w:rPr>
              <w:t>5</w:t>
            </w:r>
          </w:p>
        </w:tc>
        <w:tc>
          <w:tcPr>
            <w:tcW w:w="1170" w:type="dxa"/>
            <w:vAlign w:val="bottom"/>
          </w:tcPr>
          <w:p w14:paraId="23A2509B" w14:textId="04C9C29A" w:rsidR="00541915" w:rsidRPr="00541915" w:rsidRDefault="00541915" w:rsidP="00541915">
            <w:pPr>
              <w:jc w:val="center"/>
              <w:rPr>
                <w:b/>
                <w:lang w:val="en-US"/>
              </w:rPr>
            </w:pPr>
            <w:r w:rsidRPr="00541915">
              <w:rPr>
                <w:color w:val="000000"/>
              </w:rPr>
              <w:t>0.650</w:t>
            </w:r>
          </w:p>
        </w:tc>
        <w:tc>
          <w:tcPr>
            <w:tcW w:w="1260" w:type="dxa"/>
            <w:vAlign w:val="bottom"/>
          </w:tcPr>
          <w:p w14:paraId="24FB2280" w14:textId="4B3B4DEF" w:rsidR="00541915" w:rsidRPr="00541915" w:rsidRDefault="00541915" w:rsidP="00541915">
            <w:pPr>
              <w:jc w:val="center"/>
              <w:rPr>
                <w:b/>
                <w:lang w:val="en-US"/>
              </w:rPr>
            </w:pPr>
            <w:r w:rsidRPr="00541915">
              <w:rPr>
                <w:color w:val="000000"/>
              </w:rPr>
              <w:t>0.350</w:t>
            </w:r>
          </w:p>
        </w:tc>
        <w:tc>
          <w:tcPr>
            <w:tcW w:w="1170" w:type="dxa"/>
            <w:vAlign w:val="bottom"/>
          </w:tcPr>
          <w:p w14:paraId="51675A52" w14:textId="3D29A84F" w:rsidR="00541915" w:rsidRPr="00541915" w:rsidRDefault="00541915" w:rsidP="00541915">
            <w:pPr>
              <w:jc w:val="center"/>
              <w:rPr>
                <w:b/>
                <w:lang w:val="en-US"/>
              </w:rPr>
            </w:pPr>
            <w:r w:rsidRPr="00541915">
              <w:rPr>
                <w:color w:val="000000"/>
              </w:rPr>
              <w:t>0.831</w:t>
            </w:r>
          </w:p>
        </w:tc>
        <w:tc>
          <w:tcPr>
            <w:tcW w:w="1260" w:type="dxa"/>
            <w:vAlign w:val="bottom"/>
          </w:tcPr>
          <w:p w14:paraId="0500E31E" w14:textId="022ABA6A" w:rsidR="00541915" w:rsidRPr="00541915" w:rsidRDefault="00541915" w:rsidP="00541915">
            <w:pPr>
              <w:jc w:val="center"/>
              <w:rPr>
                <w:b/>
                <w:lang w:val="en-US"/>
              </w:rPr>
            </w:pPr>
            <w:r w:rsidRPr="00541915">
              <w:rPr>
                <w:color w:val="000000"/>
              </w:rPr>
              <w:t>0.169</w:t>
            </w:r>
          </w:p>
        </w:tc>
        <w:tc>
          <w:tcPr>
            <w:tcW w:w="900" w:type="dxa"/>
            <w:vAlign w:val="bottom"/>
          </w:tcPr>
          <w:p w14:paraId="0E15BBE3" w14:textId="34E31E3D" w:rsidR="00541915" w:rsidRPr="00541915" w:rsidRDefault="00541915" w:rsidP="00541915">
            <w:pPr>
              <w:jc w:val="center"/>
              <w:rPr>
                <w:b/>
                <w:lang w:val="en-US"/>
              </w:rPr>
            </w:pPr>
            <w:r w:rsidRPr="00541915">
              <w:rPr>
                <w:color w:val="000000"/>
              </w:rPr>
              <w:t>0.182</w:t>
            </w:r>
          </w:p>
        </w:tc>
        <w:tc>
          <w:tcPr>
            <w:tcW w:w="990" w:type="dxa"/>
            <w:vAlign w:val="bottom"/>
          </w:tcPr>
          <w:p w14:paraId="28F67700" w14:textId="67D626AB" w:rsidR="00541915" w:rsidRPr="00541915" w:rsidRDefault="00541915" w:rsidP="00541915">
            <w:pPr>
              <w:jc w:val="center"/>
              <w:rPr>
                <w:b/>
                <w:lang w:val="en-US"/>
              </w:rPr>
            </w:pPr>
            <w:r w:rsidRPr="00541915">
              <w:rPr>
                <w:color w:val="000000"/>
              </w:rPr>
              <w:t>0.000</w:t>
            </w:r>
          </w:p>
        </w:tc>
        <w:tc>
          <w:tcPr>
            <w:tcW w:w="1170" w:type="dxa"/>
            <w:vAlign w:val="bottom"/>
          </w:tcPr>
          <w:p w14:paraId="72D5999A" w14:textId="6259B32A" w:rsidR="00541915" w:rsidRPr="00541915" w:rsidRDefault="00541915" w:rsidP="00541915">
            <w:pPr>
              <w:jc w:val="center"/>
              <w:rPr>
                <w:b/>
                <w:lang w:val="en-US"/>
              </w:rPr>
            </w:pPr>
            <w:r w:rsidRPr="00541915">
              <w:rPr>
                <w:color w:val="000000"/>
              </w:rPr>
              <w:t>0.671</w:t>
            </w:r>
          </w:p>
        </w:tc>
        <w:tc>
          <w:tcPr>
            <w:tcW w:w="1260" w:type="dxa"/>
            <w:vAlign w:val="bottom"/>
          </w:tcPr>
          <w:p w14:paraId="0772943F" w14:textId="263B3324" w:rsidR="00541915" w:rsidRPr="00541915" w:rsidRDefault="00541915" w:rsidP="00541915">
            <w:pPr>
              <w:jc w:val="center"/>
              <w:rPr>
                <w:b/>
                <w:lang w:val="en-US"/>
              </w:rPr>
            </w:pPr>
            <w:r w:rsidRPr="00541915">
              <w:rPr>
                <w:color w:val="000000"/>
              </w:rPr>
              <w:t>0.329</w:t>
            </w:r>
          </w:p>
        </w:tc>
        <w:tc>
          <w:tcPr>
            <w:tcW w:w="1260" w:type="dxa"/>
            <w:vAlign w:val="bottom"/>
          </w:tcPr>
          <w:p w14:paraId="51ADEC8F" w14:textId="4825C099" w:rsidR="00541915" w:rsidRPr="00541915" w:rsidRDefault="00541915" w:rsidP="00541915">
            <w:pPr>
              <w:jc w:val="center"/>
              <w:rPr>
                <w:b/>
                <w:lang w:val="en-US"/>
              </w:rPr>
            </w:pPr>
            <w:r w:rsidRPr="00541915">
              <w:rPr>
                <w:color w:val="000000"/>
              </w:rPr>
              <w:t>0.886</w:t>
            </w:r>
          </w:p>
        </w:tc>
        <w:tc>
          <w:tcPr>
            <w:tcW w:w="1260" w:type="dxa"/>
            <w:vAlign w:val="bottom"/>
          </w:tcPr>
          <w:p w14:paraId="18590238" w14:textId="6B5A8339" w:rsidR="00541915" w:rsidRPr="00541915" w:rsidRDefault="00541915" w:rsidP="00541915">
            <w:pPr>
              <w:jc w:val="center"/>
              <w:rPr>
                <w:b/>
                <w:lang w:val="en-US"/>
              </w:rPr>
            </w:pPr>
            <w:r w:rsidRPr="00541915">
              <w:rPr>
                <w:color w:val="000000"/>
              </w:rPr>
              <w:t>0.114</w:t>
            </w:r>
          </w:p>
        </w:tc>
        <w:tc>
          <w:tcPr>
            <w:tcW w:w="914" w:type="dxa"/>
            <w:vAlign w:val="bottom"/>
          </w:tcPr>
          <w:p w14:paraId="29B6D0C6" w14:textId="36751F57" w:rsidR="00541915" w:rsidRPr="00541915" w:rsidRDefault="00541915" w:rsidP="00541915">
            <w:pPr>
              <w:jc w:val="center"/>
              <w:rPr>
                <w:b/>
                <w:lang w:val="en-US"/>
              </w:rPr>
            </w:pPr>
            <w:r w:rsidRPr="00541915">
              <w:rPr>
                <w:color w:val="000000"/>
              </w:rPr>
              <w:t>0.215</w:t>
            </w:r>
          </w:p>
        </w:tc>
        <w:tc>
          <w:tcPr>
            <w:tcW w:w="1066" w:type="dxa"/>
            <w:vAlign w:val="bottom"/>
          </w:tcPr>
          <w:p w14:paraId="3A314658" w14:textId="1B2B7466" w:rsidR="00541915" w:rsidRPr="00541915" w:rsidRDefault="00541915" w:rsidP="00541915">
            <w:pPr>
              <w:jc w:val="center"/>
              <w:rPr>
                <w:b/>
                <w:lang w:val="en-US"/>
              </w:rPr>
            </w:pPr>
            <w:r w:rsidRPr="00541915">
              <w:rPr>
                <w:color w:val="000000"/>
              </w:rPr>
              <w:t>0.000</w:t>
            </w:r>
          </w:p>
        </w:tc>
      </w:tr>
      <w:tr w:rsidR="00541915" w14:paraId="37445956" w14:textId="0F6473EA" w:rsidTr="006E1CE8">
        <w:tc>
          <w:tcPr>
            <w:tcW w:w="1705" w:type="dxa"/>
            <w:vAlign w:val="center"/>
          </w:tcPr>
          <w:p w14:paraId="2D1B8A4A" w14:textId="5F052F02" w:rsidR="00541915" w:rsidRDefault="00541915" w:rsidP="006E1CE8">
            <w:pPr>
              <w:jc w:val="center"/>
              <w:rPr>
                <w:b/>
                <w:lang w:val="en-US"/>
              </w:rPr>
            </w:pPr>
            <w:r>
              <w:rPr>
                <w:b/>
                <w:lang w:val="en-US"/>
              </w:rPr>
              <w:t>6</w:t>
            </w:r>
          </w:p>
        </w:tc>
        <w:tc>
          <w:tcPr>
            <w:tcW w:w="1170" w:type="dxa"/>
            <w:vAlign w:val="bottom"/>
          </w:tcPr>
          <w:p w14:paraId="149501DE" w14:textId="3C3E3492" w:rsidR="00541915" w:rsidRPr="00541915" w:rsidRDefault="00541915" w:rsidP="00541915">
            <w:pPr>
              <w:jc w:val="center"/>
              <w:rPr>
                <w:b/>
                <w:lang w:val="en-US"/>
              </w:rPr>
            </w:pPr>
            <w:r w:rsidRPr="00541915">
              <w:rPr>
                <w:color w:val="000000"/>
              </w:rPr>
              <w:t>0.704</w:t>
            </w:r>
          </w:p>
        </w:tc>
        <w:tc>
          <w:tcPr>
            <w:tcW w:w="1260" w:type="dxa"/>
            <w:vAlign w:val="bottom"/>
          </w:tcPr>
          <w:p w14:paraId="337551FA" w14:textId="3973AA7F" w:rsidR="00541915" w:rsidRPr="00541915" w:rsidRDefault="00541915" w:rsidP="00541915">
            <w:pPr>
              <w:jc w:val="center"/>
              <w:rPr>
                <w:b/>
                <w:lang w:val="en-US"/>
              </w:rPr>
            </w:pPr>
            <w:r w:rsidRPr="00541915">
              <w:rPr>
                <w:color w:val="000000"/>
              </w:rPr>
              <w:t>0.296</w:t>
            </w:r>
          </w:p>
        </w:tc>
        <w:tc>
          <w:tcPr>
            <w:tcW w:w="1170" w:type="dxa"/>
            <w:vAlign w:val="bottom"/>
          </w:tcPr>
          <w:p w14:paraId="36D6C3BB" w14:textId="2560925F" w:rsidR="00541915" w:rsidRPr="00541915" w:rsidRDefault="00541915" w:rsidP="00541915">
            <w:pPr>
              <w:jc w:val="center"/>
              <w:rPr>
                <w:b/>
                <w:lang w:val="en-US"/>
              </w:rPr>
            </w:pPr>
            <w:r w:rsidRPr="00541915">
              <w:rPr>
                <w:color w:val="000000"/>
              </w:rPr>
              <w:t>0.880</w:t>
            </w:r>
          </w:p>
        </w:tc>
        <w:tc>
          <w:tcPr>
            <w:tcW w:w="1260" w:type="dxa"/>
            <w:vAlign w:val="bottom"/>
          </w:tcPr>
          <w:p w14:paraId="681FA397" w14:textId="04DBFDE3" w:rsidR="00541915" w:rsidRPr="00541915" w:rsidRDefault="00541915" w:rsidP="00541915">
            <w:pPr>
              <w:jc w:val="center"/>
              <w:rPr>
                <w:b/>
                <w:lang w:val="en-US"/>
              </w:rPr>
            </w:pPr>
            <w:r w:rsidRPr="00541915">
              <w:rPr>
                <w:color w:val="000000"/>
              </w:rPr>
              <w:t>0.120</w:t>
            </w:r>
          </w:p>
        </w:tc>
        <w:tc>
          <w:tcPr>
            <w:tcW w:w="900" w:type="dxa"/>
            <w:vAlign w:val="bottom"/>
          </w:tcPr>
          <w:p w14:paraId="20D3BCB6" w14:textId="080BDBE9" w:rsidR="00541915" w:rsidRPr="00541915" w:rsidRDefault="00541915" w:rsidP="00541915">
            <w:pPr>
              <w:jc w:val="center"/>
              <w:rPr>
                <w:b/>
                <w:lang w:val="en-US"/>
              </w:rPr>
            </w:pPr>
            <w:r w:rsidRPr="00541915">
              <w:rPr>
                <w:color w:val="000000"/>
              </w:rPr>
              <w:t>0.176</w:t>
            </w:r>
          </w:p>
        </w:tc>
        <w:tc>
          <w:tcPr>
            <w:tcW w:w="990" w:type="dxa"/>
            <w:vAlign w:val="bottom"/>
          </w:tcPr>
          <w:p w14:paraId="3A420945" w14:textId="1D965AD8" w:rsidR="00541915" w:rsidRPr="00541915" w:rsidRDefault="00541915" w:rsidP="00541915">
            <w:pPr>
              <w:jc w:val="center"/>
              <w:rPr>
                <w:b/>
                <w:lang w:val="en-US"/>
              </w:rPr>
            </w:pPr>
            <w:r w:rsidRPr="00541915">
              <w:rPr>
                <w:color w:val="000000"/>
              </w:rPr>
              <w:t>0.000</w:t>
            </w:r>
          </w:p>
        </w:tc>
        <w:tc>
          <w:tcPr>
            <w:tcW w:w="1170" w:type="dxa"/>
            <w:vAlign w:val="bottom"/>
          </w:tcPr>
          <w:p w14:paraId="75FB5852" w14:textId="0A691327" w:rsidR="00541915" w:rsidRPr="00541915" w:rsidRDefault="00541915" w:rsidP="00541915">
            <w:pPr>
              <w:jc w:val="center"/>
              <w:rPr>
                <w:b/>
                <w:lang w:val="en-US"/>
              </w:rPr>
            </w:pPr>
            <w:r w:rsidRPr="00541915">
              <w:rPr>
                <w:color w:val="000000"/>
              </w:rPr>
              <w:t>0.753</w:t>
            </w:r>
          </w:p>
        </w:tc>
        <w:tc>
          <w:tcPr>
            <w:tcW w:w="1260" w:type="dxa"/>
            <w:vAlign w:val="bottom"/>
          </w:tcPr>
          <w:p w14:paraId="4678498F" w14:textId="7C1072F1" w:rsidR="00541915" w:rsidRPr="00541915" w:rsidRDefault="00541915" w:rsidP="00541915">
            <w:pPr>
              <w:jc w:val="center"/>
              <w:rPr>
                <w:b/>
                <w:lang w:val="en-US"/>
              </w:rPr>
            </w:pPr>
            <w:r w:rsidRPr="00541915">
              <w:rPr>
                <w:color w:val="000000"/>
              </w:rPr>
              <w:t>0.247</w:t>
            </w:r>
          </w:p>
        </w:tc>
        <w:tc>
          <w:tcPr>
            <w:tcW w:w="1260" w:type="dxa"/>
            <w:vAlign w:val="bottom"/>
          </w:tcPr>
          <w:p w14:paraId="0FAAD1E3" w14:textId="1E167519" w:rsidR="00541915" w:rsidRPr="00541915" w:rsidRDefault="00541915" w:rsidP="00541915">
            <w:pPr>
              <w:jc w:val="center"/>
              <w:rPr>
                <w:b/>
                <w:lang w:val="en-US"/>
              </w:rPr>
            </w:pPr>
            <w:r w:rsidRPr="00541915">
              <w:rPr>
                <w:color w:val="000000"/>
              </w:rPr>
              <w:t>0.792</w:t>
            </w:r>
          </w:p>
        </w:tc>
        <w:tc>
          <w:tcPr>
            <w:tcW w:w="1260" w:type="dxa"/>
            <w:vAlign w:val="bottom"/>
          </w:tcPr>
          <w:p w14:paraId="2742AA43" w14:textId="5E970923" w:rsidR="00541915" w:rsidRPr="00541915" w:rsidRDefault="00541915" w:rsidP="00541915">
            <w:pPr>
              <w:jc w:val="center"/>
              <w:rPr>
                <w:b/>
                <w:lang w:val="en-US"/>
              </w:rPr>
            </w:pPr>
            <w:r w:rsidRPr="00541915">
              <w:rPr>
                <w:color w:val="000000"/>
              </w:rPr>
              <w:t>0.208</w:t>
            </w:r>
          </w:p>
        </w:tc>
        <w:tc>
          <w:tcPr>
            <w:tcW w:w="914" w:type="dxa"/>
            <w:vAlign w:val="bottom"/>
          </w:tcPr>
          <w:p w14:paraId="438A9A0A" w14:textId="46402446" w:rsidR="00541915" w:rsidRPr="00541915" w:rsidRDefault="00541915" w:rsidP="00541915">
            <w:pPr>
              <w:jc w:val="center"/>
              <w:rPr>
                <w:b/>
                <w:lang w:val="en-US"/>
              </w:rPr>
            </w:pPr>
            <w:r w:rsidRPr="00541915">
              <w:rPr>
                <w:color w:val="000000"/>
              </w:rPr>
              <w:t>0.039</w:t>
            </w:r>
          </w:p>
        </w:tc>
        <w:tc>
          <w:tcPr>
            <w:tcW w:w="1066" w:type="dxa"/>
            <w:vAlign w:val="bottom"/>
          </w:tcPr>
          <w:p w14:paraId="1BBF9899" w14:textId="6D1D35F5" w:rsidR="00541915" w:rsidRPr="00541915" w:rsidRDefault="00541915" w:rsidP="00541915">
            <w:pPr>
              <w:jc w:val="center"/>
              <w:rPr>
                <w:b/>
                <w:lang w:val="en-US"/>
              </w:rPr>
            </w:pPr>
            <w:r w:rsidRPr="00541915">
              <w:rPr>
                <w:color w:val="000000"/>
              </w:rPr>
              <w:t>0.272</w:t>
            </w:r>
          </w:p>
        </w:tc>
      </w:tr>
      <w:tr w:rsidR="00541915" w14:paraId="577E5437" w14:textId="204DEF17" w:rsidTr="006E1CE8">
        <w:tc>
          <w:tcPr>
            <w:tcW w:w="1705" w:type="dxa"/>
            <w:vAlign w:val="center"/>
          </w:tcPr>
          <w:p w14:paraId="5423FAB4" w14:textId="64E9554A" w:rsidR="00541915" w:rsidRDefault="00541915" w:rsidP="006E1CE8">
            <w:pPr>
              <w:jc w:val="center"/>
              <w:rPr>
                <w:b/>
                <w:lang w:val="en-US"/>
              </w:rPr>
            </w:pPr>
            <w:r>
              <w:rPr>
                <w:b/>
                <w:lang w:val="en-US"/>
              </w:rPr>
              <w:t>7</w:t>
            </w:r>
          </w:p>
        </w:tc>
        <w:tc>
          <w:tcPr>
            <w:tcW w:w="1170" w:type="dxa"/>
            <w:vAlign w:val="bottom"/>
          </w:tcPr>
          <w:p w14:paraId="0355A9A8" w14:textId="06A7A9DC" w:rsidR="00541915" w:rsidRPr="00541915" w:rsidRDefault="00541915" w:rsidP="00541915">
            <w:pPr>
              <w:jc w:val="center"/>
              <w:rPr>
                <w:b/>
                <w:lang w:val="en-US"/>
              </w:rPr>
            </w:pPr>
            <w:r w:rsidRPr="00541915">
              <w:rPr>
                <w:color w:val="000000"/>
              </w:rPr>
              <w:t>0.661</w:t>
            </w:r>
          </w:p>
        </w:tc>
        <w:tc>
          <w:tcPr>
            <w:tcW w:w="1260" w:type="dxa"/>
            <w:vAlign w:val="bottom"/>
          </w:tcPr>
          <w:p w14:paraId="085A327B" w14:textId="692C1FD5" w:rsidR="00541915" w:rsidRPr="00541915" w:rsidRDefault="00541915" w:rsidP="00541915">
            <w:pPr>
              <w:jc w:val="center"/>
              <w:rPr>
                <w:b/>
                <w:lang w:val="en-US"/>
              </w:rPr>
            </w:pPr>
            <w:r w:rsidRPr="00541915">
              <w:rPr>
                <w:color w:val="000000"/>
              </w:rPr>
              <w:t>0.339</w:t>
            </w:r>
          </w:p>
        </w:tc>
        <w:tc>
          <w:tcPr>
            <w:tcW w:w="1170" w:type="dxa"/>
            <w:vAlign w:val="bottom"/>
          </w:tcPr>
          <w:p w14:paraId="074F3EC0" w14:textId="5CCE1015" w:rsidR="00541915" w:rsidRPr="00541915" w:rsidRDefault="00541915" w:rsidP="00541915">
            <w:pPr>
              <w:jc w:val="center"/>
              <w:rPr>
                <w:b/>
                <w:lang w:val="en-US"/>
              </w:rPr>
            </w:pPr>
            <w:r w:rsidRPr="00541915">
              <w:rPr>
                <w:color w:val="000000"/>
              </w:rPr>
              <w:t>0.841</w:t>
            </w:r>
          </w:p>
        </w:tc>
        <w:tc>
          <w:tcPr>
            <w:tcW w:w="1260" w:type="dxa"/>
            <w:vAlign w:val="bottom"/>
          </w:tcPr>
          <w:p w14:paraId="062709B8" w14:textId="684BF06F" w:rsidR="00541915" w:rsidRPr="00541915" w:rsidRDefault="00541915" w:rsidP="00541915">
            <w:pPr>
              <w:jc w:val="center"/>
              <w:rPr>
                <w:b/>
                <w:lang w:val="en-US"/>
              </w:rPr>
            </w:pPr>
            <w:r w:rsidRPr="00541915">
              <w:rPr>
                <w:color w:val="000000"/>
              </w:rPr>
              <w:t>0.159</w:t>
            </w:r>
          </w:p>
        </w:tc>
        <w:tc>
          <w:tcPr>
            <w:tcW w:w="900" w:type="dxa"/>
            <w:vAlign w:val="bottom"/>
          </w:tcPr>
          <w:p w14:paraId="22AC93A3" w14:textId="4A0033A4" w:rsidR="00541915" w:rsidRPr="00541915" w:rsidRDefault="00541915" w:rsidP="00541915">
            <w:pPr>
              <w:jc w:val="center"/>
              <w:rPr>
                <w:b/>
                <w:lang w:val="en-US"/>
              </w:rPr>
            </w:pPr>
            <w:r w:rsidRPr="00541915">
              <w:rPr>
                <w:color w:val="000000"/>
              </w:rPr>
              <w:t>0.180</w:t>
            </w:r>
          </w:p>
        </w:tc>
        <w:tc>
          <w:tcPr>
            <w:tcW w:w="990" w:type="dxa"/>
            <w:vAlign w:val="bottom"/>
          </w:tcPr>
          <w:p w14:paraId="15CA7E88" w14:textId="2C27D973" w:rsidR="00541915" w:rsidRPr="00541915" w:rsidRDefault="00541915" w:rsidP="00541915">
            <w:pPr>
              <w:jc w:val="center"/>
              <w:rPr>
                <w:b/>
                <w:lang w:val="en-US"/>
              </w:rPr>
            </w:pPr>
            <w:r w:rsidRPr="00541915">
              <w:rPr>
                <w:color w:val="000000"/>
              </w:rPr>
              <w:t>0.000</w:t>
            </w:r>
          </w:p>
        </w:tc>
        <w:tc>
          <w:tcPr>
            <w:tcW w:w="1170" w:type="dxa"/>
            <w:vAlign w:val="bottom"/>
          </w:tcPr>
          <w:p w14:paraId="51A8AC1B" w14:textId="63466160" w:rsidR="00541915" w:rsidRPr="00541915" w:rsidRDefault="00541915" w:rsidP="00541915">
            <w:pPr>
              <w:jc w:val="center"/>
              <w:rPr>
                <w:b/>
                <w:lang w:val="en-US"/>
              </w:rPr>
            </w:pPr>
            <w:r w:rsidRPr="00541915">
              <w:rPr>
                <w:color w:val="000000"/>
              </w:rPr>
              <w:t>0.665</w:t>
            </w:r>
          </w:p>
        </w:tc>
        <w:tc>
          <w:tcPr>
            <w:tcW w:w="1260" w:type="dxa"/>
            <w:vAlign w:val="bottom"/>
          </w:tcPr>
          <w:p w14:paraId="4EDF641F" w14:textId="1E127BAA" w:rsidR="00541915" w:rsidRPr="00541915" w:rsidRDefault="00541915" w:rsidP="00541915">
            <w:pPr>
              <w:jc w:val="center"/>
              <w:rPr>
                <w:b/>
                <w:lang w:val="en-US"/>
              </w:rPr>
            </w:pPr>
            <w:r w:rsidRPr="00541915">
              <w:rPr>
                <w:color w:val="000000"/>
              </w:rPr>
              <w:t>0.335</w:t>
            </w:r>
          </w:p>
        </w:tc>
        <w:tc>
          <w:tcPr>
            <w:tcW w:w="1260" w:type="dxa"/>
            <w:vAlign w:val="bottom"/>
          </w:tcPr>
          <w:p w14:paraId="6B10CAB5" w14:textId="461EEFCA" w:rsidR="00541915" w:rsidRPr="00541915" w:rsidRDefault="00541915" w:rsidP="00541915">
            <w:pPr>
              <w:jc w:val="center"/>
              <w:rPr>
                <w:b/>
                <w:lang w:val="en-US"/>
              </w:rPr>
            </w:pPr>
            <w:r w:rsidRPr="00541915">
              <w:rPr>
                <w:color w:val="000000"/>
              </w:rPr>
              <w:t>0.892</w:t>
            </w:r>
          </w:p>
        </w:tc>
        <w:tc>
          <w:tcPr>
            <w:tcW w:w="1260" w:type="dxa"/>
            <w:vAlign w:val="bottom"/>
          </w:tcPr>
          <w:p w14:paraId="7E3D6C99" w14:textId="2BE1F9B7" w:rsidR="00541915" w:rsidRPr="00541915" w:rsidRDefault="00541915" w:rsidP="00541915">
            <w:pPr>
              <w:jc w:val="center"/>
              <w:rPr>
                <w:b/>
                <w:lang w:val="en-US"/>
              </w:rPr>
            </w:pPr>
            <w:r w:rsidRPr="00541915">
              <w:rPr>
                <w:color w:val="000000"/>
              </w:rPr>
              <w:t>0.108</w:t>
            </w:r>
          </w:p>
        </w:tc>
        <w:tc>
          <w:tcPr>
            <w:tcW w:w="914" w:type="dxa"/>
            <w:vAlign w:val="bottom"/>
          </w:tcPr>
          <w:p w14:paraId="157C2AB0" w14:textId="25BC58D7" w:rsidR="00541915" w:rsidRPr="00541915" w:rsidRDefault="00541915" w:rsidP="00541915">
            <w:pPr>
              <w:jc w:val="center"/>
              <w:rPr>
                <w:b/>
                <w:lang w:val="en-US"/>
              </w:rPr>
            </w:pPr>
            <w:r w:rsidRPr="00541915">
              <w:rPr>
                <w:color w:val="000000"/>
              </w:rPr>
              <w:t>0.227</w:t>
            </w:r>
          </w:p>
        </w:tc>
        <w:tc>
          <w:tcPr>
            <w:tcW w:w="1066" w:type="dxa"/>
            <w:vAlign w:val="bottom"/>
          </w:tcPr>
          <w:p w14:paraId="68DA0019" w14:textId="14ABEE18" w:rsidR="00541915" w:rsidRPr="00541915" w:rsidRDefault="00541915" w:rsidP="00541915">
            <w:pPr>
              <w:jc w:val="center"/>
              <w:rPr>
                <w:b/>
                <w:lang w:val="en-US"/>
              </w:rPr>
            </w:pPr>
            <w:r w:rsidRPr="00541915">
              <w:rPr>
                <w:color w:val="000000"/>
              </w:rPr>
              <w:t>0.000</w:t>
            </w:r>
          </w:p>
        </w:tc>
      </w:tr>
      <w:tr w:rsidR="00541915" w14:paraId="3A633649" w14:textId="0E42A882" w:rsidTr="006E1CE8">
        <w:tc>
          <w:tcPr>
            <w:tcW w:w="1705" w:type="dxa"/>
            <w:vAlign w:val="center"/>
          </w:tcPr>
          <w:p w14:paraId="24719740" w14:textId="6679D17F" w:rsidR="00541915" w:rsidRDefault="00541915" w:rsidP="006E1CE8">
            <w:pPr>
              <w:jc w:val="center"/>
              <w:rPr>
                <w:b/>
                <w:lang w:val="en-US"/>
              </w:rPr>
            </w:pPr>
            <w:r>
              <w:rPr>
                <w:b/>
                <w:lang w:val="en-US"/>
              </w:rPr>
              <w:t>8</w:t>
            </w:r>
          </w:p>
        </w:tc>
        <w:tc>
          <w:tcPr>
            <w:tcW w:w="1170" w:type="dxa"/>
            <w:vAlign w:val="bottom"/>
          </w:tcPr>
          <w:p w14:paraId="34C440DA" w14:textId="4453C75D" w:rsidR="00541915" w:rsidRPr="00541915" w:rsidRDefault="00541915" w:rsidP="00541915">
            <w:pPr>
              <w:jc w:val="center"/>
              <w:rPr>
                <w:b/>
                <w:lang w:val="en-US"/>
              </w:rPr>
            </w:pPr>
            <w:r w:rsidRPr="00541915">
              <w:rPr>
                <w:color w:val="000000"/>
              </w:rPr>
              <w:t>0.649</w:t>
            </w:r>
          </w:p>
        </w:tc>
        <w:tc>
          <w:tcPr>
            <w:tcW w:w="1260" w:type="dxa"/>
            <w:vAlign w:val="bottom"/>
          </w:tcPr>
          <w:p w14:paraId="67F8B36D" w14:textId="5D1409FC" w:rsidR="00541915" w:rsidRPr="00541915" w:rsidRDefault="00541915" w:rsidP="00541915">
            <w:pPr>
              <w:jc w:val="center"/>
              <w:rPr>
                <w:b/>
                <w:lang w:val="en-US"/>
              </w:rPr>
            </w:pPr>
            <w:r w:rsidRPr="00541915">
              <w:rPr>
                <w:color w:val="000000"/>
              </w:rPr>
              <w:t>0.351</w:t>
            </w:r>
          </w:p>
        </w:tc>
        <w:tc>
          <w:tcPr>
            <w:tcW w:w="1170" w:type="dxa"/>
            <w:vAlign w:val="bottom"/>
          </w:tcPr>
          <w:p w14:paraId="4B083A55" w14:textId="64CFE229" w:rsidR="00541915" w:rsidRPr="00541915" w:rsidRDefault="00541915" w:rsidP="00541915">
            <w:pPr>
              <w:jc w:val="center"/>
              <w:rPr>
                <w:b/>
                <w:lang w:val="en-US"/>
              </w:rPr>
            </w:pPr>
            <w:r w:rsidRPr="00541915">
              <w:rPr>
                <w:color w:val="000000"/>
              </w:rPr>
              <w:t>0.947</w:t>
            </w:r>
          </w:p>
        </w:tc>
        <w:tc>
          <w:tcPr>
            <w:tcW w:w="1260" w:type="dxa"/>
            <w:vAlign w:val="bottom"/>
          </w:tcPr>
          <w:p w14:paraId="15B2B1A3" w14:textId="16242207" w:rsidR="00541915" w:rsidRPr="00541915" w:rsidRDefault="00541915" w:rsidP="00541915">
            <w:pPr>
              <w:jc w:val="center"/>
              <w:rPr>
                <w:b/>
                <w:lang w:val="en-US"/>
              </w:rPr>
            </w:pPr>
            <w:r w:rsidRPr="00541915">
              <w:rPr>
                <w:color w:val="000000"/>
              </w:rPr>
              <w:t>0.053</w:t>
            </w:r>
          </w:p>
        </w:tc>
        <w:tc>
          <w:tcPr>
            <w:tcW w:w="900" w:type="dxa"/>
            <w:vAlign w:val="bottom"/>
          </w:tcPr>
          <w:p w14:paraId="03557D21" w14:textId="04C9E4B0" w:rsidR="00541915" w:rsidRPr="00541915" w:rsidRDefault="00541915" w:rsidP="00541915">
            <w:pPr>
              <w:jc w:val="center"/>
              <w:rPr>
                <w:b/>
                <w:lang w:val="en-US"/>
              </w:rPr>
            </w:pPr>
            <w:r w:rsidRPr="00541915">
              <w:rPr>
                <w:color w:val="000000"/>
              </w:rPr>
              <w:t>0.298</w:t>
            </w:r>
          </w:p>
        </w:tc>
        <w:tc>
          <w:tcPr>
            <w:tcW w:w="990" w:type="dxa"/>
            <w:vAlign w:val="bottom"/>
          </w:tcPr>
          <w:p w14:paraId="7B5EEB15" w14:textId="0FCDE779" w:rsidR="00541915" w:rsidRPr="00541915" w:rsidRDefault="00541915" w:rsidP="00541915">
            <w:pPr>
              <w:jc w:val="center"/>
              <w:rPr>
                <w:b/>
                <w:lang w:val="en-US"/>
              </w:rPr>
            </w:pPr>
            <w:r w:rsidRPr="00541915">
              <w:rPr>
                <w:color w:val="000000"/>
              </w:rPr>
              <w:t>0.000</w:t>
            </w:r>
          </w:p>
        </w:tc>
        <w:tc>
          <w:tcPr>
            <w:tcW w:w="1170" w:type="dxa"/>
            <w:vAlign w:val="bottom"/>
          </w:tcPr>
          <w:p w14:paraId="01AE1656" w14:textId="1735B973" w:rsidR="00541915" w:rsidRPr="00541915" w:rsidRDefault="00541915" w:rsidP="00541915">
            <w:pPr>
              <w:jc w:val="center"/>
              <w:rPr>
                <w:b/>
                <w:lang w:val="en-US"/>
              </w:rPr>
            </w:pPr>
            <w:r w:rsidRPr="00541915">
              <w:rPr>
                <w:color w:val="000000"/>
              </w:rPr>
              <w:t>0.688</w:t>
            </w:r>
          </w:p>
        </w:tc>
        <w:tc>
          <w:tcPr>
            <w:tcW w:w="1260" w:type="dxa"/>
            <w:vAlign w:val="bottom"/>
          </w:tcPr>
          <w:p w14:paraId="0E9B8F54" w14:textId="03182DB3" w:rsidR="00541915" w:rsidRPr="00541915" w:rsidRDefault="00541915" w:rsidP="00541915">
            <w:pPr>
              <w:jc w:val="center"/>
              <w:rPr>
                <w:b/>
                <w:lang w:val="en-US"/>
              </w:rPr>
            </w:pPr>
            <w:r w:rsidRPr="00541915">
              <w:rPr>
                <w:color w:val="000000"/>
              </w:rPr>
              <w:t>0.312</w:t>
            </w:r>
          </w:p>
        </w:tc>
        <w:tc>
          <w:tcPr>
            <w:tcW w:w="1260" w:type="dxa"/>
            <w:vAlign w:val="bottom"/>
          </w:tcPr>
          <w:p w14:paraId="00D631D5" w14:textId="519DD2FD" w:rsidR="00541915" w:rsidRPr="00541915" w:rsidRDefault="00541915" w:rsidP="00541915">
            <w:pPr>
              <w:jc w:val="center"/>
              <w:rPr>
                <w:b/>
                <w:lang w:val="en-US"/>
              </w:rPr>
            </w:pPr>
            <w:r w:rsidRPr="00541915">
              <w:rPr>
                <w:color w:val="000000"/>
              </w:rPr>
              <w:t>0.967</w:t>
            </w:r>
          </w:p>
        </w:tc>
        <w:tc>
          <w:tcPr>
            <w:tcW w:w="1260" w:type="dxa"/>
            <w:vAlign w:val="bottom"/>
          </w:tcPr>
          <w:p w14:paraId="34427838" w14:textId="2EB41F23" w:rsidR="00541915" w:rsidRPr="00541915" w:rsidRDefault="00541915" w:rsidP="00541915">
            <w:pPr>
              <w:jc w:val="center"/>
              <w:rPr>
                <w:b/>
                <w:lang w:val="en-US"/>
              </w:rPr>
            </w:pPr>
            <w:r w:rsidRPr="00541915">
              <w:rPr>
                <w:color w:val="000000"/>
              </w:rPr>
              <w:t>0.033</w:t>
            </w:r>
          </w:p>
        </w:tc>
        <w:tc>
          <w:tcPr>
            <w:tcW w:w="914" w:type="dxa"/>
            <w:vAlign w:val="bottom"/>
          </w:tcPr>
          <w:p w14:paraId="750ACCE4" w14:textId="45A8E78D" w:rsidR="00541915" w:rsidRPr="00541915" w:rsidRDefault="00541915" w:rsidP="00541915">
            <w:pPr>
              <w:jc w:val="center"/>
              <w:rPr>
                <w:b/>
                <w:lang w:val="en-US"/>
              </w:rPr>
            </w:pPr>
            <w:r w:rsidRPr="00541915">
              <w:rPr>
                <w:color w:val="000000"/>
              </w:rPr>
              <w:t>0.279</w:t>
            </w:r>
          </w:p>
        </w:tc>
        <w:tc>
          <w:tcPr>
            <w:tcW w:w="1066" w:type="dxa"/>
            <w:vAlign w:val="bottom"/>
          </w:tcPr>
          <w:p w14:paraId="2E474C82" w14:textId="22D9CC63" w:rsidR="00541915" w:rsidRPr="00541915" w:rsidRDefault="00541915" w:rsidP="00541915">
            <w:pPr>
              <w:jc w:val="center"/>
              <w:rPr>
                <w:b/>
                <w:lang w:val="en-US"/>
              </w:rPr>
            </w:pPr>
            <w:r w:rsidRPr="00541915">
              <w:rPr>
                <w:color w:val="000000"/>
              </w:rPr>
              <w:t>0.000</w:t>
            </w:r>
          </w:p>
        </w:tc>
      </w:tr>
      <w:tr w:rsidR="00541915" w14:paraId="7D1A23E2" w14:textId="004EE36F" w:rsidTr="006E1CE8">
        <w:tc>
          <w:tcPr>
            <w:tcW w:w="1705" w:type="dxa"/>
            <w:vAlign w:val="center"/>
          </w:tcPr>
          <w:p w14:paraId="0B265C86" w14:textId="6A66D844" w:rsidR="00541915" w:rsidRDefault="00541915" w:rsidP="006E1CE8">
            <w:pPr>
              <w:jc w:val="center"/>
              <w:rPr>
                <w:b/>
                <w:lang w:val="en-US"/>
              </w:rPr>
            </w:pPr>
            <w:r>
              <w:rPr>
                <w:b/>
                <w:lang w:val="en-US"/>
              </w:rPr>
              <w:t>9</w:t>
            </w:r>
          </w:p>
        </w:tc>
        <w:tc>
          <w:tcPr>
            <w:tcW w:w="1170" w:type="dxa"/>
            <w:vAlign w:val="bottom"/>
          </w:tcPr>
          <w:p w14:paraId="59B83787" w14:textId="033A25F0" w:rsidR="00541915" w:rsidRPr="00541915" w:rsidRDefault="00541915" w:rsidP="00541915">
            <w:pPr>
              <w:jc w:val="center"/>
              <w:rPr>
                <w:b/>
                <w:lang w:val="en-US"/>
              </w:rPr>
            </w:pPr>
            <w:r w:rsidRPr="00541915">
              <w:rPr>
                <w:color w:val="000000"/>
              </w:rPr>
              <w:t>0.707</w:t>
            </w:r>
          </w:p>
        </w:tc>
        <w:tc>
          <w:tcPr>
            <w:tcW w:w="1260" w:type="dxa"/>
            <w:vAlign w:val="bottom"/>
          </w:tcPr>
          <w:p w14:paraId="0B370E63" w14:textId="68CE0EEC" w:rsidR="00541915" w:rsidRPr="00541915" w:rsidRDefault="00541915" w:rsidP="00541915">
            <w:pPr>
              <w:jc w:val="center"/>
              <w:rPr>
                <w:b/>
                <w:lang w:val="en-US"/>
              </w:rPr>
            </w:pPr>
            <w:r w:rsidRPr="00541915">
              <w:rPr>
                <w:color w:val="000000"/>
              </w:rPr>
              <w:t>0.293</w:t>
            </w:r>
          </w:p>
        </w:tc>
        <w:tc>
          <w:tcPr>
            <w:tcW w:w="1170" w:type="dxa"/>
            <w:vAlign w:val="bottom"/>
          </w:tcPr>
          <w:p w14:paraId="5A2FA55C" w14:textId="441F706B" w:rsidR="00541915" w:rsidRPr="00541915" w:rsidRDefault="00541915" w:rsidP="00541915">
            <w:pPr>
              <w:jc w:val="center"/>
              <w:rPr>
                <w:b/>
                <w:lang w:val="en-US"/>
              </w:rPr>
            </w:pPr>
            <w:r w:rsidRPr="00541915">
              <w:rPr>
                <w:color w:val="000000"/>
              </w:rPr>
              <w:t>0.783</w:t>
            </w:r>
          </w:p>
        </w:tc>
        <w:tc>
          <w:tcPr>
            <w:tcW w:w="1260" w:type="dxa"/>
            <w:vAlign w:val="bottom"/>
          </w:tcPr>
          <w:p w14:paraId="70E79981" w14:textId="05288CF2" w:rsidR="00541915" w:rsidRPr="00541915" w:rsidRDefault="00541915" w:rsidP="00541915">
            <w:pPr>
              <w:jc w:val="center"/>
              <w:rPr>
                <w:b/>
                <w:lang w:val="en-US"/>
              </w:rPr>
            </w:pPr>
            <w:r w:rsidRPr="00541915">
              <w:rPr>
                <w:color w:val="000000"/>
              </w:rPr>
              <w:t>0.217</w:t>
            </w:r>
          </w:p>
        </w:tc>
        <w:tc>
          <w:tcPr>
            <w:tcW w:w="900" w:type="dxa"/>
            <w:vAlign w:val="bottom"/>
          </w:tcPr>
          <w:p w14:paraId="7FF8D6F5" w14:textId="5056D9B3" w:rsidR="00541915" w:rsidRPr="00541915" w:rsidRDefault="00541915" w:rsidP="00541915">
            <w:pPr>
              <w:jc w:val="center"/>
              <w:rPr>
                <w:b/>
                <w:lang w:val="en-US"/>
              </w:rPr>
            </w:pPr>
            <w:r w:rsidRPr="00541915">
              <w:rPr>
                <w:color w:val="000000"/>
              </w:rPr>
              <w:t>0.077</w:t>
            </w:r>
          </w:p>
        </w:tc>
        <w:tc>
          <w:tcPr>
            <w:tcW w:w="990" w:type="dxa"/>
            <w:vAlign w:val="bottom"/>
          </w:tcPr>
          <w:p w14:paraId="19F5837E" w14:textId="6935C680" w:rsidR="00541915" w:rsidRPr="00541915" w:rsidRDefault="00541915" w:rsidP="00541915">
            <w:pPr>
              <w:jc w:val="center"/>
              <w:rPr>
                <w:b/>
                <w:lang w:val="en-US"/>
              </w:rPr>
            </w:pPr>
            <w:r w:rsidRPr="00541915">
              <w:rPr>
                <w:color w:val="000000"/>
              </w:rPr>
              <w:t>0.017</w:t>
            </w:r>
          </w:p>
        </w:tc>
        <w:tc>
          <w:tcPr>
            <w:tcW w:w="1170" w:type="dxa"/>
            <w:vAlign w:val="bottom"/>
          </w:tcPr>
          <w:p w14:paraId="085B60D4" w14:textId="4F1B496C" w:rsidR="00541915" w:rsidRPr="00541915" w:rsidRDefault="00541915" w:rsidP="00541915">
            <w:pPr>
              <w:jc w:val="center"/>
              <w:rPr>
                <w:b/>
                <w:lang w:val="en-US"/>
              </w:rPr>
            </w:pPr>
            <w:r w:rsidRPr="00541915">
              <w:rPr>
                <w:color w:val="000000"/>
              </w:rPr>
              <w:t>0.697</w:t>
            </w:r>
          </w:p>
        </w:tc>
        <w:tc>
          <w:tcPr>
            <w:tcW w:w="1260" w:type="dxa"/>
            <w:vAlign w:val="bottom"/>
          </w:tcPr>
          <w:p w14:paraId="349E672E" w14:textId="64DC878D" w:rsidR="00541915" w:rsidRPr="00541915" w:rsidRDefault="00541915" w:rsidP="00541915">
            <w:pPr>
              <w:jc w:val="center"/>
              <w:rPr>
                <w:b/>
                <w:lang w:val="en-US"/>
              </w:rPr>
            </w:pPr>
            <w:r w:rsidRPr="00541915">
              <w:rPr>
                <w:color w:val="000000"/>
              </w:rPr>
              <w:t>0.303</w:t>
            </w:r>
          </w:p>
        </w:tc>
        <w:tc>
          <w:tcPr>
            <w:tcW w:w="1260" w:type="dxa"/>
            <w:vAlign w:val="bottom"/>
          </w:tcPr>
          <w:p w14:paraId="3BE91219" w14:textId="7B492BD2" w:rsidR="00541915" w:rsidRPr="00541915" w:rsidRDefault="00541915" w:rsidP="00541915">
            <w:pPr>
              <w:jc w:val="center"/>
              <w:rPr>
                <w:b/>
                <w:lang w:val="en-US"/>
              </w:rPr>
            </w:pPr>
            <w:r w:rsidRPr="00541915">
              <w:rPr>
                <w:color w:val="000000"/>
              </w:rPr>
              <w:t>0.784</w:t>
            </w:r>
          </w:p>
        </w:tc>
        <w:tc>
          <w:tcPr>
            <w:tcW w:w="1260" w:type="dxa"/>
            <w:vAlign w:val="bottom"/>
          </w:tcPr>
          <w:p w14:paraId="7768205F" w14:textId="4123244E" w:rsidR="00541915" w:rsidRPr="00541915" w:rsidRDefault="00541915" w:rsidP="00541915">
            <w:pPr>
              <w:jc w:val="center"/>
              <w:rPr>
                <w:b/>
                <w:lang w:val="en-US"/>
              </w:rPr>
            </w:pPr>
            <w:r w:rsidRPr="00541915">
              <w:rPr>
                <w:color w:val="000000"/>
              </w:rPr>
              <w:t>0.216</w:t>
            </w:r>
          </w:p>
        </w:tc>
        <w:tc>
          <w:tcPr>
            <w:tcW w:w="914" w:type="dxa"/>
            <w:vAlign w:val="bottom"/>
          </w:tcPr>
          <w:p w14:paraId="70AECDCD" w14:textId="7BC7F5F1" w:rsidR="00541915" w:rsidRPr="00541915" w:rsidRDefault="00541915" w:rsidP="00541915">
            <w:pPr>
              <w:jc w:val="center"/>
              <w:rPr>
                <w:b/>
                <w:lang w:val="en-US"/>
              </w:rPr>
            </w:pPr>
            <w:r w:rsidRPr="00541915">
              <w:rPr>
                <w:color w:val="000000"/>
              </w:rPr>
              <w:t>0.087</w:t>
            </w:r>
          </w:p>
        </w:tc>
        <w:tc>
          <w:tcPr>
            <w:tcW w:w="1066" w:type="dxa"/>
            <w:vAlign w:val="bottom"/>
          </w:tcPr>
          <w:p w14:paraId="6D77C262" w14:textId="1882B840" w:rsidR="00541915" w:rsidRPr="00541915" w:rsidRDefault="00541915" w:rsidP="00541915">
            <w:pPr>
              <w:jc w:val="center"/>
              <w:rPr>
                <w:b/>
                <w:lang w:val="en-US"/>
              </w:rPr>
            </w:pPr>
            <w:r w:rsidRPr="00541915">
              <w:rPr>
                <w:color w:val="000000"/>
              </w:rPr>
              <w:t>0.019</w:t>
            </w:r>
          </w:p>
        </w:tc>
      </w:tr>
      <w:tr w:rsidR="00541915" w14:paraId="4C2B2D37" w14:textId="77777777" w:rsidTr="002B4142">
        <w:tc>
          <w:tcPr>
            <w:tcW w:w="1705" w:type="dxa"/>
          </w:tcPr>
          <w:p w14:paraId="6F63A39D" w14:textId="03F53283" w:rsidR="00541915" w:rsidRDefault="00A6700C" w:rsidP="00541915">
            <w:pPr>
              <w:rPr>
                <w:b/>
                <w:lang w:val="en-US"/>
              </w:rPr>
            </w:pPr>
            <w:r>
              <w:rPr>
                <w:b/>
                <w:lang w:val="en-US"/>
              </w:rPr>
              <w:t>A</w:t>
            </w:r>
            <w:r w:rsidR="00541915">
              <w:rPr>
                <w:b/>
                <w:lang w:val="en-US"/>
              </w:rPr>
              <w:t>verage</w:t>
            </w:r>
          </w:p>
        </w:tc>
        <w:tc>
          <w:tcPr>
            <w:tcW w:w="1170" w:type="dxa"/>
            <w:vAlign w:val="bottom"/>
          </w:tcPr>
          <w:p w14:paraId="5C88A2D0" w14:textId="34DA5CCF" w:rsidR="00541915" w:rsidRPr="00541915" w:rsidRDefault="00541915" w:rsidP="00541915">
            <w:pPr>
              <w:jc w:val="center"/>
              <w:rPr>
                <w:color w:val="000000"/>
              </w:rPr>
            </w:pPr>
            <w:r w:rsidRPr="00541915">
              <w:rPr>
                <w:color w:val="000000"/>
              </w:rPr>
              <w:t>0.675</w:t>
            </w:r>
          </w:p>
        </w:tc>
        <w:tc>
          <w:tcPr>
            <w:tcW w:w="1260" w:type="dxa"/>
            <w:vAlign w:val="bottom"/>
          </w:tcPr>
          <w:p w14:paraId="00DAEB3F" w14:textId="38274498" w:rsidR="00541915" w:rsidRPr="00541915" w:rsidRDefault="00541915" w:rsidP="00541915">
            <w:pPr>
              <w:jc w:val="center"/>
              <w:rPr>
                <w:color w:val="000000"/>
              </w:rPr>
            </w:pPr>
            <w:r w:rsidRPr="00541915">
              <w:rPr>
                <w:color w:val="000000"/>
              </w:rPr>
              <w:t>0.325</w:t>
            </w:r>
          </w:p>
        </w:tc>
        <w:tc>
          <w:tcPr>
            <w:tcW w:w="1170" w:type="dxa"/>
            <w:vAlign w:val="bottom"/>
          </w:tcPr>
          <w:p w14:paraId="697F6FA7" w14:textId="557F5B6D" w:rsidR="00541915" w:rsidRPr="00541915" w:rsidRDefault="00541915" w:rsidP="00541915">
            <w:pPr>
              <w:jc w:val="center"/>
              <w:rPr>
                <w:color w:val="000000"/>
              </w:rPr>
            </w:pPr>
            <w:r w:rsidRPr="00541915">
              <w:rPr>
                <w:color w:val="000000"/>
              </w:rPr>
              <w:t>0.858</w:t>
            </w:r>
          </w:p>
        </w:tc>
        <w:tc>
          <w:tcPr>
            <w:tcW w:w="1260" w:type="dxa"/>
            <w:vAlign w:val="bottom"/>
          </w:tcPr>
          <w:p w14:paraId="58EB5A78" w14:textId="11E34722" w:rsidR="00541915" w:rsidRPr="00541915" w:rsidRDefault="00541915" w:rsidP="00541915">
            <w:pPr>
              <w:jc w:val="center"/>
              <w:rPr>
                <w:color w:val="000000"/>
              </w:rPr>
            </w:pPr>
            <w:r w:rsidRPr="00541915">
              <w:rPr>
                <w:color w:val="000000"/>
              </w:rPr>
              <w:t>0.142</w:t>
            </w:r>
          </w:p>
        </w:tc>
        <w:tc>
          <w:tcPr>
            <w:tcW w:w="900" w:type="dxa"/>
            <w:vAlign w:val="bottom"/>
          </w:tcPr>
          <w:p w14:paraId="57FA9C1D" w14:textId="572C915B" w:rsidR="00541915" w:rsidRPr="00541915" w:rsidRDefault="00541915" w:rsidP="00541915">
            <w:pPr>
              <w:jc w:val="center"/>
              <w:rPr>
                <w:color w:val="000000"/>
              </w:rPr>
            </w:pPr>
            <w:r w:rsidRPr="00541915">
              <w:rPr>
                <w:color w:val="000000"/>
              </w:rPr>
              <w:t>0.184</w:t>
            </w:r>
          </w:p>
        </w:tc>
        <w:tc>
          <w:tcPr>
            <w:tcW w:w="990" w:type="dxa"/>
            <w:vAlign w:val="bottom"/>
          </w:tcPr>
          <w:p w14:paraId="4443DB4D" w14:textId="77777777" w:rsidR="00541915" w:rsidRPr="00541915" w:rsidRDefault="00541915" w:rsidP="00541915">
            <w:pPr>
              <w:jc w:val="center"/>
              <w:rPr>
                <w:color w:val="000000"/>
              </w:rPr>
            </w:pPr>
          </w:p>
        </w:tc>
        <w:tc>
          <w:tcPr>
            <w:tcW w:w="1170" w:type="dxa"/>
            <w:vAlign w:val="bottom"/>
          </w:tcPr>
          <w:p w14:paraId="7A40FFD9" w14:textId="7C34987A" w:rsidR="00541915" w:rsidRPr="00541915" w:rsidRDefault="00541915" w:rsidP="00541915">
            <w:pPr>
              <w:jc w:val="center"/>
              <w:rPr>
                <w:b/>
                <w:lang w:val="en-US"/>
              </w:rPr>
            </w:pPr>
            <w:r w:rsidRPr="00541915">
              <w:rPr>
                <w:color w:val="000000"/>
              </w:rPr>
              <w:t>0.700</w:t>
            </w:r>
          </w:p>
        </w:tc>
        <w:tc>
          <w:tcPr>
            <w:tcW w:w="1260" w:type="dxa"/>
            <w:vAlign w:val="bottom"/>
          </w:tcPr>
          <w:p w14:paraId="2AA410BC" w14:textId="08CA7FDA" w:rsidR="00541915" w:rsidRPr="00541915" w:rsidRDefault="00541915" w:rsidP="00541915">
            <w:pPr>
              <w:jc w:val="center"/>
              <w:rPr>
                <w:b/>
                <w:lang w:val="en-US"/>
              </w:rPr>
            </w:pPr>
            <w:r w:rsidRPr="00541915">
              <w:rPr>
                <w:color w:val="000000"/>
              </w:rPr>
              <w:t>0.300</w:t>
            </w:r>
          </w:p>
        </w:tc>
        <w:tc>
          <w:tcPr>
            <w:tcW w:w="1260" w:type="dxa"/>
            <w:vAlign w:val="bottom"/>
          </w:tcPr>
          <w:p w14:paraId="7322BB29" w14:textId="5B9787AA" w:rsidR="00541915" w:rsidRPr="00541915" w:rsidRDefault="00541915" w:rsidP="00541915">
            <w:pPr>
              <w:jc w:val="center"/>
              <w:rPr>
                <w:b/>
                <w:lang w:val="en-US"/>
              </w:rPr>
            </w:pPr>
            <w:r w:rsidRPr="00541915">
              <w:rPr>
                <w:color w:val="000000"/>
              </w:rPr>
              <w:t>0.868</w:t>
            </w:r>
          </w:p>
        </w:tc>
        <w:tc>
          <w:tcPr>
            <w:tcW w:w="1260" w:type="dxa"/>
            <w:vAlign w:val="bottom"/>
          </w:tcPr>
          <w:p w14:paraId="1672FCF2" w14:textId="5F3C6ACF" w:rsidR="00541915" w:rsidRPr="00541915" w:rsidRDefault="00541915" w:rsidP="00541915">
            <w:pPr>
              <w:jc w:val="center"/>
              <w:rPr>
                <w:b/>
                <w:lang w:val="en-US"/>
              </w:rPr>
            </w:pPr>
            <w:r w:rsidRPr="00541915">
              <w:rPr>
                <w:color w:val="000000"/>
              </w:rPr>
              <w:t>0.132</w:t>
            </w:r>
          </w:p>
        </w:tc>
        <w:tc>
          <w:tcPr>
            <w:tcW w:w="914" w:type="dxa"/>
            <w:vAlign w:val="bottom"/>
          </w:tcPr>
          <w:p w14:paraId="545E9CDD" w14:textId="41332A11" w:rsidR="00541915" w:rsidRPr="00541915" w:rsidRDefault="00541915" w:rsidP="00541915">
            <w:pPr>
              <w:jc w:val="center"/>
              <w:rPr>
                <w:b/>
                <w:lang w:val="en-US"/>
              </w:rPr>
            </w:pPr>
            <w:r w:rsidRPr="00541915">
              <w:rPr>
                <w:color w:val="000000"/>
              </w:rPr>
              <w:t>0.168</w:t>
            </w:r>
          </w:p>
        </w:tc>
        <w:tc>
          <w:tcPr>
            <w:tcW w:w="1066" w:type="dxa"/>
          </w:tcPr>
          <w:p w14:paraId="4CB4B907" w14:textId="77777777" w:rsidR="00541915" w:rsidRPr="00541915" w:rsidRDefault="00541915" w:rsidP="00541915">
            <w:pPr>
              <w:jc w:val="center"/>
              <w:rPr>
                <w:b/>
                <w:lang w:val="en-US"/>
              </w:rPr>
            </w:pPr>
          </w:p>
        </w:tc>
      </w:tr>
    </w:tbl>
    <w:p w14:paraId="6ACC1725" w14:textId="7D6803B1" w:rsidR="00667749" w:rsidRPr="00800D00" w:rsidRDefault="00541915" w:rsidP="00F412AF">
      <w:pPr>
        <w:rPr>
          <w:b/>
        </w:rPr>
      </w:pPr>
      <w:r w:rsidRPr="00541915">
        <w:rPr>
          <w:vertAlign w:val="superscript"/>
        </w:rPr>
        <w:t>a</w:t>
      </w:r>
      <w:r>
        <w:rPr>
          <w:b/>
          <w:vertAlign w:val="superscript"/>
        </w:rPr>
        <w:t xml:space="preserve"> </w:t>
      </w:r>
      <w:r w:rsidRPr="00541915">
        <w:rPr>
          <w:sz w:val="20"/>
          <w:szCs w:val="20"/>
        </w:rPr>
        <w:t xml:space="preserve">Subgroup of 10% most </w:t>
      </w:r>
      <w:r>
        <w:rPr>
          <w:sz w:val="20"/>
          <w:szCs w:val="20"/>
        </w:rPr>
        <w:t xml:space="preserve">(least) </w:t>
      </w:r>
      <w:r w:rsidRPr="00541915">
        <w:rPr>
          <w:sz w:val="20"/>
          <w:szCs w:val="20"/>
        </w:rPr>
        <w:t>responsive households</w:t>
      </w:r>
      <w:r>
        <w:rPr>
          <w:sz w:val="20"/>
          <w:szCs w:val="20"/>
        </w:rPr>
        <w:t xml:space="preserve">; </w:t>
      </w:r>
      <w:r w:rsidRPr="00541915">
        <w:rPr>
          <w:sz w:val="20"/>
          <w:szCs w:val="20"/>
        </w:rPr>
        <w:t xml:space="preserve">yielding the highest </w:t>
      </w:r>
      <w:r>
        <w:rPr>
          <w:sz w:val="20"/>
          <w:szCs w:val="20"/>
        </w:rPr>
        <w:t xml:space="preserve">(lowest) </w:t>
      </w:r>
      <w:r w:rsidRPr="00541915">
        <w:rPr>
          <w:sz w:val="20"/>
          <w:szCs w:val="20"/>
        </w:rPr>
        <w:t>immediate lift in visit probability in response to the event)</w:t>
      </w:r>
      <w:r>
        <w:rPr>
          <w:sz w:val="20"/>
          <w:szCs w:val="20"/>
        </w:rPr>
        <w:t xml:space="preserve">. </w:t>
      </w:r>
      <w:r w:rsidRPr="009E27F7">
        <w:rPr>
          <w:bCs/>
          <w:vertAlign w:val="superscript"/>
        </w:rPr>
        <w:t>b</w:t>
      </w:r>
      <w:r>
        <w:rPr>
          <w:b/>
          <w:vertAlign w:val="superscript"/>
        </w:rPr>
        <w:t xml:space="preserve"> </w:t>
      </w:r>
      <w:r w:rsidRPr="00541915">
        <w:rPr>
          <w:sz w:val="20"/>
          <w:szCs w:val="20"/>
        </w:rPr>
        <w:t xml:space="preserve">Subgroup of 10% most </w:t>
      </w:r>
      <w:r>
        <w:rPr>
          <w:sz w:val="20"/>
          <w:szCs w:val="20"/>
        </w:rPr>
        <w:t xml:space="preserve">(least) </w:t>
      </w:r>
      <w:r w:rsidRPr="00541915">
        <w:rPr>
          <w:sz w:val="20"/>
          <w:szCs w:val="20"/>
        </w:rPr>
        <w:t>responsive households</w:t>
      </w:r>
      <w:r>
        <w:rPr>
          <w:sz w:val="20"/>
          <w:szCs w:val="20"/>
        </w:rPr>
        <w:t xml:space="preserve">; </w:t>
      </w:r>
      <w:r w:rsidRPr="00541915">
        <w:rPr>
          <w:sz w:val="20"/>
          <w:szCs w:val="20"/>
        </w:rPr>
        <w:t xml:space="preserve">yielding the highest </w:t>
      </w:r>
      <w:r>
        <w:rPr>
          <w:sz w:val="20"/>
          <w:szCs w:val="20"/>
        </w:rPr>
        <w:t xml:space="preserve">(lowest) </w:t>
      </w:r>
      <w:r w:rsidRPr="00541915">
        <w:rPr>
          <w:sz w:val="20"/>
          <w:szCs w:val="20"/>
        </w:rPr>
        <w:t xml:space="preserve">immediate lift in </w:t>
      </w:r>
      <w:r>
        <w:rPr>
          <w:sz w:val="20"/>
          <w:szCs w:val="20"/>
        </w:rPr>
        <w:t>purchase volume</w:t>
      </w:r>
      <w:r w:rsidRPr="00541915">
        <w:rPr>
          <w:sz w:val="20"/>
          <w:szCs w:val="20"/>
        </w:rPr>
        <w:t xml:space="preserve"> in response to the event)</w:t>
      </w:r>
      <w:r>
        <w:rPr>
          <w:sz w:val="20"/>
          <w:szCs w:val="20"/>
        </w:rPr>
        <w:t xml:space="preserve">. </w:t>
      </w:r>
      <w:r w:rsidRPr="00541915">
        <w:rPr>
          <w:sz w:val="20"/>
          <w:szCs w:val="20"/>
          <w:vertAlign w:val="superscript"/>
        </w:rPr>
        <w:t>c</w:t>
      </w:r>
      <w:r>
        <w:rPr>
          <w:b/>
          <w:vertAlign w:val="superscript"/>
        </w:rPr>
        <w:t xml:space="preserve"> </w:t>
      </w:r>
      <w:r w:rsidRPr="00541915">
        <w:rPr>
          <w:sz w:val="20"/>
          <w:szCs w:val="20"/>
        </w:rPr>
        <w:t>S</w:t>
      </w:r>
      <w:r>
        <w:rPr>
          <w:sz w:val="20"/>
          <w:szCs w:val="20"/>
        </w:rPr>
        <w:t xml:space="preserve">hares are consumers’ share of wallet at traditional stores or hard discounters during the </w:t>
      </w:r>
      <w:r w:rsidR="00D620CB">
        <w:rPr>
          <w:sz w:val="20"/>
          <w:szCs w:val="20"/>
        </w:rPr>
        <w:t xml:space="preserve">26-week </w:t>
      </w:r>
      <w:r>
        <w:rPr>
          <w:sz w:val="20"/>
          <w:szCs w:val="20"/>
        </w:rPr>
        <w:t xml:space="preserve">initialization period. </w:t>
      </w:r>
    </w:p>
    <w:p w14:paraId="784C9400" w14:textId="77777777" w:rsidR="00D53F90" w:rsidRDefault="00D53F90" w:rsidP="00F412AF">
      <w:pPr>
        <w:jc w:val="center"/>
        <w:rPr>
          <w:b/>
          <w:i/>
          <w:iCs/>
        </w:rPr>
        <w:sectPr w:rsidR="00D53F90" w:rsidSect="00D53F90">
          <w:pgSz w:w="16838" w:h="11906" w:orient="landscape"/>
          <w:pgMar w:top="1440" w:right="1440" w:bottom="1440" w:left="720" w:header="706" w:footer="706" w:gutter="0"/>
          <w:cols w:space="708"/>
          <w:docGrid w:linePitch="360"/>
        </w:sectPr>
      </w:pPr>
    </w:p>
    <w:p w14:paraId="112CA0DE" w14:textId="47526450" w:rsidR="00C84DF2" w:rsidRDefault="009C08C8" w:rsidP="006E1CE8">
      <w:pPr>
        <w:jc w:val="center"/>
        <w:rPr>
          <w:bCs/>
          <w:i/>
        </w:rPr>
      </w:pPr>
      <w:r w:rsidRPr="009C08C8">
        <w:rPr>
          <w:bCs/>
          <w:i/>
        </w:rPr>
        <w:lastRenderedPageBreak/>
        <w:t>WEB APPENDIX W7: PROFITABILITY ASSESSMENT</w:t>
      </w:r>
    </w:p>
    <w:p w14:paraId="3EDF1C37" w14:textId="77777777" w:rsidR="009C08C8" w:rsidRPr="009C08C8" w:rsidRDefault="009C08C8" w:rsidP="00B76FA5">
      <w:pPr>
        <w:jc w:val="center"/>
        <w:rPr>
          <w:bCs/>
          <w:i/>
        </w:rPr>
      </w:pPr>
    </w:p>
    <w:p w14:paraId="6AE73F04" w14:textId="554884AC" w:rsidR="008303DA" w:rsidRPr="00800D00" w:rsidRDefault="00E632E5" w:rsidP="00620A68">
      <w:r w:rsidRPr="00800D00">
        <w:t xml:space="preserve">Let </w:t>
      </w:r>
      <w:proofErr w:type="spellStart"/>
      <w:r w:rsidR="008303DA" w:rsidRPr="006A6E1A">
        <w:t>DD</w:t>
      </w:r>
      <w:r w:rsidR="008303DA" w:rsidRPr="006A6E1A">
        <w:rPr>
          <w:vertAlign w:val="subscript"/>
        </w:rPr>
        <w:t>r,event</w:t>
      </w:r>
      <w:proofErr w:type="spellEnd"/>
      <w:r w:rsidR="008303DA" w:rsidRPr="00800D00">
        <w:t xml:space="preserve"> and </w:t>
      </w:r>
      <w:proofErr w:type="spellStart"/>
      <w:r w:rsidR="008303DA" w:rsidRPr="006A6E1A">
        <w:t>DD</w:t>
      </w:r>
      <w:r w:rsidR="008303DA" w:rsidRPr="006A6E1A">
        <w:rPr>
          <w:vertAlign w:val="subscript"/>
        </w:rPr>
        <w:t>r,no_event</w:t>
      </w:r>
      <w:proofErr w:type="spellEnd"/>
      <w:r w:rsidRPr="00800D00">
        <w:t xml:space="preserve"> the average discount depth for items sold on promotion in </w:t>
      </w:r>
      <w:r w:rsidR="007550A1" w:rsidRPr="00800D00">
        <w:t xml:space="preserve">event and </w:t>
      </w:r>
      <w:r w:rsidR="00053687">
        <w:t>nonevent</w:t>
      </w:r>
      <w:r w:rsidR="007550A1" w:rsidRPr="00800D00">
        <w:t xml:space="preserve"> </w:t>
      </w:r>
      <w:r w:rsidRPr="00800D00">
        <w:t xml:space="preserve">weeks. </w:t>
      </w:r>
      <w:r w:rsidR="008303DA" w:rsidRPr="00800D00">
        <w:t xml:space="preserve">Moreover, let </w:t>
      </w:r>
      <w:proofErr w:type="spellStart"/>
      <w:r w:rsidR="008303DA" w:rsidRPr="006A6E1A">
        <w:t>p</w:t>
      </w:r>
      <w:r w:rsidR="008303DA" w:rsidRPr="006A6E1A">
        <w:rPr>
          <w:vertAlign w:val="subscript"/>
        </w:rPr>
        <w:t>r</w:t>
      </w:r>
      <w:proofErr w:type="spellEnd"/>
      <w:r w:rsidR="008303DA" w:rsidRPr="006A6E1A">
        <w:t xml:space="preserve"> </w:t>
      </w:r>
      <w:r w:rsidR="008303DA" w:rsidRPr="00800D00">
        <w:t xml:space="preserve">be the average regular unit price, </w:t>
      </w:r>
      <w:r w:rsidR="008303DA" w:rsidRPr="006A6E1A">
        <w:t>m</w:t>
      </w:r>
      <w:r w:rsidR="008303DA" w:rsidRPr="00800D00">
        <w:t xml:space="preserve"> be the average retailer margin absent promotions (expressed as a fraction of the selling price), </w:t>
      </w:r>
      <w:proofErr w:type="spellStart"/>
      <w:r w:rsidR="008303DA" w:rsidRPr="00E84174">
        <w:t>g</w:t>
      </w:r>
      <w:r w:rsidR="001F7F8A" w:rsidRPr="00E84174">
        <w:rPr>
          <w:vertAlign w:val="subscript"/>
        </w:rPr>
        <w:t>w</w:t>
      </w:r>
      <w:proofErr w:type="spellEnd"/>
      <w:r w:rsidR="008303DA" w:rsidRPr="00800D00">
        <w:t xml:space="preserve"> the fraction of the promotional discount borne by the retailer</w:t>
      </w:r>
      <w:r w:rsidR="001F7F8A" w:rsidRPr="00800D00">
        <w:t xml:space="preserve"> in week </w:t>
      </w:r>
      <w:r w:rsidR="001F7F8A" w:rsidRPr="00E84174">
        <w:t>w</w:t>
      </w:r>
      <w:r w:rsidR="008303DA" w:rsidRPr="00800D00">
        <w:t xml:space="preserve">, </w:t>
      </w:r>
      <w:r w:rsidR="008303DA" w:rsidRPr="00800D00">
        <w:rPr>
          <w:rFonts w:eastAsiaTheme="minorEastAsia"/>
        </w:rPr>
        <w:t xml:space="preserve">and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rw</m:t>
            </m:r>
          </m:sub>
        </m:sSub>
      </m:oMath>
      <w:r w:rsidR="008303DA" w:rsidRPr="00800D00">
        <w:rPr>
          <w:rFonts w:eastAsiaTheme="minorEastAsia"/>
        </w:rPr>
        <w:t xml:space="preserve"> the </w:t>
      </w:r>
      <w:r w:rsidR="001F7F8A" w:rsidRPr="00800D00">
        <w:rPr>
          <w:rFonts w:eastAsiaTheme="minorEastAsia"/>
        </w:rPr>
        <w:t xml:space="preserve">retailer’s </w:t>
      </w:r>
      <w:r w:rsidR="008303DA" w:rsidRPr="00800D00">
        <w:rPr>
          <w:rFonts w:eastAsiaTheme="minorEastAsia"/>
        </w:rPr>
        <w:t>advertising budget</w:t>
      </w:r>
      <w:r w:rsidR="001F7F8A" w:rsidRPr="00800D00">
        <w:rPr>
          <w:rFonts w:eastAsiaTheme="minorEastAsia"/>
        </w:rPr>
        <w:t xml:space="preserve"> in week </w:t>
      </w:r>
      <w:r w:rsidR="001F7F8A" w:rsidRPr="006A6E1A">
        <w:rPr>
          <w:rFonts w:eastAsiaTheme="minorEastAsia"/>
        </w:rPr>
        <w:t>w</w:t>
      </w:r>
      <w:r w:rsidR="008303DA" w:rsidRPr="00800D00">
        <w:rPr>
          <w:rFonts w:eastAsiaTheme="minorEastAsia"/>
        </w:rPr>
        <w:t xml:space="preserve">. </w:t>
      </w:r>
    </w:p>
    <w:p w14:paraId="1E3C06A4" w14:textId="629B07EC" w:rsidR="008303DA" w:rsidRPr="00800D00" w:rsidRDefault="003A58A7" w:rsidP="00620A68">
      <w:pPr>
        <w:rPr>
          <w:i/>
        </w:rPr>
      </w:pPr>
      <w:r w:rsidRPr="00800D00">
        <w:t xml:space="preserve">Consider a </w:t>
      </w:r>
      <w:r w:rsidR="001F7F8A" w:rsidRPr="00800D00">
        <w:t xml:space="preserve">retailer </w:t>
      </w:r>
      <w:r w:rsidR="00E84174">
        <w:t>(</w:t>
      </w:r>
      <w:r w:rsidR="001F7F8A" w:rsidRPr="006A6E1A">
        <w:t>r</w:t>
      </w:r>
      <w:r w:rsidR="00E84174">
        <w:t>)</w:t>
      </w:r>
      <w:r w:rsidR="001F7F8A" w:rsidRPr="00800D00">
        <w:t xml:space="preserve"> in </w:t>
      </w:r>
      <w:r w:rsidR="00E84174">
        <w:t xml:space="preserve">a given </w:t>
      </w:r>
      <w:r w:rsidRPr="00800D00">
        <w:t xml:space="preserve">week </w:t>
      </w:r>
      <w:r w:rsidR="00E84174">
        <w:t>(</w:t>
      </w:r>
      <w:r w:rsidRPr="006A6E1A">
        <w:t>w</w:t>
      </w:r>
      <w:r w:rsidR="00E84174">
        <w:t>)</w:t>
      </w:r>
      <w:r w:rsidRPr="00800D00">
        <w:t xml:space="preserve">. If </w:t>
      </w:r>
      <w:proofErr w:type="spellStart"/>
      <w:r w:rsidRPr="006A6E1A">
        <w:t>X</w:t>
      </w:r>
      <w:r w:rsidRPr="006A6E1A">
        <w:rPr>
          <w:vertAlign w:val="superscript"/>
        </w:rPr>
        <w:t>R</w:t>
      </w:r>
      <w:r w:rsidRPr="006A6E1A">
        <w:rPr>
          <w:vertAlign w:val="subscript"/>
        </w:rPr>
        <w:t>rw</w:t>
      </w:r>
      <w:proofErr w:type="spellEnd"/>
      <w:r w:rsidRPr="00800D00">
        <w:rPr>
          <w:i/>
          <w:vertAlign w:val="subscript"/>
        </w:rPr>
        <w:t xml:space="preserve"> </w:t>
      </w:r>
      <w:r w:rsidRPr="00800D00">
        <w:t xml:space="preserve">is the quantity sold at the regular price, and </w:t>
      </w:r>
      <w:proofErr w:type="spellStart"/>
      <w:r w:rsidRPr="006A6E1A">
        <w:t>X</w:t>
      </w:r>
      <w:r w:rsidRPr="006A6E1A">
        <w:rPr>
          <w:vertAlign w:val="superscript"/>
        </w:rPr>
        <w:t>P</w:t>
      </w:r>
      <w:r w:rsidRPr="006A6E1A">
        <w:rPr>
          <w:vertAlign w:val="subscript"/>
        </w:rPr>
        <w:t>rw</w:t>
      </w:r>
      <w:proofErr w:type="spellEnd"/>
      <w:r w:rsidRPr="00800D00">
        <w:rPr>
          <w:vertAlign w:val="subscript"/>
        </w:rPr>
        <w:t xml:space="preserve"> </w:t>
      </w:r>
      <w:r w:rsidRPr="00800D00">
        <w:t xml:space="preserve">the quantity sold under promotion conditions, then the total revenue for the retailer </w:t>
      </w:r>
      <w:r w:rsidR="001F7F8A" w:rsidRPr="00800D00">
        <w:t xml:space="preserve">in that week </w:t>
      </w:r>
      <w:r w:rsidRPr="00800D00">
        <w:t>can be approximated by</w:t>
      </w:r>
      <w:r w:rsidR="007550A1" w:rsidRPr="00800D0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8303"/>
      </w:tblGrid>
      <w:tr w:rsidR="001A75AB" w:rsidRPr="00800D00" w14:paraId="11AACCEB" w14:textId="77777777" w:rsidTr="009936AF">
        <w:tc>
          <w:tcPr>
            <w:tcW w:w="279" w:type="dxa"/>
          </w:tcPr>
          <w:p w14:paraId="64B3DD15" w14:textId="42217B50" w:rsidR="00234E2F" w:rsidRPr="00800D00" w:rsidRDefault="00234E2F" w:rsidP="00620A68">
            <w:pPr>
              <w:rPr>
                <w:lang w:val="en-US"/>
              </w:rPr>
            </w:pPr>
            <w:r w:rsidRPr="00800D00">
              <w:rPr>
                <w:rFonts w:eastAsiaTheme="minorEastAsia"/>
                <w:lang w:val="en-US"/>
              </w:rPr>
              <w:t>(</w:t>
            </w:r>
            <w:r w:rsidR="00FB596E">
              <w:rPr>
                <w:rFonts w:eastAsiaTheme="minorEastAsia"/>
                <w:lang w:val="en-US"/>
              </w:rPr>
              <w:t>W</w:t>
            </w:r>
            <w:r w:rsidRPr="00800D00">
              <w:rPr>
                <w:rFonts w:eastAsiaTheme="minorEastAsia"/>
                <w:lang w:val="en-US"/>
              </w:rPr>
              <w:t>1)</w:t>
            </w:r>
          </w:p>
        </w:tc>
        <w:tc>
          <w:tcPr>
            <w:tcW w:w="8737" w:type="dxa"/>
          </w:tcPr>
          <w:p w14:paraId="63355FD8" w14:textId="6232F130" w:rsidR="00234E2F" w:rsidRPr="00FB596E" w:rsidRDefault="00BD099B" w:rsidP="00620A68">
            <w:pPr>
              <w:rPr>
                <w:lang w:val="en-US"/>
              </w:rPr>
            </w:pPr>
            <m:oMathPara>
              <m:oMath>
                <m:sSub>
                  <m:sSubPr>
                    <m:ctrlPr>
                      <w:rPr>
                        <w:rFonts w:ascii="Cambria Math" w:hAnsi="Cambria Math"/>
                        <w:lang w:val="en-US"/>
                      </w:rPr>
                    </m:ctrlPr>
                  </m:sSubPr>
                  <m:e>
                    <m:r>
                      <m:rPr>
                        <m:sty m:val="p"/>
                      </m:rPr>
                      <w:rPr>
                        <w:rFonts w:ascii="Cambria Math" w:hAnsi="Cambria Math"/>
                        <w:lang w:val="en-US"/>
                      </w:rPr>
                      <m:t>R</m:t>
                    </m:r>
                  </m:e>
                  <m:sub>
                    <m:r>
                      <m:rPr>
                        <m:sty m:val="p"/>
                      </m:rPr>
                      <w:rPr>
                        <w:rFonts w:ascii="Cambria Math" w:hAnsi="Cambria Math"/>
                        <w:lang w:val="en-US"/>
                      </w:rPr>
                      <m:t>rw</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r</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X</m:t>
                    </m:r>
                  </m:e>
                  <m:sub>
                    <m:r>
                      <m:rPr>
                        <m:sty m:val="p"/>
                      </m:rPr>
                      <w:rPr>
                        <w:rFonts w:ascii="Cambria Math" w:hAnsi="Cambria Math"/>
                        <w:lang w:val="en-US"/>
                      </w:rPr>
                      <m:t>rw</m:t>
                    </m:r>
                  </m:sub>
                  <m:sup>
                    <m:r>
                      <m:rPr>
                        <m:sty m:val="p"/>
                      </m:rPr>
                      <w:rPr>
                        <w:rFonts w:ascii="Cambria Math" w:hAnsi="Cambria Math"/>
                        <w:lang w:val="en-US"/>
                      </w:rPr>
                      <m:t>R</m:t>
                    </m:r>
                  </m:sup>
                </m:sSub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(1-DD</m:t>
                    </m:r>
                  </m:e>
                  <m:sub>
                    <m:r>
                      <m:rPr>
                        <m:sty m:val="p"/>
                      </m:rPr>
                      <w:rPr>
                        <w:rFonts w:ascii="Cambria Math" w:hAnsi="Cambria Math"/>
                        <w:lang w:val="en-US"/>
                      </w:rPr>
                      <m:t>rw</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r</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X</m:t>
                    </m:r>
                  </m:e>
                  <m:sub>
                    <m:r>
                      <m:rPr>
                        <m:sty m:val="p"/>
                      </m:rPr>
                      <w:rPr>
                        <w:rFonts w:ascii="Cambria Math" w:hAnsi="Cambria Math"/>
                        <w:lang w:val="en-US"/>
                      </w:rPr>
                      <m:t>rw</m:t>
                    </m:r>
                  </m:sub>
                  <m:sup>
                    <m:r>
                      <m:rPr>
                        <m:sty m:val="p"/>
                      </m:rPr>
                      <w:rPr>
                        <w:rFonts w:ascii="Cambria Math" w:hAnsi="Cambria Math"/>
                        <w:lang w:val="en-US"/>
                      </w:rPr>
                      <m:t>P</m:t>
                    </m:r>
                  </m:sup>
                </m:sSubSup>
              </m:oMath>
            </m:oMathPara>
          </w:p>
        </w:tc>
      </w:tr>
    </w:tbl>
    <w:p w14:paraId="6E1D102E" w14:textId="4B8514D5" w:rsidR="007550A1" w:rsidRPr="00800D00" w:rsidRDefault="007550A1" w:rsidP="00620A68">
      <w:r w:rsidRPr="00800D00">
        <w:t xml:space="preserve">and the associated </w:t>
      </w:r>
      <w:r w:rsidR="00F02D94">
        <w:t>gross profit</w:t>
      </w:r>
      <w:r w:rsidRPr="00800D00">
        <w:t xml:space="preserve"> is obtained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8303"/>
      </w:tblGrid>
      <w:tr w:rsidR="001A75AB" w:rsidRPr="00800D00" w14:paraId="0105F3E1" w14:textId="77777777" w:rsidTr="009936AF">
        <w:tc>
          <w:tcPr>
            <w:tcW w:w="279" w:type="dxa"/>
          </w:tcPr>
          <w:p w14:paraId="290648CD" w14:textId="0D4552C1" w:rsidR="00331C66" w:rsidRPr="00800D00" w:rsidRDefault="00331C66" w:rsidP="00F86F75">
            <w:pPr>
              <w:rPr>
                <w:lang w:val="en-US"/>
              </w:rPr>
            </w:pPr>
            <w:r w:rsidRPr="00800D00">
              <w:rPr>
                <w:rFonts w:eastAsiaTheme="minorEastAsia"/>
                <w:lang w:val="en-US"/>
              </w:rPr>
              <w:t>(</w:t>
            </w:r>
            <w:r w:rsidR="00FB596E">
              <w:rPr>
                <w:rFonts w:eastAsiaTheme="minorEastAsia"/>
                <w:lang w:val="en-US"/>
              </w:rPr>
              <w:t>W</w:t>
            </w:r>
            <w:r w:rsidRPr="00800D00">
              <w:rPr>
                <w:rFonts w:eastAsiaTheme="minorEastAsia"/>
                <w:lang w:val="en-US"/>
              </w:rPr>
              <w:t>2)</w:t>
            </w:r>
          </w:p>
        </w:tc>
        <w:tc>
          <w:tcPr>
            <w:tcW w:w="8737" w:type="dxa"/>
          </w:tcPr>
          <w:p w14:paraId="7123AF38" w14:textId="3DC45E88" w:rsidR="00331C66" w:rsidRPr="00FB596E" w:rsidRDefault="00BD099B" w:rsidP="00AC327A">
            <w:pPr>
              <w:rPr>
                <w:lang w:val="en-US"/>
              </w:rPr>
            </w:pPr>
            <m:oMathPara>
              <m:oMath>
                <m:sSub>
                  <m:sSubPr>
                    <m:ctrlPr>
                      <w:rPr>
                        <w:rFonts w:ascii="Cambria Math" w:hAnsi="Cambria Math"/>
                        <w:lang w:val="en-US"/>
                      </w:rPr>
                    </m:ctrlPr>
                  </m:sSubPr>
                  <m:e>
                    <m:r>
                      <m:rPr>
                        <m:sty m:val="p"/>
                      </m:rPr>
                      <w:rPr>
                        <w:rFonts w:ascii="Cambria Math" w:hAnsi="Cambria Math"/>
                        <w:lang w:val="en-US"/>
                      </w:rPr>
                      <m:t>GP</m:t>
                    </m:r>
                  </m:e>
                  <m:sub>
                    <m:r>
                      <m:rPr>
                        <m:sty m:val="p"/>
                      </m:rPr>
                      <w:rPr>
                        <w:rFonts w:ascii="Cambria Math" w:hAnsi="Cambria Math"/>
                        <w:lang w:val="en-US"/>
                      </w:rPr>
                      <m:t>rw</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m*p</m:t>
                    </m:r>
                  </m:e>
                  <m:sub>
                    <m:r>
                      <m:rPr>
                        <m:sty m:val="p"/>
                      </m:rPr>
                      <w:rPr>
                        <w:rFonts w:ascii="Cambria Math" w:hAnsi="Cambria Math"/>
                        <w:lang w:val="en-US"/>
                      </w:rPr>
                      <m:t>r</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X</m:t>
                    </m:r>
                  </m:e>
                  <m:sub>
                    <m:r>
                      <m:rPr>
                        <m:sty m:val="p"/>
                      </m:rPr>
                      <w:rPr>
                        <w:rFonts w:ascii="Cambria Math" w:hAnsi="Cambria Math"/>
                        <w:lang w:val="en-US"/>
                      </w:rPr>
                      <m:t>rw</m:t>
                    </m:r>
                  </m:sub>
                  <m:sup>
                    <m:r>
                      <m:rPr>
                        <m:sty m:val="p"/>
                      </m:rPr>
                      <w:rPr>
                        <w:rFonts w:ascii="Cambria Math" w:hAnsi="Cambria Math"/>
                        <w:lang w:val="en-US"/>
                      </w:rPr>
                      <m:t>R</m:t>
                    </m:r>
                  </m:sup>
                </m:sSub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(m-DD</m:t>
                    </m:r>
                  </m:e>
                  <m:sub>
                    <m:r>
                      <m:rPr>
                        <m:sty m:val="p"/>
                      </m:rPr>
                      <w:rPr>
                        <w:rFonts w:ascii="Cambria Math" w:hAnsi="Cambria Math"/>
                        <w:lang w:val="en-US"/>
                      </w:rPr>
                      <m:t>rw</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g</m:t>
                    </m:r>
                  </m:e>
                  <m:sub>
                    <m:r>
                      <m:rPr>
                        <m:sty m:val="p"/>
                      </m:rPr>
                      <w:rPr>
                        <w:rFonts w:ascii="Cambria Math" w:hAnsi="Cambria Math"/>
                        <w:lang w:val="en-US"/>
                      </w:rPr>
                      <m:t>w</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r</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X</m:t>
                    </m:r>
                  </m:e>
                  <m:sub>
                    <m:r>
                      <m:rPr>
                        <m:sty m:val="p"/>
                      </m:rPr>
                      <w:rPr>
                        <w:rFonts w:ascii="Cambria Math" w:hAnsi="Cambria Math"/>
                        <w:lang w:val="en-US"/>
                      </w:rPr>
                      <m:t>rw</m:t>
                    </m:r>
                  </m:sub>
                  <m:sup>
                    <m:r>
                      <m:rPr>
                        <m:sty m:val="p"/>
                      </m:rPr>
                      <w:rPr>
                        <w:rFonts w:ascii="Cambria Math" w:hAnsi="Cambria Math"/>
                        <w:lang w:val="en-US"/>
                      </w:rPr>
                      <m:t>P</m:t>
                    </m:r>
                  </m:sup>
                </m:sSub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A</m:t>
                    </m:r>
                  </m:e>
                  <m:sub>
                    <m:r>
                      <m:rPr>
                        <m:sty m:val="p"/>
                      </m:rPr>
                      <w:rPr>
                        <w:rFonts w:ascii="Cambria Math" w:hAnsi="Cambria Math"/>
                        <w:lang w:val="en-US"/>
                      </w:rPr>
                      <m:t>rw</m:t>
                    </m:r>
                  </m:sub>
                </m:sSub>
              </m:oMath>
            </m:oMathPara>
          </w:p>
        </w:tc>
      </w:tr>
    </w:tbl>
    <w:p w14:paraId="379DBD45" w14:textId="5ABEBE65" w:rsidR="007550A1" w:rsidRPr="00800D00" w:rsidRDefault="007550A1" w:rsidP="00620A68">
      <w:r w:rsidRPr="00800D00">
        <w:t>Let</w:t>
      </w:r>
      <w:r w:rsidRPr="00800D00">
        <w:rPr>
          <w:i/>
        </w:rPr>
        <w:t xml:space="preserve"> </w:t>
      </w:r>
      <w:proofErr w:type="spellStart"/>
      <w:r w:rsidRPr="00E84174">
        <w:t>PromShare</w:t>
      </w:r>
      <w:r w:rsidRPr="00E84174">
        <w:rPr>
          <w:vertAlign w:val="subscript"/>
        </w:rPr>
        <w:t>r</w:t>
      </w:r>
      <w:r w:rsidR="00620A68" w:rsidRPr="00E84174">
        <w:rPr>
          <w:vertAlign w:val="subscript"/>
        </w:rPr>
        <w:t>w</w:t>
      </w:r>
      <w:proofErr w:type="spellEnd"/>
      <w:r w:rsidRPr="00800D00">
        <w:t xml:space="preserve"> be the average fraction of revenue sold under promotion conditions in</w:t>
      </w:r>
      <w:r w:rsidR="00E84174">
        <w:t xml:space="preserve"> a</w:t>
      </w:r>
      <w:r w:rsidRPr="00800D00">
        <w:t xml:space="preserve"> </w:t>
      </w:r>
      <w:r w:rsidR="00E84174">
        <w:t xml:space="preserve">given </w:t>
      </w:r>
      <w:r w:rsidR="00620A68" w:rsidRPr="00800D00">
        <w:t xml:space="preserve">week </w:t>
      </w:r>
      <w:r w:rsidR="00E84174">
        <w:t>(</w:t>
      </w:r>
      <w:r w:rsidR="00620A68" w:rsidRPr="00E84174">
        <w:t>w</w:t>
      </w:r>
      <w:r w:rsidR="00E84174">
        <w:t>)</w:t>
      </w:r>
      <w:r w:rsidRPr="00800D00">
        <w:t>, 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8303"/>
      </w:tblGrid>
      <w:tr w:rsidR="001A75AB" w:rsidRPr="00800D00" w14:paraId="68D23154" w14:textId="77777777" w:rsidTr="009936AF">
        <w:trPr>
          <w:jc w:val="center"/>
        </w:trPr>
        <w:tc>
          <w:tcPr>
            <w:tcW w:w="670" w:type="dxa"/>
            <w:vAlign w:val="center"/>
          </w:tcPr>
          <w:p w14:paraId="7BC4E9E6" w14:textId="3C218700" w:rsidR="009D56D0" w:rsidRPr="00800D00" w:rsidRDefault="009D56D0" w:rsidP="00F86F75">
            <w:pPr>
              <w:rPr>
                <w:lang w:val="en-US"/>
              </w:rPr>
            </w:pPr>
            <w:r w:rsidRPr="00800D00">
              <w:rPr>
                <w:rFonts w:eastAsiaTheme="minorEastAsia"/>
                <w:lang w:val="en-US"/>
              </w:rPr>
              <w:t>(</w:t>
            </w:r>
            <w:r w:rsidR="00FB596E">
              <w:rPr>
                <w:rFonts w:eastAsiaTheme="minorEastAsia"/>
                <w:lang w:val="en-US"/>
              </w:rPr>
              <w:t>W</w:t>
            </w:r>
            <w:r w:rsidRPr="00800D00">
              <w:rPr>
                <w:rFonts w:eastAsiaTheme="minorEastAsia"/>
                <w:lang w:val="en-US"/>
              </w:rPr>
              <w:t>3)</w:t>
            </w:r>
          </w:p>
        </w:tc>
        <w:tc>
          <w:tcPr>
            <w:tcW w:w="8346" w:type="dxa"/>
            <w:vAlign w:val="center"/>
          </w:tcPr>
          <w:p w14:paraId="4C4E0993" w14:textId="4F03AADD" w:rsidR="009D56D0" w:rsidRPr="00FB596E" w:rsidRDefault="00BD099B" w:rsidP="00F86F75">
            <w:pPr>
              <w:rPr>
                <w:lang w:val="en-US"/>
              </w:rPr>
            </w:pPr>
            <m:oMathPara>
              <m:oMath>
                <m:sSub>
                  <m:sSubPr>
                    <m:ctrlPr>
                      <w:rPr>
                        <w:rFonts w:ascii="Cambria Math" w:hAnsi="Cambria Math"/>
                        <w:lang w:val="en-US"/>
                      </w:rPr>
                    </m:ctrlPr>
                  </m:sSubPr>
                  <m:e>
                    <m:r>
                      <m:rPr>
                        <m:sty m:val="p"/>
                      </m:rPr>
                      <w:rPr>
                        <w:rFonts w:ascii="Cambria Math" w:hAnsi="Cambria Math"/>
                        <w:lang w:val="en-US"/>
                      </w:rPr>
                      <m:t>PromShare</m:t>
                    </m:r>
                  </m:e>
                  <m:sub>
                    <m:r>
                      <m:rPr>
                        <m:sty m:val="p"/>
                      </m:rPr>
                      <w:rPr>
                        <w:rFonts w:ascii="Cambria Math" w:hAnsi="Cambria Math"/>
                        <w:lang w:val="en-US"/>
                      </w:rPr>
                      <m:t>rw</m:t>
                    </m:r>
                  </m:sub>
                </m:sSub>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(1-DD</m:t>
                        </m:r>
                      </m:e>
                      <m:sub>
                        <m:r>
                          <m:rPr>
                            <m:sty m:val="p"/>
                          </m:rPr>
                          <w:rPr>
                            <w:rFonts w:ascii="Cambria Math" w:hAnsi="Cambria Math"/>
                            <w:lang w:val="en-US"/>
                          </w:rPr>
                          <m:t>rw</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r</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X</m:t>
                        </m:r>
                      </m:e>
                      <m:sub>
                        <m:r>
                          <m:rPr>
                            <m:sty m:val="p"/>
                          </m:rPr>
                          <w:rPr>
                            <w:rFonts w:ascii="Cambria Math" w:hAnsi="Cambria Math"/>
                            <w:lang w:val="en-US"/>
                          </w:rPr>
                          <m:t>rw</m:t>
                        </m:r>
                      </m:sub>
                      <m:sup>
                        <m:r>
                          <m:rPr>
                            <m:sty m:val="p"/>
                          </m:rPr>
                          <w:rPr>
                            <w:rFonts w:ascii="Cambria Math" w:hAnsi="Cambria Math"/>
                            <w:lang w:val="en-US"/>
                          </w:rPr>
                          <m:t>P</m:t>
                        </m:r>
                      </m:sup>
                    </m:sSubSup>
                  </m:num>
                  <m:den>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r</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X</m:t>
                        </m:r>
                      </m:e>
                      <m:sub>
                        <m:r>
                          <m:rPr>
                            <m:sty m:val="p"/>
                          </m:rPr>
                          <w:rPr>
                            <w:rFonts w:ascii="Cambria Math" w:hAnsi="Cambria Math"/>
                            <w:lang w:val="en-US"/>
                          </w:rPr>
                          <m:t>rw</m:t>
                        </m:r>
                      </m:sub>
                      <m:sup>
                        <m:r>
                          <m:rPr>
                            <m:sty m:val="p"/>
                          </m:rPr>
                          <w:rPr>
                            <w:rFonts w:ascii="Cambria Math" w:hAnsi="Cambria Math"/>
                            <w:lang w:val="en-US"/>
                          </w:rPr>
                          <m:t>R</m:t>
                        </m:r>
                      </m:sup>
                    </m:sSubSup>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(1-DD</m:t>
                        </m:r>
                      </m:e>
                      <m:sub>
                        <m:r>
                          <m:rPr>
                            <m:sty m:val="p"/>
                          </m:rPr>
                          <w:rPr>
                            <w:rFonts w:ascii="Cambria Math" w:hAnsi="Cambria Math"/>
                            <w:lang w:val="en-US"/>
                          </w:rPr>
                          <m:t>rw</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p</m:t>
                        </m:r>
                      </m:e>
                      <m:sub>
                        <m:r>
                          <m:rPr>
                            <m:sty m:val="p"/>
                          </m:rPr>
                          <w:rPr>
                            <w:rFonts w:ascii="Cambria Math" w:hAnsi="Cambria Math"/>
                            <w:lang w:val="en-US"/>
                          </w:rPr>
                          <m:t>r</m:t>
                        </m:r>
                      </m:sub>
                    </m:sSub>
                    <m:r>
                      <m:rPr>
                        <m:sty m:val="p"/>
                      </m:rPr>
                      <w:rPr>
                        <w:rFonts w:ascii="Cambria Math" w:hAnsi="Cambria Math"/>
                        <w:lang w:val="en-US"/>
                      </w:rPr>
                      <m:t>*</m:t>
                    </m:r>
                    <m:sSubSup>
                      <m:sSubSupPr>
                        <m:ctrlPr>
                          <w:rPr>
                            <w:rFonts w:ascii="Cambria Math" w:hAnsi="Cambria Math"/>
                            <w:lang w:val="en-US"/>
                          </w:rPr>
                        </m:ctrlPr>
                      </m:sSubSupPr>
                      <m:e>
                        <m:r>
                          <m:rPr>
                            <m:sty m:val="p"/>
                          </m:rPr>
                          <w:rPr>
                            <w:rFonts w:ascii="Cambria Math" w:hAnsi="Cambria Math"/>
                            <w:lang w:val="en-US"/>
                          </w:rPr>
                          <m:t>X</m:t>
                        </m:r>
                      </m:e>
                      <m:sub>
                        <m:r>
                          <m:rPr>
                            <m:sty m:val="p"/>
                          </m:rPr>
                          <w:rPr>
                            <w:rFonts w:ascii="Cambria Math" w:hAnsi="Cambria Math"/>
                            <w:lang w:val="en-US"/>
                          </w:rPr>
                          <m:t>rw</m:t>
                        </m:r>
                      </m:sub>
                      <m:sup>
                        <m:r>
                          <m:rPr>
                            <m:sty m:val="p"/>
                          </m:rPr>
                          <w:rPr>
                            <w:rFonts w:ascii="Cambria Math" w:hAnsi="Cambria Math"/>
                            <w:lang w:val="en-US"/>
                          </w:rPr>
                          <m:t>P</m:t>
                        </m:r>
                      </m:sup>
                    </m:sSubSup>
                  </m:den>
                </m:f>
              </m:oMath>
            </m:oMathPara>
          </w:p>
        </w:tc>
      </w:tr>
    </w:tbl>
    <w:p w14:paraId="3EC8B4D3" w14:textId="40BD16EE" w:rsidR="00495C4D" w:rsidRPr="00800D00" w:rsidRDefault="00E815E8" w:rsidP="00620A68">
      <w:pPr>
        <w:rPr>
          <w:rFonts w:eastAsiaTheme="minorEastAsia"/>
        </w:rPr>
      </w:pPr>
      <w:r w:rsidRPr="00800D00">
        <w:t xml:space="preserve">It follows that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rw</m:t>
            </m:r>
          </m:sub>
          <m:sup>
            <m:r>
              <m:rPr>
                <m:sty m:val="p"/>
              </m:rPr>
              <w:rPr>
                <w:rFonts w:ascii="Cambria Math" w:hAnsi="Cambria Math"/>
              </w:rPr>
              <m:t>R</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rw</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m:rPr>
                    <m:sty m:val="p"/>
                  </m:rPr>
                  <w:rPr>
                    <w:rFonts w:ascii="Cambria Math" w:hAnsi="Cambria Math"/>
                  </w:rPr>
                  <m:t>PromShare</m:t>
                </m:r>
              </m:e>
              <m:sub>
                <m:r>
                  <m:rPr>
                    <m:sty m:val="p"/>
                  </m:rPr>
                  <w:rPr>
                    <w:rFonts w:ascii="Cambria Math" w:hAnsi="Cambria Math"/>
                  </w:rPr>
                  <m:t>rw</m:t>
                </m:r>
              </m:sub>
            </m:sSub>
          </m:e>
        </m:d>
      </m:oMath>
      <w:r w:rsidR="00331C66" w:rsidRPr="00800D00">
        <w:rPr>
          <w:rFonts w:eastAsiaTheme="minorEastAsia"/>
        </w:rPr>
        <w:t>,</w:t>
      </w:r>
      <w:r w:rsidRPr="00800D00">
        <w:rPr>
          <w:rFonts w:eastAsiaTheme="minorEastAsia"/>
        </w:rPr>
        <w:t xml:space="preserve"> </w:t>
      </w:r>
    </w:p>
    <w:p w14:paraId="5276FF2F" w14:textId="7578D464" w:rsidR="00E815E8" w:rsidRPr="00800D00" w:rsidRDefault="00E815E8" w:rsidP="00620A68">
      <w:r w:rsidRPr="00800D00">
        <w:rPr>
          <w:rFonts w:eastAsiaTheme="minorEastAsia"/>
        </w:rPr>
        <w:t xml:space="preserve">and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r</m:t>
            </m:r>
          </m:sub>
        </m:sSub>
        <m:r>
          <m:rPr>
            <m:sty m:val="p"/>
          </m:rPr>
          <w:rPr>
            <w:rFonts w:ascii="Cambria Math" w:hAnsi="Cambria Math"/>
          </w:rPr>
          <m:t>*</m:t>
        </m:r>
        <m:sSubSup>
          <m:sSubSupPr>
            <m:ctrlPr>
              <w:rPr>
                <w:rFonts w:ascii="Cambria Math" w:hAnsi="Cambria Math"/>
              </w:rPr>
            </m:ctrlPr>
          </m:sSubSupPr>
          <m:e>
            <m:r>
              <m:rPr>
                <m:sty m:val="p"/>
              </m:rPr>
              <w:rPr>
                <w:rFonts w:ascii="Cambria Math" w:hAnsi="Cambria Math"/>
              </w:rPr>
              <m:t>X</m:t>
            </m:r>
          </m:e>
          <m:sub>
            <m:r>
              <m:rPr>
                <m:sty m:val="p"/>
              </m:rPr>
              <w:rPr>
                <w:rFonts w:ascii="Cambria Math" w:hAnsi="Cambria Math"/>
              </w:rPr>
              <m:t>rw</m:t>
            </m:r>
          </m:sub>
          <m:sup>
            <m:r>
              <m:rPr>
                <m:sty m:val="p"/>
              </m:rPr>
              <w:rPr>
                <w:rFonts w:ascii="Cambria Math" w:hAnsi="Cambria Math"/>
              </w:rPr>
              <m:t>P</m:t>
            </m:r>
          </m:sup>
        </m:sSubSup>
        <m:r>
          <m:rPr>
            <m:sty m:val="p"/>
          </m:rPr>
          <w:rPr>
            <w:rFonts w:ascii="Cambria Math" w:hAnsi="Cambria Math"/>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rw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PromShare</m:t>
            </m:r>
          </m:e>
          <m:sub>
            <m:r>
              <m:rPr>
                <m:sty m:val="p"/>
              </m:rPr>
              <w:rPr>
                <w:rFonts w:ascii="Cambria Math" w:hAnsi="Cambria Math"/>
              </w:rPr>
              <m:t>rw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(1-DD</m:t>
            </m:r>
          </m:e>
          <m:sub>
            <m:r>
              <m:rPr>
                <m:sty m:val="p"/>
              </m:rPr>
              <w:rPr>
                <w:rFonts w:ascii="Cambria Math" w:hAnsi="Cambria Math"/>
              </w:rPr>
              <m:t>rw</m:t>
            </m:r>
          </m:sub>
        </m:sSub>
        <m:r>
          <m:rPr>
            <m:sty m:val="p"/>
          </m:rPr>
          <w:rPr>
            <w:rFonts w:ascii="Cambria Math" w:hAnsi="Cambria Math"/>
          </w:rPr>
          <m:t>)</m:t>
        </m:r>
      </m:oMath>
      <w:r w:rsidR="00331C66" w:rsidRPr="00800D00">
        <w:rPr>
          <w:rFonts w:eastAsiaTheme="minorEastAsia"/>
        </w:rPr>
        <w:t>.</w:t>
      </w:r>
    </w:p>
    <w:p w14:paraId="774DCB5C" w14:textId="3779004E" w:rsidR="00E632E5" w:rsidRPr="00800D00" w:rsidRDefault="00E815E8" w:rsidP="00620A68">
      <w:r w:rsidRPr="00800D00">
        <w:t xml:space="preserve">Substituting </w:t>
      </w:r>
      <w:r w:rsidR="00066659" w:rsidRPr="00800D00">
        <w:t>(</w:t>
      </w:r>
      <w:r w:rsidR="00FB596E">
        <w:t>W</w:t>
      </w:r>
      <w:r w:rsidR="00066659" w:rsidRPr="00800D00">
        <w:t xml:space="preserve">3) </w:t>
      </w:r>
      <w:r w:rsidRPr="00800D00">
        <w:t>in (</w:t>
      </w:r>
      <w:r w:rsidR="00FB596E">
        <w:t>W</w:t>
      </w:r>
      <w:r w:rsidRPr="00800D00">
        <w:t>2), t</w:t>
      </w:r>
      <w:r w:rsidR="00E632E5" w:rsidRPr="00800D00">
        <w:t xml:space="preserve">he </w:t>
      </w:r>
      <w:r w:rsidR="001F7F8A" w:rsidRPr="00800D00">
        <w:t xml:space="preserve">total </w:t>
      </w:r>
      <w:r w:rsidR="00F02D94">
        <w:t>gross profit</w:t>
      </w:r>
      <w:r w:rsidR="00E632E5" w:rsidRPr="00800D00">
        <w:t xml:space="preserve"> associated with revenue </w:t>
      </w:r>
      <w:proofErr w:type="spellStart"/>
      <w:r w:rsidR="00E632E5" w:rsidRPr="00E84174">
        <w:t>R</w:t>
      </w:r>
      <w:r w:rsidR="00E632E5" w:rsidRPr="00E84174">
        <w:rPr>
          <w:vertAlign w:val="subscript"/>
        </w:rPr>
        <w:t>rw</w:t>
      </w:r>
      <w:proofErr w:type="spellEnd"/>
      <w:r w:rsidR="00E632E5" w:rsidRPr="00800D00">
        <w:t xml:space="preserve"> can be </w:t>
      </w:r>
      <w:r w:rsidRPr="00800D00">
        <w:t>written as</w:t>
      </w:r>
      <w:r w:rsidR="00E632E5" w:rsidRPr="00800D00">
        <w:t>:</w:t>
      </w:r>
    </w:p>
    <w:tbl>
      <w:tblPr>
        <w:tblStyle w:val="TableGrid"/>
        <w:tblW w:w="94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8693"/>
      </w:tblGrid>
      <w:tr w:rsidR="001A75AB" w:rsidRPr="00800D00" w14:paraId="61CE607E" w14:textId="77777777" w:rsidTr="00EA7371">
        <w:trPr>
          <w:trHeight w:val="579"/>
          <w:jc w:val="center"/>
        </w:trPr>
        <w:tc>
          <w:tcPr>
            <w:tcW w:w="751" w:type="dxa"/>
            <w:vAlign w:val="center"/>
          </w:tcPr>
          <w:p w14:paraId="78EE8D64" w14:textId="05BB8CEA" w:rsidR="00331C66" w:rsidRPr="00800D00" w:rsidRDefault="00331C66" w:rsidP="00F86F75">
            <w:pPr>
              <w:rPr>
                <w:lang w:val="en-US"/>
              </w:rPr>
            </w:pPr>
            <w:r w:rsidRPr="00800D00">
              <w:rPr>
                <w:rFonts w:eastAsiaTheme="minorEastAsia"/>
                <w:lang w:val="en-US"/>
              </w:rPr>
              <w:t>(</w:t>
            </w:r>
            <w:r w:rsidR="00FB596E">
              <w:rPr>
                <w:rFonts w:eastAsiaTheme="minorEastAsia"/>
                <w:lang w:val="en-US"/>
              </w:rPr>
              <w:t>W</w:t>
            </w:r>
            <w:r w:rsidRPr="00800D00">
              <w:rPr>
                <w:rFonts w:eastAsiaTheme="minorEastAsia"/>
                <w:lang w:val="en-US"/>
              </w:rPr>
              <w:t>4)</w:t>
            </w:r>
          </w:p>
        </w:tc>
        <w:tc>
          <w:tcPr>
            <w:tcW w:w="8693" w:type="dxa"/>
            <w:vAlign w:val="center"/>
          </w:tcPr>
          <w:p w14:paraId="72B340EB" w14:textId="6C2479FE" w:rsidR="00331C66" w:rsidRPr="00FB596E" w:rsidRDefault="00BD099B" w:rsidP="00AC327A">
            <w:pPr>
              <w:rPr>
                <w:lang w:val="en-US"/>
              </w:rPr>
            </w:pPr>
            <m:oMathPara>
              <m:oMath>
                <m:sSub>
                  <m:sSubPr>
                    <m:ctrlPr>
                      <w:rPr>
                        <w:rFonts w:ascii="Cambria Math" w:hAnsi="Cambria Math"/>
                        <w:lang w:val="en-US"/>
                      </w:rPr>
                    </m:ctrlPr>
                  </m:sSubPr>
                  <m:e>
                    <m:r>
                      <m:rPr>
                        <m:sty m:val="p"/>
                      </m:rPr>
                      <w:rPr>
                        <w:rFonts w:ascii="Cambria Math" w:hAnsi="Cambria Math"/>
                        <w:lang w:val="en-US"/>
                      </w:rPr>
                      <m:t>GP</m:t>
                    </m:r>
                  </m:e>
                  <m:sub>
                    <m:r>
                      <m:rPr>
                        <m:sty m:val="p"/>
                      </m:rPr>
                      <w:rPr>
                        <w:rFonts w:ascii="Cambria Math" w:hAnsi="Cambria Math"/>
                        <w:lang w:val="en-US"/>
                      </w:rPr>
                      <m:t>rw</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[R</m:t>
                    </m:r>
                  </m:e>
                  <m:sub>
                    <m:r>
                      <m:rPr>
                        <m:sty m:val="p"/>
                      </m:rPr>
                      <w:rPr>
                        <w:rFonts w:ascii="Cambria Math" w:hAnsi="Cambria Math"/>
                        <w:lang w:val="en-US"/>
                      </w:rPr>
                      <m:t>rw</m:t>
                    </m:r>
                  </m:sub>
                </m:sSub>
                <m:r>
                  <m:rPr>
                    <m:sty m:val="p"/>
                  </m:rPr>
                  <w:rPr>
                    <w:rFonts w:ascii="Cambria Math" w:hAnsi="Cambria Math"/>
                    <w:lang w:val="en-US"/>
                  </w:rPr>
                  <m:t>*</m:t>
                </m:r>
                <m:d>
                  <m:dPr>
                    <m:ctrlPr>
                      <w:rPr>
                        <w:rFonts w:ascii="Cambria Math" w:hAnsi="Cambria Math"/>
                        <w:lang w:val="en-US"/>
                      </w:rPr>
                    </m:ctrlPr>
                  </m:dPr>
                  <m:e>
                    <m:r>
                      <m:rPr>
                        <m:sty m:val="p"/>
                      </m:rPr>
                      <w:rPr>
                        <w:rFonts w:ascii="Cambria Math" w:hAnsi="Cambria Math"/>
                        <w:lang w:val="en-US"/>
                      </w:rPr>
                      <m:t>m</m:t>
                    </m:r>
                    <m:d>
                      <m:dPr>
                        <m:ctrlPr>
                          <w:rPr>
                            <w:rFonts w:ascii="Cambria Math" w:hAnsi="Cambria Math"/>
                            <w:lang w:val="en-US"/>
                          </w:rPr>
                        </m:ctrlPr>
                      </m:dPr>
                      <m:e>
                        <m:r>
                          <m:rPr>
                            <m:sty m:val="p"/>
                          </m:rPr>
                          <w:rPr>
                            <w:rFonts w:ascii="Cambria Math" w:hAnsi="Cambria Math"/>
                            <w:lang w:val="en-US"/>
                          </w:rPr>
                          <m:t>1-</m:t>
                        </m:r>
                        <m:sSub>
                          <m:sSubPr>
                            <m:ctrlPr>
                              <w:rPr>
                                <w:rFonts w:ascii="Cambria Math" w:hAnsi="Cambria Math"/>
                                <w:lang w:val="en-US"/>
                              </w:rPr>
                            </m:ctrlPr>
                          </m:sSubPr>
                          <m:e>
                            <m:r>
                              <m:rPr>
                                <m:sty m:val="p"/>
                              </m:rPr>
                              <w:rPr>
                                <w:rFonts w:ascii="Cambria Math" w:hAnsi="Cambria Math"/>
                                <w:lang w:val="en-US"/>
                              </w:rPr>
                              <m:t>PromShare</m:t>
                            </m:r>
                          </m:e>
                          <m:sub>
                            <m:r>
                              <m:rPr>
                                <m:sty m:val="p"/>
                              </m:rPr>
                              <w:rPr>
                                <w:rFonts w:ascii="Cambria Math" w:hAnsi="Cambria Math"/>
                                <w:lang w:val="en-US"/>
                              </w:rPr>
                              <m:t>rw</m:t>
                            </m:r>
                          </m:sub>
                        </m:sSub>
                      </m:e>
                    </m:d>
                    <m:r>
                      <m:rPr>
                        <m:sty m:val="p"/>
                      </m:rPr>
                      <w:rPr>
                        <w:rFonts w:ascii="Cambria Math" w:hAnsi="Cambria Math"/>
                        <w:lang w:val="en-US"/>
                      </w:rPr>
                      <m:t>+</m:t>
                    </m:r>
                    <m:d>
                      <m:dPr>
                        <m:ctrlPr>
                          <w:rPr>
                            <w:rFonts w:ascii="Cambria Math" w:hAnsi="Cambria Math"/>
                            <w:lang w:val="en-US"/>
                          </w:rPr>
                        </m:ctrlPr>
                      </m:dPr>
                      <m:e>
                        <m:r>
                          <m:rPr>
                            <m:sty m:val="p"/>
                          </m:rPr>
                          <w:rPr>
                            <w:rFonts w:ascii="Cambria Math" w:hAnsi="Cambria Math"/>
                            <w:lang w:val="en-US"/>
                          </w:rPr>
                          <m:t>m-</m:t>
                        </m:r>
                        <m:sSub>
                          <m:sSubPr>
                            <m:ctrlPr>
                              <w:rPr>
                                <w:rFonts w:ascii="Cambria Math" w:hAnsi="Cambria Math"/>
                                <w:lang w:val="en-US"/>
                              </w:rPr>
                            </m:ctrlPr>
                          </m:sSubPr>
                          <m:e>
                            <m:r>
                              <m:rPr>
                                <m:sty m:val="p"/>
                              </m:rPr>
                              <w:rPr>
                                <w:rFonts w:ascii="Cambria Math" w:hAnsi="Cambria Math"/>
                                <w:lang w:val="en-US"/>
                              </w:rPr>
                              <m:t>DD</m:t>
                            </m:r>
                          </m:e>
                          <m:sub>
                            <m:r>
                              <m:rPr>
                                <m:sty m:val="p"/>
                              </m:rPr>
                              <w:rPr>
                                <w:rFonts w:ascii="Cambria Math" w:hAnsi="Cambria Math"/>
                                <w:lang w:val="en-US"/>
                              </w:rPr>
                              <m:t>rw</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g</m:t>
                            </m:r>
                          </m:e>
                          <m:sub>
                            <m:r>
                              <m:rPr>
                                <m:sty m:val="p"/>
                              </m:rPr>
                              <w:rPr>
                                <w:rFonts w:ascii="Cambria Math" w:hAnsi="Cambria Math"/>
                                <w:lang w:val="en-US"/>
                              </w:rPr>
                              <m:t>w</m:t>
                            </m:r>
                          </m:sub>
                        </m:sSub>
                      </m:e>
                    </m:d>
                    <m:r>
                      <m:rPr>
                        <m:sty m:val="p"/>
                      </m:rPr>
                      <w:rPr>
                        <w:rFonts w:ascii="Cambria Math" w:hAnsi="Cambria Math"/>
                        <w:lang w:val="en-US"/>
                      </w:rPr>
                      <m:t>*</m:t>
                    </m:r>
                    <m:f>
                      <m:fPr>
                        <m:ctrlPr>
                          <w:rPr>
                            <w:rFonts w:ascii="Cambria Math" w:hAnsi="Cambria Math"/>
                            <w:lang w:val="en-US"/>
                          </w:rPr>
                        </m:ctrlPr>
                      </m:fPr>
                      <m:num>
                        <m:sSub>
                          <m:sSubPr>
                            <m:ctrlPr>
                              <w:rPr>
                                <w:rFonts w:ascii="Cambria Math" w:hAnsi="Cambria Math"/>
                                <w:lang w:val="en-US"/>
                              </w:rPr>
                            </m:ctrlPr>
                          </m:sSubPr>
                          <m:e>
                            <m:r>
                              <m:rPr>
                                <m:sty m:val="p"/>
                              </m:rPr>
                              <w:rPr>
                                <w:rFonts w:ascii="Cambria Math" w:hAnsi="Cambria Math"/>
                                <w:lang w:val="en-US"/>
                              </w:rPr>
                              <m:t>PromShare</m:t>
                            </m:r>
                          </m:e>
                          <m:sub>
                            <m:r>
                              <m:rPr>
                                <m:sty m:val="p"/>
                              </m:rPr>
                              <w:rPr>
                                <w:rFonts w:ascii="Cambria Math" w:hAnsi="Cambria Math"/>
                                <w:lang w:val="en-US"/>
                              </w:rPr>
                              <m:t>rw</m:t>
                            </m:r>
                          </m:sub>
                        </m:sSub>
                      </m:num>
                      <m:den>
                        <m:sSub>
                          <m:sSubPr>
                            <m:ctrlPr>
                              <w:rPr>
                                <w:rFonts w:ascii="Cambria Math" w:hAnsi="Cambria Math"/>
                                <w:lang w:val="en-US"/>
                              </w:rPr>
                            </m:ctrlPr>
                          </m:sSubPr>
                          <m:e>
                            <m:r>
                              <m:rPr>
                                <m:sty m:val="p"/>
                              </m:rPr>
                              <w:rPr>
                                <w:rFonts w:ascii="Cambria Math" w:hAnsi="Cambria Math"/>
                                <w:lang w:val="en-US"/>
                              </w:rPr>
                              <m:t>(1-DD</m:t>
                            </m:r>
                          </m:e>
                          <m:sub>
                            <m:r>
                              <m:rPr>
                                <m:sty m:val="p"/>
                              </m:rPr>
                              <w:rPr>
                                <w:rFonts w:ascii="Cambria Math" w:hAnsi="Cambria Math"/>
                                <w:lang w:val="en-US"/>
                              </w:rPr>
                              <m:t>rw</m:t>
                            </m:r>
                          </m:sub>
                        </m:sSub>
                        <m:r>
                          <m:rPr>
                            <m:sty m:val="p"/>
                          </m:rPr>
                          <w:rPr>
                            <w:rFonts w:ascii="Cambria Math" w:hAnsi="Cambria Math"/>
                            <w:lang w:val="en-US"/>
                          </w:rPr>
                          <m:t>)</m:t>
                        </m:r>
                      </m:den>
                    </m:f>
                  </m:e>
                </m:d>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A</m:t>
                    </m:r>
                  </m:e>
                  <m:sub>
                    <m:r>
                      <m:rPr>
                        <m:sty m:val="p"/>
                      </m:rPr>
                      <w:rPr>
                        <w:rFonts w:ascii="Cambria Math" w:hAnsi="Cambria Math"/>
                        <w:lang w:val="en-US"/>
                      </w:rPr>
                      <m:t>rw</m:t>
                    </m:r>
                  </m:sub>
                </m:sSub>
                <m:r>
                  <m:rPr>
                    <m:sty m:val="p"/>
                  </m:rPr>
                  <w:rPr>
                    <w:rFonts w:ascii="Cambria Math" w:hAnsi="Cambria Math"/>
                    <w:lang w:val="en-US"/>
                  </w:rPr>
                  <m:t xml:space="preserve"> </m:t>
                </m:r>
              </m:oMath>
            </m:oMathPara>
          </w:p>
        </w:tc>
      </w:tr>
    </w:tbl>
    <w:p w14:paraId="195011B3" w14:textId="2FCC1FBF" w:rsidR="00620A68" w:rsidRPr="00800D00" w:rsidRDefault="00331C66" w:rsidP="00620A68">
      <w:r w:rsidRPr="00800D00">
        <w:t>S</w:t>
      </w:r>
      <w:r w:rsidR="00620A68" w:rsidRPr="00800D00">
        <w:t xml:space="preserve">o, given information on retailer revenue in week </w:t>
      </w:r>
      <w:r w:rsidR="00620A68" w:rsidRPr="00A65B35">
        <w:t>w</w:t>
      </w:r>
      <w:r w:rsidR="00620A68" w:rsidRPr="00800D00">
        <w:t xml:space="preserve">, the fraction of revenue sold under promotion conditions, the average discount depth on promoted items, </w:t>
      </w:r>
      <w:r w:rsidR="00066659" w:rsidRPr="00800D00">
        <w:t xml:space="preserve">the average retailer margin (which we set at .25), </w:t>
      </w:r>
      <w:r w:rsidR="001F7F8A" w:rsidRPr="00800D00">
        <w:t>and an estimate of the retailer</w:t>
      </w:r>
      <w:r w:rsidR="00066659" w:rsidRPr="00800D00">
        <w:t xml:space="preserve"> </w:t>
      </w:r>
      <w:r w:rsidR="001F7F8A" w:rsidRPr="00800D00">
        <w:t xml:space="preserve">participation in the discount, </w:t>
      </w:r>
      <w:r w:rsidR="00620A68" w:rsidRPr="00800D00">
        <w:t xml:space="preserve">we can approximate the </w:t>
      </w:r>
      <w:r w:rsidR="00AC327A">
        <w:t>gross profit</w:t>
      </w:r>
      <w:r w:rsidR="00620A68" w:rsidRPr="00800D00">
        <w:t xml:space="preserve"> for that retailer and week. Because the fraction sold on promotion, the average discount depth on </w:t>
      </w:r>
      <w:r w:rsidR="00066659" w:rsidRPr="00800D00">
        <w:t>promoted</w:t>
      </w:r>
      <w:r w:rsidR="00620A68" w:rsidRPr="00800D00">
        <w:t xml:space="preserve"> items, </w:t>
      </w:r>
      <w:r w:rsidR="001F7F8A" w:rsidRPr="00800D00">
        <w:t xml:space="preserve">the ad budget, and the retailer </w:t>
      </w:r>
      <w:r w:rsidR="00D620CB">
        <w:t xml:space="preserve">(versus manufacturer) </w:t>
      </w:r>
      <w:r w:rsidR="001F7F8A" w:rsidRPr="00800D00">
        <w:t xml:space="preserve">contribution in the discount, </w:t>
      </w:r>
      <w:r w:rsidR="00066659" w:rsidRPr="00800D00">
        <w:t xml:space="preserve">may </w:t>
      </w:r>
      <w:r w:rsidR="00620A68" w:rsidRPr="00800D00">
        <w:t xml:space="preserve">differ between event and </w:t>
      </w:r>
      <w:r w:rsidR="00053687">
        <w:t>nonevent</w:t>
      </w:r>
      <w:r w:rsidR="00620A68" w:rsidRPr="00800D00">
        <w:t xml:space="preserve"> weeks, we use expression (</w:t>
      </w:r>
      <w:r w:rsidR="00FB596E">
        <w:t>W</w:t>
      </w:r>
      <w:r w:rsidR="00620A68" w:rsidRPr="00800D00">
        <w:t xml:space="preserve">4) with different values for these quantities in event vs. </w:t>
      </w:r>
      <w:r w:rsidR="00053687">
        <w:t>nonevent</w:t>
      </w:r>
      <w:r w:rsidR="00620A68" w:rsidRPr="00800D00">
        <w:t xml:space="preserve"> weeks, and calculate the </w:t>
      </w:r>
      <w:r w:rsidR="00AC327A">
        <w:t>profit</w:t>
      </w:r>
      <w:r w:rsidR="00620A68" w:rsidRPr="00800D00">
        <w:t xml:space="preserve"> implications of revenues obtained in such weeks. </w:t>
      </w:r>
    </w:p>
    <w:p w14:paraId="3D042653" w14:textId="1B145C5E" w:rsidR="00D53066" w:rsidRPr="00800D00" w:rsidRDefault="001F7F8A" w:rsidP="00D53066">
      <w:pPr>
        <w:ind w:firstLine="720"/>
      </w:pPr>
      <w:r w:rsidRPr="00800D00">
        <w:t>Specifically, we start from our simulation outcomes for the ‘Event + Support’ scenario (i.e., the retailer revenues for weeks prior to, during, and following the event)</w:t>
      </w:r>
      <w:r w:rsidR="00A75C70" w:rsidRPr="00800D00">
        <w:t xml:space="preserve">. We then convert the simulated purchase volumes to revenues (using the average observed ratio of sales value over purchase volume in event and </w:t>
      </w:r>
      <w:r w:rsidR="00053687">
        <w:t>nonevent</w:t>
      </w:r>
      <w:r w:rsidR="00A75C70" w:rsidRPr="00800D00">
        <w:t xml:space="preserve"> weeks</w:t>
      </w:r>
      <w:r w:rsidR="00D620CB">
        <w:t>, after trend correction</w:t>
      </w:r>
      <w:r w:rsidR="00A75C70" w:rsidRPr="00800D00">
        <w:t>). Next, we</w:t>
      </w:r>
      <w:r w:rsidRPr="00800D00">
        <w:t xml:space="preserve"> use expression (</w:t>
      </w:r>
      <w:r w:rsidR="00FB596E">
        <w:t>W</w:t>
      </w:r>
      <w:r w:rsidRPr="00800D00">
        <w:t xml:space="preserve">4) to calculate the corresponding </w:t>
      </w:r>
      <w:r w:rsidR="00AC327A">
        <w:t>gross profit</w:t>
      </w:r>
      <w:r w:rsidRPr="00800D00">
        <w:t xml:space="preserve"> for each week</w:t>
      </w:r>
      <w:r w:rsidR="00BB34FB" w:rsidRPr="00800D00">
        <w:t xml:space="preserve"> without the advertising correction (i.e.</w:t>
      </w:r>
      <w:r w:rsidR="007C280E">
        <w:t>,</w:t>
      </w:r>
      <w:r w:rsidR="00BB34FB" w:rsidRPr="00800D00">
        <w:t xml:space="preserve"> the ‘square-bracketed’ part on the right side of equation (</w:t>
      </w:r>
      <w:r w:rsidR="00FB596E">
        <w:t>W</w:t>
      </w:r>
      <w:r w:rsidR="00BB34FB" w:rsidRPr="00800D00">
        <w:t>4))</w:t>
      </w:r>
      <w:r w:rsidR="00A75C70" w:rsidRPr="00800D00">
        <w:t xml:space="preserve">. </w:t>
      </w:r>
      <w:r w:rsidR="00D53066" w:rsidRPr="00800D00">
        <w:t>Lastly</w:t>
      </w:r>
      <w:r w:rsidR="00A75C70" w:rsidRPr="00800D00">
        <w:t>, we</w:t>
      </w:r>
      <w:r w:rsidRPr="00800D00">
        <w:t xml:space="preserve"> aggregate across weeks to get the total </w:t>
      </w:r>
      <w:r w:rsidR="00AC327A">
        <w:t>gross profit</w:t>
      </w:r>
      <w:r w:rsidR="00AC327A" w:rsidRPr="00800D00">
        <w:t xml:space="preserve"> </w:t>
      </w:r>
      <w:r w:rsidRPr="00800D00">
        <w:t xml:space="preserve">for that scenario. We follow the same procedure for the baseline scenario and </w:t>
      </w:r>
      <w:r w:rsidR="00BB34FB" w:rsidRPr="00800D00">
        <w:t>calculate the difference</w:t>
      </w:r>
      <w:r w:rsidRPr="00800D00">
        <w:t xml:space="preserve">. </w:t>
      </w:r>
    </w:p>
    <w:p w14:paraId="78240DA2" w14:textId="4374E173" w:rsidR="00C145F1" w:rsidRPr="00800D00" w:rsidRDefault="001F7F8A" w:rsidP="00D53066">
      <w:pPr>
        <w:ind w:firstLine="720"/>
      </w:pPr>
      <w:r w:rsidRPr="00800D00">
        <w:t xml:space="preserve">We do so for different values of </w:t>
      </w:r>
      <w:proofErr w:type="spellStart"/>
      <w:r w:rsidRPr="00E84174">
        <w:t>g</w:t>
      </w:r>
      <w:r w:rsidRPr="00E84174">
        <w:rPr>
          <w:vertAlign w:val="subscript"/>
        </w:rPr>
        <w:t>w</w:t>
      </w:r>
      <w:proofErr w:type="spellEnd"/>
      <w:r w:rsidR="00F472F4" w:rsidRPr="00800D00">
        <w:rPr>
          <w:i/>
        </w:rPr>
        <w:t xml:space="preserve">. </w:t>
      </w:r>
      <w:r w:rsidRPr="00800D00">
        <w:t>Finally, we ‘rescale’ th</w:t>
      </w:r>
      <w:r w:rsidR="00BB34FB" w:rsidRPr="00800D00">
        <w:t>is</w:t>
      </w:r>
      <w:r w:rsidRPr="00800D00">
        <w:t xml:space="preserve"> </w:t>
      </w:r>
      <w:r w:rsidR="00BB34FB" w:rsidRPr="00800D00">
        <w:t>difference</w:t>
      </w:r>
      <w:r w:rsidRPr="00800D00">
        <w:t xml:space="preserve"> obtained for our household sample to the market level</w:t>
      </w:r>
      <w:r w:rsidRPr="00800D00">
        <w:rPr>
          <w:rStyle w:val="FootnoteReference"/>
        </w:rPr>
        <w:footnoteReference w:id="3"/>
      </w:r>
      <w:r w:rsidRPr="00800D00">
        <w:t xml:space="preserve">, and then </w:t>
      </w:r>
      <w:r w:rsidR="00DD40C8">
        <w:t>subtract</w:t>
      </w:r>
      <w:r w:rsidRPr="00800D00">
        <w:t xml:space="preserve"> the (market-level) change in advertising budget associated with the event</w:t>
      </w:r>
      <w:r w:rsidR="00DD40C8">
        <w:t xml:space="preserve"> to obtain the profitability</w:t>
      </w:r>
      <w:r w:rsidRPr="00800D00">
        <w:t>.</w:t>
      </w:r>
    </w:p>
    <w:sectPr w:rsidR="00C145F1" w:rsidRPr="00800D00" w:rsidSect="00D53F90">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75A41" w14:textId="77777777" w:rsidR="00BD099B" w:rsidRDefault="00BD099B" w:rsidP="00185788">
      <w:r>
        <w:separator/>
      </w:r>
    </w:p>
  </w:endnote>
  <w:endnote w:type="continuationSeparator" w:id="0">
    <w:p w14:paraId="0C76E492" w14:textId="77777777" w:rsidR="00BD099B" w:rsidRDefault="00BD099B" w:rsidP="00185788">
      <w:r>
        <w:continuationSeparator/>
      </w:r>
    </w:p>
  </w:endnote>
  <w:endnote w:type="continuationNotice" w:id="1">
    <w:p w14:paraId="4518D8D5" w14:textId="77777777" w:rsidR="00BD099B" w:rsidRDefault="00BD0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Code">
    <w:altName w:val="Code"/>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38D7" w14:textId="77777777" w:rsidR="003A07B5" w:rsidRDefault="003A0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72901"/>
      <w:docPartObj>
        <w:docPartGallery w:val="Page Numbers (Bottom of Page)"/>
        <w:docPartUnique/>
      </w:docPartObj>
    </w:sdtPr>
    <w:sdtEndPr>
      <w:rPr>
        <w:noProof/>
      </w:rPr>
    </w:sdtEndPr>
    <w:sdtContent>
      <w:p w14:paraId="3C9F1F83" w14:textId="1863F839" w:rsidR="00F94C75" w:rsidRPr="008F13F7" w:rsidRDefault="00F94C75">
        <w:pPr>
          <w:pStyle w:val="Footer"/>
          <w:jc w:val="right"/>
        </w:pPr>
        <w:r w:rsidRPr="008F13F7">
          <w:fldChar w:fldCharType="begin"/>
        </w:r>
        <w:r w:rsidRPr="008F13F7">
          <w:instrText xml:space="preserve"> PAGE   \* MERGEFORMAT </w:instrText>
        </w:r>
        <w:r w:rsidRPr="008F13F7">
          <w:fldChar w:fldCharType="separate"/>
        </w:r>
        <w:r>
          <w:rPr>
            <w:noProof/>
          </w:rPr>
          <w:t>66</w:t>
        </w:r>
        <w:r w:rsidRPr="008F13F7">
          <w:rPr>
            <w:noProof/>
          </w:rPr>
          <w:fldChar w:fldCharType="end"/>
        </w:r>
      </w:p>
    </w:sdtContent>
  </w:sdt>
  <w:p w14:paraId="6E49C351" w14:textId="77777777" w:rsidR="00F94C75" w:rsidRDefault="00F94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BCC5" w14:textId="77777777" w:rsidR="003A07B5" w:rsidRDefault="003A0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52A5C" w14:textId="77777777" w:rsidR="00BD099B" w:rsidRDefault="00BD099B" w:rsidP="00185788">
      <w:r>
        <w:separator/>
      </w:r>
    </w:p>
  </w:footnote>
  <w:footnote w:type="continuationSeparator" w:id="0">
    <w:p w14:paraId="4EA192A5" w14:textId="77777777" w:rsidR="00BD099B" w:rsidRDefault="00BD099B" w:rsidP="00185788">
      <w:r>
        <w:continuationSeparator/>
      </w:r>
    </w:p>
  </w:footnote>
  <w:footnote w:type="continuationNotice" w:id="1">
    <w:p w14:paraId="00B5E2E8" w14:textId="77777777" w:rsidR="00BD099B" w:rsidRDefault="00BD099B"/>
  </w:footnote>
  <w:footnote w:id="2">
    <w:p w14:paraId="1FDF1C58" w14:textId="77777777" w:rsidR="00F94C75" w:rsidRPr="003F30D8" w:rsidRDefault="00F94C75" w:rsidP="009601E8">
      <w:pPr>
        <w:pStyle w:val="FootnoteText"/>
        <w:rPr>
          <w:lang w:val="en-GB"/>
        </w:rPr>
      </w:pPr>
      <w:r w:rsidRPr="00FE2760">
        <w:rPr>
          <w:rStyle w:val="FootnoteReference"/>
        </w:rPr>
        <w:footnoteRef/>
      </w:r>
      <w:r w:rsidRPr="003F30D8">
        <w:t xml:space="preserve"> </w:t>
      </w:r>
      <w:r w:rsidRPr="003F30D8">
        <w:rPr>
          <w:lang w:val="en-GB"/>
        </w:rPr>
        <w:t>The largest number of retailers visited in one week was six.</w:t>
      </w:r>
    </w:p>
  </w:footnote>
  <w:footnote w:id="3">
    <w:p w14:paraId="09BCD9FD" w14:textId="77777777" w:rsidR="00F94C75" w:rsidRPr="00C77A72" w:rsidRDefault="00F94C75" w:rsidP="001F7F8A">
      <w:pPr>
        <w:pStyle w:val="FootnoteText"/>
      </w:pPr>
      <w:r w:rsidRPr="00FE2760">
        <w:rPr>
          <w:rStyle w:val="FootnoteReference"/>
        </w:rPr>
        <w:footnoteRef/>
      </w:r>
      <w:r w:rsidRPr="00C77A72">
        <w:t xml:space="preserve"> Using the standard ‘translation key’ of the data provider, based on the number of households in the market.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CC31" w14:textId="77777777" w:rsidR="003A07B5" w:rsidRDefault="003A0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4B84" w14:textId="77777777" w:rsidR="003A07B5" w:rsidRDefault="003A0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CC95" w14:textId="77777777" w:rsidR="003A07B5" w:rsidRDefault="003A0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47A9"/>
    <w:multiLevelType w:val="hybridMultilevel"/>
    <w:tmpl w:val="A5D45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DB1FED"/>
    <w:multiLevelType w:val="hybridMultilevel"/>
    <w:tmpl w:val="5DC4B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977025"/>
    <w:multiLevelType w:val="hybridMultilevel"/>
    <w:tmpl w:val="C6B478D6"/>
    <w:lvl w:ilvl="0" w:tplc="A62EE2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940A9"/>
    <w:multiLevelType w:val="hybridMultilevel"/>
    <w:tmpl w:val="4032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20796"/>
    <w:multiLevelType w:val="hybridMultilevel"/>
    <w:tmpl w:val="341EB798"/>
    <w:lvl w:ilvl="0" w:tplc="2CC85A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360FF"/>
    <w:multiLevelType w:val="hybridMultilevel"/>
    <w:tmpl w:val="ED800B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7F6715"/>
    <w:multiLevelType w:val="hybridMultilevel"/>
    <w:tmpl w:val="9FCCE2CC"/>
    <w:lvl w:ilvl="0" w:tplc="94807CB4">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11878"/>
    <w:multiLevelType w:val="hybridMultilevel"/>
    <w:tmpl w:val="9344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D01BA"/>
    <w:multiLevelType w:val="hybridMultilevel"/>
    <w:tmpl w:val="4BC07198"/>
    <w:lvl w:ilvl="0" w:tplc="9D8A216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B1872"/>
    <w:multiLevelType w:val="hybridMultilevel"/>
    <w:tmpl w:val="ACC44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A71BA8"/>
    <w:multiLevelType w:val="hybridMultilevel"/>
    <w:tmpl w:val="1A90534C"/>
    <w:lvl w:ilvl="0" w:tplc="034A8418">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926F99"/>
    <w:multiLevelType w:val="hybridMultilevel"/>
    <w:tmpl w:val="188C0246"/>
    <w:lvl w:ilvl="0" w:tplc="B868057E">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0551585"/>
    <w:multiLevelType w:val="hybridMultilevel"/>
    <w:tmpl w:val="912E007E"/>
    <w:lvl w:ilvl="0" w:tplc="E5B29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853CD"/>
    <w:multiLevelType w:val="hybridMultilevel"/>
    <w:tmpl w:val="9B7C8E00"/>
    <w:lvl w:ilvl="0" w:tplc="47D4E6A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6084B"/>
    <w:multiLevelType w:val="hybridMultilevel"/>
    <w:tmpl w:val="A016FF22"/>
    <w:lvl w:ilvl="0" w:tplc="457C22DC">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73F8"/>
    <w:multiLevelType w:val="hybridMultilevel"/>
    <w:tmpl w:val="727EBCEE"/>
    <w:lvl w:ilvl="0" w:tplc="F7A886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F1ADA"/>
    <w:multiLevelType w:val="hybridMultilevel"/>
    <w:tmpl w:val="A78ADE6C"/>
    <w:lvl w:ilvl="0" w:tplc="D72A05D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E08E9"/>
    <w:multiLevelType w:val="hybridMultilevel"/>
    <w:tmpl w:val="E88870E6"/>
    <w:lvl w:ilvl="0" w:tplc="C1627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E12A6"/>
    <w:multiLevelType w:val="hybridMultilevel"/>
    <w:tmpl w:val="2C66A3E6"/>
    <w:lvl w:ilvl="0" w:tplc="E76803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B3DE7"/>
    <w:multiLevelType w:val="multilevel"/>
    <w:tmpl w:val="4972306C"/>
    <w:lvl w:ilvl="0">
      <w:start w:val="1"/>
      <w:numFmt w:val="decimal"/>
      <w:lvlText w:val="%1."/>
      <w:lvlJc w:val="left"/>
      <w:pPr>
        <w:ind w:left="117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610" w:hanging="1800"/>
      </w:pPr>
      <w:rPr>
        <w:rFonts w:hint="default"/>
      </w:rPr>
    </w:lvl>
  </w:abstractNum>
  <w:abstractNum w:abstractNumId="20" w15:restartNumberingAfterBreak="0">
    <w:nsid w:val="6AE3628D"/>
    <w:multiLevelType w:val="hybridMultilevel"/>
    <w:tmpl w:val="0B366A74"/>
    <w:lvl w:ilvl="0" w:tplc="D72A05D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76F10"/>
    <w:multiLevelType w:val="hybridMultilevel"/>
    <w:tmpl w:val="EA543508"/>
    <w:lvl w:ilvl="0" w:tplc="D72A05D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13B55"/>
    <w:multiLevelType w:val="hybridMultilevel"/>
    <w:tmpl w:val="1300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7053BA"/>
    <w:multiLevelType w:val="hybridMultilevel"/>
    <w:tmpl w:val="9F4E1D0C"/>
    <w:lvl w:ilvl="0" w:tplc="E3328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D5D7C"/>
    <w:multiLevelType w:val="hybridMultilevel"/>
    <w:tmpl w:val="61A80850"/>
    <w:lvl w:ilvl="0" w:tplc="A5A64752">
      <w:start w:val="9"/>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3"/>
  </w:num>
  <w:num w:numId="4">
    <w:abstractNumId w:val="22"/>
  </w:num>
  <w:num w:numId="5">
    <w:abstractNumId w:val="7"/>
  </w:num>
  <w:num w:numId="6">
    <w:abstractNumId w:val="8"/>
  </w:num>
  <w:num w:numId="7">
    <w:abstractNumId w:val="16"/>
  </w:num>
  <w:num w:numId="8">
    <w:abstractNumId w:val="20"/>
  </w:num>
  <w:num w:numId="9">
    <w:abstractNumId w:val="21"/>
  </w:num>
  <w:num w:numId="10">
    <w:abstractNumId w:val="19"/>
  </w:num>
  <w:num w:numId="11">
    <w:abstractNumId w:val="1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 w:numId="19">
    <w:abstractNumId w:val="10"/>
  </w:num>
  <w:num w:numId="20">
    <w:abstractNumId w:val="2"/>
  </w:num>
  <w:num w:numId="21">
    <w:abstractNumId w:val="17"/>
  </w:num>
  <w:num w:numId="22">
    <w:abstractNumId w:val="11"/>
  </w:num>
  <w:num w:numId="23">
    <w:abstractNumId w:val="14"/>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isplayBackgroundShape/>
  <w:proofState w:spelling="clean" w:grammar="clean"/>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MjYzMjCzsLAwMjdQ0lEKTi0uzszPAykwqgUA7j7kQiwAAAA="/>
    <w:docVar w:name="EN.InstantFormat" w:val="&lt;ENInstantFormat&gt;&lt;Enabled&gt;0&lt;/Enabled&gt;&lt;ScanUnformatted&gt;1&lt;/ScanUnformatted&gt;&lt;ScanChanges&gt;1&lt;/ScanChanges&gt;&lt;Suspended&gt;0&lt;/Suspended&gt;&lt;/ENInstantFormat&gt;"/>
    <w:docVar w:name="EN.Layout" w:val="&lt;ENLayout&gt;&lt;Style&gt;J Marketing Researc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d05a02esfetxzeds09pxzepxpx9evzdsevt&quot;&gt;paper&lt;record-ids&gt;&lt;item&gt;3&lt;/item&gt;&lt;item&gt;23&lt;/item&gt;&lt;item&gt;24&lt;/item&gt;&lt;item&gt;28&lt;/item&gt;&lt;item&gt;47&lt;/item&gt;&lt;item&gt;49&lt;/item&gt;&lt;item&gt;50&lt;/item&gt;&lt;item&gt;52&lt;/item&gt;&lt;item&gt;53&lt;/item&gt;&lt;item&gt;54&lt;/item&gt;&lt;item&gt;55&lt;/item&gt;&lt;item&gt;56&lt;/item&gt;&lt;item&gt;57&lt;/item&gt;&lt;item&gt;58&lt;/item&gt;&lt;item&gt;59&lt;/item&gt;&lt;item&gt;60&lt;/item&gt;&lt;item&gt;61&lt;/item&gt;&lt;item&gt;62&lt;/item&gt;&lt;item&gt;69&lt;/item&gt;&lt;/record-ids&gt;&lt;/item&gt;&lt;item db-id=&quot;xpx2arxaava926etpfpxxrpm9xa5d5wt95s2&quot;&gt;paper_ref&lt;record-ids&gt;&lt;item&gt;2&lt;/item&gt;&lt;item&gt;4&lt;/item&gt;&lt;item&gt;5&lt;/item&gt;&lt;item&gt;7&lt;/item&gt;&lt;item&gt;8&lt;/item&gt;&lt;item&gt;11&lt;/item&gt;&lt;item&gt;12&lt;/item&gt;&lt;item&gt;14&lt;/item&gt;&lt;item&gt;15&lt;/item&gt;&lt;item&gt;16&lt;/item&gt;&lt;item&gt;17&lt;/item&gt;&lt;item&gt;21&lt;/item&gt;&lt;item&gt;22&lt;/item&gt;&lt;item&gt;23&lt;/item&gt;&lt;item&gt;24&lt;/item&gt;&lt;/record-ids&gt;&lt;/item&gt;&lt;/Libraries&gt;"/>
  </w:docVars>
  <w:rsids>
    <w:rsidRoot w:val="00185788"/>
    <w:rsid w:val="000008CB"/>
    <w:rsid w:val="00000A4C"/>
    <w:rsid w:val="00001486"/>
    <w:rsid w:val="000024E0"/>
    <w:rsid w:val="0000263D"/>
    <w:rsid w:val="00002DFA"/>
    <w:rsid w:val="0000383A"/>
    <w:rsid w:val="00003E7B"/>
    <w:rsid w:val="00003F7D"/>
    <w:rsid w:val="00004386"/>
    <w:rsid w:val="000045A6"/>
    <w:rsid w:val="00004B57"/>
    <w:rsid w:val="000050DD"/>
    <w:rsid w:val="000059BD"/>
    <w:rsid w:val="0000611B"/>
    <w:rsid w:val="000069A2"/>
    <w:rsid w:val="00006AF1"/>
    <w:rsid w:val="000106F8"/>
    <w:rsid w:val="00010DEA"/>
    <w:rsid w:val="00011634"/>
    <w:rsid w:val="00011B6A"/>
    <w:rsid w:val="00012858"/>
    <w:rsid w:val="00012B34"/>
    <w:rsid w:val="0001349B"/>
    <w:rsid w:val="000139CE"/>
    <w:rsid w:val="00013BDC"/>
    <w:rsid w:val="0001451E"/>
    <w:rsid w:val="00014E5A"/>
    <w:rsid w:val="00015656"/>
    <w:rsid w:val="00015C7F"/>
    <w:rsid w:val="00015E64"/>
    <w:rsid w:val="00015F63"/>
    <w:rsid w:val="000177A1"/>
    <w:rsid w:val="00017BE7"/>
    <w:rsid w:val="00017DF8"/>
    <w:rsid w:val="00021959"/>
    <w:rsid w:val="00021E8B"/>
    <w:rsid w:val="0002206A"/>
    <w:rsid w:val="00023008"/>
    <w:rsid w:val="00023BCC"/>
    <w:rsid w:val="00023C4E"/>
    <w:rsid w:val="00024656"/>
    <w:rsid w:val="0002524E"/>
    <w:rsid w:val="0002544E"/>
    <w:rsid w:val="00025B61"/>
    <w:rsid w:val="000300B0"/>
    <w:rsid w:val="0003063A"/>
    <w:rsid w:val="0003084D"/>
    <w:rsid w:val="00030BB7"/>
    <w:rsid w:val="00031331"/>
    <w:rsid w:val="0003159A"/>
    <w:rsid w:val="000318C8"/>
    <w:rsid w:val="0003287B"/>
    <w:rsid w:val="000330B4"/>
    <w:rsid w:val="00033313"/>
    <w:rsid w:val="00034638"/>
    <w:rsid w:val="00035E99"/>
    <w:rsid w:val="00036125"/>
    <w:rsid w:val="000368B8"/>
    <w:rsid w:val="00037225"/>
    <w:rsid w:val="000374B4"/>
    <w:rsid w:val="00037C73"/>
    <w:rsid w:val="00037C86"/>
    <w:rsid w:val="00037CCE"/>
    <w:rsid w:val="000418F6"/>
    <w:rsid w:val="00041A3D"/>
    <w:rsid w:val="00041DEB"/>
    <w:rsid w:val="00042D52"/>
    <w:rsid w:val="000435C3"/>
    <w:rsid w:val="00044279"/>
    <w:rsid w:val="00044289"/>
    <w:rsid w:val="000448BE"/>
    <w:rsid w:val="00044BA8"/>
    <w:rsid w:val="000451A8"/>
    <w:rsid w:val="000458EC"/>
    <w:rsid w:val="00045A20"/>
    <w:rsid w:val="00045C12"/>
    <w:rsid w:val="000462DD"/>
    <w:rsid w:val="00046611"/>
    <w:rsid w:val="0004763D"/>
    <w:rsid w:val="000478EF"/>
    <w:rsid w:val="0004798D"/>
    <w:rsid w:val="00047D70"/>
    <w:rsid w:val="00051482"/>
    <w:rsid w:val="00051A87"/>
    <w:rsid w:val="00052982"/>
    <w:rsid w:val="000529D4"/>
    <w:rsid w:val="00052C3D"/>
    <w:rsid w:val="00052CE2"/>
    <w:rsid w:val="00053687"/>
    <w:rsid w:val="0005402A"/>
    <w:rsid w:val="000540D4"/>
    <w:rsid w:val="00054C74"/>
    <w:rsid w:val="00056219"/>
    <w:rsid w:val="00056690"/>
    <w:rsid w:val="00056BDE"/>
    <w:rsid w:val="00056C9C"/>
    <w:rsid w:val="00057A4D"/>
    <w:rsid w:val="000600A0"/>
    <w:rsid w:val="00060264"/>
    <w:rsid w:val="00060655"/>
    <w:rsid w:val="00060879"/>
    <w:rsid w:val="000611CD"/>
    <w:rsid w:val="000637C2"/>
    <w:rsid w:val="00063B47"/>
    <w:rsid w:val="000649D6"/>
    <w:rsid w:val="00065F86"/>
    <w:rsid w:val="00066659"/>
    <w:rsid w:val="000679AD"/>
    <w:rsid w:val="00067B5E"/>
    <w:rsid w:val="00067BCA"/>
    <w:rsid w:val="0007037D"/>
    <w:rsid w:val="0007080D"/>
    <w:rsid w:val="00071322"/>
    <w:rsid w:val="000727AE"/>
    <w:rsid w:val="0007289B"/>
    <w:rsid w:val="00072C5D"/>
    <w:rsid w:val="00073C8C"/>
    <w:rsid w:val="00074B2A"/>
    <w:rsid w:val="000759E4"/>
    <w:rsid w:val="00075EED"/>
    <w:rsid w:val="00075F9A"/>
    <w:rsid w:val="0007601C"/>
    <w:rsid w:val="00076A96"/>
    <w:rsid w:val="00076ECA"/>
    <w:rsid w:val="0007789C"/>
    <w:rsid w:val="000804CC"/>
    <w:rsid w:val="000813FF"/>
    <w:rsid w:val="00081612"/>
    <w:rsid w:val="0008188C"/>
    <w:rsid w:val="00081AC3"/>
    <w:rsid w:val="00081E38"/>
    <w:rsid w:val="000820C7"/>
    <w:rsid w:val="00082267"/>
    <w:rsid w:val="00082612"/>
    <w:rsid w:val="0008472F"/>
    <w:rsid w:val="00085356"/>
    <w:rsid w:val="00085CA0"/>
    <w:rsid w:val="00086172"/>
    <w:rsid w:val="00087033"/>
    <w:rsid w:val="0008713B"/>
    <w:rsid w:val="00090061"/>
    <w:rsid w:val="000901BA"/>
    <w:rsid w:val="0009025A"/>
    <w:rsid w:val="0009044B"/>
    <w:rsid w:val="000905B3"/>
    <w:rsid w:val="00090857"/>
    <w:rsid w:val="000909C1"/>
    <w:rsid w:val="00091137"/>
    <w:rsid w:val="000913AC"/>
    <w:rsid w:val="0009177C"/>
    <w:rsid w:val="000918D2"/>
    <w:rsid w:val="00091A4A"/>
    <w:rsid w:val="00092F7A"/>
    <w:rsid w:val="000951A9"/>
    <w:rsid w:val="0009542F"/>
    <w:rsid w:val="00096280"/>
    <w:rsid w:val="000962B5"/>
    <w:rsid w:val="00096E5D"/>
    <w:rsid w:val="000970A7"/>
    <w:rsid w:val="000972E8"/>
    <w:rsid w:val="000A0250"/>
    <w:rsid w:val="000A0663"/>
    <w:rsid w:val="000A0C87"/>
    <w:rsid w:val="000A0ED2"/>
    <w:rsid w:val="000A295E"/>
    <w:rsid w:val="000A3BED"/>
    <w:rsid w:val="000A3C7B"/>
    <w:rsid w:val="000A3CC7"/>
    <w:rsid w:val="000A3DD9"/>
    <w:rsid w:val="000A4AD1"/>
    <w:rsid w:val="000A4ED9"/>
    <w:rsid w:val="000A5521"/>
    <w:rsid w:val="000A67F7"/>
    <w:rsid w:val="000A6919"/>
    <w:rsid w:val="000A6EEC"/>
    <w:rsid w:val="000A74F1"/>
    <w:rsid w:val="000A7A15"/>
    <w:rsid w:val="000A7FB3"/>
    <w:rsid w:val="000B0331"/>
    <w:rsid w:val="000B0380"/>
    <w:rsid w:val="000B0697"/>
    <w:rsid w:val="000B0981"/>
    <w:rsid w:val="000B1B1B"/>
    <w:rsid w:val="000B4B7D"/>
    <w:rsid w:val="000B505D"/>
    <w:rsid w:val="000B5C59"/>
    <w:rsid w:val="000B5CD3"/>
    <w:rsid w:val="000B5E99"/>
    <w:rsid w:val="000B6382"/>
    <w:rsid w:val="000B7DF8"/>
    <w:rsid w:val="000C06C0"/>
    <w:rsid w:val="000C0788"/>
    <w:rsid w:val="000C0B6C"/>
    <w:rsid w:val="000C0C73"/>
    <w:rsid w:val="000C0E69"/>
    <w:rsid w:val="000C0F69"/>
    <w:rsid w:val="000C1251"/>
    <w:rsid w:val="000C19D2"/>
    <w:rsid w:val="000C1A9E"/>
    <w:rsid w:val="000C218F"/>
    <w:rsid w:val="000C226A"/>
    <w:rsid w:val="000C2506"/>
    <w:rsid w:val="000C314B"/>
    <w:rsid w:val="000C394C"/>
    <w:rsid w:val="000C3990"/>
    <w:rsid w:val="000C3C6C"/>
    <w:rsid w:val="000C42A2"/>
    <w:rsid w:val="000C4B34"/>
    <w:rsid w:val="000C5210"/>
    <w:rsid w:val="000C5E66"/>
    <w:rsid w:val="000C6EDC"/>
    <w:rsid w:val="000C716F"/>
    <w:rsid w:val="000C761B"/>
    <w:rsid w:val="000D115F"/>
    <w:rsid w:val="000D14DF"/>
    <w:rsid w:val="000D17DB"/>
    <w:rsid w:val="000D1AB4"/>
    <w:rsid w:val="000D1E45"/>
    <w:rsid w:val="000D210F"/>
    <w:rsid w:val="000D2554"/>
    <w:rsid w:val="000D2634"/>
    <w:rsid w:val="000D2CD9"/>
    <w:rsid w:val="000D3B5A"/>
    <w:rsid w:val="000D3BAB"/>
    <w:rsid w:val="000D3E63"/>
    <w:rsid w:val="000D3EC4"/>
    <w:rsid w:val="000D41EB"/>
    <w:rsid w:val="000D4969"/>
    <w:rsid w:val="000D5B8D"/>
    <w:rsid w:val="000D66DC"/>
    <w:rsid w:val="000D68F4"/>
    <w:rsid w:val="000D73B3"/>
    <w:rsid w:val="000D7402"/>
    <w:rsid w:val="000D7708"/>
    <w:rsid w:val="000E04F7"/>
    <w:rsid w:val="000E0D29"/>
    <w:rsid w:val="000E1BAE"/>
    <w:rsid w:val="000E1F8D"/>
    <w:rsid w:val="000E2153"/>
    <w:rsid w:val="000E2160"/>
    <w:rsid w:val="000E2A46"/>
    <w:rsid w:val="000E2AEA"/>
    <w:rsid w:val="000E3275"/>
    <w:rsid w:val="000E3349"/>
    <w:rsid w:val="000E3AA8"/>
    <w:rsid w:val="000E4776"/>
    <w:rsid w:val="000E478E"/>
    <w:rsid w:val="000E4A78"/>
    <w:rsid w:val="000E50DF"/>
    <w:rsid w:val="000E56B4"/>
    <w:rsid w:val="000E6F04"/>
    <w:rsid w:val="000E77AA"/>
    <w:rsid w:val="000F031F"/>
    <w:rsid w:val="000F064B"/>
    <w:rsid w:val="000F0C61"/>
    <w:rsid w:val="000F0F71"/>
    <w:rsid w:val="000F1F61"/>
    <w:rsid w:val="000F21E0"/>
    <w:rsid w:val="000F2C65"/>
    <w:rsid w:val="000F2D1D"/>
    <w:rsid w:val="000F34D6"/>
    <w:rsid w:val="000F3581"/>
    <w:rsid w:val="000F3DCB"/>
    <w:rsid w:val="000F3E75"/>
    <w:rsid w:val="000F40EA"/>
    <w:rsid w:val="000F42FF"/>
    <w:rsid w:val="000F4566"/>
    <w:rsid w:val="000F4FF6"/>
    <w:rsid w:val="000F5122"/>
    <w:rsid w:val="000F53AA"/>
    <w:rsid w:val="000F553C"/>
    <w:rsid w:val="000F5DF9"/>
    <w:rsid w:val="000F76C7"/>
    <w:rsid w:val="000F7A89"/>
    <w:rsid w:val="000F7DAB"/>
    <w:rsid w:val="000F7FB6"/>
    <w:rsid w:val="001009EA"/>
    <w:rsid w:val="001012CD"/>
    <w:rsid w:val="001022EF"/>
    <w:rsid w:val="00102F7F"/>
    <w:rsid w:val="00104274"/>
    <w:rsid w:val="00104625"/>
    <w:rsid w:val="00104CBF"/>
    <w:rsid w:val="001051C9"/>
    <w:rsid w:val="00105349"/>
    <w:rsid w:val="001056EF"/>
    <w:rsid w:val="00105A18"/>
    <w:rsid w:val="00105BAF"/>
    <w:rsid w:val="00105BB2"/>
    <w:rsid w:val="00105DA7"/>
    <w:rsid w:val="00106B0F"/>
    <w:rsid w:val="00106B65"/>
    <w:rsid w:val="00106DFD"/>
    <w:rsid w:val="001071EC"/>
    <w:rsid w:val="00107CB4"/>
    <w:rsid w:val="001102C6"/>
    <w:rsid w:val="00111F46"/>
    <w:rsid w:val="0011209A"/>
    <w:rsid w:val="00112161"/>
    <w:rsid w:val="00112489"/>
    <w:rsid w:val="00112BD8"/>
    <w:rsid w:val="0011324A"/>
    <w:rsid w:val="0011336F"/>
    <w:rsid w:val="001133C0"/>
    <w:rsid w:val="00113985"/>
    <w:rsid w:val="00113A5D"/>
    <w:rsid w:val="00113CE9"/>
    <w:rsid w:val="00115D3E"/>
    <w:rsid w:val="00115DD5"/>
    <w:rsid w:val="001168D8"/>
    <w:rsid w:val="0011714F"/>
    <w:rsid w:val="0011721D"/>
    <w:rsid w:val="0011754B"/>
    <w:rsid w:val="00120770"/>
    <w:rsid w:val="00121463"/>
    <w:rsid w:val="00121A58"/>
    <w:rsid w:val="00121AF7"/>
    <w:rsid w:val="00123642"/>
    <w:rsid w:val="0012380E"/>
    <w:rsid w:val="00124075"/>
    <w:rsid w:val="0012419F"/>
    <w:rsid w:val="00124B10"/>
    <w:rsid w:val="00125AA8"/>
    <w:rsid w:val="00125FAE"/>
    <w:rsid w:val="00126267"/>
    <w:rsid w:val="001263C4"/>
    <w:rsid w:val="00126459"/>
    <w:rsid w:val="00126AFB"/>
    <w:rsid w:val="0012760C"/>
    <w:rsid w:val="00127DD2"/>
    <w:rsid w:val="001319A9"/>
    <w:rsid w:val="00132715"/>
    <w:rsid w:val="0013288B"/>
    <w:rsid w:val="00132B3F"/>
    <w:rsid w:val="0013309B"/>
    <w:rsid w:val="00134593"/>
    <w:rsid w:val="001353D5"/>
    <w:rsid w:val="0013551B"/>
    <w:rsid w:val="00135A9F"/>
    <w:rsid w:val="001362B0"/>
    <w:rsid w:val="001372DC"/>
    <w:rsid w:val="001375C6"/>
    <w:rsid w:val="001375DA"/>
    <w:rsid w:val="0013771E"/>
    <w:rsid w:val="00137EA4"/>
    <w:rsid w:val="00140AC2"/>
    <w:rsid w:val="00140EB1"/>
    <w:rsid w:val="00141302"/>
    <w:rsid w:val="001416E3"/>
    <w:rsid w:val="0014174D"/>
    <w:rsid w:val="00142619"/>
    <w:rsid w:val="00142DC8"/>
    <w:rsid w:val="00142F74"/>
    <w:rsid w:val="00143456"/>
    <w:rsid w:val="00146AC0"/>
    <w:rsid w:val="00147923"/>
    <w:rsid w:val="00147964"/>
    <w:rsid w:val="00147F58"/>
    <w:rsid w:val="0015022C"/>
    <w:rsid w:val="0015092D"/>
    <w:rsid w:val="001515EB"/>
    <w:rsid w:val="00151D4A"/>
    <w:rsid w:val="00152041"/>
    <w:rsid w:val="00152525"/>
    <w:rsid w:val="00154CC2"/>
    <w:rsid w:val="00155CE1"/>
    <w:rsid w:val="00155FBC"/>
    <w:rsid w:val="0015637D"/>
    <w:rsid w:val="001568AE"/>
    <w:rsid w:val="0015693A"/>
    <w:rsid w:val="0015749C"/>
    <w:rsid w:val="00157C96"/>
    <w:rsid w:val="0016107D"/>
    <w:rsid w:val="00162D24"/>
    <w:rsid w:val="00163254"/>
    <w:rsid w:val="001637EF"/>
    <w:rsid w:val="00163A83"/>
    <w:rsid w:val="00163F3F"/>
    <w:rsid w:val="001648C9"/>
    <w:rsid w:val="00165158"/>
    <w:rsid w:val="00165660"/>
    <w:rsid w:val="001663BE"/>
    <w:rsid w:val="00166ABF"/>
    <w:rsid w:val="00166B0F"/>
    <w:rsid w:val="00166D57"/>
    <w:rsid w:val="001673A2"/>
    <w:rsid w:val="001675E7"/>
    <w:rsid w:val="00167B39"/>
    <w:rsid w:val="00167C7B"/>
    <w:rsid w:val="00167CF6"/>
    <w:rsid w:val="0017051F"/>
    <w:rsid w:val="00170EE0"/>
    <w:rsid w:val="0017126B"/>
    <w:rsid w:val="00171569"/>
    <w:rsid w:val="00173C95"/>
    <w:rsid w:val="00173D09"/>
    <w:rsid w:val="00173F06"/>
    <w:rsid w:val="0017427E"/>
    <w:rsid w:val="00174598"/>
    <w:rsid w:val="0017538E"/>
    <w:rsid w:val="001755AD"/>
    <w:rsid w:val="001759B9"/>
    <w:rsid w:val="00175D95"/>
    <w:rsid w:val="001762E2"/>
    <w:rsid w:val="00177314"/>
    <w:rsid w:val="001803F4"/>
    <w:rsid w:val="00180BA3"/>
    <w:rsid w:val="00180D74"/>
    <w:rsid w:val="00181204"/>
    <w:rsid w:val="001818AD"/>
    <w:rsid w:val="00181DBB"/>
    <w:rsid w:val="00181EA7"/>
    <w:rsid w:val="001823FD"/>
    <w:rsid w:val="00184D52"/>
    <w:rsid w:val="00185788"/>
    <w:rsid w:val="00186F76"/>
    <w:rsid w:val="00191522"/>
    <w:rsid w:val="00191990"/>
    <w:rsid w:val="00191A40"/>
    <w:rsid w:val="00191E7B"/>
    <w:rsid w:val="00192832"/>
    <w:rsid w:val="001933A3"/>
    <w:rsid w:val="00193729"/>
    <w:rsid w:val="001940C5"/>
    <w:rsid w:val="00194605"/>
    <w:rsid w:val="00194630"/>
    <w:rsid w:val="00194CEC"/>
    <w:rsid w:val="00195AD7"/>
    <w:rsid w:val="001965AF"/>
    <w:rsid w:val="001966F0"/>
    <w:rsid w:val="001A0E00"/>
    <w:rsid w:val="001A14E2"/>
    <w:rsid w:val="001A15FA"/>
    <w:rsid w:val="001A1744"/>
    <w:rsid w:val="001A1838"/>
    <w:rsid w:val="001A2EF7"/>
    <w:rsid w:val="001A32BC"/>
    <w:rsid w:val="001A3E15"/>
    <w:rsid w:val="001A3F3B"/>
    <w:rsid w:val="001A43B4"/>
    <w:rsid w:val="001A5DE7"/>
    <w:rsid w:val="001A6622"/>
    <w:rsid w:val="001A6922"/>
    <w:rsid w:val="001A6A11"/>
    <w:rsid w:val="001A6BA3"/>
    <w:rsid w:val="001A6C12"/>
    <w:rsid w:val="001A711D"/>
    <w:rsid w:val="001A745A"/>
    <w:rsid w:val="001A7465"/>
    <w:rsid w:val="001A75AB"/>
    <w:rsid w:val="001A773A"/>
    <w:rsid w:val="001A775C"/>
    <w:rsid w:val="001A7EFD"/>
    <w:rsid w:val="001B0851"/>
    <w:rsid w:val="001B0C5E"/>
    <w:rsid w:val="001B0E63"/>
    <w:rsid w:val="001B1761"/>
    <w:rsid w:val="001B1A2A"/>
    <w:rsid w:val="001B2977"/>
    <w:rsid w:val="001B29F2"/>
    <w:rsid w:val="001B2A1D"/>
    <w:rsid w:val="001B2D17"/>
    <w:rsid w:val="001B3820"/>
    <w:rsid w:val="001B4FF9"/>
    <w:rsid w:val="001B563C"/>
    <w:rsid w:val="001B5FC4"/>
    <w:rsid w:val="001B5FD0"/>
    <w:rsid w:val="001B791F"/>
    <w:rsid w:val="001C1215"/>
    <w:rsid w:val="001C1468"/>
    <w:rsid w:val="001C1859"/>
    <w:rsid w:val="001C2132"/>
    <w:rsid w:val="001C2463"/>
    <w:rsid w:val="001C27C7"/>
    <w:rsid w:val="001C30DC"/>
    <w:rsid w:val="001C3140"/>
    <w:rsid w:val="001C3E4A"/>
    <w:rsid w:val="001C3F09"/>
    <w:rsid w:val="001C44BD"/>
    <w:rsid w:val="001C51BD"/>
    <w:rsid w:val="001C5281"/>
    <w:rsid w:val="001C5A6D"/>
    <w:rsid w:val="001C5BDC"/>
    <w:rsid w:val="001C6538"/>
    <w:rsid w:val="001C673A"/>
    <w:rsid w:val="001C6DEC"/>
    <w:rsid w:val="001C6F87"/>
    <w:rsid w:val="001C7DBF"/>
    <w:rsid w:val="001D035D"/>
    <w:rsid w:val="001D0C94"/>
    <w:rsid w:val="001D0E05"/>
    <w:rsid w:val="001D1559"/>
    <w:rsid w:val="001D1784"/>
    <w:rsid w:val="001D1EDA"/>
    <w:rsid w:val="001D32E2"/>
    <w:rsid w:val="001D3F4B"/>
    <w:rsid w:val="001D462B"/>
    <w:rsid w:val="001D4B88"/>
    <w:rsid w:val="001D4D99"/>
    <w:rsid w:val="001D5227"/>
    <w:rsid w:val="001D5236"/>
    <w:rsid w:val="001D5A9D"/>
    <w:rsid w:val="001D5BC6"/>
    <w:rsid w:val="001D68E0"/>
    <w:rsid w:val="001D6AA9"/>
    <w:rsid w:val="001D6B76"/>
    <w:rsid w:val="001D6BF7"/>
    <w:rsid w:val="001D747E"/>
    <w:rsid w:val="001D7493"/>
    <w:rsid w:val="001D77AE"/>
    <w:rsid w:val="001D79AD"/>
    <w:rsid w:val="001E03D3"/>
    <w:rsid w:val="001E07EB"/>
    <w:rsid w:val="001E088B"/>
    <w:rsid w:val="001E0DFC"/>
    <w:rsid w:val="001E1C15"/>
    <w:rsid w:val="001E242A"/>
    <w:rsid w:val="001E252F"/>
    <w:rsid w:val="001E2764"/>
    <w:rsid w:val="001E3499"/>
    <w:rsid w:val="001E3603"/>
    <w:rsid w:val="001E4C4A"/>
    <w:rsid w:val="001E4CC1"/>
    <w:rsid w:val="001E4D83"/>
    <w:rsid w:val="001E5C14"/>
    <w:rsid w:val="001E600D"/>
    <w:rsid w:val="001E611C"/>
    <w:rsid w:val="001E65C9"/>
    <w:rsid w:val="001E6DF4"/>
    <w:rsid w:val="001E708C"/>
    <w:rsid w:val="001E71F2"/>
    <w:rsid w:val="001E7634"/>
    <w:rsid w:val="001F0070"/>
    <w:rsid w:val="001F0E2B"/>
    <w:rsid w:val="001F14A2"/>
    <w:rsid w:val="001F1634"/>
    <w:rsid w:val="001F1EE2"/>
    <w:rsid w:val="001F24BB"/>
    <w:rsid w:val="001F2F9A"/>
    <w:rsid w:val="001F3003"/>
    <w:rsid w:val="001F33B5"/>
    <w:rsid w:val="001F3B50"/>
    <w:rsid w:val="001F4017"/>
    <w:rsid w:val="001F4CC9"/>
    <w:rsid w:val="001F5223"/>
    <w:rsid w:val="001F5A85"/>
    <w:rsid w:val="001F61E6"/>
    <w:rsid w:val="001F6A65"/>
    <w:rsid w:val="001F6AB9"/>
    <w:rsid w:val="001F7143"/>
    <w:rsid w:val="001F723F"/>
    <w:rsid w:val="001F7F8A"/>
    <w:rsid w:val="00200722"/>
    <w:rsid w:val="00201206"/>
    <w:rsid w:val="00201550"/>
    <w:rsid w:val="002016FB"/>
    <w:rsid w:val="00201924"/>
    <w:rsid w:val="00201F4B"/>
    <w:rsid w:val="00202375"/>
    <w:rsid w:val="00203BB4"/>
    <w:rsid w:val="00204256"/>
    <w:rsid w:val="00204A86"/>
    <w:rsid w:val="00204AA8"/>
    <w:rsid w:val="00204EDA"/>
    <w:rsid w:val="0020672F"/>
    <w:rsid w:val="00206A9C"/>
    <w:rsid w:val="00206B4B"/>
    <w:rsid w:val="0020758E"/>
    <w:rsid w:val="002079AA"/>
    <w:rsid w:val="00210549"/>
    <w:rsid w:val="00210ECA"/>
    <w:rsid w:val="002113E7"/>
    <w:rsid w:val="00211BB3"/>
    <w:rsid w:val="00211C1B"/>
    <w:rsid w:val="00213280"/>
    <w:rsid w:val="002138EC"/>
    <w:rsid w:val="0021393B"/>
    <w:rsid w:val="00213A6F"/>
    <w:rsid w:val="00213E2E"/>
    <w:rsid w:val="00213EA1"/>
    <w:rsid w:val="002147E5"/>
    <w:rsid w:val="002161FC"/>
    <w:rsid w:val="00216A5C"/>
    <w:rsid w:val="0022005F"/>
    <w:rsid w:val="0022022E"/>
    <w:rsid w:val="0022047E"/>
    <w:rsid w:val="00220D80"/>
    <w:rsid w:val="002210F0"/>
    <w:rsid w:val="00221B41"/>
    <w:rsid w:val="00221EEB"/>
    <w:rsid w:val="00222003"/>
    <w:rsid w:val="002222DE"/>
    <w:rsid w:val="00223803"/>
    <w:rsid w:val="002238DE"/>
    <w:rsid w:val="00223D68"/>
    <w:rsid w:val="00224F0B"/>
    <w:rsid w:val="00225429"/>
    <w:rsid w:val="002255D8"/>
    <w:rsid w:val="002257EF"/>
    <w:rsid w:val="00226A61"/>
    <w:rsid w:val="00226C2F"/>
    <w:rsid w:val="002270A7"/>
    <w:rsid w:val="00230682"/>
    <w:rsid w:val="002309D8"/>
    <w:rsid w:val="00230DC1"/>
    <w:rsid w:val="002310B4"/>
    <w:rsid w:val="00231303"/>
    <w:rsid w:val="002314B2"/>
    <w:rsid w:val="002321D1"/>
    <w:rsid w:val="00233405"/>
    <w:rsid w:val="00233C71"/>
    <w:rsid w:val="00234744"/>
    <w:rsid w:val="00234ABF"/>
    <w:rsid w:val="00234E2F"/>
    <w:rsid w:val="00235811"/>
    <w:rsid w:val="00235AF1"/>
    <w:rsid w:val="002364E5"/>
    <w:rsid w:val="00236929"/>
    <w:rsid w:val="00236D65"/>
    <w:rsid w:val="002371A5"/>
    <w:rsid w:val="002374D4"/>
    <w:rsid w:val="002375F4"/>
    <w:rsid w:val="002379D2"/>
    <w:rsid w:val="002403EC"/>
    <w:rsid w:val="00240E0C"/>
    <w:rsid w:val="00241A8E"/>
    <w:rsid w:val="00241EB4"/>
    <w:rsid w:val="00242B20"/>
    <w:rsid w:val="00243334"/>
    <w:rsid w:val="00243443"/>
    <w:rsid w:val="002438ED"/>
    <w:rsid w:val="00243BD2"/>
    <w:rsid w:val="00243D07"/>
    <w:rsid w:val="00244A46"/>
    <w:rsid w:val="0024549A"/>
    <w:rsid w:val="00246D3E"/>
    <w:rsid w:val="002470EF"/>
    <w:rsid w:val="00247180"/>
    <w:rsid w:val="00247925"/>
    <w:rsid w:val="00247DCC"/>
    <w:rsid w:val="00247E86"/>
    <w:rsid w:val="002511C3"/>
    <w:rsid w:val="0025122D"/>
    <w:rsid w:val="002516A1"/>
    <w:rsid w:val="00251CF0"/>
    <w:rsid w:val="00252097"/>
    <w:rsid w:val="00252C29"/>
    <w:rsid w:val="0025300D"/>
    <w:rsid w:val="002537A8"/>
    <w:rsid w:val="00253E4D"/>
    <w:rsid w:val="002542F8"/>
    <w:rsid w:val="0025458F"/>
    <w:rsid w:val="002545B1"/>
    <w:rsid w:val="00254932"/>
    <w:rsid w:val="00255DC2"/>
    <w:rsid w:val="002564A4"/>
    <w:rsid w:val="0025656D"/>
    <w:rsid w:val="00256D0E"/>
    <w:rsid w:val="00256E54"/>
    <w:rsid w:val="00256EB3"/>
    <w:rsid w:val="00257DFF"/>
    <w:rsid w:val="00260CA5"/>
    <w:rsid w:val="00260EA7"/>
    <w:rsid w:val="002612C8"/>
    <w:rsid w:val="00261ECF"/>
    <w:rsid w:val="00262AD3"/>
    <w:rsid w:val="00263661"/>
    <w:rsid w:val="00263919"/>
    <w:rsid w:val="00263DE1"/>
    <w:rsid w:val="002651B1"/>
    <w:rsid w:val="00265D14"/>
    <w:rsid w:val="002661DB"/>
    <w:rsid w:val="002667D2"/>
    <w:rsid w:val="00266EA0"/>
    <w:rsid w:val="00266F6A"/>
    <w:rsid w:val="0026765C"/>
    <w:rsid w:val="00267677"/>
    <w:rsid w:val="00267829"/>
    <w:rsid w:val="00267B9A"/>
    <w:rsid w:val="0027001A"/>
    <w:rsid w:val="002700A6"/>
    <w:rsid w:val="00270161"/>
    <w:rsid w:val="00270247"/>
    <w:rsid w:val="00270579"/>
    <w:rsid w:val="00271335"/>
    <w:rsid w:val="00271635"/>
    <w:rsid w:val="002722D9"/>
    <w:rsid w:val="0027240A"/>
    <w:rsid w:val="002732B9"/>
    <w:rsid w:val="0027414D"/>
    <w:rsid w:val="002749C8"/>
    <w:rsid w:val="002749EC"/>
    <w:rsid w:val="00274D61"/>
    <w:rsid w:val="00275FBF"/>
    <w:rsid w:val="00275FE9"/>
    <w:rsid w:val="00276566"/>
    <w:rsid w:val="00277AAF"/>
    <w:rsid w:val="002803FC"/>
    <w:rsid w:val="00280977"/>
    <w:rsid w:val="00280A02"/>
    <w:rsid w:val="00281309"/>
    <w:rsid w:val="0028141F"/>
    <w:rsid w:val="00281877"/>
    <w:rsid w:val="00281A48"/>
    <w:rsid w:val="0028200B"/>
    <w:rsid w:val="002835CA"/>
    <w:rsid w:val="00283673"/>
    <w:rsid w:val="002836E4"/>
    <w:rsid w:val="00283963"/>
    <w:rsid w:val="002845EF"/>
    <w:rsid w:val="00284E5C"/>
    <w:rsid w:val="00284EF2"/>
    <w:rsid w:val="00285633"/>
    <w:rsid w:val="00285BC6"/>
    <w:rsid w:val="00285CBB"/>
    <w:rsid w:val="00286AF3"/>
    <w:rsid w:val="002872A0"/>
    <w:rsid w:val="00290AE0"/>
    <w:rsid w:val="0029103C"/>
    <w:rsid w:val="00291F2F"/>
    <w:rsid w:val="00292166"/>
    <w:rsid w:val="00292352"/>
    <w:rsid w:val="00292B7C"/>
    <w:rsid w:val="00292D1A"/>
    <w:rsid w:val="00292EE3"/>
    <w:rsid w:val="00293582"/>
    <w:rsid w:val="00293D26"/>
    <w:rsid w:val="002945A8"/>
    <w:rsid w:val="00296A83"/>
    <w:rsid w:val="00296C25"/>
    <w:rsid w:val="0029746C"/>
    <w:rsid w:val="002A0181"/>
    <w:rsid w:val="002A0B00"/>
    <w:rsid w:val="002A0B15"/>
    <w:rsid w:val="002A11E3"/>
    <w:rsid w:val="002A1225"/>
    <w:rsid w:val="002A1B8F"/>
    <w:rsid w:val="002A223D"/>
    <w:rsid w:val="002A2A87"/>
    <w:rsid w:val="002A2DE3"/>
    <w:rsid w:val="002A32AE"/>
    <w:rsid w:val="002A395F"/>
    <w:rsid w:val="002A3AD8"/>
    <w:rsid w:val="002A4834"/>
    <w:rsid w:val="002A4842"/>
    <w:rsid w:val="002A515E"/>
    <w:rsid w:val="002A7340"/>
    <w:rsid w:val="002A7A6E"/>
    <w:rsid w:val="002A7F2F"/>
    <w:rsid w:val="002B04D4"/>
    <w:rsid w:val="002B1425"/>
    <w:rsid w:val="002B189F"/>
    <w:rsid w:val="002B24AE"/>
    <w:rsid w:val="002B2A23"/>
    <w:rsid w:val="002B2B39"/>
    <w:rsid w:val="002B402B"/>
    <w:rsid w:val="002B4142"/>
    <w:rsid w:val="002B4352"/>
    <w:rsid w:val="002B4397"/>
    <w:rsid w:val="002B4791"/>
    <w:rsid w:val="002B4C1D"/>
    <w:rsid w:val="002B544B"/>
    <w:rsid w:val="002B61B3"/>
    <w:rsid w:val="002B6918"/>
    <w:rsid w:val="002B69EB"/>
    <w:rsid w:val="002B6E39"/>
    <w:rsid w:val="002B74C1"/>
    <w:rsid w:val="002B7537"/>
    <w:rsid w:val="002C017B"/>
    <w:rsid w:val="002C018F"/>
    <w:rsid w:val="002C134B"/>
    <w:rsid w:val="002C1447"/>
    <w:rsid w:val="002C1643"/>
    <w:rsid w:val="002C1D38"/>
    <w:rsid w:val="002C1FAF"/>
    <w:rsid w:val="002C2357"/>
    <w:rsid w:val="002C28B2"/>
    <w:rsid w:val="002C29DB"/>
    <w:rsid w:val="002C398D"/>
    <w:rsid w:val="002C39F3"/>
    <w:rsid w:val="002C47C5"/>
    <w:rsid w:val="002C4A43"/>
    <w:rsid w:val="002C5AF0"/>
    <w:rsid w:val="002C5B52"/>
    <w:rsid w:val="002C5C76"/>
    <w:rsid w:val="002C605A"/>
    <w:rsid w:val="002C62A1"/>
    <w:rsid w:val="002C6D8B"/>
    <w:rsid w:val="002C756F"/>
    <w:rsid w:val="002C78B3"/>
    <w:rsid w:val="002D0168"/>
    <w:rsid w:val="002D0A01"/>
    <w:rsid w:val="002D1817"/>
    <w:rsid w:val="002D19C0"/>
    <w:rsid w:val="002D1BB8"/>
    <w:rsid w:val="002D2756"/>
    <w:rsid w:val="002D2D20"/>
    <w:rsid w:val="002D2DE1"/>
    <w:rsid w:val="002D3D85"/>
    <w:rsid w:val="002D4C4A"/>
    <w:rsid w:val="002D4D49"/>
    <w:rsid w:val="002D5A40"/>
    <w:rsid w:val="002D616B"/>
    <w:rsid w:val="002D63A0"/>
    <w:rsid w:val="002D66F8"/>
    <w:rsid w:val="002D6A3B"/>
    <w:rsid w:val="002D6C2D"/>
    <w:rsid w:val="002D7555"/>
    <w:rsid w:val="002D7A52"/>
    <w:rsid w:val="002E1075"/>
    <w:rsid w:val="002E146A"/>
    <w:rsid w:val="002E1FA8"/>
    <w:rsid w:val="002E2A53"/>
    <w:rsid w:val="002E3089"/>
    <w:rsid w:val="002E3115"/>
    <w:rsid w:val="002E31A4"/>
    <w:rsid w:val="002E36C1"/>
    <w:rsid w:val="002E3D41"/>
    <w:rsid w:val="002E4392"/>
    <w:rsid w:val="002E4499"/>
    <w:rsid w:val="002E50A5"/>
    <w:rsid w:val="002E590C"/>
    <w:rsid w:val="002E5E1D"/>
    <w:rsid w:val="002E6635"/>
    <w:rsid w:val="002E6ACA"/>
    <w:rsid w:val="002E6EB4"/>
    <w:rsid w:val="002E73ED"/>
    <w:rsid w:val="002F00B2"/>
    <w:rsid w:val="002F0158"/>
    <w:rsid w:val="002F1663"/>
    <w:rsid w:val="002F16A2"/>
    <w:rsid w:val="002F182C"/>
    <w:rsid w:val="002F1925"/>
    <w:rsid w:val="002F1C14"/>
    <w:rsid w:val="002F29AA"/>
    <w:rsid w:val="002F2E12"/>
    <w:rsid w:val="002F3090"/>
    <w:rsid w:val="002F40FF"/>
    <w:rsid w:val="002F411A"/>
    <w:rsid w:val="002F4EFD"/>
    <w:rsid w:val="002F5367"/>
    <w:rsid w:val="002F578F"/>
    <w:rsid w:val="002F5DCC"/>
    <w:rsid w:val="002F7708"/>
    <w:rsid w:val="002F78DB"/>
    <w:rsid w:val="00300B85"/>
    <w:rsid w:val="003010D9"/>
    <w:rsid w:val="00301719"/>
    <w:rsid w:val="00301935"/>
    <w:rsid w:val="00301D12"/>
    <w:rsid w:val="00303648"/>
    <w:rsid w:val="003038E0"/>
    <w:rsid w:val="00303A3C"/>
    <w:rsid w:val="00304203"/>
    <w:rsid w:val="00305554"/>
    <w:rsid w:val="00307212"/>
    <w:rsid w:val="003077AC"/>
    <w:rsid w:val="003101A1"/>
    <w:rsid w:val="003101D9"/>
    <w:rsid w:val="00310202"/>
    <w:rsid w:val="00310B58"/>
    <w:rsid w:val="00310E72"/>
    <w:rsid w:val="00311233"/>
    <w:rsid w:val="00311A57"/>
    <w:rsid w:val="00312515"/>
    <w:rsid w:val="003129B3"/>
    <w:rsid w:val="00312C8F"/>
    <w:rsid w:val="00313C30"/>
    <w:rsid w:val="00314A91"/>
    <w:rsid w:val="003159CB"/>
    <w:rsid w:val="00315FAD"/>
    <w:rsid w:val="0031688F"/>
    <w:rsid w:val="00316A27"/>
    <w:rsid w:val="00316A4F"/>
    <w:rsid w:val="003172D4"/>
    <w:rsid w:val="003207B0"/>
    <w:rsid w:val="00321080"/>
    <w:rsid w:val="0032146A"/>
    <w:rsid w:val="003215CF"/>
    <w:rsid w:val="00321C91"/>
    <w:rsid w:val="00321EB6"/>
    <w:rsid w:val="00321EED"/>
    <w:rsid w:val="00322726"/>
    <w:rsid w:val="003228B2"/>
    <w:rsid w:val="00323027"/>
    <w:rsid w:val="00323139"/>
    <w:rsid w:val="00324D05"/>
    <w:rsid w:val="00324F8D"/>
    <w:rsid w:val="003255C3"/>
    <w:rsid w:val="00326278"/>
    <w:rsid w:val="003266A9"/>
    <w:rsid w:val="00326708"/>
    <w:rsid w:val="003279EC"/>
    <w:rsid w:val="00330046"/>
    <w:rsid w:val="00330396"/>
    <w:rsid w:val="00330EC5"/>
    <w:rsid w:val="00331734"/>
    <w:rsid w:val="00331C66"/>
    <w:rsid w:val="00331F55"/>
    <w:rsid w:val="003324AB"/>
    <w:rsid w:val="003328DB"/>
    <w:rsid w:val="00332D4E"/>
    <w:rsid w:val="0033317C"/>
    <w:rsid w:val="00333474"/>
    <w:rsid w:val="0033376A"/>
    <w:rsid w:val="00333776"/>
    <w:rsid w:val="003337BF"/>
    <w:rsid w:val="0033394A"/>
    <w:rsid w:val="0033429C"/>
    <w:rsid w:val="00334EF6"/>
    <w:rsid w:val="0033526A"/>
    <w:rsid w:val="00336733"/>
    <w:rsid w:val="00337931"/>
    <w:rsid w:val="00340176"/>
    <w:rsid w:val="00340196"/>
    <w:rsid w:val="0034021F"/>
    <w:rsid w:val="003402CB"/>
    <w:rsid w:val="00340402"/>
    <w:rsid w:val="00340E51"/>
    <w:rsid w:val="00340EA3"/>
    <w:rsid w:val="003419FD"/>
    <w:rsid w:val="00341A1B"/>
    <w:rsid w:val="00341B6A"/>
    <w:rsid w:val="00341F46"/>
    <w:rsid w:val="00342343"/>
    <w:rsid w:val="00342488"/>
    <w:rsid w:val="00342925"/>
    <w:rsid w:val="003432F8"/>
    <w:rsid w:val="00343459"/>
    <w:rsid w:val="00343829"/>
    <w:rsid w:val="00343EBC"/>
    <w:rsid w:val="00344223"/>
    <w:rsid w:val="0034494D"/>
    <w:rsid w:val="00345005"/>
    <w:rsid w:val="00345B38"/>
    <w:rsid w:val="00346027"/>
    <w:rsid w:val="00346935"/>
    <w:rsid w:val="00346DA5"/>
    <w:rsid w:val="00347073"/>
    <w:rsid w:val="003474CE"/>
    <w:rsid w:val="0035051C"/>
    <w:rsid w:val="0035072B"/>
    <w:rsid w:val="00351429"/>
    <w:rsid w:val="00351928"/>
    <w:rsid w:val="00352601"/>
    <w:rsid w:val="00352A33"/>
    <w:rsid w:val="00352A70"/>
    <w:rsid w:val="00352CDF"/>
    <w:rsid w:val="003536F6"/>
    <w:rsid w:val="00353FF7"/>
    <w:rsid w:val="003541FD"/>
    <w:rsid w:val="00354409"/>
    <w:rsid w:val="003550FA"/>
    <w:rsid w:val="00355587"/>
    <w:rsid w:val="00355F6E"/>
    <w:rsid w:val="0035616E"/>
    <w:rsid w:val="00357B02"/>
    <w:rsid w:val="00360071"/>
    <w:rsid w:val="003603FC"/>
    <w:rsid w:val="003612D8"/>
    <w:rsid w:val="00361BBD"/>
    <w:rsid w:val="003621E3"/>
    <w:rsid w:val="0036240E"/>
    <w:rsid w:val="00362DDE"/>
    <w:rsid w:val="003631A8"/>
    <w:rsid w:val="0036321C"/>
    <w:rsid w:val="003632D7"/>
    <w:rsid w:val="00363D62"/>
    <w:rsid w:val="00364015"/>
    <w:rsid w:val="003643E8"/>
    <w:rsid w:val="0036474C"/>
    <w:rsid w:val="003648BE"/>
    <w:rsid w:val="003662CC"/>
    <w:rsid w:val="003663D8"/>
    <w:rsid w:val="00366678"/>
    <w:rsid w:val="00366B34"/>
    <w:rsid w:val="003675A2"/>
    <w:rsid w:val="00367B86"/>
    <w:rsid w:val="00370794"/>
    <w:rsid w:val="00370A97"/>
    <w:rsid w:val="00371AA9"/>
    <w:rsid w:val="00371B9D"/>
    <w:rsid w:val="00371F7F"/>
    <w:rsid w:val="003721DF"/>
    <w:rsid w:val="0037257B"/>
    <w:rsid w:val="003728BD"/>
    <w:rsid w:val="003732E6"/>
    <w:rsid w:val="003749E6"/>
    <w:rsid w:val="00374E1D"/>
    <w:rsid w:val="00376547"/>
    <w:rsid w:val="003766C9"/>
    <w:rsid w:val="003767F6"/>
    <w:rsid w:val="00376B06"/>
    <w:rsid w:val="00376E0B"/>
    <w:rsid w:val="00376FB3"/>
    <w:rsid w:val="00377D3E"/>
    <w:rsid w:val="00377FC6"/>
    <w:rsid w:val="003810E5"/>
    <w:rsid w:val="003821D6"/>
    <w:rsid w:val="0038230E"/>
    <w:rsid w:val="0038315D"/>
    <w:rsid w:val="00385570"/>
    <w:rsid w:val="0038580A"/>
    <w:rsid w:val="00385842"/>
    <w:rsid w:val="00386544"/>
    <w:rsid w:val="0038657E"/>
    <w:rsid w:val="00386848"/>
    <w:rsid w:val="00386DFB"/>
    <w:rsid w:val="00386F4C"/>
    <w:rsid w:val="003872DC"/>
    <w:rsid w:val="00390122"/>
    <w:rsid w:val="003901A7"/>
    <w:rsid w:val="00390C8E"/>
    <w:rsid w:val="00390DF6"/>
    <w:rsid w:val="00390EED"/>
    <w:rsid w:val="003911F7"/>
    <w:rsid w:val="003918F0"/>
    <w:rsid w:val="00391D17"/>
    <w:rsid w:val="00391E46"/>
    <w:rsid w:val="0039236A"/>
    <w:rsid w:val="00392BE5"/>
    <w:rsid w:val="00393782"/>
    <w:rsid w:val="00393FEA"/>
    <w:rsid w:val="00394529"/>
    <w:rsid w:val="00394761"/>
    <w:rsid w:val="00394BE5"/>
    <w:rsid w:val="00396B04"/>
    <w:rsid w:val="00396D94"/>
    <w:rsid w:val="0039714D"/>
    <w:rsid w:val="003972EC"/>
    <w:rsid w:val="00397982"/>
    <w:rsid w:val="003A07B5"/>
    <w:rsid w:val="003A0871"/>
    <w:rsid w:val="003A08ED"/>
    <w:rsid w:val="003A0E50"/>
    <w:rsid w:val="003A1223"/>
    <w:rsid w:val="003A16AF"/>
    <w:rsid w:val="003A20F9"/>
    <w:rsid w:val="003A23A4"/>
    <w:rsid w:val="003A2A9D"/>
    <w:rsid w:val="003A2E05"/>
    <w:rsid w:val="003A2E36"/>
    <w:rsid w:val="003A2EB9"/>
    <w:rsid w:val="003A345F"/>
    <w:rsid w:val="003A49C0"/>
    <w:rsid w:val="003A4F8F"/>
    <w:rsid w:val="003A58A7"/>
    <w:rsid w:val="003A5B6F"/>
    <w:rsid w:val="003A6926"/>
    <w:rsid w:val="003A6E9D"/>
    <w:rsid w:val="003B08F0"/>
    <w:rsid w:val="003B0997"/>
    <w:rsid w:val="003B104E"/>
    <w:rsid w:val="003B21E1"/>
    <w:rsid w:val="003B310F"/>
    <w:rsid w:val="003B3D43"/>
    <w:rsid w:val="003B425B"/>
    <w:rsid w:val="003B43C6"/>
    <w:rsid w:val="003B44B9"/>
    <w:rsid w:val="003B48BD"/>
    <w:rsid w:val="003B4BE0"/>
    <w:rsid w:val="003B4C55"/>
    <w:rsid w:val="003B518D"/>
    <w:rsid w:val="003B5443"/>
    <w:rsid w:val="003C0A04"/>
    <w:rsid w:val="003C0E56"/>
    <w:rsid w:val="003C1DD5"/>
    <w:rsid w:val="003C1F6A"/>
    <w:rsid w:val="003C27D1"/>
    <w:rsid w:val="003C2D2F"/>
    <w:rsid w:val="003C31FE"/>
    <w:rsid w:val="003C3782"/>
    <w:rsid w:val="003C37BC"/>
    <w:rsid w:val="003C4B80"/>
    <w:rsid w:val="003C554C"/>
    <w:rsid w:val="003C5DEA"/>
    <w:rsid w:val="003C798D"/>
    <w:rsid w:val="003C7C85"/>
    <w:rsid w:val="003C7D62"/>
    <w:rsid w:val="003D07BD"/>
    <w:rsid w:val="003D108F"/>
    <w:rsid w:val="003D1DD4"/>
    <w:rsid w:val="003D289E"/>
    <w:rsid w:val="003D2C2B"/>
    <w:rsid w:val="003D2F40"/>
    <w:rsid w:val="003D4A60"/>
    <w:rsid w:val="003D5CA4"/>
    <w:rsid w:val="003D62EF"/>
    <w:rsid w:val="003D6D91"/>
    <w:rsid w:val="003D7538"/>
    <w:rsid w:val="003D7825"/>
    <w:rsid w:val="003D79C1"/>
    <w:rsid w:val="003D7BA9"/>
    <w:rsid w:val="003E0ADC"/>
    <w:rsid w:val="003E11C7"/>
    <w:rsid w:val="003E1467"/>
    <w:rsid w:val="003E1D04"/>
    <w:rsid w:val="003E1E65"/>
    <w:rsid w:val="003E2965"/>
    <w:rsid w:val="003E2991"/>
    <w:rsid w:val="003E398D"/>
    <w:rsid w:val="003E5117"/>
    <w:rsid w:val="003E5308"/>
    <w:rsid w:val="003E5C2F"/>
    <w:rsid w:val="003E5C9F"/>
    <w:rsid w:val="003E605F"/>
    <w:rsid w:val="003E6893"/>
    <w:rsid w:val="003E6EA0"/>
    <w:rsid w:val="003E733A"/>
    <w:rsid w:val="003E7F6E"/>
    <w:rsid w:val="003F02D2"/>
    <w:rsid w:val="003F14BE"/>
    <w:rsid w:val="003F2229"/>
    <w:rsid w:val="003F24E0"/>
    <w:rsid w:val="003F2CB5"/>
    <w:rsid w:val="003F30D8"/>
    <w:rsid w:val="003F3BD0"/>
    <w:rsid w:val="003F3CA1"/>
    <w:rsid w:val="003F4805"/>
    <w:rsid w:val="003F484B"/>
    <w:rsid w:val="003F4B21"/>
    <w:rsid w:val="003F52D3"/>
    <w:rsid w:val="003F5319"/>
    <w:rsid w:val="003F5A69"/>
    <w:rsid w:val="003F669E"/>
    <w:rsid w:val="003F6814"/>
    <w:rsid w:val="003F6A28"/>
    <w:rsid w:val="003F6C2E"/>
    <w:rsid w:val="003F6D45"/>
    <w:rsid w:val="003F6F0A"/>
    <w:rsid w:val="003F74B4"/>
    <w:rsid w:val="003F7555"/>
    <w:rsid w:val="00400C4A"/>
    <w:rsid w:val="00401D88"/>
    <w:rsid w:val="00401F5E"/>
    <w:rsid w:val="0040253B"/>
    <w:rsid w:val="004025C8"/>
    <w:rsid w:val="00402D56"/>
    <w:rsid w:val="00403D13"/>
    <w:rsid w:val="00403D37"/>
    <w:rsid w:val="00404B8C"/>
    <w:rsid w:val="00405873"/>
    <w:rsid w:val="00405F31"/>
    <w:rsid w:val="00406827"/>
    <w:rsid w:val="00406C6D"/>
    <w:rsid w:val="0040709C"/>
    <w:rsid w:val="00407754"/>
    <w:rsid w:val="00410F7B"/>
    <w:rsid w:val="0041144E"/>
    <w:rsid w:val="004115AA"/>
    <w:rsid w:val="00411CDB"/>
    <w:rsid w:val="004128CC"/>
    <w:rsid w:val="004128E8"/>
    <w:rsid w:val="00412A85"/>
    <w:rsid w:val="00415C42"/>
    <w:rsid w:val="004169E8"/>
    <w:rsid w:val="00416C15"/>
    <w:rsid w:val="00416DDA"/>
    <w:rsid w:val="00416EF8"/>
    <w:rsid w:val="00416F20"/>
    <w:rsid w:val="0041741C"/>
    <w:rsid w:val="0042116A"/>
    <w:rsid w:val="004214A4"/>
    <w:rsid w:val="0042170B"/>
    <w:rsid w:val="0042174D"/>
    <w:rsid w:val="004218A9"/>
    <w:rsid w:val="00421B8F"/>
    <w:rsid w:val="00421C35"/>
    <w:rsid w:val="00422C46"/>
    <w:rsid w:val="00422DE4"/>
    <w:rsid w:val="00424222"/>
    <w:rsid w:val="00424D58"/>
    <w:rsid w:val="004253AF"/>
    <w:rsid w:val="004256B6"/>
    <w:rsid w:val="0042589C"/>
    <w:rsid w:val="00425E5F"/>
    <w:rsid w:val="004260FC"/>
    <w:rsid w:val="00426EBB"/>
    <w:rsid w:val="00427EC8"/>
    <w:rsid w:val="004306A4"/>
    <w:rsid w:val="004308EE"/>
    <w:rsid w:val="00430DD9"/>
    <w:rsid w:val="00430DDF"/>
    <w:rsid w:val="00431091"/>
    <w:rsid w:val="00431241"/>
    <w:rsid w:val="00432162"/>
    <w:rsid w:val="004328F7"/>
    <w:rsid w:val="00432915"/>
    <w:rsid w:val="004331D3"/>
    <w:rsid w:val="00434570"/>
    <w:rsid w:val="00434784"/>
    <w:rsid w:val="00434A5C"/>
    <w:rsid w:val="004372F9"/>
    <w:rsid w:val="00437524"/>
    <w:rsid w:val="004376D4"/>
    <w:rsid w:val="004379CA"/>
    <w:rsid w:val="00437FFC"/>
    <w:rsid w:val="00440514"/>
    <w:rsid w:val="00440725"/>
    <w:rsid w:val="00441A75"/>
    <w:rsid w:val="00441E83"/>
    <w:rsid w:val="0044231F"/>
    <w:rsid w:val="00442595"/>
    <w:rsid w:val="0044269C"/>
    <w:rsid w:val="00443A9E"/>
    <w:rsid w:val="0044477E"/>
    <w:rsid w:val="00444816"/>
    <w:rsid w:val="0044526D"/>
    <w:rsid w:val="0044570C"/>
    <w:rsid w:val="00445E52"/>
    <w:rsid w:val="00446CD2"/>
    <w:rsid w:val="00446E93"/>
    <w:rsid w:val="0044722A"/>
    <w:rsid w:val="004475E9"/>
    <w:rsid w:val="00450483"/>
    <w:rsid w:val="00450547"/>
    <w:rsid w:val="004508C7"/>
    <w:rsid w:val="00450DB0"/>
    <w:rsid w:val="00450E07"/>
    <w:rsid w:val="004523F2"/>
    <w:rsid w:val="004543DF"/>
    <w:rsid w:val="004546D0"/>
    <w:rsid w:val="00454D67"/>
    <w:rsid w:val="00455061"/>
    <w:rsid w:val="0045568C"/>
    <w:rsid w:val="0045591E"/>
    <w:rsid w:val="0045605D"/>
    <w:rsid w:val="0045635B"/>
    <w:rsid w:val="00456739"/>
    <w:rsid w:val="0045690E"/>
    <w:rsid w:val="00457B58"/>
    <w:rsid w:val="004617A8"/>
    <w:rsid w:val="00461902"/>
    <w:rsid w:val="00461CE0"/>
    <w:rsid w:val="004627DD"/>
    <w:rsid w:val="00462C2C"/>
    <w:rsid w:val="00462E79"/>
    <w:rsid w:val="00462F20"/>
    <w:rsid w:val="004634D4"/>
    <w:rsid w:val="0046413D"/>
    <w:rsid w:val="004644A1"/>
    <w:rsid w:val="00464B8B"/>
    <w:rsid w:val="00465099"/>
    <w:rsid w:val="0046565F"/>
    <w:rsid w:val="0046574C"/>
    <w:rsid w:val="0046628F"/>
    <w:rsid w:val="004663FC"/>
    <w:rsid w:val="00466750"/>
    <w:rsid w:val="004676B0"/>
    <w:rsid w:val="0047026F"/>
    <w:rsid w:val="00470A8F"/>
    <w:rsid w:val="0047129F"/>
    <w:rsid w:val="004712EA"/>
    <w:rsid w:val="0047141D"/>
    <w:rsid w:val="00471E00"/>
    <w:rsid w:val="00472F44"/>
    <w:rsid w:val="00473C5B"/>
    <w:rsid w:val="00474185"/>
    <w:rsid w:val="00474301"/>
    <w:rsid w:val="00474724"/>
    <w:rsid w:val="00474AB5"/>
    <w:rsid w:val="00475234"/>
    <w:rsid w:val="00475458"/>
    <w:rsid w:val="00475542"/>
    <w:rsid w:val="0047592D"/>
    <w:rsid w:val="00475EF6"/>
    <w:rsid w:val="00476A80"/>
    <w:rsid w:val="004772DF"/>
    <w:rsid w:val="0047770E"/>
    <w:rsid w:val="00477E54"/>
    <w:rsid w:val="00480CF0"/>
    <w:rsid w:val="00481133"/>
    <w:rsid w:val="004811AA"/>
    <w:rsid w:val="004814D8"/>
    <w:rsid w:val="004819C8"/>
    <w:rsid w:val="00481FC0"/>
    <w:rsid w:val="0048229A"/>
    <w:rsid w:val="00482FA9"/>
    <w:rsid w:val="00483582"/>
    <w:rsid w:val="00483CB9"/>
    <w:rsid w:val="00483CC4"/>
    <w:rsid w:val="00483F39"/>
    <w:rsid w:val="00483FE6"/>
    <w:rsid w:val="004843B7"/>
    <w:rsid w:val="004847F7"/>
    <w:rsid w:val="00485299"/>
    <w:rsid w:val="00485D85"/>
    <w:rsid w:val="00486149"/>
    <w:rsid w:val="00486564"/>
    <w:rsid w:val="00486874"/>
    <w:rsid w:val="004879DB"/>
    <w:rsid w:val="0049003F"/>
    <w:rsid w:val="00490EAC"/>
    <w:rsid w:val="00491334"/>
    <w:rsid w:val="0049168C"/>
    <w:rsid w:val="0049202D"/>
    <w:rsid w:val="004940C0"/>
    <w:rsid w:val="00494616"/>
    <w:rsid w:val="0049533B"/>
    <w:rsid w:val="00495457"/>
    <w:rsid w:val="00495C4D"/>
    <w:rsid w:val="00496496"/>
    <w:rsid w:val="004964F5"/>
    <w:rsid w:val="00496E30"/>
    <w:rsid w:val="0049711A"/>
    <w:rsid w:val="00497FD7"/>
    <w:rsid w:val="004A0744"/>
    <w:rsid w:val="004A1204"/>
    <w:rsid w:val="004A16EC"/>
    <w:rsid w:val="004A1A6B"/>
    <w:rsid w:val="004A1F62"/>
    <w:rsid w:val="004A3206"/>
    <w:rsid w:val="004A432D"/>
    <w:rsid w:val="004A486B"/>
    <w:rsid w:val="004A48A8"/>
    <w:rsid w:val="004A497F"/>
    <w:rsid w:val="004A58EB"/>
    <w:rsid w:val="004A5E24"/>
    <w:rsid w:val="004A62C0"/>
    <w:rsid w:val="004A6748"/>
    <w:rsid w:val="004B027F"/>
    <w:rsid w:val="004B0DA6"/>
    <w:rsid w:val="004B2972"/>
    <w:rsid w:val="004B311E"/>
    <w:rsid w:val="004B3270"/>
    <w:rsid w:val="004B3E16"/>
    <w:rsid w:val="004B41B1"/>
    <w:rsid w:val="004B4341"/>
    <w:rsid w:val="004B4D3C"/>
    <w:rsid w:val="004B4F7A"/>
    <w:rsid w:val="004B50E1"/>
    <w:rsid w:val="004B528F"/>
    <w:rsid w:val="004B5DA3"/>
    <w:rsid w:val="004B6031"/>
    <w:rsid w:val="004B6259"/>
    <w:rsid w:val="004B695D"/>
    <w:rsid w:val="004B6D99"/>
    <w:rsid w:val="004B6E1F"/>
    <w:rsid w:val="004C0161"/>
    <w:rsid w:val="004C10CD"/>
    <w:rsid w:val="004C148D"/>
    <w:rsid w:val="004C18DF"/>
    <w:rsid w:val="004C1C08"/>
    <w:rsid w:val="004C20BB"/>
    <w:rsid w:val="004C2CA7"/>
    <w:rsid w:val="004C2FF7"/>
    <w:rsid w:val="004C383A"/>
    <w:rsid w:val="004C3FB3"/>
    <w:rsid w:val="004C3FC1"/>
    <w:rsid w:val="004C49B8"/>
    <w:rsid w:val="004C4D71"/>
    <w:rsid w:val="004C5356"/>
    <w:rsid w:val="004C54EE"/>
    <w:rsid w:val="004C615A"/>
    <w:rsid w:val="004C69CB"/>
    <w:rsid w:val="004C6AA2"/>
    <w:rsid w:val="004C7406"/>
    <w:rsid w:val="004D149F"/>
    <w:rsid w:val="004D1D83"/>
    <w:rsid w:val="004D219B"/>
    <w:rsid w:val="004D22F6"/>
    <w:rsid w:val="004D25F0"/>
    <w:rsid w:val="004D27BF"/>
    <w:rsid w:val="004D2ED5"/>
    <w:rsid w:val="004D3159"/>
    <w:rsid w:val="004D3DE9"/>
    <w:rsid w:val="004D4347"/>
    <w:rsid w:val="004D47BA"/>
    <w:rsid w:val="004D4E50"/>
    <w:rsid w:val="004D5ADA"/>
    <w:rsid w:val="004D5C65"/>
    <w:rsid w:val="004D5F81"/>
    <w:rsid w:val="004D62DB"/>
    <w:rsid w:val="004D66B7"/>
    <w:rsid w:val="004D75C5"/>
    <w:rsid w:val="004E019F"/>
    <w:rsid w:val="004E0B61"/>
    <w:rsid w:val="004E314E"/>
    <w:rsid w:val="004E4434"/>
    <w:rsid w:val="004E4BD4"/>
    <w:rsid w:val="004E536C"/>
    <w:rsid w:val="004E54F4"/>
    <w:rsid w:val="004E54FE"/>
    <w:rsid w:val="004E568A"/>
    <w:rsid w:val="004E5A9A"/>
    <w:rsid w:val="004E5C89"/>
    <w:rsid w:val="004E6082"/>
    <w:rsid w:val="004E62F5"/>
    <w:rsid w:val="004E6538"/>
    <w:rsid w:val="004E69E7"/>
    <w:rsid w:val="004E711B"/>
    <w:rsid w:val="004E7C49"/>
    <w:rsid w:val="004F0582"/>
    <w:rsid w:val="004F1B9F"/>
    <w:rsid w:val="004F39E1"/>
    <w:rsid w:val="004F3C61"/>
    <w:rsid w:val="004F3D29"/>
    <w:rsid w:val="004F5E83"/>
    <w:rsid w:val="004F60D0"/>
    <w:rsid w:val="004F7628"/>
    <w:rsid w:val="004F7C80"/>
    <w:rsid w:val="005006F0"/>
    <w:rsid w:val="00500BBA"/>
    <w:rsid w:val="00500CB7"/>
    <w:rsid w:val="00500F30"/>
    <w:rsid w:val="005020FD"/>
    <w:rsid w:val="0050246F"/>
    <w:rsid w:val="00502C90"/>
    <w:rsid w:val="005032AD"/>
    <w:rsid w:val="0050415B"/>
    <w:rsid w:val="00504447"/>
    <w:rsid w:val="00505F01"/>
    <w:rsid w:val="00507600"/>
    <w:rsid w:val="00507B23"/>
    <w:rsid w:val="00511990"/>
    <w:rsid w:val="00511F9D"/>
    <w:rsid w:val="0051229D"/>
    <w:rsid w:val="00513036"/>
    <w:rsid w:val="005130C4"/>
    <w:rsid w:val="00513512"/>
    <w:rsid w:val="00513824"/>
    <w:rsid w:val="00514241"/>
    <w:rsid w:val="0051448D"/>
    <w:rsid w:val="00514D1A"/>
    <w:rsid w:val="0051535A"/>
    <w:rsid w:val="005157B5"/>
    <w:rsid w:val="005168CE"/>
    <w:rsid w:val="00516E50"/>
    <w:rsid w:val="00516EF2"/>
    <w:rsid w:val="00517E4D"/>
    <w:rsid w:val="00521108"/>
    <w:rsid w:val="00521CCD"/>
    <w:rsid w:val="00522027"/>
    <w:rsid w:val="00523A51"/>
    <w:rsid w:val="00523AB8"/>
    <w:rsid w:val="00523AFB"/>
    <w:rsid w:val="00523C5B"/>
    <w:rsid w:val="00524119"/>
    <w:rsid w:val="00524A35"/>
    <w:rsid w:val="00524C70"/>
    <w:rsid w:val="00525509"/>
    <w:rsid w:val="00525E0C"/>
    <w:rsid w:val="0052641C"/>
    <w:rsid w:val="00526C3D"/>
    <w:rsid w:val="005271F8"/>
    <w:rsid w:val="00527526"/>
    <w:rsid w:val="005277DB"/>
    <w:rsid w:val="0053017F"/>
    <w:rsid w:val="00530222"/>
    <w:rsid w:val="00530390"/>
    <w:rsid w:val="00530D56"/>
    <w:rsid w:val="0053158F"/>
    <w:rsid w:val="0053185E"/>
    <w:rsid w:val="00532B00"/>
    <w:rsid w:val="005348ED"/>
    <w:rsid w:val="00534DEA"/>
    <w:rsid w:val="00535801"/>
    <w:rsid w:val="005358A5"/>
    <w:rsid w:val="00535B1D"/>
    <w:rsid w:val="00536459"/>
    <w:rsid w:val="00540021"/>
    <w:rsid w:val="00541332"/>
    <w:rsid w:val="00541915"/>
    <w:rsid w:val="00541D35"/>
    <w:rsid w:val="0054275C"/>
    <w:rsid w:val="00542B7B"/>
    <w:rsid w:val="00542BC5"/>
    <w:rsid w:val="00543D4B"/>
    <w:rsid w:val="00543F12"/>
    <w:rsid w:val="00544139"/>
    <w:rsid w:val="005447B2"/>
    <w:rsid w:val="0054487A"/>
    <w:rsid w:val="00545223"/>
    <w:rsid w:val="005453E9"/>
    <w:rsid w:val="00545A4D"/>
    <w:rsid w:val="00545C74"/>
    <w:rsid w:val="00546545"/>
    <w:rsid w:val="00546E7C"/>
    <w:rsid w:val="005478F9"/>
    <w:rsid w:val="00547D56"/>
    <w:rsid w:val="0055001F"/>
    <w:rsid w:val="005509B0"/>
    <w:rsid w:val="00550B01"/>
    <w:rsid w:val="00550B7B"/>
    <w:rsid w:val="00552561"/>
    <w:rsid w:val="005527A4"/>
    <w:rsid w:val="0055280D"/>
    <w:rsid w:val="005533AC"/>
    <w:rsid w:val="00553761"/>
    <w:rsid w:val="00554357"/>
    <w:rsid w:val="005553A4"/>
    <w:rsid w:val="00555776"/>
    <w:rsid w:val="00555F29"/>
    <w:rsid w:val="00556351"/>
    <w:rsid w:val="005563BA"/>
    <w:rsid w:val="00556BE6"/>
    <w:rsid w:val="005571FC"/>
    <w:rsid w:val="0056092F"/>
    <w:rsid w:val="00560DD2"/>
    <w:rsid w:val="0056199F"/>
    <w:rsid w:val="00562078"/>
    <w:rsid w:val="0056214D"/>
    <w:rsid w:val="00562303"/>
    <w:rsid w:val="00562C67"/>
    <w:rsid w:val="005652E4"/>
    <w:rsid w:val="005653EF"/>
    <w:rsid w:val="005656FA"/>
    <w:rsid w:val="00565838"/>
    <w:rsid w:val="00565954"/>
    <w:rsid w:val="0056602C"/>
    <w:rsid w:val="00567701"/>
    <w:rsid w:val="00567796"/>
    <w:rsid w:val="005679AF"/>
    <w:rsid w:val="0057109C"/>
    <w:rsid w:val="00571C05"/>
    <w:rsid w:val="00571E2D"/>
    <w:rsid w:val="00572941"/>
    <w:rsid w:val="0057313D"/>
    <w:rsid w:val="005731C1"/>
    <w:rsid w:val="005731F1"/>
    <w:rsid w:val="00573C31"/>
    <w:rsid w:val="005741D7"/>
    <w:rsid w:val="005743CC"/>
    <w:rsid w:val="00574F99"/>
    <w:rsid w:val="00575556"/>
    <w:rsid w:val="00577CFB"/>
    <w:rsid w:val="00577F0C"/>
    <w:rsid w:val="00577F19"/>
    <w:rsid w:val="0058073C"/>
    <w:rsid w:val="00580767"/>
    <w:rsid w:val="00580B4C"/>
    <w:rsid w:val="00580D8B"/>
    <w:rsid w:val="00581647"/>
    <w:rsid w:val="00581A07"/>
    <w:rsid w:val="00581D03"/>
    <w:rsid w:val="00582AA1"/>
    <w:rsid w:val="00583736"/>
    <w:rsid w:val="005839CF"/>
    <w:rsid w:val="00583D27"/>
    <w:rsid w:val="00584C66"/>
    <w:rsid w:val="00584F46"/>
    <w:rsid w:val="00584FB2"/>
    <w:rsid w:val="005851AB"/>
    <w:rsid w:val="005854E0"/>
    <w:rsid w:val="005857A8"/>
    <w:rsid w:val="00585866"/>
    <w:rsid w:val="00586128"/>
    <w:rsid w:val="0058624F"/>
    <w:rsid w:val="00587DED"/>
    <w:rsid w:val="0059055B"/>
    <w:rsid w:val="00590E28"/>
    <w:rsid w:val="00591123"/>
    <w:rsid w:val="00591798"/>
    <w:rsid w:val="005923E9"/>
    <w:rsid w:val="00592A05"/>
    <w:rsid w:val="0059322F"/>
    <w:rsid w:val="00594578"/>
    <w:rsid w:val="00594723"/>
    <w:rsid w:val="00594CFC"/>
    <w:rsid w:val="00594FFA"/>
    <w:rsid w:val="005956F4"/>
    <w:rsid w:val="00595CB4"/>
    <w:rsid w:val="00595DD6"/>
    <w:rsid w:val="0059609C"/>
    <w:rsid w:val="00596FDF"/>
    <w:rsid w:val="0059700C"/>
    <w:rsid w:val="00597115"/>
    <w:rsid w:val="005A059B"/>
    <w:rsid w:val="005A0A80"/>
    <w:rsid w:val="005A0B7E"/>
    <w:rsid w:val="005A0CC5"/>
    <w:rsid w:val="005A1308"/>
    <w:rsid w:val="005A1981"/>
    <w:rsid w:val="005A2748"/>
    <w:rsid w:val="005A397B"/>
    <w:rsid w:val="005A3F29"/>
    <w:rsid w:val="005A4868"/>
    <w:rsid w:val="005A51A3"/>
    <w:rsid w:val="005A5446"/>
    <w:rsid w:val="005A54E9"/>
    <w:rsid w:val="005A5702"/>
    <w:rsid w:val="005A5938"/>
    <w:rsid w:val="005A674D"/>
    <w:rsid w:val="005A710F"/>
    <w:rsid w:val="005A7B40"/>
    <w:rsid w:val="005B1009"/>
    <w:rsid w:val="005B1A81"/>
    <w:rsid w:val="005B1CC7"/>
    <w:rsid w:val="005B2AFB"/>
    <w:rsid w:val="005B2CC1"/>
    <w:rsid w:val="005B2EAB"/>
    <w:rsid w:val="005B32F5"/>
    <w:rsid w:val="005B4712"/>
    <w:rsid w:val="005B4EB2"/>
    <w:rsid w:val="005B5D85"/>
    <w:rsid w:val="005B7AFC"/>
    <w:rsid w:val="005C0F9A"/>
    <w:rsid w:val="005C13D2"/>
    <w:rsid w:val="005C2058"/>
    <w:rsid w:val="005C205D"/>
    <w:rsid w:val="005C2205"/>
    <w:rsid w:val="005C2940"/>
    <w:rsid w:val="005C2DAA"/>
    <w:rsid w:val="005C3421"/>
    <w:rsid w:val="005C3475"/>
    <w:rsid w:val="005C37A5"/>
    <w:rsid w:val="005C3B71"/>
    <w:rsid w:val="005C4561"/>
    <w:rsid w:val="005C4566"/>
    <w:rsid w:val="005C499A"/>
    <w:rsid w:val="005C4B38"/>
    <w:rsid w:val="005C4B99"/>
    <w:rsid w:val="005C4F05"/>
    <w:rsid w:val="005C5948"/>
    <w:rsid w:val="005C66B4"/>
    <w:rsid w:val="005C7E5C"/>
    <w:rsid w:val="005D024B"/>
    <w:rsid w:val="005D08E3"/>
    <w:rsid w:val="005D0944"/>
    <w:rsid w:val="005D0F63"/>
    <w:rsid w:val="005D12BC"/>
    <w:rsid w:val="005D16D8"/>
    <w:rsid w:val="005D17ED"/>
    <w:rsid w:val="005D2BF0"/>
    <w:rsid w:val="005D2D22"/>
    <w:rsid w:val="005D3009"/>
    <w:rsid w:val="005D4EB1"/>
    <w:rsid w:val="005D56E8"/>
    <w:rsid w:val="005D5803"/>
    <w:rsid w:val="005D5CF4"/>
    <w:rsid w:val="005D698F"/>
    <w:rsid w:val="005D7A18"/>
    <w:rsid w:val="005D7F08"/>
    <w:rsid w:val="005E0B87"/>
    <w:rsid w:val="005E0FF2"/>
    <w:rsid w:val="005E22EB"/>
    <w:rsid w:val="005E2540"/>
    <w:rsid w:val="005E3091"/>
    <w:rsid w:val="005E3163"/>
    <w:rsid w:val="005E3EB7"/>
    <w:rsid w:val="005E45C7"/>
    <w:rsid w:val="005E4B86"/>
    <w:rsid w:val="005E586D"/>
    <w:rsid w:val="005E5985"/>
    <w:rsid w:val="005E5CC8"/>
    <w:rsid w:val="005E5D62"/>
    <w:rsid w:val="005E6293"/>
    <w:rsid w:val="005E6DDD"/>
    <w:rsid w:val="005E6EF3"/>
    <w:rsid w:val="005E726A"/>
    <w:rsid w:val="005E74D1"/>
    <w:rsid w:val="005E78B5"/>
    <w:rsid w:val="005E7F68"/>
    <w:rsid w:val="005F012C"/>
    <w:rsid w:val="005F04AD"/>
    <w:rsid w:val="005F0594"/>
    <w:rsid w:val="005F09D8"/>
    <w:rsid w:val="005F0ABA"/>
    <w:rsid w:val="005F0B1F"/>
    <w:rsid w:val="005F1692"/>
    <w:rsid w:val="005F1B5E"/>
    <w:rsid w:val="005F1DED"/>
    <w:rsid w:val="005F2052"/>
    <w:rsid w:val="005F3482"/>
    <w:rsid w:val="005F34F0"/>
    <w:rsid w:val="005F50A8"/>
    <w:rsid w:val="005F56CA"/>
    <w:rsid w:val="005F5B74"/>
    <w:rsid w:val="005F5DE6"/>
    <w:rsid w:val="005F5F12"/>
    <w:rsid w:val="005F60C8"/>
    <w:rsid w:val="005F71F1"/>
    <w:rsid w:val="00600CDF"/>
    <w:rsid w:val="00600D28"/>
    <w:rsid w:val="00600E34"/>
    <w:rsid w:val="0060115E"/>
    <w:rsid w:val="006015FA"/>
    <w:rsid w:val="00601E23"/>
    <w:rsid w:val="00602A55"/>
    <w:rsid w:val="00602FD0"/>
    <w:rsid w:val="0060312D"/>
    <w:rsid w:val="00603FAF"/>
    <w:rsid w:val="00605C4C"/>
    <w:rsid w:val="006066B0"/>
    <w:rsid w:val="0060672E"/>
    <w:rsid w:val="0060691E"/>
    <w:rsid w:val="0060734E"/>
    <w:rsid w:val="0060743B"/>
    <w:rsid w:val="006104EF"/>
    <w:rsid w:val="00610DDA"/>
    <w:rsid w:val="00610DE4"/>
    <w:rsid w:val="00612654"/>
    <w:rsid w:val="00612770"/>
    <w:rsid w:val="00613108"/>
    <w:rsid w:val="00613626"/>
    <w:rsid w:val="00613774"/>
    <w:rsid w:val="00613D62"/>
    <w:rsid w:val="006148E9"/>
    <w:rsid w:val="00615395"/>
    <w:rsid w:val="00615693"/>
    <w:rsid w:val="006159AE"/>
    <w:rsid w:val="006173F9"/>
    <w:rsid w:val="00617C64"/>
    <w:rsid w:val="0062047D"/>
    <w:rsid w:val="00620A68"/>
    <w:rsid w:val="00620C68"/>
    <w:rsid w:val="0062154E"/>
    <w:rsid w:val="00621807"/>
    <w:rsid w:val="00621D83"/>
    <w:rsid w:val="00622384"/>
    <w:rsid w:val="0062249E"/>
    <w:rsid w:val="00622A8F"/>
    <w:rsid w:val="00623290"/>
    <w:rsid w:val="00624AE0"/>
    <w:rsid w:val="00624BD6"/>
    <w:rsid w:val="006255A3"/>
    <w:rsid w:val="00625F8C"/>
    <w:rsid w:val="00626029"/>
    <w:rsid w:val="006262B9"/>
    <w:rsid w:val="006262F5"/>
    <w:rsid w:val="0062650B"/>
    <w:rsid w:val="00626522"/>
    <w:rsid w:val="00626A32"/>
    <w:rsid w:val="00626EF7"/>
    <w:rsid w:val="00626F3F"/>
    <w:rsid w:val="0062748C"/>
    <w:rsid w:val="00627874"/>
    <w:rsid w:val="00627BB3"/>
    <w:rsid w:val="00627F39"/>
    <w:rsid w:val="00630333"/>
    <w:rsid w:val="006305C0"/>
    <w:rsid w:val="00630950"/>
    <w:rsid w:val="00630EB0"/>
    <w:rsid w:val="0063100B"/>
    <w:rsid w:val="00631219"/>
    <w:rsid w:val="006318F0"/>
    <w:rsid w:val="00631E8D"/>
    <w:rsid w:val="006324BA"/>
    <w:rsid w:val="0063283B"/>
    <w:rsid w:val="006346C3"/>
    <w:rsid w:val="00635084"/>
    <w:rsid w:val="0063597B"/>
    <w:rsid w:val="00635D58"/>
    <w:rsid w:val="006362C5"/>
    <w:rsid w:val="00636F0D"/>
    <w:rsid w:val="00637784"/>
    <w:rsid w:val="00637AF6"/>
    <w:rsid w:val="00641C92"/>
    <w:rsid w:val="00641F22"/>
    <w:rsid w:val="00642122"/>
    <w:rsid w:val="00642D13"/>
    <w:rsid w:val="00642EDB"/>
    <w:rsid w:val="00643246"/>
    <w:rsid w:val="00643F9A"/>
    <w:rsid w:val="006440D9"/>
    <w:rsid w:val="00644B19"/>
    <w:rsid w:val="00644D87"/>
    <w:rsid w:val="0064508F"/>
    <w:rsid w:val="006451EA"/>
    <w:rsid w:val="006456D9"/>
    <w:rsid w:val="00646BA7"/>
    <w:rsid w:val="0064754E"/>
    <w:rsid w:val="00647B7F"/>
    <w:rsid w:val="00652AA0"/>
    <w:rsid w:val="00652CAE"/>
    <w:rsid w:val="006549DC"/>
    <w:rsid w:val="00654AE0"/>
    <w:rsid w:val="00654EFC"/>
    <w:rsid w:val="00655118"/>
    <w:rsid w:val="00655493"/>
    <w:rsid w:val="006560C4"/>
    <w:rsid w:val="006562AA"/>
    <w:rsid w:val="006567B0"/>
    <w:rsid w:val="00656937"/>
    <w:rsid w:val="00657670"/>
    <w:rsid w:val="00660F9F"/>
    <w:rsid w:val="0066125B"/>
    <w:rsid w:val="0066165A"/>
    <w:rsid w:val="00661BAF"/>
    <w:rsid w:val="00661F18"/>
    <w:rsid w:val="00662BFD"/>
    <w:rsid w:val="00662D46"/>
    <w:rsid w:val="00663441"/>
    <w:rsid w:val="00663839"/>
    <w:rsid w:val="006638CE"/>
    <w:rsid w:val="00663A9C"/>
    <w:rsid w:val="00663F6D"/>
    <w:rsid w:val="0066450F"/>
    <w:rsid w:val="006647FC"/>
    <w:rsid w:val="00665142"/>
    <w:rsid w:val="00665B6D"/>
    <w:rsid w:val="00665EB3"/>
    <w:rsid w:val="0066601D"/>
    <w:rsid w:val="00666626"/>
    <w:rsid w:val="00667749"/>
    <w:rsid w:val="00667DA4"/>
    <w:rsid w:val="00667E29"/>
    <w:rsid w:val="00670936"/>
    <w:rsid w:val="0067127B"/>
    <w:rsid w:val="006720A8"/>
    <w:rsid w:val="006720DE"/>
    <w:rsid w:val="006724FC"/>
    <w:rsid w:val="006738D9"/>
    <w:rsid w:val="006742A8"/>
    <w:rsid w:val="00674488"/>
    <w:rsid w:val="006744B5"/>
    <w:rsid w:val="00674F8F"/>
    <w:rsid w:val="00675C94"/>
    <w:rsid w:val="0067631E"/>
    <w:rsid w:val="00676AF2"/>
    <w:rsid w:val="00676BC9"/>
    <w:rsid w:val="00677BBF"/>
    <w:rsid w:val="00680498"/>
    <w:rsid w:val="006805E2"/>
    <w:rsid w:val="006816B4"/>
    <w:rsid w:val="00681F83"/>
    <w:rsid w:val="006835EE"/>
    <w:rsid w:val="0068507A"/>
    <w:rsid w:val="00685352"/>
    <w:rsid w:val="00685355"/>
    <w:rsid w:val="00685910"/>
    <w:rsid w:val="006859D7"/>
    <w:rsid w:val="00686268"/>
    <w:rsid w:val="006863C5"/>
    <w:rsid w:val="00686A37"/>
    <w:rsid w:val="00686B77"/>
    <w:rsid w:val="00686C63"/>
    <w:rsid w:val="00687873"/>
    <w:rsid w:val="0069005D"/>
    <w:rsid w:val="00690B2E"/>
    <w:rsid w:val="00690B39"/>
    <w:rsid w:val="00691121"/>
    <w:rsid w:val="006912E0"/>
    <w:rsid w:val="00691BAB"/>
    <w:rsid w:val="00691CA8"/>
    <w:rsid w:val="00692734"/>
    <w:rsid w:val="00692D2D"/>
    <w:rsid w:val="00692DE7"/>
    <w:rsid w:val="006930D3"/>
    <w:rsid w:val="00693869"/>
    <w:rsid w:val="00693E62"/>
    <w:rsid w:val="00694928"/>
    <w:rsid w:val="0069494F"/>
    <w:rsid w:val="00695424"/>
    <w:rsid w:val="00695833"/>
    <w:rsid w:val="00695986"/>
    <w:rsid w:val="006959B7"/>
    <w:rsid w:val="006959E2"/>
    <w:rsid w:val="00696D76"/>
    <w:rsid w:val="00696F83"/>
    <w:rsid w:val="0069730D"/>
    <w:rsid w:val="00697AE8"/>
    <w:rsid w:val="006A062B"/>
    <w:rsid w:val="006A08B2"/>
    <w:rsid w:val="006A0E6F"/>
    <w:rsid w:val="006A1509"/>
    <w:rsid w:val="006A178C"/>
    <w:rsid w:val="006A2024"/>
    <w:rsid w:val="006A2094"/>
    <w:rsid w:val="006A2500"/>
    <w:rsid w:val="006A2F0C"/>
    <w:rsid w:val="006A3320"/>
    <w:rsid w:val="006A3BB2"/>
    <w:rsid w:val="006A3BDA"/>
    <w:rsid w:val="006A3F8D"/>
    <w:rsid w:val="006A45CB"/>
    <w:rsid w:val="006A4868"/>
    <w:rsid w:val="006A4C60"/>
    <w:rsid w:val="006A591B"/>
    <w:rsid w:val="006A5A1B"/>
    <w:rsid w:val="006A5AB0"/>
    <w:rsid w:val="006A6E1A"/>
    <w:rsid w:val="006A6E5B"/>
    <w:rsid w:val="006A78E9"/>
    <w:rsid w:val="006B02D4"/>
    <w:rsid w:val="006B070B"/>
    <w:rsid w:val="006B0FED"/>
    <w:rsid w:val="006B1257"/>
    <w:rsid w:val="006B1956"/>
    <w:rsid w:val="006B2053"/>
    <w:rsid w:val="006B228F"/>
    <w:rsid w:val="006B246F"/>
    <w:rsid w:val="006B2A7C"/>
    <w:rsid w:val="006B43C9"/>
    <w:rsid w:val="006B4436"/>
    <w:rsid w:val="006B4E91"/>
    <w:rsid w:val="006B5835"/>
    <w:rsid w:val="006B67A5"/>
    <w:rsid w:val="006B6E17"/>
    <w:rsid w:val="006B7054"/>
    <w:rsid w:val="006C0BA0"/>
    <w:rsid w:val="006C0F64"/>
    <w:rsid w:val="006C110B"/>
    <w:rsid w:val="006C13A8"/>
    <w:rsid w:val="006C1A36"/>
    <w:rsid w:val="006C254B"/>
    <w:rsid w:val="006C2806"/>
    <w:rsid w:val="006C2E80"/>
    <w:rsid w:val="006C43E3"/>
    <w:rsid w:val="006C4BA9"/>
    <w:rsid w:val="006C6B68"/>
    <w:rsid w:val="006C6DA1"/>
    <w:rsid w:val="006C7053"/>
    <w:rsid w:val="006C746B"/>
    <w:rsid w:val="006C770D"/>
    <w:rsid w:val="006C7937"/>
    <w:rsid w:val="006D0590"/>
    <w:rsid w:val="006D0C94"/>
    <w:rsid w:val="006D1003"/>
    <w:rsid w:val="006D1512"/>
    <w:rsid w:val="006D16C4"/>
    <w:rsid w:val="006D193A"/>
    <w:rsid w:val="006D2D71"/>
    <w:rsid w:val="006D2DEF"/>
    <w:rsid w:val="006D4630"/>
    <w:rsid w:val="006D4840"/>
    <w:rsid w:val="006D5243"/>
    <w:rsid w:val="006D68BF"/>
    <w:rsid w:val="006D68FB"/>
    <w:rsid w:val="006D6B7C"/>
    <w:rsid w:val="006D70A7"/>
    <w:rsid w:val="006D762B"/>
    <w:rsid w:val="006D79DD"/>
    <w:rsid w:val="006D7AA1"/>
    <w:rsid w:val="006E0786"/>
    <w:rsid w:val="006E0C53"/>
    <w:rsid w:val="006E1400"/>
    <w:rsid w:val="006E1849"/>
    <w:rsid w:val="006E1B63"/>
    <w:rsid w:val="006E1C51"/>
    <w:rsid w:val="006E1CE8"/>
    <w:rsid w:val="006E215B"/>
    <w:rsid w:val="006E2A49"/>
    <w:rsid w:val="006E3A0F"/>
    <w:rsid w:val="006E4656"/>
    <w:rsid w:val="006E47B7"/>
    <w:rsid w:val="006E4D78"/>
    <w:rsid w:val="006E51D4"/>
    <w:rsid w:val="006E5EDC"/>
    <w:rsid w:val="006E6231"/>
    <w:rsid w:val="006E6A62"/>
    <w:rsid w:val="006E7593"/>
    <w:rsid w:val="006E7BE6"/>
    <w:rsid w:val="006E7FE7"/>
    <w:rsid w:val="006F0241"/>
    <w:rsid w:val="006F0D6C"/>
    <w:rsid w:val="006F0F80"/>
    <w:rsid w:val="006F1566"/>
    <w:rsid w:val="006F1976"/>
    <w:rsid w:val="006F1A77"/>
    <w:rsid w:val="006F1C5E"/>
    <w:rsid w:val="006F1CE6"/>
    <w:rsid w:val="006F1DF8"/>
    <w:rsid w:val="006F1F30"/>
    <w:rsid w:val="006F23F4"/>
    <w:rsid w:val="006F26DA"/>
    <w:rsid w:val="006F4851"/>
    <w:rsid w:val="006F559C"/>
    <w:rsid w:val="006F6662"/>
    <w:rsid w:val="006F67C2"/>
    <w:rsid w:val="006F6945"/>
    <w:rsid w:val="006F6E80"/>
    <w:rsid w:val="006F71FC"/>
    <w:rsid w:val="006F77ED"/>
    <w:rsid w:val="0070012D"/>
    <w:rsid w:val="0070024B"/>
    <w:rsid w:val="00700C93"/>
    <w:rsid w:val="007012C3"/>
    <w:rsid w:val="007013A8"/>
    <w:rsid w:val="00702063"/>
    <w:rsid w:val="00702126"/>
    <w:rsid w:val="00702E44"/>
    <w:rsid w:val="00703050"/>
    <w:rsid w:val="00703673"/>
    <w:rsid w:val="00703C5B"/>
    <w:rsid w:val="00703FDE"/>
    <w:rsid w:val="007056D1"/>
    <w:rsid w:val="007068B3"/>
    <w:rsid w:val="007068FE"/>
    <w:rsid w:val="0070697F"/>
    <w:rsid w:val="00706EF4"/>
    <w:rsid w:val="00706F0B"/>
    <w:rsid w:val="00707689"/>
    <w:rsid w:val="00707A4C"/>
    <w:rsid w:val="0071099E"/>
    <w:rsid w:val="00710A97"/>
    <w:rsid w:val="00711F33"/>
    <w:rsid w:val="00712CE4"/>
    <w:rsid w:val="00712FC7"/>
    <w:rsid w:val="007132CC"/>
    <w:rsid w:val="00713F31"/>
    <w:rsid w:val="0071457A"/>
    <w:rsid w:val="00714B53"/>
    <w:rsid w:val="007159F0"/>
    <w:rsid w:val="00715A6F"/>
    <w:rsid w:val="00715D6C"/>
    <w:rsid w:val="00716102"/>
    <w:rsid w:val="007168CF"/>
    <w:rsid w:val="00716B3B"/>
    <w:rsid w:val="00717BEB"/>
    <w:rsid w:val="0072056E"/>
    <w:rsid w:val="007205FE"/>
    <w:rsid w:val="00720E45"/>
    <w:rsid w:val="0072139F"/>
    <w:rsid w:val="00725093"/>
    <w:rsid w:val="00726574"/>
    <w:rsid w:val="007268DA"/>
    <w:rsid w:val="00727F5C"/>
    <w:rsid w:val="00730E4C"/>
    <w:rsid w:val="007314AA"/>
    <w:rsid w:val="007317F1"/>
    <w:rsid w:val="00731B74"/>
    <w:rsid w:val="00731D36"/>
    <w:rsid w:val="00731F65"/>
    <w:rsid w:val="007321AE"/>
    <w:rsid w:val="0073240E"/>
    <w:rsid w:val="00733196"/>
    <w:rsid w:val="007355F2"/>
    <w:rsid w:val="00735CDA"/>
    <w:rsid w:val="00735DE2"/>
    <w:rsid w:val="0073682A"/>
    <w:rsid w:val="007371D4"/>
    <w:rsid w:val="007416B2"/>
    <w:rsid w:val="00741BFC"/>
    <w:rsid w:val="00741F9A"/>
    <w:rsid w:val="007422BD"/>
    <w:rsid w:val="0074297F"/>
    <w:rsid w:val="00742C00"/>
    <w:rsid w:val="0074350C"/>
    <w:rsid w:val="007435D3"/>
    <w:rsid w:val="0074373D"/>
    <w:rsid w:val="00743CC1"/>
    <w:rsid w:val="0074445E"/>
    <w:rsid w:val="0074468A"/>
    <w:rsid w:val="00744B40"/>
    <w:rsid w:val="00744C5C"/>
    <w:rsid w:val="00745947"/>
    <w:rsid w:val="00745E84"/>
    <w:rsid w:val="0074607C"/>
    <w:rsid w:val="00746389"/>
    <w:rsid w:val="00746D46"/>
    <w:rsid w:val="00746E88"/>
    <w:rsid w:val="007479DC"/>
    <w:rsid w:val="00747B54"/>
    <w:rsid w:val="00747C07"/>
    <w:rsid w:val="007505ED"/>
    <w:rsid w:val="00750731"/>
    <w:rsid w:val="0075134F"/>
    <w:rsid w:val="00751C30"/>
    <w:rsid w:val="00752601"/>
    <w:rsid w:val="00752B46"/>
    <w:rsid w:val="00753A5D"/>
    <w:rsid w:val="00754A1E"/>
    <w:rsid w:val="00754C3E"/>
    <w:rsid w:val="00754E34"/>
    <w:rsid w:val="00754E4D"/>
    <w:rsid w:val="007550A1"/>
    <w:rsid w:val="007557FD"/>
    <w:rsid w:val="00756AE9"/>
    <w:rsid w:val="00756D04"/>
    <w:rsid w:val="00757347"/>
    <w:rsid w:val="007576A0"/>
    <w:rsid w:val="007577EC"/>
    <w:rsid w:val="0076070A"/>
    <w:rsid w:val="00761E41"/>
    <w:rsid w:val="00761F22"/>
    <w:rsid w:val="007621FA"/>
    <w:rsid w:val="0076299E"/>
    <w:rsid w:val="007652CF"/>
    <w:rsid w:val="00766A47"/>
    <w:rsid w:val="00766CF3"/>
    <w:rsid w:val="00766DF6"/>
    <w:rsid w:val="00767851"/>
    <w:rsid w:val="00770E95"/>
    <w:rsid w:val="00770F68"/>
    <w:rsid w:val="00772576"/>
    <w:rsid w:val="007729FE"/>
    <w:rsid w:val="007732E5"/>
    <w:rsid w:val="007740A3"/>
    <w:rsid w:val="007748DA"/>
    <w:rsid w:val="00774A2C"/>
    <w:rsid w:val="007764ED"/>
    <w:rsid w:val="00776915"/>
    <w:rsid w:val="00776AD8"/>
    <w:rsid w:val="00776D74"/>
    <w:rsid w:val="00776D95"/>
    <w:rsid w:val="00777292"/>
    <w:rsid w:val="00777D97"/>
    <w:rsid w:val="00777E27"/>
    <w:rsid w:val="00777F80"/>
    <w:rsid w:val="0078113D"/>
    <w:rsid w:val="0078137A"/>
    <w:rsid w:val="00781721"/>
    <w:rsid w:val="007817CB"/>
    <w:rsid w:val="00783B13"/>
    <w:rsid w:val="0078421D"/>
    <w:rsid w:val="00784C66"/>
    <w:rsid w:val="00784D1D"/>
    <w:rsid w:val="00784F26"/>
    <w:rsid w:val="00785105"/>
    <w:rsid w:val="007858F6"/>
    <w:rsid w:val="00785924"/>
    <w:rsid w:val="00785D53"/>
    <w:rsid w:val="00785D6B"/>
    <w:rsid w:val="00786332"/>
    <w:rsid w:val="007869A2"/>
    <w:rsid w:val="00786DE7"/>
    <w:rsid w:val="00787B24"/>
    <w:rsid w:val="00790D4D"/>
    <w:rsid w:val="00791915"/>
    <w:rsid w:val="007919B0"/>
    <w:rsid w:val="00791B2C"/>
    <w:rsid w:val="0079207F"/>
    <w:rsid w:val="007922C0"/>
    <w:rsid w:val="0079281E"/>
    <w:rsid w:val="00794089"/>
    <w:rsid w:val="007943BA"/>
    <w:rsid w:val="007947F4"/>
    <w:rsid w:val="00795024"/>
    <w:rsid w:val="00795576"/>
    <w:rsid w:val="007960E0"/>
    <w:rsid w:val="00796ADE"/>
    <w:rsid w:val="00796FAB"/>
    <w:rsid w:val="00797495"/>
    <w:rsid w:val="00797B4B"/>
    <w:rsid w:val="007A0360"/>
    <w:rsid w:val="007A0AE6"/>
    <w:rsid w:val="007A0C3E"/>
    <w:rsid w:val="007A1923"/>
    <w:rsid w:val="007A1F81"/>
    <w:rsid w:val="007A2C81"/>
    <w:rsid w:val="007A3A88"/>
    <w:rsid w:val="007A4A2B"/>
    <w:rsid w:val="007A4CBE"/>
    <w:rsid w:val="007A57EA"/>
    <w:rsid w:val="007A65B9"/>
    <w:rsid w:val="007A71D5"/>
    <w:rsid w:val="007B0530"/>
    <w:rsid w:val="007B0954"/>
    <w:rsid w:val="007B0AA5"/>
    <w:rsid w:val="007B17E1"/>
    <w:rsid w:val="007B2A95"/>
    <w:rsid w:val="007B3059"/>
    <w:rsid w:val="007B31BB"/>
    <w:rsid w:val="007B3291"/>
    <w:rsid w:val="007B370D"/>
    <w:rsid w:val="007B3877"/>
    <w:rsid w:val="007B3D5B"/>
    <w:rsid w:val="007B4497"/>
    <w:rsid w:val="007B472D"/>
    <w:rsid w:val="007B4F7F"/>
    <w:rsid w:val="007B5ECD"/>
    <w:rsid w:val="007B62C6"/>
    <w:rsid w:val="007C0413"/>
    <w:rsid w:val="007C096E"/>
    <w:rsid w:val="007C0D6D"/>
    <w:rsid w:val="007C12DD"/>
    <w:rsid w:val="007C2346"/>
    <w:rsid w:val="007C280E"/>
    <w:rsid w:val="007C2DEF"/>
    <w:rsid w:val="007C3039"/>
    <w:rsid w:val="007C33A2"/>
    <w:rsid w:val="007C441E"/>
    <w:rsid w:val="007C47CC"/>
    <w:rsid w:val="007C51AA"/>
    <w:rsid w:val="007C5929"/>
    <w:rsid w:val="007C6405"/>
    <w:rsid w:val="007C72B3"/>
    <w:rsid w:val="007C78BD"/>
    <w:rsid w:val="007C7D6B"/>
    <w:rsid w:val="007D0A8A"/>
    <w:rsid w:val="007D0ECB"/>
    <w:rsid w:val="007D1642"/>
    <w:rsid w:val="007D19B9"/>
    <w:rsid w:val="007D1B78"/>
    <w:rsid w:val="007D1C76"/>
    <w:rsid w:val="007D1F5D"/>
    <w:rsid w:val="007D2F0A"/>
    <w:rsid w:val="007D3E97"/>
    <w:rsid w:val="007D3ED7"/>
    <w:rsid w:val="007D42E7"/>
    <w:rsid w:val="007D4E6B"/>
    <w:rsid w:val="007D5C6B"/>
    <w:rsid w:val="007D5DD0"/>
    <w:rsid w:val="007D62F8"/>
    <w:rsid w:val="007D68EC"/>
    <w:rsid w:val="007D7F91"/>
    <w:rsid w:val="007E01FF"/>
    <w:rsid w:val="007E0620"/>
    <w:rsid w:val="007E0823"/>
    <w:rsid w:val="007E0E2E"/>
    <w:rsid w:val="007E17EF"/>
    <w:rsid w:val="007E277C"/>
    <w:rsid w:val="007E2EBB"/>
    <w:rsid w:val="007E363D"/>
    <w:rsid w:val="007E398B"/>
    <w:rsid w:val="007E3CA6"/>
    <w:rsid w:val="007E3DB2"/>
    <w:rsid w:val="007E3DC7"/>
    <w:rsid w:val="007E3EE8"/>
    <w:rsid w:val="007E5078"/>
    <w:rsid w:val="007E5222"/>
    <w:rsid w:val="007E5861"/>
    <w:rsid w:val="007E599C"/>
    <w:rsid w:val="007E5A5B"/>
    <w:rsid w:val="007E67B6"/>
    <w:rsid w:val="007E6DCA"/>
    <w:rsid w:val="007E75DD"/>
    <w:rsid w:val="007E7DEB"/>
    <w:rsid w:val="007E7FE1"/>
    <w:rsid w:val="007F0D18"/>
    <w:rsid w:val="007F0E86"/>
    <w:rsid w:val="007F0FF0"/>
    <w:rsid w:val="007F14C4"/>
    <w:rsid w:val="007F14EB"/>
    <w:rsid w:val="007F15D5"/>
    <w:rsid w:val="007F2438"/>
    <w:rsid w:val="007F28AD"/>
    <w:rsid w:val="007F3714"/>
    <w:rsid w:val="007F3947"/>
    <w:rsid w:val="007F4132"/>
    <w:rsid w:val="007F4E9F"/>
    <w:rsid w:val="007F4EAE"/>
    <w:rsid w:val="007F519F"/>
    <w:rsid w:val="007F5E9A"/>
    <w:rsid w:val="007F7568"/>
    <w:rsid w:val="007F759B"/>
    <w:rsid w:val="00800345"/>
    <w:rsid w:val="008006AF"/>
    <w:rsid w:val="00800D00"/>
    <w:rsid w:val="00801002"/>
    <w:rsid w:val="00801085"/>
    <w:rsid w:val="008024A9"/>
    <w:rsid w:val="00802AB8"/>
    <w:rsid w:val="0080328D"/>
    <w:rsid w:val="008033DB"/>
    <w:rsid w:val="00803412"/>
    <w:rsid w:val="00803860"/>
    <w:rsid w:val="00803A62"/>
    <w:rsid w:val="00803A82"/>
    <w:rsid w:val="00803B1B"/>
    <w:rsid w:val="00803E49"/>
    <w:rsid w:val="00803E52"/>
    <w:rsid w:val="00804ACE"/>
    <w:rsid w:val="0080508A"/>
    <w:rsid w:val="0080552C"/>
    <w:rsid w:val="00806011"/>
    <w:rsid w:val="00806669"/>
    <w:rsid w:val="0080762C"/>
    <w:rsid w:val="0080768B"/>
    <w:rsid w:val="008077E2"/>
    <w:rsid w:val="00807E1D"/>
    <w:rsid w:val="008102CB"/>
    <w:rsid w:val="00810E02"/>
    <w:rsid w:val="0081249F"/>
    <w:rsid w:val="00812737"/>
    <w:rsid w:val="00812A4F"/>
    <w:rsid w:val="00812C8E"/>
    <w:rsid w:val="00813B07"/>
    <w:rsid w:val="0081556C"/>
    <w:rsid w:val="0081567D"/>
    <w:rsid w:val="00815D66"/>
    <w:rsid w:val="00815E5C"/>
    <w:rsid w:val="008173FA"/>
    <w:rsid w:val="008201A1"/>
    <w:rsid w:val="0082056A"/>
    <w:rsid w:val="00820853"/>
    <w:rsid w:val="0082198E"/>
    <w:rsid w:val="00821E90"/>
    <w:rsid w:val="00821FA3"/>
    <w:rsid w:val="00822342"/>
    <w:rsid w:val="00822AA0"/>
    <w:rsid w:val="00823771"/>
    <w:rsid w:val="008248D7"/>
    <w:rsid w:val="00824FC1"/>
    <w:rsid w:val="00825546"/>
    <w:rsid w:val="00826712"/>
    <w:rsid w:val="00826764"/>
    <w:rsid w:val="0082769B"/>
    <w:rsid w:val="0082772E"/>
    <w:rsid w:val="00827CAB"/>
    <w:rsid w:val="008303DA"/>
    <w:rsid w:val="00830D11"/>
    <w:rsid w:val="0083157C"/>
    <w:rsid w:val="0083198F"/>
    <w:rsid w:val="00831C1F"/>
    <w:rsid w:val="00833717"/>
    <w:rsid w:val="00835272"/>
    <w:rsid w:val="008352B0"/>
    <w:rsid w:val="008355AE"/>
    <w:rsid w:val="008361D0"/>
    <w:rsid w:val="0083695A"/>
    <w:rsid w:val="00836B73"/>
    <w:rsid w:val="008378A1"/>
    <w:rsid w:val="008401C7"/>
    <w:rsid w:val="00840544"/>
    <w:rsid w:val="00840845"/>
    <w:rsid w:val="00842490"/>
    <w:rsid w:val="00842BD0"/>
    <w:rsid w:val="008434C6"/>
    <w:rsid w:val="00843BF2"/>
    <w:rsid w:val="00844194"/>
    <w:rsid w:val="00844CE1"/>
    <w:rsid w:val="00844FF9"/>
    <w:rsid w:val="00846638"/>
    <w:rsid w:val="00846991"/>
    <w:rsid w:val="00846C01"/>
    <w:rsid w:val="00847677"/>
    <w:rsid w:val="00847DA4"/>
    <w:rsid w:val="00847FAD"/>
    <w:rsid w:val="00850609"/>
    <w:rsid w:val="0085086B"/>
    <w:rsid w:val="00850AA1"/>
    <w:rsid w:val="00851377"/>
    <w:rsid w:val="00851FD8"/>
    <w:rsid w:val="00852FB5"/>
    <w:rsid w:val="00853395"/>
    <w:rsid w:val="00853D0D"/>
    <w:rsid w:val="00855A99"/>
    <w:rsid w:val="00855C2B"/>
    <w:rsid w:val="008561D1"/>
    <w:rsid w:val="008565C3"/>
    <w:rsid w:val="00856F23"/>
    <w:rsid w:val="00857945"/>
    <w:rsid w:val="00857C5B"/>
    <w:rsid w:val="008606FD"/>
    <w:rsid w:val="00861230"/>
    <w:rsid w:val="0086133A"/>
    <w:rsid w:val="008613C6"/>
    <w:rsid w:val="00861436"/>
    <w:rsid w:val="008624B3"/>
    <w:rsid w:val="00862BBD"/>
    <w:rsid w:val="00862D89"/>
    <w:rsid w:val="008633E0"/>
    <w:rsid w:val="008638C3"/>
    <w:rsid w:val="00863A73"/>
    <w:rsid w:val="00864589"/>
    <w:rsid w:val="00864A5F"/>
    <w:rsid w:val="00864B74"/>
    <w:rsid w:val="008654AD"/>
    <w:rsid w:val="00865865"/>
    <w:rsid w:val="008671E7"/>
    <w:rsid w:val="00867AF9"/>
    <w:rsid w:val="008704EF"/>
    <w:rsid w:val="008709EF"/>
    <w:rsid w:val="00870DCD"/>
    <w:rsid w:val="00870E62"/>
    <w:rsid w:val="008715EB"/>
    <w:rsid w:val="008720F3"/>
    <w:rsid w:val="008721DF"/>
    <w:rsid w:val="0087241A"/>
    <w:rsid w:val="0087331F"/>
    <w:rsid w:val="00873649"/>
    <w:rsid w:val="008738F4"/>
    <w:rsid w:val="00873A0D"/>
    <w:rsid w:val="0087415C"/>
    <w:rsid w:val="0087467B"/>
    <w:rsid w:val="00874C75"/>
    <w:rsid w:val="008762B6"/>
    <w:rsid w:val="008764DC"/>
    <w:rsid w:val="008765EC"/>
    <w:rsid w:val="00876699"/>
    <w:rsid w:val="00876A50"/>
    <w:rsid w:val="00876DF0"/>
    <w:rsid w:val="00876F42"/>
    <w:rsid w:val="00877765"/>
    <w:rsid w:val="008779BB"/>
    <w:rsid w:val="00877D53"/>
    <w:rsid w:val="0088033E"/>
    <w:rsid w:val="00880522"/>
    <w:rsid w:val="00880A54"/>
    <w:rsid w:val="00880C8D"/>
    <w:rsid w:val="00880F46"/>
    <w:rsid w:val="008811A7"/>
    <w:rsid w:val="00881437"/>
    <w:rsid w:val="00881F0A"/>
    <w:rsid w:val="00882825"/>
    <w:rsid w:val="00883764"/>
    <w:rsid w:val="00884192"/>
    <w:rsid w:val="0088422D"/>
    <w:rsid w:val="00884776"/>
    <w:rsid w:val="00885539"/>
    <w:rsid w:val="00886981"/>
    <w:rsid w:val="00886C65"/>
    <w:rsid w:val="00886D13"/>
    <w:rsid w:val="00890B15"/>
    <w:rsid w:val="00891440"/>
    <w:rsid w:val="0089184B"/>
    <w:rsid w:val="00891E20"/>
    <w:rsid w:val="00892E10"/>
    <w:rsid w:val="00892E52"/>
    <w:rsid w:val="00894B99"/>
    <w:rsid w:val="00895094"/>
    <w:rsid w:val="0089516C"/>
    <w:rsid w:val="00895964"/>
    <w:rsid w:val="00895D22"/>
    <w:rsid w:val="00895FC9"/>
    <w:rsid w:val="008960DA"/>
    <w:rsid w:val="0089648E"/>
    <w:rsid w:val="00896718"/>
    <w:rsid w:val="00896971"/>
    <w:rsid w:val="00896AA0"/>
    <w:rsid w:val="00897363"/>
    <w:rsid w:val="008977FD"/>
    <w:rsid w:val="00897D16"/>
    <w:rsid w:val="008A03E5"/>
    <w:rsid w:val="008A1C37"/>
    <w:rsid w:val="008A2A6F"/>
    <w:rsid w:val="008A455B"/>
    <w:rsid w:val="008A4C24"/>
    <w:rsid w:val="008A4E47"/>
    <w:rsid w:val="008A5179"/>
    <w:rsid w:val="008A5C05"/>
    <w:rsid w:val="008A5E88"/>
    <w:rsid w:val="008A6433"/>
    <w:rsid w:val="008A6E40"/>
    <w:rsid w:val="008A729D"/>
    <w:rsid w:val="008A743F"/>
    <w:rsid w:val="008B09E6"/>
    <w:rsid w:val="008B0C43"/>
    <w:rsid w:val="008B1F85"/>
    <w:rsid w:val="008B24EA"/>
    <w:rsid w:val="008B4007"/>
    <w:rsid w:val="008B5251"/>
    <w:rsid w:val="008B61E2"/>
    <w:rsid w:val="008B63B1"/>
    <w:rsid w:val="008B64D7"/>
    <w:rsid w:val="008B76CA"/>
    <w:rsid w:val="008B7760"/>
    <w:rsid w:val="008B7B15"/>
    <w:rsid w:val="008B7C6D"/>
    <w:rsid w:val="008C0E62"/>
    <w:rsid w:val="008C14F9"/>
    <w:rsid w:val="008C2BC5"/>
    <w:rsid w:val="008C2D1A"/>
    <w:rsid w:val="008C34CC"/>
    <w:rsid w:val="008C3DF9"/>
    <w:rsid w:val="008C48A2"/>
    <w:rsid w:val="008C56E0"/>
    <w:rsid w:val="008C58E5"/>
    <w:rsid w:val="008C62A5"/>
    <w:rsid w:val="008C62AD"/>
    <w:rsid w:val="008C6EA2"/>
    <w:rsid w:val="008C731C"/>
    <w:rsid w:val="008C73BF"/>
    <w:rsid w:val="008C76A0"/>
    <w:rsid w:val="008C7D93"/>
    <w:rsid w:val="008D022B"/>
    <w:rsid w:val="008D03B4"/>
    <w:rsid w:val="008D1F7D"/>
    <w:rsid w:val="008D213D"/>
    <w:rsid w:val="008D23C4"/>
    <w:rsid w:val="008D2B3F"/>
    <w:rsid w:val="008D2BD3"/>
    <w:rsid w:val="008D342E"/>
    <w:rsid w:val="008D36EA"/>
    <w:rsid w:val="008D4259"/>
    <w:rsid w:val="008D49A4"/>
    <w:rsid w:val="008D4A00"/>
    <w:rsid w:val="008D5BDA"/>
    <w:rsid w:val="008D64A6"/>
    <w:rsid w:val="008D7368"/>
    <w:rsid w:val="008D74B1"/>
    <w:rsid w:val="008D758C"/>
    <w:rsid w:val="008E07B2"/>
    <w:rsid w:val="008E0F80"/>
    <w:rsid w:val="008E1120"/>
    <w:rsid w:val="008E1178"/>
    <w:rsid w:val="008E15D6"/>
    <w:rsid w:val="008E16A1"/>
    <w:rsid w:val="008E1D51"/>
    <w:rsid w:val="008E2649"/>
    <w:rsid w:val="008E2A87"/>
    <w:rsid w:val="008E31EA"/>
    <w:rsid w:val="008E35C2"/>
    <w:rsid w:val="008E4100"/>
    <w:rsid w:val="008E4B44"/>
    <w:rsid w:val="008E4F9C"/>
    <w:rsid w:val="008E4FD9"/>
    <w:rsid w:val="008E50A7"/>
    <w:rsid w:val="008E5EDA"/>
    <w:rsid w:val="008E6702"/>
    <w:rsid w:val="008E689F"/>
    <w:rsid w:val="008E6B14"/>
    <w:rsid w:val="008E76FC"/>
    <w:rsid w:val="008E7EEE"/>
    <w:rsid w:val="008F0385"/>
    <w:rsid w:val="008F07F4"/>
    <w:rsid w:val="008F081A"/>
    <w:rsid w:val="008F1136"/>
    <w:rsid w:val="008F12B3"/>
    <w:rsid w:val="008F13F7"/>
    <w:rsid w:val="008F1402"/>
    <w:rsid w:val="008F17D4"/>
    <w:rsid w:val="008F1861"/>
    <w:rsid w:val="008F1B5E"/>
    <w:rsid w:val="008F2B1A"/>
    <w:rsid w:val="008F3329"/>
    <w:rsid w:val="008F34EB"/>
    <w:rsid w:val="008F3502"/>
    <w:rsid w:val="008F3AD5"/>
    <w:rsid w:val="008F4231"/>
    <w:rsid w:val="008F4C0F"/>
    <w:rsid w:val="008F4CA1"/>
    <w:rsid w:val="008F4DA3"/>
    <w:rsid w:val="008F501A"/>
    <w:rsid w:val="008F56F6"/>
    <w:rsid w:val="008F5A7A"/>
    <w:rsid w:val="008F6357"/>
    <w:rsid w:val="008F6B6E"/>
    <w:rsid w:val="008F70CC"/>
    <w:rsid w:val="008F7D3D"/>
    <w:rsid w:val="008F7D7A"/>
    <w:rsid w:val="00900BF3"/>
    <w:rsid w:val="00900F2A"/>
    <w:rsid w:val="00901122"/>
    <w:rsid w:val="00901BDE"/>
    <w:rsid w:val="009025CC"/>
    <w:rsid w:val="009033F3"/>
    <w:rsid w:val="00903654"/>
    <w:rsid w:val="00903F53"/>
    <w:rsid w:val="009044FF"/>
    <w:rsid w:val="0090483C"/>
    <w:rsid w:val="00904EF2"/>
    <w:rsid w:val="0090567C"/>
    <w:rsid w:val="00905749"/>
    <w:rsid w:val="00905927"/>
    <w:rsid w:val="00905CC0"/>
    <w:rsid w:val="00905DC3"/>
    <w:rsid w:val="0090619C"/>
    <w:rsid w:val="009066EC"/>
    <w:rsid w:val="00906C7C"/>
    <w:rsid w:val="00910440"/>
    <w:rsid w:val="0091045F"/>
    <w:rsid w:val="0091080B"/>
    <w:rsid w:val="00910C25"/>
    <w:rsid w:val="0091164B"/>
    <w:rsid w:val="009135ED"/>
    <w:rsid w:val="0091389C"/>
    <w:rsid w:val="009138CA"/>
    <w:rsid w:val="00914F41"/>
    <w:rsid w:val="00915273"/>
    <w:rsid w:val="00915956"/>
    <w:rsid w:val="00915C53"/>
    <w:rsid w:val="00916597"/>
    <w:rsid w:val="00916844"/>
    <w:rsid w:val="00916935"/>
    <w:rsid w:val="00916B93"/>
    <w:rsid w:val="00917D4B"/>
    <w:rsid w:val="00920E86"/>
    <w:rsid w:val="00920FC9"/>
    <w:rsid w:val="009216BE"/>
    <w:rsid w:val="00921B48"/>
    <w:rsid w:val="00921B7C"/>
    <w:rsid w:val="00921EBD"/>
    <w:rsid w:val="00922003"/>
    <w:rsid w:val="00922260"/>
    <w:rsid w:val="00922C17"/>
    <w:rsid w:val="00922E21"/>
    <w:rsid w:val="0092322C"/>
    <w:rsid w:val="009233BB"/>
    <w:rsid w:val="00923537"/>
    <w:rsid w:val="00923630"/>
    <w:rsid w:val="00924334"/>
    <w:rsid w:val="0092450D"/>
    <w:rsid w:val="00924934"/>
    <w:rsid w:val="00925080"/>
    <w:rsid w:val="00925528"/>
    <w:rsid w:val="00925C50"/>
    <w:rsid w:val="00925C96"/>
    <w:rsid w:val="00926108"/>
    <w:rsid w:val="0092661E"/>
    <w:rsid w:val="00926F9C"/>
    <w:rsid w:val="009308CE"/>
    <w:rsid w:val="0093156C"/>
    <w:rsid w:val="00931BDB"/>
    <w:rsid w:val="00932052"/>
    <w:rsid w:val="00932712"/>
    <w:rsid w:val="00933089"/>
    <w:rsid w:val="00933135"/>
    <w:rsid w:val="00934A6D"/>
    <w:rsid w:val="00934FB5"/>
    <w:rsid w:val="00935079"/>
    <w:rsid w:val="00935742"/>
    <w:rsid w:val="00935B18"/>
    <w:rsid w:val="00936184"/>
    <w:rsid w:val="0093618F"/>
    <w:rsid w:val="009362DF"/>
    <w:rsid w:val="00936618"/>
    <w:rsid w:val="009375ED"/>
    <w:rsid w:val="0093769D"/>
    <w:rsid w:val="0094040B"/>
    <w:rsid w:val="009404CD"/>
    <w:rsid w:val="00940F89"/>
    <w:rsid w:val="00942569"/>
    <w:rsid w:val="00944223"/>
    <w:rsid w:val="0094431F"/>
    <w:rsid w:val="0094464E"/>
    <w:rsid w:val="0094475F"/>
    <w:rsid w:val="0094542A"/>
    <w:rsid w:val="009455E7"/>
    <w:rsid w:val="009460BF"/>
    <w:rsid w:val="00946657"/>
    <w:rsid w:val="00946F76"/>
    <w:rsid w:val="00947213"/>
    <w:rsid w:val="00947223"/>
    <w:rsid w:val="0094761E"/>
    <w:rsid w:val="00950E52"/>
    <w:rsid w:val="00950F16"/>
    <w:rsid w:val="00951223"/>
    <w:rsid w:val="0095139E"/>
    <w:rsid w:val="009517FD"/>
    <w:rsid w:val="009523F0"/>
    <w:rsid w:val="009525C2"/>
    <w:rsid w:val="00953208"/>
    <w:rsid w:val="00953370"/>
    <w:rsid w:val="009537BB"/>
    <w:rsid w:val="0095388C"/>
    <w:rsid w:val="00954031"/>
    <w:rsid w:val="00954E15"/>
    <w:rsid w:val="00955DE5"/>
    <w:rsid w:val="00955E14"/>
    <w:rsid w:val="00956BA9"/>
    <w:rsid w:val="00956D0B"/>
    <w:rsid w:val="009570A5"/>
    <w:rsid w:val="009576D3"/>
    <w:rsid w:val="009577CC"/>
    <w:rsid w:val="00957D91"/>
    <w:rsid w:val="00957EED"/>
    <w:rsid w:val="0096010C"/>
    <w:rsid w:val="009601E8"/>
    <w:rsid w:val="00960234"/>
    <w:rsid w:val="00961B7E"/>
    <w:rsid w:val="00961E8F"/>
    <w:rsid w:val="00962663"/>
    <w:rsid w:val="00963D00"/>
    <w:rsid w:val="00963D62"/>
    <w:rsid w:val="00963EDE"/>
    <w:rsid w:val="0096400A"/>
    <w:rsid w:val="009650F4"/>
    <w:rsid w:val="009662E6"/>
    <w:rsid w:val="00967200"/>
    <w:rsid w:val="00967397"/>
    <w:rsid w:val="00970001"/>
    <w:rsid w:val="00970DD2"/>
    <w:rsid w:val="009722C7"/>
    <w:rsid w:val="00973565"/>
    <w:rsid w:val="00973EDB"/>
    <w:rsid w:val="009740CE"/>
    <w:rsid w:val="00975301"/>
    <w:rsid w:val="00975359"/>
    <w:rsid w:val="00975C36"/>
    <w:rsid w:val="00975CFB"/>
    <w:rsid w:val="00975F35"/>
    <w:rsid w:val="00976496"/>
    <w:rsid w:val="00977C61"/>
    <w:rsid w:val="009803D2"/>
    <w:rsid w:val="00980C1D"/>
    <w:rsid w:val="0098133D"/>
    <w:rsid w:val="00981714"/>
    <w:rsid w:val="0098258A"/>
    <w:rsid w:val="00983273"/>
    <w:rsid w:val="009839DA"/>
    <w:rsid w:val="00985056"/>
    <w:rsid w:val="009860D1"/>
    <w:rsid w:val="0098611E"/>
    <w:rsid w:val="009865D5"/>
    <w:rsid w:val="00986695"/>
    <w:rsid w:val="00986D61"/>
    <w:rsid w:val="00986E19"/>
    <w:rsid w:val="00986F06"/>
    <w:rsid w:val="00987ED1"/>
    <w:rsid w:val="0099098E"/>
    <w:rsid w:val="00990D98"/>
    <w:rsid w:val="00990F2F"/>
    <w:rsid w:val="009918C0"/>
    <w:rsid w:val="00991F0F"/>
    <w:rsid w:val="00993340"/>
    <w:rsid w:val="00993530"/>
    <w:rsid w:val="009936AF"/>
    <w:rsid w:val="0099483F"/>
    <w:rsid w:val="00995951"/>
    <w:rsid w:val="00995CA0"/>
    <w:rsid w:val="00995DFF"/>
    <w:rsid w:val="009972DC"/>
    <w:rsid w:val="00997E04"/>
    <w:rsid w:val="00997F29"/>
    <w:rsid w:val="009A06AA"/>
    <w:rsid w:val="009A1693"/>
    <w:rsid w:val="009A172A"/>
    <w:rsid w:val="009A2587"/>
    <w:rsid w:val="009A2ED1"/>
    <w:rsid w:val="009A3530"/>
    <w:rsid w:val="009A3DDD"/>
    <w:rsid w:val="009A48E7"/>
    <w:rsid w:val="009A4D13"/>
    <w:rsid w:val="009A4DA0"/>
    <w:rsid w:val="009A4DB0"/>
    <w:rsid w:val="009A585A"/>
    <w:rsid w:val="009A64F5"/>
    <w:rsid w:val="009A6827"/>
    <w:rsid w:val="009A76A9"/>
    <w:rsid w:val="009B03DE"/>
    <w:rsid w:val="009B0AED"/>
    <w:rsid w:val="009B0F5A"/>
    <w:rsid w:val="009B150F"/>
    <w:rsid w:val="009B1619"/>
    <w:rsid w:val="009B1669"/>
    <w:rsid w:val="009B19AA"/>
    <w:rsid w:val="009B2C0B"/>
    <w:rsid w:val="009B2ED0"/>
    <w:rsid w:val="009B3673"/>
    <w:rsid w:val="009B46C2"/>
    <w:rsid w:val="009B576F"/>
    <w:rsid w:val="009B592E"/>
    <w:rsid w:val="009B5A6A"/>
    <w:rsid w:val="009B6CA4"/>
    <w:rsid w:val="009B6FB4"/>
    <w:rsid w:val="009B71D1"/>
    <w:rsid w:val="009C031F"/>
    <w:rsid w:val="009C08C8"/>
    <w:rsid w:val="009C19D7"/>
    <w:rsid w:val="009C268D"/>
    <w:rsid w:val="009C286D"/>
    <w:rsid w:val="009C30B8"/>
    <w:rsid w:val="009C39EE"/>
    <w:rsid w:val="009C3F00"/>
    <w:rsid w:val="009C4320"/>
    <w:rsid w:val="009C4B29"/>
    <w:rsid w:val="009C4C1C"/>
    <w:rsid w:val="009C6003"/>
    <w:rsid w:val="009C6063"/>
    <w:rsid w:val="009C689F"/>
    <w:rsid w:val="009C78A5"/>
    <w:rsid w:val="009C7931"/>
    <w:rsid w:val="009C7AA5"/>
    <w:rsid w:val="009D0989"/>
    <w:rsid w:val="009D0B36"/>
    <w:rsid w:val="009D1317"/>
    <w:rsid w:val="009D1872"/>
    <w:rsid w:val="009D3247"/>
    <w:rsid w:val="009D3CF0"/>
    <w:rsid w:val="009D40F2"/>
    <w:rsid w:val="009D45A1"/>
    <w:rsid w:val="009D45F6"/>
    <w:rsid w:val="009D4AC7"/>
    <w:rsid w:val="009D56D0"/>
    <w:rsid w:val="009D5842"/>
    <w:rsid w:val="009D5A1A"/>
    <w:rsid w:val="009D6289"/>
    <w:rsid w:val="009D6A06"/>
    <w:rsid w:val="009D6E66"/>
    <w:rsid w:val="009D6E7A"/>
    <w:rsid w:val="009D7BE3"/>
    <w:rsid w:val="009D7E9D"/>
    <w:rsid w:val="009E07A4"/>
    <w:rsid w:val="009E1477"/>
    <w:rsid w:val="009E1939"/>
    <w:rsid w:val="009E1BF5"/>
    <w:rsid w:val="009E1DC4"/>
    <w:rsid w:val="009E238E"/>
    <w:rsid w:val="009E267E"/>
    <w:rsid w:val="009E27F7"/>
    <w:rsid w:val="009E299B"/>
    <w:rsid w:val="009E2D9E"/>
    <w:rsid w:val="009E2E79"/>
    <w:rsid w:val="009E2FA1"/>
    <w:rsid w:val="009E363E"/>
    <w:rsid w:val="009E3BC5"/>
    <w:rsid w:val="009E4909"/>
    <w:rsid w:val="009E4C4E"/>
    <w:rsid w:val="009E50B6"/>
    <w:rsid w:val="009E5E26"/>
    <w:rsid w:val="009E60A3"/>
    <w:rsid w:val="009E63D6"/>
    <w:rsid w:val="009E6887"/>
    <w:rsid w:val="009E6BB1"/>
    <w:rsid w:val="009E6D31"/>
    <w:rsid w:val="009E6E69"/>
    <w:rsid w:val="009E70B7"/>
    <w:rsid w:val="009E7D16"/>
    <w:rsid w:val="009F0EE5"/>
    <w:rsid w:val="009F0F1F"/>
    <w:rsid w:val="009F1219"/>
    <w:rsid w:val="009F212F"/>
    <w:rsid w:val="009F217D"/>
    <w:rsid w:val="009F2492"/>
    <w:rsid w:val="009F278D"/>
    <w:rsid w:val="009F2ED6"/>
    <w:rsid w:val="009F2FD7"/>
    <w:rsid w:val="009F3094"/>
    <w:rsid w:val="009F330B"/>
    <w:rsid w:val="009F39D0"/>
    <w:rsid w:val="009F42E1"/>
    <w:rsid w:val="009F44ED"/>
    <w:rsid w:val="009F4661"/>
    <w:rsid w:val="009F5B01"/>
    <w:rsid w:val="009F638D"/>
    <w:rsid w:val="009F70D6"/>
    <w:rsid w:val="009F7603"/>
    <w:rsid w:val="009F788D"/>
    <w:rsid w:val="00A00C5A"/>
    <w:rsid w:val="00A011CA"/>
    <w:rsid w:val="00A018B4"/>
    <w:rsid w:val="00A018B8"/>
    <w:rsid w:val="00A01A58"/>
    <w:rsid w:val="00A01B4E"/>
    <w:rsid w:val="00A0250D"/>
    <w:rsid w:val="00A02557"/>
    <w:rsid w:val="00A025E0"/>
    <w:rsid w:val="00A02949"/>
    <w:rsid w:val="00A03BE5"/>
    <w:rsid w:val="00A04F04"/>
    <w:rsid w:val="00A0665C"/>
    <w:rsid w:val="00A068D2"/>
    <w:rsid w:val="00A069F3"/>
    <w:rsid w:val="00A06D24"/>
    <w:rsid w:val="00A06DC6"/>
    <w:rsid w:val="00A1091D"/>
    <w:rsid w:val="00A10CFF"/>
    <w:rsid w:val="00A119BD"/>
    <w:rsid w:val="00A121ED"/>
    <w:rsid w:val="00A12949"/>
    <w:rsid w:val="00A129AC"/>
    <w:rsid w:val="00A1316E"/>
    <w:rsid w:val="00A13C90"/>
    <w:rsid w:val="00A144A6"/>
    <w:rsid w:val="00A14842"/>
    <w:rsid w:val="00A148C3"/>
    <w:rsid w:val="00A15682"/>
    <w:rsid w:val="00A15DA1"/>
    <w:rsid w:val="00A163B7"/>
    <w:rsid w:val="00A1757E"/>
    <w:rsid w:val="00A17E41"/>
    <w:rsid w:val="00A17F52"/>
    <w:rsid w:val="00A21F67"/>
    <w:rsid w:val="00A24C80"/>
    <w:rsid w:val="00A250C3"/>
    <w:rsid w:val="00A25156"/>
    <w:rsid w:val="00A257BF"/>
    <w:rsid w:val="00A25A9C"/>
    <w:rsid w:val="00A25F40"/>
    <w:rsid w:val="00A25FBC"/>
    <w:rsid w:val="00A2642E"/>
    <w:rsid w:val="00A26785"/>
    <w:rsid w:val="00A26B6C"/>
    <w:rsid w:val="00A27C75"/>
    <w:rsid w:val="00A27F76"/>
    <w:rsid w:val="00A30742"/>
    <w:rsid w:val="00A30753"/>
    <w:rsid w:val="00A30854"/>
    <w:rsid w:val="00A30D8D"/>
    <w:rsid w:val="00A3210A"/>
    <w:rsid w:val="00A326A6"/>
    <w:rsid w:val="00A3278C"/>
    <w:rsid w:val="00A32AA6"/>
    <w:rsid w:val="00A32AB4"/>
    <w:rsid w:val="00A32DFE"/>
    <w:rsid w:val="00A34D5F"/>
    <w:rsid w:val="00A3705C"/>
    <w:rsid w:val="00A37550"/>
    <w:rsid w:val="00A3783C"/>
    <w:rsid w:val="00A4125E"/>
    <w:rsid w:val="00A4136A"/>
    <w:rsid w:val="00A41BF6"/>
    <w:rsid w:val="00A4229D"/>
    <w:rsid w:val="00A42AA7"/>
    <w:rsid w:val="00A42B32"/>
    <w:rsid w:val="00A44050"/>
    <w:rsid w:val="00A44310"/>
    <w:rsid w:val="00A4480B"/>
    <w:rsid w:val="00A451DD"/>
    <w:rsid w:val="00A452C2"/>
    <w:rsid w:val="00A469D3"/>
    <w:rsid w:val="00A46C23"/>
    <w:rsid w:val="00A474F9"/>
    <w:rsid w:val="00A47D7D"/>
    <w:rsid w:val="00A50023"/>
    <w:rsid w:val="00A5055E"/>
    <w:rsid w:val="00A507F9"/>
    <w:rsid w:val="00A51780"/>
    <w:rsid w:val="00A519F6"/>
    <w:rsid w:val="00A52525"/>
    <w:rsid w:val="00A52E56"/>
    <w:rsid w:val="00A5306E"/>
    <w:rsid w:val="00A53292"/>
    <w:rsid w:val="00A5395E"/>
    <w:rsid w:val="00A53AE0"/>
    <w:rsid w:val="00A54918"/>
    <w:rsid w:val="00A54EA8"/>
    <w:rsid w:val="00A55D41"/>
    <w:rsid w:val="00A56083"/>
    <w:rsid w:val="00A561E6"/>
    <w:rsid w:val="00A5677D"/>
    <w:rsid w:val="00A56853"/>
    <w:rsid w:val="00A57530"/>
    <w:rsid w:val="00A57593"/>
    <w:rsid w:val="00A57BDE"/>
    <w:rsid w:val="00A60D12"/>
    <w:rsid w:val="00A614A2"/>
    <w:rsid w:val="00A61FF8"/>
    <w:rsid w:val="00A62526"/>
    <w:rsid w:val="00A638E3"/>
    <w:rsid w:val="00A63A11"/>
    <w:rsid w:val="00A63C0F"/>
    <w:rsid w:val="00A64334"/>
    <w:rsid w:val="00A64806"/>
    <w:rsid w:val="00A649DB"/>
    <w:rsid w:val="00A64B55"/>
    <w:rsid w:val="00A651D0"/>
    <w:rsid w:val="00A65633"/>
    <w:rsid w:val="00A657C2"/>
    <w:rsid w:val="00A6580B"/>
    <w:rsid w:val="00A65B35"/>
    <w:rsid w:val="00A65E6F"/>
    <w:rsid w:val="00A666C7"/>
    <w:rsid w:val="00A66C1B"/>
    <w:rsid w:val="00A6700C"/>
    <w:rsid w:val="00A70A34"/>
    <w:rsid w:val="00A70E02"/>
    <w:rsid w:val="00A7170C"/>
    <w:rsid w:val="00A71C42"/>
    <w:rsid w:val="00A721C5"/>
    <w:rsid w:val="00A72538"/>
    <w:rsid w:val="00A726E7"/>
    <w:rsid w:val="00A73024"/>
    <w:rsid w:val="00A7328A"/>
    <w:rsid w:val="00A73639"/>
    <w:rsid w:val="00A73DFF"/>
    <w:rsid w:val="00A74077"/>
    <w:rsid w:val="00A74946"/>
    <w:rsid w:val="00A74DEF"/>
    <w:rsid w:val="00A7501B"/>
    <w:rsid w:val="00A75100"/>
    <w:rsid w:val="00A75301"/>
    <w:rsid w:val="00A75378"/>
    <w:rsid w:val="00A756C4"/>
    <w:rsid w:val="00A75C70"/>
    <w:rsid w:val="00A76653"/>
    <w:rsid w:val="00A76847"/>
    <w:rsid w:val="00A768EE"/>
    <w:rsid w:val="00A7698A"/>
    <w:rsid w:val="00A769D9"/>
    <w:rsid w:val="00A777A4"/>
    <w:rsid w:val="00A807FD"/>
    <w:rsid w:val="00A80C86"/>
    <w:rsid w:val="00A8111A"/>
    <w:rsid w:val="00A815A4"/>
    <w:rsid w:val="00A81FB9"/>
    <w:rsid w:val="00A82CD0"/>
    <w:rsid w:val="00A83B14"/>
    <w:rsid w:val="00A83DF8"/>
    <w:rsid w:val="00A849F2"/>
    <w:rsid w:val="00A8536B"/>
    <w:rsid w:val="00A855F9"/>
    <w:rsid w:val="00A8573C"/>
    <w:rsid w:val="00A86C17"/>
    <w:rsid w:val="00A87271"/>
    <w:rsid w:val="00A87575"/>
    <w:rsid w:val="00A87B64"/>
    <w:rsid w:val="00A904A2"/>
    <w:rsid w:val="00A90689"/>
    <w:rsid w:val="00A90F0D"/>
    <w:rsid w:val="00A91548"/>
    <w:rsid w:val="00A91C0F"/>
    <w:rsid w:val="00A920B6"/>
    <w:rsid w:val="00A9210B"/>
    <w:rsid w:val="00A9215B"/>
    <w:rsid w:val="00A92283"/>
    <w:rsid w:val="00A92343"/>
    <w:rsid w:val="00A92A20"/>
    <w:rsid w:val="00A92A75"/>
    <w:rsid w:val="00A93C06"/>
    <w:rsid w:val="00A93C7F"/>
    <w:rsid w:val="00A9411B"/>
    <w:rsid w:val="00A94189"/>
    <w:rsid w:val="00A94452"/>
    <w:rsid w:val="00A9673F"/>
    <w:rsid w:val="00A96C9B"/>
    <w:rsid w:val="00A9719D"/>
    <w:rsid w:val="00AA0183"/>
    <w:rsid w:val="00AA0292"/>
    <w:rsid w:val="00AA06AA"/>
    <w:rsid w:val="00AA07F8"/>
    <w:rsid w:val="00AA0B49"/>
    <w:rsid w:val="00AA222C"/>
    <w:rsid w:val="00AA35B4"/>
    <w:rsid w:val="00AA396D"/>
    <w:rsid w:val="00AA39BB"/>
    <w:rsid w:val="00AA4AD8"/>
    <w:rsid w:val="00AA5308"/>
    <w:rsid w:val="00AA5420"/>
    <w:rsid w:val="00AA5953"/>
    <w:rsid w:val="00AA5AB0"/>
    <w:rsid w:val="00AA61FA"/>
    <w:rsid w:val="00AA63E3"/>
    <w:rsid w:val="00AA6D8A"/>
    <w:rsid w:val="00AA7137"/>
    <w:rsid w:val="00AA7CA8"/>
    <w:rsid w:val="00AB1863"/>
    <w:rsid w:val="00AB1EDB"/>
    <w:rsid w:val="00AB4384"/>
    <w:rsid w:val="00AB4FC5"/>
    <w:rsid w:val="00AB5552"/>
    <w:rsid w:val="00AB62AE"/>
    <w:rsid w:val="00AB68B9"/>
    <w:rsid w:val="00AB6CCB"/>
    <w:rsid w:val="00AC0897"/>
    <w:rsid w:val="00AC29E7"/>
    <w:rsid w:val="00AC327A"/>
    <w:rsid w:val="00AC335E"/>
    <w:rsid w:val="00AC34D9"/>
    <w:rsid w:val="00AC3D60"/>
    <w:rsid w:val="00AC4452"/>
    <w:rsid w:val="00AC515A"/>
    <w:rsid w:val="00AC59BE"/>
    <w:rsid w:val="00AC62D0"/>
    <w:rsid w:val="00AC6486"/>
    <w:rsid w:val="00AC6BB7"/>
    <w:rsid w:val="00AC77A7"/>
    <w:rsid w:val="00AD1209"/>
    <w:rsid w:val="00AD2215"/>
    <w:rsid w:val="00AD2EB1"/>
    <w:rsid w:val="00AD2FE0"/>
    <w:rsid w:val="00AD36A8"/>
    <w:rsid w:val="00AD39C4"/>
    <w:rsid w:val="00AD486E"/>
    <w:rsid w:val="00AD48C2"/>
    <w:rsid w:val="00AD48F3"/>
    <w:rsid w:val="00AD4903"/>
    <w:rsid w:val="00AD5C3D"/>
    <w:rsid w:val="00AD6669"/>
    <w:rsid w:val="00AD6C86"/>
    <w:rsid w:val="00AD6D29"/>
    <w:rsid w:val="00AD7CFF"/>
    <w:rsid w:val="00AE03AE"/>
    <w:rsid w:val="00AE0584"/>
    <w:rsid w:val="00AE05B1"/>
    <w:rsid w:val="00AE0A2E"/>
    <w:rsid w:val="00AE1300"/>
    <w:rsid w:val="00AE21F1"/>
    <w:rsid w:val="00AE2708"/>
    <w:rsid w:val="00AE279C"/>
    <w:rsid w:val="00AE2ADF"/>
    <w:rsid w:val="00AE2DF4"/>
    <w:rsid w:val="00AE2F5C"/>
    <w:rsid w:val="00AE38AB"/>
    <w:rsid w:val="00AE3B56"/>
    <w:rsid w:val="00AE43CF"/>
    <w:rsid w:val="00AE5235"/>
    <w:rsid w:val="00AE534D"/>
    <w:rsid w:val="00AE5892"/>
    <w:rsid w:val="00AE5BBC"/>
    <w:rsid w:val="00AE5BC9"/>
    <w:rsid w:val="00AE625C"/>
    <w:rsid w:val="00AE6ECF"/>
    <w:rsid w:val="00AF14EF"/>
    <w:rsid w:val="00AF201E"/>
    <w:rsid w:val="00AF23E4"/>
    <w:rsid w:val="00AF26F1"/>
    <w:rsid w:val="00AF26FE"/>
    <w:rsid w:val="00AF291E"/>
    <w:rsid w:val="00AF2970"/>
    <w:rsid w:val="00AF441A"/>
    <w:rsid w:val="00AF46ED"/>
    <w:rsid w:val="00AF4D26"/>
    <w:rsid w:val="00AF5572"/>
    <w:rsid w:val="00AF5826"/>
    <w:rsid w:val="00AF5A2C"/>
    <w:rsid w:val="00AF5AFC"/>
    <w:rsid w:val="00AF5D2F"/>
    <w:rsid w:val="00AF7381"/>
    <w:rsid w:val="00B006A9"/>
    <w:rsid w:val="00B00890"/>
    <w:rsid w:val="00B00C56"/>
    <w:rsid w:val="00B0194D"/>
    <w:rsid w:val="00B01EB9"/>
    <w:rsid w:val="00B020B8"/>
    <w:rsid w:val="00B02240"/>
    <w:rsid w:val="00B0249D"/>
    <w:rsid w:val="00B0258C"/>
    <w:rsid w:val="00B02621"/>
    <w:rsid w:val="00B02FBD"/>
    <w:rsid w:val="00B0345A"/>
    <w:rsid w:val="00B035E8"/>
    <w:rsid w:val="00B047E7"/>
    <w:rsid w:val="00B04CF0"/>
    <w:rsid w:val="00B05062"/>
    <w:rsid w:val="00B05DA0"/>
    <w:rsid w:val="00B06024"/>
    <w:rsid w:val="00B06B4D"/>
    <w:rsid w:val="00B06F0B"/>
    <w:rsid w:val="00B070C3"/>
    <w:rsid w:val="00B071E4"/>
    <w:rsid w:val="00B072BE"/>
    <w:rsid w:val="00B072EC"/>
    <w:rsid w:val="00B07D23"/>
    <w:rsid w:val="00B07D6F"/>
    <w:rsid w:val="00B107E5"/>
    <w:rsid w:val="00B10BC2"/>
    <w:rsid w:val="00B114D2"/>
    <w:rsid w:val="00B1169E"/>
    <w:rsid w:val="00B1173D"/>
    <w:rsid w:val="00B12ABC"/>
    <w:rsid w:val="00B12BA5"/>
    <w:rsid w:val="00B12CEE"/>
    <w:rsid w:val="00B13D15"/>
    <w:rsid w:val="00B1417C"/>
    <w:rsid w:val="00B1423B"/>
    <w:rsid w:val="00B14F0C"/>
    <w:rsid w:val="00B154C2"/>
    <w:rsid w:val="00B164F6"/>
    <w:rsid w:val="00B173E2"/>
    <w:rsid w:val="00B174D8"/>
    <w:rsid w:val="00B20F5A"/>
    <w:rsid w:val="00B21145"/>
    <w:rsid w:val="00B21BF1"/>
    <w:rsid w:val="00B22608"/>
    <w:rsid w:val="00B22D60"/>
    <w:rsid w:val="00B22D87"/>
    <w:rsid w:val="00B2313F"/>
    <w:rsid w:val="00B23269"/>
    <w:rsid w:val="00B23EE5"/>
    <w:rsid w:val="00B23F18"/>
    <w:rsid w:val="00B24551"/>
    <w:rsid w:val="00B245EE"/>
    <w:rsid w:val="00B2496F"/>
    <w:rsid w:val="00B25E0C"/>
    <w:rsid w:val="00B26646"/>
    <w:rsid w:val="00B26DB2"/>
    <w:rsid w:val="00B26E81"/>
    <w:rsid w:val="00B2759F"/>
    <w:rsid w:val="00B30215"/>
    <w:rsid w:val="00B307EC"/>
    <w:rsid w:val="00B30EB1"/>
    <w:rsid w:val="00B316DD"/>
    <w:rsid w:val="00B32709"/>
    <w:rsid w:val="00B32DE6"/>
    <w:rsid w:val="00B344EF"/>
    <w:rsid w:val="00B34AC2"/>
    <w:rsid w:val="00B34F8F"/>
    <w:rsid w:val="00B34F92"/>
    <w:rsid w:val="00B352CC"/>
    <w:rsid w:val="00B35552"/>
    <w:rsid w:val="00B3745E"/>
    <w:rsid w:val="00B37799"/>
    <w:rsid w:val="00B37932"/>
    <w:rsid w:val="00B4063A"/>
    <w:rsid w:val="00B407FC"/>
    <w:rsid w:val="00B41215"/>
    <w:rsid w:val="00B41555"/>
    <w:rsid w:val="00B41934"/>
    <w:rsid w:val="00B42E23"/>
    <w:rsid w:val="00B42EE3"/>
    <w:rsid w:val="00B438E7"/>
    <w:rsid w:val="00B44054"/>
    <w:rsid w:val="00B445A6"/>
    <w:rsid w:val="00B457A9"/>
    <w:rsid w:val="00B45B06"/>
    <w:rsid w:val="00B45DCC"/>
    <w:rsid w:val="00B471C2"/>
    <w:rsid w:val="00B47671"/>
    <w:rsid w:val="00B47703"/>
    <w:rsid w:val="00B47BB8"/>
    <w:rsid w:val="00B47E8E"/>
    <w:rsid w:val="00B500B8"/>
    <w:rsid w:val="00B50370"/>
    <w:rsid w:val="00B51327"/>
    <w:rsid w:val="00B52C35"/>
    <w:rsid w:val="00B52D66"/>
    <w:rsid w:val="00B5351B"/>
    <w:rsid w:val="00B53740"/>
    <w:rsid w:val="00B545CC"/>
    <w:rsid w:val="00B54871"/>
    <w:rsid w:val="00B549B0"/>
    <w:rsid w:val="00B54C9A"/>
    <w:rsid w:val="00B54F25"/>
    <w:rsid w:val="00B55399"/>
    <w:rsid w:val="00B55925"/>
    <w:rsid w:val="00B563A2"/>
    <w:rsid w:val="00B56E57"/>
    <w:rsid w:val="00B57B01"/>
    <w:rsid w:val="00B57DDF"/>
    <w:rsid w:val="00B57E6C"/>
    <w:rsid w:val="00B60C75"/>
    <w:rsid w:val="00B611D3"/>
    <w:rsid w:val="00B61A80"/>
    <w:rsid w:val="00B61FF6"/>
    <w:rsid w:val="00B627FB"/>
    <w:rsid w:val="00B62875"/>
    <w:rsid w:val="00B62CB0"/>
    <w:rsid w:val="00B62CB1"/>
    <w:rsid w:val="00B63F49"/>
    <w:rsid w:val="00B64349"/>
    <w:rsid w:val="00B64E2B"/>
    <w:rsid w:val="00B650D1"/>
    <w:rsid w:val="00B65F98"/>
    <w:rsid w:val="00B669B8"/>
    <w:rsid w:val="00B66FA1"/>
    <w:rsid w:val="00B709EC"/>
    <w:rsid w:val="00B70E73"/>
    <w:rsid w:val="00B71D65"/>
    <w:rsid w:val="00B72052"/>
    <w:rsid w:val="00B7210A"/>
    <w:rsid w:val="00B7231F"/>
    <w:rsid w:val="00B72953"/>
    <w:rsid w:val="00B73D11"/>
    <w:rsid w:val="00B74668"/>
    <w:rsid w:val="00B75154"/>
    <w:rsid w:val="00B76110"/>
    <w:rsid w:val="00B767F0"/>
    <w:rsid w:val="00B76D65"/>
    <w:rsid w:val="00B76EB3"/>
    <w:rsid w:val="00B76FA5"/>
    <w:rsid w:val="00B773F5"/>
    <w:rsid w:val="00B805F6"/>
    <w:rsid w:val="00B80654"/>
    <w:rsid w:val="00B808FC"/>
    <w:rsid w:val="00B8090E"/>
    <w:rsid w:val="00B8091A"/>
    <w:rsid w:val="00B80A68"/>
    <w:rsid w:val="00B80A93"/>
    <w:rsid w:val="00B81494"/>
    <w:rsid w:val="00B818FD"/>
    <w:rsid w:val="00B81D6D"/>
    <w:rsid w:val="00B8223A"/>
    <w:rsid w:val="00B83838"/>
    <w:rsid w:val="00B83A8A"/>
    <w:rsid w:val="00B841FA"/>
    <w:rsid w:val="00B8441B"/>
    <w:rsid w:val="00B85966"/>
    <w:rsid w:val="00B87412"/>
    <w:rsid w:val="00B87C91"/>
    <w:rsid w:val="00B90E49"/>
    <w:rsid w:val="00B91CF2"/>
    <w:rsid w:val="00B92D4F"/>
    <w:rsid w:val="00B92FBC"/>
    <w:rsid w:val="00B941D5"/>
    <w:rsid w:val="00B942E0"/>
    <w:rsid w:val="00B9445D"/>
    <w:rsid w:val="00B94650"/>
    <w:rsid w:val="00B95134"/>
    <w:rsid w:val="00B9537E"/>
    <w:rsid w:val="00B95AB3"/>
    <w:rsid w:val="00B96774"/>
    <w:rsid w:val="00B96A37"/>
    <w:rsid w:val="00B97749"/>
    <w:rsid w:val="00BA0BEF"/>
    <w:rsid w:val="00BA1809"/>
    <w:rsid w:val="00BA1DAD"/>
    <w:rsid w:val="00BA2A48"/>
    <w:rsid w:val="00BA37B4"/>
    <w:rsid w:val="00BA47E1"/>
    <w:rsid w:val="00BA5C06"/>
    <w:rsid w:val="00BA5CF4"/>
    <w:rsid w:val="00BA6156"/>
    <w:rsid w:val="00BA6239"/>
    <w:rsid w:val="00BA6499"/>
    <w:rsid w:val="00BA64EE"/>
    <w:rsid w:val="00BA66DF"/>
    <w:rsid w:val="00BB08DD"/>
    <w:rsid w:val="00BB0EF7"/>
    <w:rsid w:val="00BB242A"/>
    <w:rsid w:val="00BB2690"/>
    <w:rsid w:val="00BB2F80"/>
    <w:rsid w:val="00BB34FB"/>
    <w:rsid w:val="00BB371B"/>
    <w:rsid w:val="00BB4331"/>
    <w:rsid w:val="00BB4556"/>
    <w:rsid w:val="00BB45CF"/>
    <w:rsid w:val="00BB6240"/>
    <w:rsid w:val="00BB6A48"/>
    <w:rsid w:val="00BC07BD"/>
    <w:rsid w:val="00BC11AB"/>
    <w:rsid w:val="00BC201A"/>
    <w:rsid w:val="00BC2310"/>
    <w:rsid w:val="00BC331F"/>
    <w:rsid w:val="00BC36C2"/>
    <w:rsid w:val="00BC3830"/>
    <w:rsid w:val="00BC52B6"/>
    <w:rsid w:val="00BC5A77"/>
    <w:rsid w:val="00BC5B17"/>
    <w:rsid w:val="00BC5C6B"/>
    <w:rsid w:val="00BC6E2B"/>
    <w:rsid w:val="00BC6FBB"/>
    <w:rsid w:val="00BC77FD"/>
    <w:rsid w:val="00BC7821"/>
    <w:rsid w:val="00BC7B40"/>
    <w:rsid w:val="00BD02A5"/>
    <w:rsid w:val="00BD099B"/>
    <w:rsid w:val="00BD12E8"/>
    <w:rsid w:val="00BD19B6"/>
    <w:rsid w:val="00BD2993"/>
    <w:rsid w:val="00BD3172"/>
    <w:rsid w:val="00BD3313"/>
    <w:rsid w:val="00BD3ABB"/>
    <w:rsid w:val="00BD3EC3"/>
    <w:rsid w:val="00BD3FCB"/>
    <w:rsid w:val="00BD5463"/>
    <w:rsid w:val="00BD5BE3"/>
    <w:rsid w:val="00BD6F37"/>
    <w:rsid w:val="00BD6F7E"/>
    <w:rsid w:val="00BE00C1"/>
    <w:rsid w:val="00BE0670"/>
    <w:rsid w:val="00BE2035"/>
    <w:rsid w:val="00BE26C5"/>
    <w:rsid w:val="00BE2D11"/>
    <w:rsid w:val="00BE394A"/>
    <w:rsid w:val="00BE4859"/>
    <w:rsid w:val="00BE4DA1"/>
    <w:rsid w:val="00BE5501"/>
    <w:rsid w:val="00BE5513"/>
    <w:rsid w:val="00BE5761"/>
    <w:rsid w:val="00BE58C9"/>
    <w:rsid w:val="00BE683B"/>
    <w:rsid w:val="00BE6A02"/>
    <w:rsid w:val="00BE7652"/>
    <w:rsid w:val="00BE7766"/>
    <w:rsid w:val="00BF06F0"/>
    <w:rsid w:val="00BF19CB"/>
    <w:rsid w:val="00BF19D5"/>
    <w:rsid w:val="00BF1B4A"/>
    <w:rsid w:val="00BF2758"/>
    <w:rsid w:val="00BF2B91"/>
    <w:rsid w:val="00BF3CAB"/>
    <w:rsid w:val="00BF4776"/>
    <w:rsid w:val="00BF5405"/>
    <w:rsid w:val="00BF685B"/>
    <w:rsid w:val="00BF6BE8"/>
    <w:rsid w:val="00BF6E30"/>
    <w:rsid w:val="00BF7935"/>
    <w:rsid w:val="00BF7D53"/>
    <w:rsid w:val="00C0012B"/>
    <w:rsid w:val="00C00503"/>
    <w:rsid w:val="00C01946"/>
    <w:rsid w:val="00C03288"/>
    <w:rsid w:val="00C036B5"/>
    <w:rsid w:val="00C03ABF"/>
    <w:rsid w:val="00C03D2E"/>
    <w:rsid w:val="00C03F1E"/>
    <w:rsid w:val="00C03FE7"/>
    <w:rsid w:val="00C04DF5"/>
    <w:rsid w:val="00C0505E"/>
    <w:rsid w:val="00C05586"/>
    <w:rsid w:val="00C05652"/>
    <w:rsid w:val="00C0580D"/>
    <w:rsid w:val="00C05C0F"/>
    <w:rsid w:val="00C0682C"/>
    <w:rsid w:val="00C072F3"/>
    <w:rsid w:val="00C077DB"/>
    <w:rsid w:val="00C07AA2"/>
    <w:rsid w:val="00C10108"/>
    <w:rsid w:val="00C10E17"/>
    <w:rsid w:val="00C133AE"/>
    <w:rsid w:val="00C13833"/>
    <w:rsid w:val="00C13B56"/>
    <w:rsid w:val="00C145F1"/>
    <w:rsid w:val="00C15961"/>
    <w:rsid w:val="00C1599A"/>
    <w:rsid w:val="00C15BD8"/>
    <w:rsid w:val="00C165A0"/>
    <w:rsid w:val="00C16DF2"/>
    <w:rsid w:val="00C17196"/>
    <w:rsid w:val="00C2113B"/>
    <w:rsid w:val="00C21172"/>
    <w:rsid w:val="00C211DE"/>
    <w:rsid w:val="00C218DA"/>
    <w:rsid w:val="00C21E18"/>
    <w:rsid w:val="00C21FD4"/>
    <w:rsid w:val="00C21FEF"/>
    <w:rsid w:val="00C2218F"/>
    <w:rsid w:val="00C22434"/>
    <w:rsid w:val="00C22440"/>
    <w:rsid w:val="00C22B38"/>
    <w:rsid w:val="00C22CE1"/>
    <w:rsid w:val="00C22D89"/>
    <w:rsid w:val="00C23495"/>
    <w:rsid w:val="00C23A0A"/>
    <w:rsid w:val="00C2467D"/>
    <w:rsid w:val="00C24A1B"/>
    <w:rsid w:val="00C25077"/>
    <w:rsid w:val="00C2537F"/>
    <w:rsid w:val="00C255BD"/>
    <w:rsid w:val="00C2561A"/>
    <w:rsid w:val="00C25B10"/>
    <w:rsid w:val="00C25D3F"/>
    <w:rsid w:val="00C26460"/>
    <w:rsid w:val="00C26B47"/>
    <w:rsid w:val="00C26B79"/>
    <w:rsid w:val="00C26C20"/>
    <w:rsid w:val="00C2715D"/>
    <w:rsid w:val="00C302E9"/>
    <w:rsid w:val="00C3098C"/>
    <w:rsid w:val="00C321E0"/>
    <w:rsid w:val="00C327C6"/>
    <w:rsid w:val="00C32815"/>
    <w:rsid w:val="00C329D8"/>
    <w:rsid w:val="00C33214"/>
    <w:rsid w:val="00C3417C"/>
    <w:rsid w:val="00C3456C"/>
    <w:rsid w:val="00C34581"/>
    <w:rsid w:val="00C345D0"/>
    <w:rsid w:val="00C34B3B"/>
    <w:rsid w:val="00C37234"/>
    <w:rsid w:val="00C40B19"/>
    <w:rsid w:val="00C41390"/>
    <w:rsid w:val="00C41D6E"/>
    <w:rsid w:val="00C41D9C"/>
    <w:rsid w:val="00C42391"/>
    <w:rsid w:val="00C4265D"/>
    <w:rsid w:val="00C428F1"/>
    <w:rsid w:val="00C42A3C"/>
    <w:rsid w:val="00C43240"/>
    <w:rsid w:val="00C435D3"/>
    <w:rsid w:val="00C43D28"/>
    <w:rsid w:val="00C44C24"/>
    <w:rsid w:val="00C44E8F"/>
    <w:rsid w:val="00C4509F"/>
    <w:rsid w:val="00C452D1"/>
    <w:rsid w:val="00C453A8"/>
    <w:rsid w:val="00C45C6B"/>
    <w:rsid w:val="00C465AB"/>
    <w:rsid w:val="00C47FF8"/>
    <w:rsid w:val="00C50301"/>
    <w:rsid w:val="00C50455"/>
    <w:rsid w:val="00C5054F"/>
    <w:rsid w:val="00C5059D"/>
    <w:rsid w:val="00C5127D"/>
    <w:rsid w:val="00C51867"/>
    <w:rsid w:val="00C51AFE"/>
    <w:rsid w:val="00C51B97"/>
    <w:rsid w:val="00C52797"/>
    <w:rsid w:val="00C529A1"/>
    <w:rsid w:val="00C53433"/>
    <w:rsid w:val="00C53C7E"/>
    <w:rsid w:val="00C5420C"/>
    <w:rsid w:val="00C54353"/>
    <w:rsid w:val="00C54C2D"/>
    <w:rsid w:val="00C55E05"/>
    <w:rsid w:val="00C55FDF"/>
    <w:rsid w:val="00C57539"/>
    <w:rsid w:val="00C603BF"/>
    <w:rsid w:val="00C61251"/>
    <w:rsid w:val="00C6128A"/>
    <w:rsid w:val="00C623B0"/>
    <w:rsid w:val="00C63112"/>
    <w:rsid w:val="00C63344"/>
    <w:rsid w:val="00C63519"/>
    <w:rsid w:val="00C6397B"/>
    <w:rsid w:val="00C63EC2"/>
    <w:rsid w:val="00C63EDA"/>
    <w:rsid w:val="00C6455D"/>
    <w:rsid w:val="00C648B2"/>
    <w:rsid w:val="00C64CFC"/>
    <w:rsid w:val="00C6533B"/>
    <w:rsid w:val="00C658F5"/>
    <w:rsid w:val="00C667A2"/>
    <w:rsid w:val="00C66A9B"/>
    <w:rsid w:val="00C66F9A"/>
    <w:rsid w:val="00C6709C"/>
    <w:rsid w:val="00C67296"/>
    <w:rsid w:val="00C67453"/>
    <w:rsid w:val="00C67881"/>
    <w:rsid w:val="00C67D2D"/>
    <w:rsid w:val="00C67DCE"/>
    <w:rsid w:val="00C708D7"/>
    <w:rsid w:val="00C70F26"/>
    <w:rsid w:val="00C711AC"/>
    <w:rsid w:val="00C71EE6"/>
    <w:rsid w:val="00C71F7E"/>
    <w:rsid w:val="00C72930"/>
    <w:rsid w:val="00C73426"/>
    <w:rsid w:val="00C734EE"/>
    <w:rsid w:val="00C73504"/>
    <w:rsid w:val="00C73CED"/>
    <w:rsid w:val="00C73F45"/>
    <w:rsid w:val="00C74D70"/>
    <w:rsid w:val="00C74F00"/>
    <w:rsid w:val="00C75382"/>
    <w:rsid w:val="00C758BC"/>
    <w:rsid w:val="00C762F5"/>
    <w:rsid w:val="00C76CF7"/>
    <w:rsid w:val="00C77752"/>
    <w:rsid w:val="00C77A72"/>
    <w:rsid w:val="00C77CA9"/>
    <w:rsid w:val="00C803E5"/>
    <w:rsid w:val="00C80909"/>
    <w:rsid w:val="00C81BF5"/>
    <w:rsid w:val="00C81CA8"/>
    <w:rsid w:val="00C822B3"/>
    <w:rsid w:val="00C826F8"/>
    <w:rsid w:val="00C8387D"/>
    <w:rsid w:val="00C8395B"/>
    <w:rsid w:val="00C8450B"/>
    <w:rsid w:val="00C8487E"/>
    <w:rsid w:val="00C84D74"/>
    <w:rsid w:val="00C84DF2"/>
    <w:rsid w:val="00C8585F"/>
    <w:rsid w:val="00C85B3D"/>
    <w:rsid w:val="00C8619B"/>
    <w:rsid w:val="00C872E0"/>
    <w:rsid w:val="00C90353"/>
    <w:rsid w:val="00C90549"/>
    <w:rsid w:val="00C916F7"/>
    <w:rsid w:val="00C9193D"/>
    <w:rsid w:val="00C9197A"/>
    <w:rsid w:val="00C91EE2"/>
    <w:rsid w:val="00C9206F"/>
    <w:rsid w:val="00C92252"/>
    <w:rsid w:val="00C941EC"/>
    <w:rsid w:val="00C94333"/>
    <w:rsid w:val="00C94468"/>
    <w:rsid w:val="00C954AD"/>
    <w:rsid w:val="00C957C5"/>
    <w:rsid w:val="00C957E4"/>
    <w:rsid w:val="00C96054"/>
    <w:rsid w:val="00C9676B"/>
    <w:rsid w:val="00C96BAF"/>
    <w:rsid w:val="00C97F38"/>
    <w:rsid w:val="00CA0A83"/>
    <w:rsid w:val="00CA10B2"/>
    <w:rsid w:val="00CA111D"/>
    <w:rsid w:val="00CA14D5"/>
    <w:rsid w:val="00CA152E"/>
    <w:rsid w:val="00CA17E8"/>
    <w:rsid w:val="00CA181D"/>
    <w:rsid w:val="00CA26B3"/>
    <w:rsid w:val="00CA3AA9"/>
    <w:rsid w:val="00CA3E76"/>
    <w:rsid w:val="00CA41BF"/>
    <w:rsid w:val="00CA4233"/>
    <w:rsid w:val="00CA4FE2"/>
    <w:rsid w:val="00CA5462"/>
    <w:rsid w:val="00CA566E"/>
    <w:rsid w:val="00CA5773"/>
    <w:rsid w:val="00CA5E13"/>
    <w:rsid w:val="00CA621C"/>
    <w:rsid w:val="00CA66D3"/>
    <w:rsid w:val="00CA6701"/>
    <w:rsid w:val="00CA68BB"/>
    <w:rsid w:val="00CA6AE0"/>
    <w:rsid w:val="00CA6FF0"/>
    <w:rsid w:val="00CB0A08"/>
    <w:rsid w:val="00CB11D5"/>
    <w:rsid w:val="00CB1E80"/>
    <w:rsid w:val="00CB1EAA"/>
    <w:rsid w:val="00CB1ECB"/>
    <w:rsid w:val="00CB26ED"/>
    <w:rsid w:val="00CB3AC6"/>
    <w:rsid w:val="00CB469F"/>
    <w:rsid w:val="00CB4828"/>
    <w:rsid w:val="00CB49B4"/>
    <w:rsid w:val="00CB5286"/>
    <w:rsid w:val="00CB53D1"/>
    <w:rsid w:val="00CB56ED"/>
    <w:rsid w:val="00CB597B"/>
    <w:rsid w:val="00CB5F6B"/>
    <w:rsid w:val="00CB6100"/>
    <w:rsid w:val="00CB6B06"/>
    <w:rsid w:val="00CB72F6"/>
    <w:rsid w:val="00CB7307"/>
    <w:rsid w:val="00CC08E6"/>
    <w:rsid w:val="00CC0EB3"/>
    <w:rsid w:val="00CC1236"/>
    <w:rsid w:val="00CC12B5"/>
    <w:rsid w:val="00CC1D51"/>
    <w:rsid w:val="00CC1EF7"/>
    <w:rsid w:val="00CC2C65"/>
    <w:rsid w:val="00CC2CA0"/>
    <w:rsid w:val="00CC2D05"/>
    <w:rsid w:val="00CC2D0F"/>
    <w:rsid w:val="00CC331E"/>
    <w:rsid w:val="00CC3810"/>
    <w:rsid w:val="00CC39EC"/>
    <w:rsid w:val="00CC3E13"/>
    <w:rsid w:val="00CC3F90"/>
    <w:rsid w:val="00CC491B"/>
    <w:rsid w:val="00CC4BE8"/>
    <w:rsid w:val="00CC51C8"/>
    <w:rsid w:val="00CC57D1"/>
    <w:rsid w:val="00CC595A"/>
    <w:rsid w:val="00CC614F"/>
    <w:rsid w:val="00CC71D8"/>
    <w:rsid w:val="00CC7544"/>
    <w:rsid w:val="00CC7C3A"/>
    <w:rsid w:val="00CD10DA"/>
    <w:rsid w:val="00CD13C2"/>
    <w:rsid w:val="00CD1906"/>
    <w:rsid w:val="00CD1E22"/>
    <w:rsid w:val="00CD1FB7"/>
    <w:rsid w:val="00CD22DB"/>
    <w:rsid w:val="00CD26D5"/>
    <w:rsid w:val="00CD2A69"/>
    <w:rsid w:val="00CD3310"/>
    <w:rsid w:val="00CD3766"/>
    <w:rsid w:val="00CD3802"/>
    <w:rsid w:val="00CD3EF7"/>
    <w:rsid w:val="00CD59AC"/>
    <w:rsid w:val="00CD6188"/>
    <w:rsid w:val="00CD64B8"/>
    <w:rsid w:val="00CD68EB"/>
    <w:rsid w:val="00CE07C1"/>
    <w:rsid w:val="00CE09D5"/>
    <w:rsid w:val="00CE0CC3"/>
    <w:rsid w:val="00CE0F5F"/>
    <w:rsid w:val="00CE1958"/>
    <w:rsid w:val="00CE19AB"/>
    <w:rsid w:val="00CE19ED"/>
    <w:rsid w:val="00CE1D1B"/>
    <w:rsid w:val="00CE20D9"/>
    <w:rsid w:val="00CE3107"/>
    <w:rsid w:val="00CE4651"/>
    <w:rsid w:val="00CE625D"/>
    <w:rsid w:val="00CE634A"/>
    <w:rsid w:val="00CE734E"/>
    <w:rsid w:val="00CE73B4"/>
    <w:rsid w:val="00CE7F27"/>
    <w:rsid w:val="00CF06A2"/>
    <w:rsid w:val="00CF0FDB"/>
    <w:rsid w:val="00CF2365"/>
    <w:rsid w:val="00CF3226"/>
    <w:rsid w:val="00CF3235"/>
    <w:rsid w:val="00CF3A79"/>
    <w:rsid w:val="00CF3ABB"/>
    <w:rsid w:val="00CF3B88"/>
    <w:rsid w:val="00CF3D2E"/>
    <w:rsid w:val="00CF3E4B"/>
    <w:rsid w:val="00CF4164"/>
    <w:rsid w:val="00CF5337"/>
    <w:rsid w:val="00CF5514"/>
    <w:rsid w:val="00CF5CD4"/>
    <w:rsid w:val="00CF6ACE"/>
    <w:rsid w:val="00CF7867"/>
    <w:rsid w:val="00CF7997"/>
    <w:rsid w:val="00D00988"/>
    <w:rsid w:val="00D00F23"/>
    <w:rsid w:val="00D00F6B"/>
    <w:rsid w:val="00D01166"/>
    <w:rsid w:val="00D01348"/>
    <w:rsid w:val="00D0180D"/>
    <w:rsid w:val="00D0181A"/>
    <w:rsid w:val="00D020D3"/>
    <w:rsid w:val="00D028E8"/>
    <w:rsid w:val="00D02D2C"/>
    <w:rsid w:val="00D0323F"/>
    <w:rsid w:val="00D0482F"/>
    <w:rsid w:val="00D0575B"/>
    <w:rsid w:val="00D057E3"/>
    <w:rsid w:val="00D0611D"/>
    <w:rsid w:val="00D064E4"/>
    <w:rsid w:val="00D066BD"/>
    <w:rsid w:val="00D07627"/>
    <w:rsid w:val="00D07BC5"/>
    <w:rsid w:val="00D10EC0"/>
    <w:rsid w:val="00D11773"/>
    <w:rsid w:val="00D11FD5"/>
    <w:rsid w:val="00D12D23"/>
    <w:rsid w:val="00D141DF"/>
    <w:rsid w:val="00D14B41"/>
    <w:rsid w:val="00D14D7A"/>
    <w:rsid w:val="00D14F06"/>
    <w:rsid w:val="00D15D63"/>
    <w:rsid w:val="00D16842"/>
    <w:rsid w:val="00D16966"/>
    <w:rsid w:val="00D17045"/>
    <w:rsid w:val="00D2042B"/>
    <w:rsid w:val="00D20B95"/>
    <w:rsid w:val="00D24743"/>
    <w:rsid w:val="00D25207"/>
    <w:rsid w:val="00D2533E"/>
    <w:rsid w:val="00D25C1F"/>
    <w:rsid w:val="00D25C33"/>
    <w:rsid w:val="00D2640F"/>
    <w:rsid w:val="00D2641A"/>
    <w:rsid w:val="00D265D6"/>
    <w:rsid w:val="00D274AD"/>
    <w:rsid w:val="00D279B0"/>
    <w:rsid w:val="00D27E55"/>
    <w:rsid w:val="00D312CE"/>
    <w:rsid w:val="00D31411"/>
    <w:rsid w:val="00D31882"/>
    <w:rsid w:val="00D32905"/>
    <w:rsid w:val="00D3308C"/>
    <w:rsid w:val="00D334AC"/>
    <w:rsid w:val="00D3363D"/>
    <w:rsid w:val="00D33CC4"/>
    <w:rsid w:val="00D33F24"/>
    <w:rsid w:val="00D34AC3"/>
    <w:rsid w:val="00D34D1D"/>
    <w:rsid w:val="00D356D2"/>
    <w:rsid w:val="00D35918"/>
    <w:rsid w:val="00D373C0"/>
    <w:rsid w:val="00D379EC"/>
    <w:rsid w:val="00D4067B"/>
    <w:rsid w:val="00D40A29"/>
    <w:rsid w:val="00D40F9C"/>
    <w:rsid w:val="00D41169"/>
    <w:rsid w:val="00D4151C"/>
    <w:rsid w:val="00D42DA4"/>
    <w:rsid w:val="00D42E9E"/>
    <w:rsid w:val="00D42EC0"/>
    <w:rsid w:val="00D42F75"/>
    <w:rsid w:val="00D434DA"/>
    <w:rsid w:val="00D43722"/>
    <w:rsid w:val="00D4399D"/>
    <w:rsid w:val="00D43DA2"/>
    <w:rsid w:val="00D44821"/>
    <w:rsid w:val="00D44F62"/>
    <w:rsid w:val="00D450F5"/>
    <w:rsid w:val="00D45D9C"/>
    <w:rsid w:val="00D47096"/>
    <w:rsid w:val="00D47627"/>
    <w:rsid w:val="00D50921"/>
    <w:rsid w:val="00D50A80"/>
    <w:rsid w:val="00D51432"/>
    <w:rsid w:val="00D514E0"/>
    <w:rsid w:val="00D5177A"/>
    <w:rsid w:val="00D51C44"/>
    <w:rsid w:val="00D5260F"/>
    <w:rsid w:val="00D52B49"/>
    <w:rsid w:val="00D53066"/>
    <w:rsid w:val="00D53D62"/>
    <w:rsid w:val="00D53F90"/>
    <w:rsid w:val="00D543F6"/>
    <w:rsid w:val="00D552EE"/>
    <w:rsid w:val="00D5546D"/>
    <w:rsid w:val="00D55A72"/>
    <w:rsid w:val="00D55DFC"/>
    <w:rsid w:val="00D56B85"/>
    <w:rsid w:val="00D5792D"/>
    <w:rsid w:val="00D57D75"/>
    <w:rsid w:val="00D607F8"/>
    <w:rsid w:val="00D6131F"/>
    <w:rsid w:val="00D617E0"/>
    <w:rsid w:val="00D6184F"/>
    <w:rsid w:val="00D620CB"/>
    <w:rsid w:val="00D62825"/>
    <w:rsid w:val="00D63354"/>
    <w:rsid w:val="00D639C6"/>
    <w:rsid w:val="00D6592A"/>
    <w:rsid w:val="00D65FDD"/>
    <w:rsid w:val="00D66BDB"/>
    <w:rsid w:val="00D66D7C"/>
    <w:rsid w:val="00D67112"/>
    <w:rsid w:val="00D674AA"/>
    <w:rsid w:val="00D67D27"/>
    <w:rsid w:val="00D70649"/>
    <w:rsid w:val="00D70A7B"/>
    <w:rsid w:val="00D70AEC"/>
    <w:rsid w:val="00D70CFE"/>
    <w:rsid w:val="00D70FE6"/>
    <w:rsid w:val="00D710FF"/>
    <w:rsid w:val="00D716A6"/>
    <w:rsid w:val="00D7306F"/>
    <w:rsid w:val="00D733A4"/>
    <w:rsid w:val="00D73476"/>
    <w:rsid w:val="00D73DEA"/>
    <w:rsid w:val="00D743B6"/>
    <w:rsid w:val="00D746CC"/>
    <w:rsid w:val="00D75B79"/>
    <w:rsid w:val="00D760EE"/>
    <w:rsid w:val="00D764A7"/>
    <w:rsid w:val="00D766BD"/>
    <w:rsid w:val="00D7671F"/>
    <w:rsid w:val="00D76E51"/>
    <w:rsid w:val="00D809DB"/>
    <w:rsid w:val="00D80FCD"/>
    <w:rsid w:val="00D81A1F"/>
    <w:rsid w:val="00D822CD"/>
    <w:rsid w:val="00D82873"/>
    <w:rsid w:val="00D83308"/>
    <w:rsid w:val="00D834D5"/>
    <w:rsid w:val="00D839C5"/>
    <w:rsid w:val="00D83DB6"/>
    <w:rsid w:val="00D840FF"/>
    <w:rsid w:val="00D844AD"/>
    <w:rsid w:val="00D847CF"/>
    <w:rsid w:val="00D8595F"/>
    <w:rsid w:val="00D864A5"/>
    <w:rsid w:val="00D86829"/>
    <w:rsid w:val="00D86CDB"/>
    <w:rsid w:val="00D87C0A"/>
    <w:rsid w:val="00D87C37"/>
    <w:rsid w:val="00D90D6A"/>
    <w:rsid w:val="00D91811"/>
    <w:rsid w:val="00D91EC7"/>
    <w:rsid w:val="00D92094"/>
    <w:rsid w:val="00D9288B"/>
    <w:rsid w:val="00D92ACB"/>
    <w:rsid w:val="00D92CCB"/>
    <w:rsid w:val="00D932E6"/>
    <w:rsid w:val="00D943F4"/>
    <w:rsid w:val="00D94778"/>
    <w:rsid w:val="00D947EF"/>
    <w:rsid w:val="00D95205"/>
    <w:rsid w:val="00D953F8"/>
    <w:rsid w:val="00D95EEC"/>
    <w:rsid w:val="00D9603F"/>
    <w:rsid w:val="00D964F2"/>
    <w:rsid w:val="00D9677F"/>
    <w:rsid w:val="00D96A1B"/>
    <w:rsid w:val="00D96D3A"/>
    <w:rsid w:val="00D96E7E"/>
    <w:rsid w:val="00D97426"/>
    <w:rsid w:val="00DA0172"/>
    <w:rsid w:val="00DA026E"/>
    <w:rsid w:val="00DA040E"/>
    <w:rsid w:val="00DA05E3"/>
    <w:rsid w:val="00DA1360"/>
    <w:rsid w:val="00DA18BA"/>
    <w:rsid w:val="00DA1926"/>
    <w:rsid w:val="00DA2481"/>
    <w:rsid w:val="00DA2938"/>
    <w:rsid w:val="00DA2C4A"/>
    <w:rsid w:val="00DA3937"/>
    <w:rsid w:val="00DA428F"/>
    <w:rsid w:val="00DA4521"/>
    <w:rsid w:val="00DA4AE1"/>
    <w:rsid w:val="00DA61A2"/>
    <w:rsid w:val="00DA67AF"/>
    <w:rsid w:val="00DA6A0B"/>
    <w:rsid w:val="00DA6A67"/>
    <w:rsid w:val="00DA7975"/>
    <w:rsid w:val="00DB0931"/>
    <w:rsid w:val="00DB21E4"/>
    <w:rsid w:val="00DB2246"/>
    <w:rsid w:val="00DB2D8A"/>
    <w:rsid w:val="00DB460D"/>
    <w:rsid w:val="00DB4623"/>
    <w:rsid w:val="00DB474B"/>
    <w:rsid w:val="00DB49D9"/>
    <w:rsid w:val="00DB4FF5"/>
    <w:rsid w:val="00DB52EC"/>
    <w:rsid w:val="00DB7563"/>
    <w:rsid w:val="00DB7780"/>
    <w:rsid w:val="00DC0C06"/>
    <w:rsid w:val="00DC1F43"/>
    <w:rsid w:val="00DC2DD8"/>
    <w:rsid w:val="00DC3186"/>
    <w:rsid w:val="00DC3A55"/>
    <w:rsid w:val="00DC3C25"/>
    <w:rsid w:val="00DC5998"/>
    <w:rsid w:val="00DC6B94"/>
    <w:rsid w:val="00DC6BC8"/>
    <w:rsid w:val="00DC6E9F"/>
    <w:rsid w:val="00DC71E0"/>
    <w:rsid w:val="00DC77A6"/>
    <w:rsid w:val="00DC7B1B"/>
    <w:rsid w:val="00DC7FF6"/>
    <w:rsid w:val="00DD0268"/>
    <w:rsid w:val="00DD0B9E"/>
    <w:rsid w:val="00DD0CFA"/>
    <w:rsid w:val="00DD1044"/>
    <w:rsid w:val="00DD16AB"/>
    <w:rsid w:val="00DD2154"/>
    <w:rsid w:val="00DD3301"/>
    <w:rsid w:val="00DD36DA"/>
    <w:rsid w:val="00DD3857"/>
    <w:rsid w:val="00DD3A1C"/>
    <w:rsid w:val="00DD3B56"/>
    <w:rsid w:val="00DD3E5D"/>
    <w:rsid w:val="00DD40C8"/>
    <w:rsid w:val="00DD44EC"/>
    <w:rsid w:val="00DD56EF"/>
    <w:rsid w:val="00DD58FD"/>
    <w:rsid w:val="00DD63C7"/>
    <w:rsid w:val="00DD65D5"/>
    <w:rsid w:val="00DD65DF"/>
    <w:rsid w:val="00DD67B2"/>
    <w:rsid w:val="00DD7FF8"/>
    <w:rsid w:val="00DE0149"/>
    <w:rsid w:val="00DE064B"/>
    <w:rsid w:val="00DE0C0D"/>
    <w:rsid w:val="00DE1213"/>
    <w:rsid w:val="00DE1A89"/>
    <w:rsid w:val="00DE2B1D"/>
    <w:rsid w:val="00DE326D"/>
    <w:rsid w:val="00DE344D"/>
    <w:rsid w:val="00DE3EAE"/>
    <w:rsid w:val="00DE403C"/>
    <w:rsid w:val="00DE41E0"/>
    <w:rsid w:val="00DE44D9"/>
    <w:rsid w:val="00DE44F3"/>
    <w:rsid w:val="00DE4D86"/>
    <w:rsid w:val="00DE6331"/>
    <w:rsid w:val="00DE79F6"/>
    <w:rsid w:val="00DE7E55"/>
    <w:rsid w:val="00DF0DC9"/>
    <w:rsid w:val="00DF0F66"/>
    <w:rsid w:val="00DF1072"/>
    <w:rsid w:val="00DF14BD"/>
    <w:rsid w:val="00DF1801"/>
    <w:rsid w:val="00DF1F23"/>
    <w:rsid w:val="00DF2647"/>
    <w:rsid w:val="00DF3358"/>
    <w:rsid w:val="00DF401D"/>
    <w:rsid w:val="00DF40D3"/>
    <w:rsid w:val="00DF465F"/>
    <w:rsid w:val="00DF4C27"/>
    <w:rsid w:val="00DF4FFA"/>
    <w:rsid w:val="00DF61A9"/>
    <w:rsid w:val="00DF680C"/>
    <w:rsid w:val="00DF6E59"/>
    <w:rsid w:val="00DF757A"/>
    <w:rsid w:val="00E003D6"/>
    <w:rsid w:val="00E0099B"/>
    <w:rsid w:val="00E00B4A"/>
    <w:rsid w:val="00E00B98"/>
    <w:rsid w:val="00E00CAC"/>
    <w:rsid w:val="00E00DA3"/>
    <w:rsid w:val="00E013F5"/>
    <w:rsid w:val="00E0164F"/>
    <w:rsid w:val="00E0176E"/>
    <w:rsid w:val="00E01ADE"/>
    <w:rsid w:val="00E020AC"/>
    <w:rsid w:val="00E05343"/>
    <w:rsid w:val="00E05BFB"/>
    <w:rsid w:val="00E05C7E"/>
    <w:rsid w:val="00E06490"/>
    <w:rsid w:val="00E06742"/>
    <w:rsid w:val="00E06A18"/>
    <w:rsid w:val="00E06CB7"/>
    <w:rsid w:val="00E0701D"/>
    <w:rsid w:val="00E07C27"/>
    <w:rsid w:val="00E10812"/>
    <w:rsid w:val="00E10BE6"/>
    <w:rsid w:val="00E11A59"/>
    <w:rsid w:val="00E129E0"/>
    <w:rsid w:val="00E12CA1"/>
    <w:rsid w:val="00E12F07"/>
    <w:rsid w:val="00E13319"/>
    <w:rsid w:val="00E140BA"/>
    <w:rsid w:val="00E146C6"/>
    <w:rsid w:val="00E14AF8"/>
    <w:rsid w:val="00E153F0"/>
    <w:rsid w:val="00E16443"/>
    <w:rsid w:val="00E16B08"/>
    <w:rsid w:val="00E171C4"/>
    <w:rsid w:val="00E17953"/>
    <w:rsid w:val="00E202C4"/>
    <w:rsid w:val="00E202DB"/>
    <w:rsid w:val="00E20564"/>
    <w:rsid w:val="00E22848"/>
    <w:rsid w:val="00E22D4E"/>
    <w:rsid w:val="00E22FE0"/>
    <w:rsid w:val="00E236C9"/>
    <w:rsid w:val="00E23872"/>
    <w:rsid w:val="00E23E2C"/>
    <w:rsid w:val="00E24291"/>
    <w:rsid w:val="00E2435F"/>
    <w:rsid w:val="00E246ED"/>
    <w:rsid w:val="00E253FD"/>
    <w:rsid w:val="00E25DA7"/>
    <w:rsid w:val="00E25E19"/>
    <w:rsid w:val="00E25F38"/>
    <w:rsid w:val="00E26404"/>
    <w:rsid w:val="00E26A7E"/>
    <w:rsid w:val="00E27F77"/>
    <w:rsid w:val="00E27F79"/>
    <w:rsid w:val="00E27F9F"/>
    <w:rsid w:val="00E31E81"/>
    <w:rsid w:val="00E32596"/>
    <w:rsid w:val="00E3287B"/>
    <w:rsid w:val="00E32CF7"/>
    <w:rsid w:val="00E32FEE"/>
    <w:rsid w:val="00E336C9"/>
    <w:rsid w:val="00E338C3"/>
    <w:rsid w:val="00E33E26"/>
    <w:rsid w:val="00E33FDD"/>
    <w:rsid w:val="00E344F7"/>
    <w:rsid w:val="00E34633"/>
    <w:rsid w:val="00E358B0"/>
    <w:rsid w:val="00E362C3"/>
    <w:rsid w:val="00E363E5"/>
    <w:rsid w:val="00E36555"/>
    <w:rsid w:val="00E36588"/>
    <w:rsid w:val="00E3767E"/>
    <w:rsid w:val="00E37CEA"/>
    <w:rsid w:val="00E4187A"/>
    <w:rsid w:val="00E41946"/>
    <w:rsid w:val="00E4246D"/>
    <w:rsid w:val="00E43AEE"/>
    <w:rsid w:val="00E4411E"/>
    <w:rsid w:val="00E44F94"/>
    <w:rsid w:val="00E452F5"/>
    <w:rsid w:val="00E4652F"/>
    <w:rsid w:val="00E46A0C"/>
    <w:rsid w:val="00E46F6F"/>
    <w:rsid w:val="00E519CE"/>
    <w:rsid w:val="00E51BC8"/>
    <w:rsid w:val="00E51E6A"/>
    <w:rsid w:val="00E51F9D"/>
    <w:rsid w:val="00E5250A"/>
    <w:rsid w:val="00E527F9"/>
    <w:rsid w:val="00E52B54"/>
    <w:rsid w:val="00E536B6"/>
    <w:rsid w:val="00E53F15"/>
    <w:rsid w:val="00E544F8"/>
    <w:rsid w:val="00E560C2"/>
    <w:rsid w:val="00E56CDE"/>
    <w:rsid w:val="00E56F4E"/>
    <w:rsid w:val="00E56FF5"/>
    <w:rsid w:val="00E57106"/>
    <w:rsid w:val="00E574F5"/>
    <w:rsid w:val="00E6019C"/>
    <w:rsid w:val="00E605E9"/>
    <w:rsid w:val="00E61970"/>
    <w:rsid w:val="00E61D1B"/>
    <w:rsid w:val="00E623B7"/>
    <w:rsid w:val="00E6265D"/>
    <w:rsid w:val="00E62D7C"/>
    <w:rsid w:val="00E632E5"/>
    <w:rsid w:val="00E6391D"/>
    <w:rsid w:val="00E64DC8"/>
    <w:rsid w:val="00E65380"/>
    <w:rsid w:val="00E65C78"/>
    <w:rsid w:val="00E6600A"/>
    <w:rsid w:val="00E6628B"/>
    <w:rsid w:val="00E66506"/>
    <w:rsid w:val="00E6696A"/>
    <w:rsid w:val="00E66D5D"/>
    <w:rsid w:val="00E706B6"/>
    <w:rsid w:val="00E70F33"/>
    <w:rsid w:val="00E7245A"/>
    <w:rsid w:val="00E72720"/>
    <w:rsid w:val="00E728D9"/>
    <w:rsid w:val="00E7295A"/>
    <w:rsid w:val="00E7298D"/>
    <w:rsid w:val="00E736D7"/>
    <w:rsid w:val="00E7411F"/>
    <w:rsid w:val="00E744A1"/>
    <w:rsid w:val="00E74576"/>
    <w:rsid w:val="00E75CEE"/>
    <w:rsid w:val="00E75DA3"/>
    <w:rsid w:val="00E765A4"/>
    <w:rsid w:val="00E769F2"/>
    <w:rsid w:val="00E76E37"/>
    <w:rsid w:val="00E77759"/>
    <w:rsid w:val="00E777C5"/>
    <w:rsid w:val="00E77A79"/>
    <w:rsid w:val="00E77DD2"/>
    <w:rsid w:val="00E804E6"/>
    <w:rsid w:val="00E806EF"/>
    <w:rsid w:val="00E815E8"/>
    <w:rsid w:val="00E818EF"/>
    <w:rsid w:val="00E8197D"/>
    <w:rsid w:val="00E81A32"/>
    <w:rsid w:val="00E81DA3"/>
    <w:rsid w:val="00E82432"/>
    <w:rsid w:val="00E83128"/>
    <w:rsid w:val="00E831EB"/>
    <w:rsid w:val="00E8382C"/>
    <w:rsid w:val="00E838E3"/>
    <w:rsid w:val="00E83A1E"/>
    <w:rsid w:val="00E84174"/>
    <w:rsid w:val="00E842C8"/>
    <w:rsid w:val="00E846DE"/>
    <w:rsid w:val="00E85C8D"/>
    <w:rsid w:val="00E867C4"/>
    <w:rsid w:val="00E86872"/>
    <w:rsid w:val="00E86E7B"/>
    <w:rsid w:val="00E870B1"/>
    <w:rsid w:val="00E87125"/>
    <w:rsid w:val="00E87974"/>
    <w:rsid w:val="00E87A95"/>
    <w:rsid w:val="00E905F6"/>
    <w:rsid w:val="00E910C8"/>
    <w:rsid w:val="00E91778"/>
    <w:rsid w:val="00E91942"/>
    <w:rsid w:val="00E919D7"/>
    <w:rsid w:val="00E91FAC"/>
    <w:rsid w:val="00E924BE"/>
    <w:rsid w:val="00E9274C"/>
    <w:rsid w:val="00E93214"/>
    <w:rsid w:val="00E9324B"/>
    <w:rsid w:val="00E932DC"/>
    <w:rsid w:val="00E93340"/>
    <w:rsid w:val="00E933D5"/>
    <w:rsid w:val="00E93B23"/>
    <w:rsid w:val="00E94177"/>
    <w:rsid w:val="00E947F6"/>
    <w:rsid w:val="00E955DE"/>
    <w:rsid w:val="00E96740"/>
    <w:rsid w:val="00E9708D"/>
    <w:rsid w:val="00E970BD"/>
    <w:rsid w:val="00E97125"/>
    <w:rsid w:val="00E97915"/>
    <w:rsid w:val="00E97A99"/>
    <w:rsid w:val="00EA0DF3"/>
    <w:rsid w:val="00EA13E6"/>
    <w:rsid w:val="00EA1B10"/>
    <w:rsid w:val="00EA254D"/>
    <w:rsid w:val="00EA256B"/>
    <w:rsid w:val="00EA3318"/>
    <w:rsid w:val="00EA40B6"/>
    <w:rsid w:val="00EA428A"/>
    <w:rsid w:val="00EA42D9"/>
    <w:rsid w:val="00EA42F6"/>
    <w:rsid w:val="00EA4AE4"/>
    <w:rsid w:val="00EA58B8"/>
    <w:rsid w:val="00EA66C7"/>
    <w:rsid w:val="00EA6E69"/>
    <w:rsid w:val="00EA717F"/>
    <w:rsid w:val="00EA7371"/>
    <w:rsid w:val="00EA774F"/>
    <w:rsid w:val="00EA7E36"/>
    <w:rsid w:val="00EB02DB"/>
    <w:rsid w:val="00EB0DF4"/>
    <w:rsid w:val="00EB113D"/>
    <w:rsid w:val="00EB1519"/>
    <w:rsid w:val="00EB197B"/>
    <w:rsid w:val="00EB1EC6"/>
    <w:rsid w:val="00EB22C6"/>
    <w:rsid w:val="00EB245D"/>
    <w:rsid w:val="00EB28BD"/>
    <w:rsid w:val="00EB3EE8"/>
    <w:rsid w:val="00EB47CD"/>
    <w:rsid w:val="00EB4D0E"/>
    <w:rsid w:val="00EB512E"/>
    <w:rsid w:val="00EB5503"/>
    <w:rsid w:val="00EB636A"/>
    <w:rsid w:val="00EB6AAB"/>
    <w:rsid w:val="00EB6C95"/>
    <w:rsid w:val="00EB711C"/>
    <w:rsid w:val="00EB7D5A"/>
    <w:rsid w:val="00EC05D4"/>
    <w:rsid w:val="00EC0B2B"/>
    <w:rsid w:val="00EC1D71"/>
    <w:rsid w:val="00EC2623"/>
    <w:rsid w:val="00EC2F7B"/>
    <w:rsid w:val="00EC322C"/>
    <w:rsid w:val="00EC3245"/>
    <w:rsid w:val="00EC3BEC"/>
    <w:rsid w:val="00EC431E"/>
    <w:rsid w:val="00EC44F1"/>
    <w:rsid w:val="00EC47E2"/>
    <w:rsid w:val="00EC50C1"/>
    <w:rsid w:val="00EC63B2"/>
    <w:rsid w:val="00EC667C"/>
    <w:rsid w:val="00EC6974"/>
    <w:rsid w:val="00EC7A3D"/>
    <w:rsid w:val="00ED02AF"/>
    <w:rsid w:val="00ED154F"/>
    <w:rsid w:val="00ED1CDA"/>
    <w:rsid w:val="00ED2169"/>
    <w:rsid w:val="00ED2636"/>
    <w:rsid w:val="00ED2C33"/>
    <w:rsid w:val="00ED2D18"/>
    <w:rsid w:val="00ED2D22"/>
    <w:rsid w:val="00ED2E85"/>
    <w:rsid w:val="00ED2F49"/>
    <w:rsid w:val="00ED3340"/>
    <w:rsid w:val="00ED3CB6"/>
    <w:rsid w:val="00ED40D0"/>
    <w:rsid w:val="00ED4987"/>
    <w:rsid w:val="00ED52E0"/>
    <w:rsid w:val="00ED55C7"/>
    <w:rsid w:val="00ED622C"/>
    <w:rsid w:val="00ED6274"/>
    <w:rsid w:val="00ED6802"/>
    <w:rsid w:val="00ED73F9"/>
    <w:rsid w:val="00ED743E"/>
    <w:rsid w:val="00ED7D7A"/>
    <w:rsid w:val="00ED7FD9"/>
    <w:rsid w:val="00EE0251"/>
    <w:rsid w:val="00EE0380"/>
    <w:rsid w:val="00EE0517"/>
    <w:rsid w:val="00EE1147"/>
    <w:rsid w:val="00EE2AC3"/>
    <w:rsid w:val="00EE3541"/>
    <w:rsid w:val="00EE3B7A"/>
    <w:rsid w:val="00EE3D3F"/>
    <w:rsid w:val="00EE4907"/>
    <w:rsid w:val="00EE53FB"/>
    <w:rsid w:val="00EE5998"/>
    <w:rsid w:val="00EE634E"/>
    <w:rsid w:val="00EE6B11"/>
    <w:rsid w:val="00EE6BDF"/>
    <w:rsid w:val="00EE6CDE"/>
    <w:rsid w:val="00EF0526"/>
    <w:rsid w:val="00EF1248"/>
    <w:rsid w:val="00EF174E"/>
    <w:rsid w:val="00EF1FB9"/>
    <w:rsid w:val="00EF21B5"/>
    <w:rsid w:val="00EF247E"/>
    <w:rsid w:val="00EF2701"/>
    <w:rsid w:val="00EF2E15"/>
    <w:rsid w:val="00EF35DF"/>
    <w:rsid w:val="00EF3B60"/>
    <w:rsid w:val="00EF3D94"/>
    <w:rsid w:val="00EF3DA7"/>
    <w:rsid w:val="00EF3F6D"/>
    <w:rsid w:val="00EF4531"/>
    <w:rsid w:val="00EF4567"/>
    <w:rsid w:val="00EF4912"/>
    <w:rsid w:val="00EF4E41"/>
    <w:rsid w:val="00EF59B9"/>
    <w:rsid w:val="00EF6038"/>
    <w:rsid w:val="00EF6798"/>
    <w:rsid w:val="00EF6A68"/>
    <w:rsid w:val="00EF6C1F"/>
    <w:rsid w:val="00EF72F6"/>
    <w:rsid w:val="00F00027"/>
    <w:rsid w:val="00F001EF"/>
    <w:rsid w:val="00F00241"/>
    <w:rsid w:val="00F02427"/>
    <w:rsid w:val="00F02D94"/>
    <w:rsid w:val="00F03C59"/>
    <w:rsid w:val="00F04912"/>
    <w:rsid w:val="00F04A62"/>
    <w:rsid w:val="00F04D08"/>
    <w:rsid w:val="00F04D8B"/>
    <w:rsid w:val="00F0549B"/>
    <w:rsid w:val="00F0613F"/>
    <w:rsid w:val="00F066A3"/>
    <w:rsid w:val="00F06A8E"/>
    <w:rsid w:val="00F06C22"/>
    <w:rsid w:val="00F07407"/>
    <w:rsid w:val="00F07544"/>
    <w:rsid w:val="00F10394"/>
    <w:rsid w:val="00F10C98"/>
    <w:rsid w:val="00F10F1A"/>
    <w:rsid w:val="00F11283"/>
    <w:rsid w:val="00F125D3"/>
    <w:rsid w:val="00F137A7"/>
    <w:rsid w:val="00F1390E"/>
    <w:rsid w:val="00F13981"/>
    <w:rsid w:val="00F152BE"/>
    <w:rsid w:val="00F152EC"/>
    <w:rsid w:val="00F156E9"/>
    <w:rsid w:val="00F1585D"/>
    <w:rsid w:val="00F16175"/>
    <w:rsid w:val="00F163FE"/>
    <w:rsid w:val="00F16F82"/>
    <w:rsid w:val="00F20375"/>
    <w:rsid w:val="00F20F25"/>
    <w:rsid w:val="00F225FB"/>
    <w:rsid w:val="00F22B41"/>
    <w:rsid w:val="00F230D6"/>
    <w:rsid w:val="00F23649"/>
    <w:rsid w:val="00F236D5"/>
    <w:rsid w:val="00F237B3"/>
    <w:rsid w:val="00F23845"/>
    <w:rsid w:val="00F24800"/>
    <w:rsid w:val="00F24D14"/>
    <w:rsid w:val="00F24F52"/>
    <w:rsid w:val="00F25315"/>
    <w:rsid w:val="00F25CB0"/>
    <w:rsid w:val="00F26166"/>
    <w:rsid w:val="00F2678B"/>
    <w:rsid w:val="00F26B70"/>
    <w:rsid w:val="00F26F18"/>
    <w:rsid w:val="00F30B68"/>
    <w:rsid w:val="00F30CC3"/>
    <w:rsid w:val="00F30F2B"/>
    <w:rsid w:val="00F316A9"/>
    <w:rsid w:val="00F31DC2"/>
    <w:rsid w:val="00F32C8F"/>
    <w:rsid w:val="00F3318A"/>
    <w:rsid w:val="00F333D3"/>
    <w:rsid w:val="00F33546"/>
    <w:rsid w:val="00F34055"/>
    <w:rsid w:val="00F349D7"/>
    <w:rsid w:val="00F35130"/>
    <w:rsid w:val="00F35651"/>
    <w:rsid w:val="00F35949"/>
    <w:rsid w:val="00F35DB5"/>
    <w:rsid w:val="00F36EC2"/>
    <w:rsid w:val="00F4016F"/>
    <w:rsid w:val="00F406EF"/>
    <w:rsid w:val="00F412AF"/>
    <w:rsid w:val="00F41465"/>
    <w:rsid w:val="00F415B2"/>
    <w:rsid w:val="00F41B48"/>
    <w:rsid w:val="00F41B7F"/>
    <w:rsid w:val="00F41C9A"/>
    <w:rsid w:val="00F424C8"/>
    <w:rsid w:val="00F4280A"/>
    <w:rsid w:val="00F42FA9"/>
    <w:rsid w:val="00F432CE"/>
    <w:rsid w:val="00F43954"/>
    <w:rsid w:val="00F4413A"/>
    <w:rsid w:val="00F453C5"/>
    <w:rsid w:val="00F4659C"/>
    <w:rsid w:val="00F47099"/>
    <w:rsid w:val="00F472F4"/>
    <w:rsid w:val="00F47526"/>
    <w:rsid w:val="00F50745"/>
    <w:rsid w:val="00F50AD6"/>
    <w:rsid w:val="00F50DD0"/>
    <w:rsid w:val="00F51FFA"/>
    <w:rsid w:val="00F526AB"/>
    <w:rsid w:val="00F52784"/>
    <w:rsid w:val="00F52A15"/>
    <w:rsid w:val="00F531AA"/>
    <w:rsid w:val="00F53BF4"/>
    <w:rsid w:val="00F53CA1"/>
    <w:rsid w:val="00F5482F"/>
    <w:rsid w:val="00F5588D"/>
    <w:rsid w:val="00F5599A"/>
    <w:rsid w:val="00F559BA"/>
    <w:rsid w:val="00F55FF3"/>
    <w:rsid w:val="00F5669B"/>
    <w:rsid w:val="00F56AA7"/>
    <w:rsid w:val="00F56C47"/>
    <w:rsid w:val="00F57C99"/>
    <w:rsid w:val="00F600F7"/>
    <w:rsid w:val="00F603F6"/>
    <w:rsid w:val="00F61750"/>
    <w:rsid w:val="00F61A87"/>
    <w:rsid w:val="00F62C32"/>
    <w:rsid w:val="00F635C6"/>
    <w:rsid w:val="00F63DFD"/>
    <w:rsid w:val="00F63E34"/>
    <w:rsid w:val="00F64583"/>
    <w:rsid w:val="00F6481E"/>
    <w:rsid w:val="00F6496E"/>
    <w:rsid w:val="00F654FD"/>
    <w:rsid w:val="00F655CA"/>
    <w:rsid w:val="00F6687A"/>
    <w:rsid w:val="00F67357"/>
    <w:rsid w:val="00F67573"/>
    <w:rsid w:val="00F67D52"/>
    <w:rsid w:val="00F67DAA"/>
    <w:rsid w:val="00F70133"/>
    <w:rsid w:val="00F705E8"/>
    <w:rsid w:val="00F70B91"/>
    <w:rsid w:val="00F70FCB"/>
    <w:rsid w:val="00F724A4"/>
    <w:rsid w:val="00F73658"/>
    <w:rsid w:val="00F73711"/>
    <w:rsid w:val="00F742DB"/>
    <w:rsid w:val="00F753F1"/>
    <w:rsid w:val="00F7578B"/>
    <w:rsid w:val="00F759E7"/>
    <w:rsid w:val="00F75B38"/>
    <w:rsid w:val="00F763D5"/>
    <w:rsid w:val="00F76DB7"/>
    <w:rsid w:val="00F771B0"/>
    <w:rsid w:val="00F7789E"/>
    <w:rsid w:val="00F77D47"/>
    <w:rsid w:val="00F77E4D"/>
    <w:rsid w:val="00F80960"/>
    <w:rsid w:val="00F80B37"/>
    <w:rsid w:val="00F80DC4"/>
    <w:rsid w:val="00F80DE3"/>
    <w:rsid w:val="00F80E66"/>
    <w:rsid w:val="00F810AF"/>
    <w:rsid w:val="00F81525"/>
    <w:rsid w:val="00F81A9B"/>
    <w:rsid w:val="00F81BA4"/>
    <w:rsid w:val="00F824C4"/>
    <w:rsid w:val="00F825F3"/>
    <w:rsid w:val="00F82EEE"/>
    <w:rsid w:val="00F831FB"/>
    <w:rsid w:val="00F833C2"/>
    <w:rsid w:val="00F837C5"/>
    <w:rsid w:val="00F848AB"/>
    <w:rsid w:val="00F85149"/>
    <w:rsid w:val="00F8530D"/>
    <w:rsid w:val="00F85C36"/>
    <w:rsid w:val="00F8613D"/>
    <w:rsid w:val="00F861A3"/>
    <w:rsid w:val="00F8627F"/>
    <w:rsid w:val="00F8641C"/>
    <w:rsid w:val="00F868B6"/>
    <w:rsid w:val="00F86F75"/>
    <w:rsid w:val="00F87147"/>
    <w:rsid w:val="00F87379"/>
    <w:rsid w:val="00F876AF"/>
    <w:rsid w:val="00F87A4F"/>
    <w:rsid w:val="00F903D2"/>
    <w:rsid w:val="00F906CA"/>
    <w:rsid w:val="00F908EF"/>
    <w:rsid w:val="00F90B36"/>
    <w:rsid w:val="00F919CA"/>
    <w:rsid w:val="00F92289"/>
    <w:rsid w:val="00F923B4"/>
    <w:rsid w:val="00F9259F"/>
    <w:rsid w:val="00F92FEF"/>
    <w:rsid w:val="00F9392F"/>
    <w:rsid w:val="00F9424F"/>
    <w:rsid w:val="00F946E4"/>
    <w:rsid w:val="00F94C75"/>
    <w:rsid w:val="00F94CC4"/>
    <w:rsid w:val="00F95253"/>
    <w:rsid w:val="00F9627C"/>
    <w:rsid w:val="00F9688A"/>
    <w:rsid w:val="00F969E9"/>
    <w:rsid w:val="00F973F9"/>
    <w:rsid w:val="00F9753D"/>
    <w:rsid w:val="00F9775E"/>
    <w:rsid w:val="00F978ED"/>
    <w:rsid w:val="00FA05E2"/>
    <w:rsid w:val="00FA061E"/>
    <w:rsid w:val="00FA118F"/>
    <w:rsid w:val="00FA16CE"/>
    <w:rsid w:val="00FA19AA"/>
    <w:rsid w:val="00FA1A2C"/>
    <w:rsid w:val="00FA1A70"/>
    <w:rsid w:val="00FA1C2B"/>
    <w:rsid w:val="00FA209D"/>
    <w:rsid w:val="00FA240F"/>
    <w:rsid w:val="00FA4327"/>
    <w:rsid w:val="00FA5B71"/>
    <w:rsid w:val="00FA5BF1"/>
    <w:rsid w:val="00FA6E28"/>
    <w:rsid w:val="00FB0421"/>
    <w:rsid w:val="00FB2530"/>
    <w:rsid w:val="00FB3782"/>
    <w:rsid w:val="00FB404D"/>
    <w:rsid w:val="00FB4491"/>
    <w:rsid w:val="00FB4A38"/>
    <w:rsid w:val="00FB596E"/>
    <w:rsid w:val="00FB5EF1"/>
    <w:rsid w:val="00FB5F93"/>
    <w:rsid w:val="00FB66DE"/>
    <w:rsid w:val="00FB6A88"/>
    <w:rsid w:val="00FB7962"/>
    <w:rsid w:val="00FC0380"/>
    <w:rsid w:val="00FC121B"/>
    <w:rsid w:val="00FC12F6"/>
    <w:rsid w:val="00FC1BC7"/>
    <w:rsid w:val="00FC254D"/>
    <w:rsid w:val="00FC292C"/>
    <w:rsid w:val="00FC2F5C"/>
    <w:rsid w:val="00FC34F7"/>
    <w:rsid w:val="00FC3C28"/>
    <w:rsid w:val="00FC53E8"/>
    <w:rsid w:val="00FC603D"/>
    <w:rsid w:val="00FC6073"/>
    <w:rsid w:val="00FC6358"/>
    <w:rsid w:val="00FC676F"/>
    <w:rsid w:val="00FC6B6F"/>
    <w:rsid w:val="00FC6CCB"/>
    <w:rsid w:val="00FC6E33"/>
    <w:rsid w:val="00FC7044"/>
    <w:rsid w:val="00FC7E02"/>
    <w:rsid w:val="00FD052A"/>
    <w:rsid w:val="00FD07DB"/>
    <w:rsid w:val="00FD0DC8"/>
    <w:rsid w:val="00FD111C"/>
    <w:rsid w:val="00FD205B"/>
    <w:rsid w:val="00FD2A5D"/>
    <w:rsid w:val="00FD2BFD"/>
    <w:rsid w:val="00FD2E4F"/>
    <w:rsid w:val="00FD4065"/>
    <w:rsid w:val="00FD48D3"/>
    <w:rsid w:val="00FD4FFC"/>
    <w:rsid w:val="00FD5DE2"/>
    <w:rsid w:val="00FD5EC0"/>
    <w:rsid w:val="00FD61AF"/>
    <w:rsid w:val="00FD6F9B"/>
    <w:rsid w:val="00FD7310"/>
    <w:rsid w:val="00FD7A3B"/>
    <w:rsid w:val="00FD7C2F"/>
    <w:rsid w:val="00FD7D61"/>
    <w:rsid w:val="00FD7F98"/>
    <w:rsid w:val="00FE01FD"/>
    <w:rsid w:val="00FE03B8"/>
    <w:rsid w:val="00FE056E"/>
    <w:rsid w:val="00FE07A9"/>
    <w:rsid w:val="00FE0AE7"/>
    <w:rsid w:val="00FE0EA7"/>
    <w:rsid w:val="00FE1546"/>
    <w:rsid w:val="00FE2760"/>
    <w:rsid w:val="00FE32FE"/>
    <w:rsid w:val="00FE375B"/>
    <w:rsid w:val="00FE4C12"/>
    <w:rsid w:val="00FE5D07"/>
    <w:rsid w:val="00FE5D88"/>
    <w:rsid w:val="00FE628D"/>
    <w:rsid w:val="00FE7342"/>
    <w:rsid w:val="00FF0B60"/>
    <w:rsid w:val="00FF0F5F"/>
    <w:rsid w:val="00FF15E0"/>
    <w:rsid w:val="00FF1640"/>
    <w:rsid w:val="00FF1965"/>
    <w:rsid w:val="00FF1D47"/>
    <w:rsid w:val="00FF2F60"/>
    <w:rsid w:val="00FF3233"/>
    <w:rsid w:val="00FF3582"/>
    <w:rsid w:val="00FF37E3"/>
    <w:rsid w:val="00FF5259"/>
    <w:rsid w:val="00FF529F"/>
    <w:rsid w:val="00FF564A"/>
    <w:rsid w:val="00FF5BD3"/>
    <w:rsid w:val="00FF5FFD"/>
    <w:rsid w:val="00FF65BD"/>
    <w:rsid w:val="00FF70B7"/>
    <w:rsid w:val="00FF7A8D"/>
    <w:rsid w:val="00FF7B16"/>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AC199"/>
  <w15:docId w15:val="{BD535514-E8F1-3E46-B81C-A6D3C5F7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2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E5222"/>
    <w:pPr>
      <w:keepNext/>
      <w:keepLines/>
      <w:spacing w:before="480" w:after="240" w:line="480" w:lineRule="auto"/>
      <w:jc w:val="center"/>
      <w:outlineLvl w:val="0"/>
    </w:pPr>
    <w:rPr>
      <w:b/>
    </w:rPr>
  </w:style>
  <w:style w:type="paragraph" w:styleId="Heading2">
    <w:name w:val="heading 2"/>
    <w:basedOn w:val="Normal"/>
    <w:next w:val="Normal"/>
    <w:link w:val="Heading2Char"/>
    <w:uiPriority w:val="9"/>
    <w:unhideWhenUsed/>
    <w:qFormat/>
    <w:rsid w:val="007E5222"/>
    <w:pPr>
      <w:keepNext/>
      <w:keepLines/>
      <w:spacing w:before="480" w:line="480" w:lineRule="auto"/>
      <w:outlineLvl w:val="1"/>
    </w:pPr>
    <w:rPr>
      <w:b/>
      <w:i/>
    </w:rPr>
  </w:style>
  <w:style w:type="paragraph" w:styleId="Heading3">
    <w:name w:val="heading 3"/>
    <w:basedOn w:val="Normal"/>
    <w:next w:val="Normal"/>
    <w:link w:val="Heading3Char"/>
    <w:uiPriority w:val="9"/>
    <w:semiHidden/>
    <w:unhideWhenUsed/>
    <w:qFormat/>
    <w:rsid w:val="006E623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222"/>
    <w:rPr>
      <w:rFonts w:ascii="Times New Roman" w:eastAsia="Times New Roman" w:hAnsi="Times New Roman" w:cs="Times New Roman"/>
      <w:b/>
      <w:sz w:val="24"/>
      <w:szCs w:val="24"/>
    </w:rPr>
  </w:style>
  <w:style w:type="paragraph" w:customStyle="1" w:styleId="EndNoteBibliographyTitle">
    <w:name w:val="EndNote Bibliography Title"/>
    <w:basedOn w:val="Normal"/>
    <w:link w:val="EndNoteBibliographyTitleChar"/>
    <w:rsid w:val="00185788"/>
    <w:pPr>
      <w:jc w:val="center"/>
    </w:pPr>
    <w:rPr>
      <w:noProof/>
    </w:rPr>
  </w:style>
  <w:style w:type="character" w:customStyle="1" w:styleId="EndNoteBibliographyTitleChar">
    <w:name w:val="EndNote Bibliography Title Char"/>
    <w:basedOn w:val="DefaultParagraphFont"/>
    <w:link w:val="EndNoteBibliographyTitle"/>
    <w:rsid w:val="00185788"/>
    <w:rPr>
      <w:rFonts w:ascii="Times New Roman" w:hAnsi="Times New Roman" w:cs="Times New Roman"/>
      <w:noProof/>
      <w:sz w:val="24"/>
    </w:rPr>
  </w:style>
  <w:style w:type="paragraph" w:customStyle="1" w:styleId="EndNoteBibliography">
    <w:name w:val="EndNote Bibliography"/>
    <w:basedOn w:val="Normal"/>
    <w:link w:val="EndNoteBibliographyChar"/>
    <w:rsid w:val="00185788"/>
    <w:rPr>
      <w:noProof/>
    </w:rPr>
  </w:style>
  <w:style w:type="character" w:customStyle="1" w:styleId="EndNoteBibliographyChar">
    <w:name w:val="EndNote Bibliography Char"/>
    <w:basedOn w:val="DefaultParagraphFont"/>
    <w:link w:val="EndNoteBibliography"/>
    <w:rsid w:val="00185788"/>
    <w:rPr>
      <w:rFonts w:ascii="Times New Roman" w:hAnsi="Times New Roman" w:cs="Times New Roman"/>
      <w:noProof/>
      <w:sz w:val="24"/>
    </w:rPr>
  </w:style>
  <w:style w:type="character" w:styleId="Hyperlink">
    <w:name w:val="Hyperlink"/>
    <w:basedOn w:val="DefaultParagraphFont"/>
    <w:uiPriority w:val="99"/>
    <w:unhideWhenUsed/>
    <w:rsid w:val="00185788"/>
    <w:rPr>
      <w:color w:val="0563C1" w:themeColor="hyperlink"/>
      <w:u w:val="single"/>
    </w:rPr>
  </w:style>
  <w:style w:type="table" w:styleId="TableGrid">
    <w:name w:val="Table Grid"/>
    <w:basedOn w:val="TableNormal"/>
    <w:uiPriority w:val="39"/>
    <w:rsid w:val="0018578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5788"/>
    <w:rPr>
      <w:color w:val="808080"/>
    </w:rPr>
  </w:style>
  <w:style w:type="paragraph" w:styleId="FootnoteText">
    <w:name w:val="footnote text"/>
    <w:basedOn w:val="Normal"/>
    <w:link w:val="FootnoteTextChar"/>
    <w:uiPriority w:val="99"/>
    <w:unhideWhenUsed/>
    <w:rsid w:val="00185788"/>
    <w:rPr>
      <w:sz w:val="20"/>
      <w:szCs w:val="20"/>
    </w:rPr>
  </w:style>
  <w:style w:type="character" w:customStyle="1" w:styleId="FootnoteTextChar">
    <w:name w:val="Footnote Text Char"/>
    <w:basedOn w:val="DefaultParagraphFont"/>
    <w:link w:val="FootnoteText"/>
    <w:uiPriority w:val="99"/>
    <w:rsid w:val="00185788"/>
    <w:rPr>
      <w:sz w:val="20"/>
      <w:szCs w:val="20"/>
      <w:lang w:val="en-AU"/>
    </w:rPr>
  </w:style>
  <w:style w:type="character" w:styleId="FootnoteReference">
    <w:name w:val="footnote reference"/>
    <w:basedOn w:val="DefaultParagraphFont"/>
    <w:uiPriority w:val="99"/>
    <w:unhideWhenUsed/>
    <w:rsid w:val="00185788"/>
    <w:rPr>
      <w:vertAlign w:val="superscript"/>
    </w:rPr>
  </w:style>
  <w:style w:type="character" w:styleId="CommentReference">
    <w:name w:val="annotation reference"/>
    <w:basedOn w:val="DefaultParagraphFont"/>
    <w:uiPriority w:val="99"/>
    <w:semiHidden/>
    <w:unhideWhenUsed/>
    <w:rsid w:val="00185788"/>
    <w:rPr>
      <w:sz w:val="16"/>
      <w:szCs w:val="16"/>
    </w:rPr>
  </w:style>
  <w:style w:type="paragraph" w:styleId="CommentText">
    <w:name w:val="annotation text"/>
    <w:basedOn w:val="Normal"/>
    <w:link w:val="CommentTextChar"/>
    <w:uiPriority w:val="99"/>
    <w:unhideWhenUsed/>
    <w:rsid w:val="00185788"/>
    <w:rPr>
      <w:sz w:val="20"/>
      <w:szCs w:val="20"/>
    </w:rPr>
  </w:style>
  <w:style w:type="character" w:customStyle="1" w:styleId="CommentTextChar">
    <w:name w:val="Comment Text Char"/>
    <w:basedOn w:val="DefaultParagraphFont"/>
    <w:link w:val="CommentText"/>
    <w:uiPriority w:val="99"/>
    <w:rsid w:val="00185788"/>
    <w:rPr>
      <w:sz w:val="20"/>
      <w:szCs w:val="20"/>
      <w:lang w:val="en-AU"/>
    </w:rPr>
  </w:style>
  <w:style w:type="paragraph" w:styleId="CommentSubject">
    <w:name w:val="annotation subject"/>
    <w:basedOn w:val="CommentText"/>
    <w:next w:val="CommentText"/>
    <w:link w:val="CommentSubjectChar"/>
    <w:uiPriority w:val="99"/>
    <w:semiHidden/>
    <w:unhideWhenUsed/>
    <w:rsid w:val="00185788"/>
    <w:rPr>
      <w:b/>
      <w:bCs/>
    </w:rPr>
  </w:style>
  <w:style w:type="character" w:customStyle="1" w:styleId="CommentSubjectChar">
    <w:name w:val="Comment Subject Char"/>
    <w:basedOn w:val="CommentTextChar"/>
    <w:link w:val="CommentSubject"/>
    <w:uiPriority w:val="99"/>
    <w:semiHidden/>
    <w:rsid w:val="00185788"/>
    <w:rPr>
      <w:b/>
      <w:bCs/>
      <w:sz w:val="20"/>
      <w:szCs w:val="20"/>
      <w:lang w:val="en-AU"/>
    </w:rPr>
  </w:style>
  <w:style w:type="paragraph" w:styleId="BalloonText">
    <w:name w:val="Balloon Text"/>
    <w:basedOn w:val="Normal"/>
    <w:link w:val="BalloonTextChar"/>
    <w:uiPriority w:val="99"/>
    <w:semiHidden/>
    <w:unhideWhenUsed/>
    <w:rsid w:val="00185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788"/>
    <w:rPr>
      <w:rFonts w:ascii="Segoe UI" w:hAnsi="Segoe UI" w:cs="Segoe UI"/>
      <w:sz w:val="18"/>
      <w:szCs w:val="18"/>
      <w:lang w:val="en-AU"/>
    </w:rPr>
  </w:style>
  <w:style w:type="paragraph" w:styleId="ListParagraph">
    <w:name w:val="List Paragraph"/>
    <w:basedOn w:val="Normal"/>
    <w:uiPriority w:val="34"/>
    <w:qFormat/>
    <w:rsid w:val="00185788"/>
    <w:pPr>
      <w:ind w:left="720"/>
      <w:contextualSpacing/>
    </w:pPr>
  </w:style>
  <w:style w:type="paragraph" w:styleId="EndnoteText">
    <w:name w:val="endnote text"/>
    <w:basedOn w:val="Normal"/>
    <w:link w:val="EndnoteTextChar"/>
    <w:uiPriority w:val="99"/>
    <w:semiHidden/>
    <w:unhideWhenUsed/>
    <w:rsid w:val="00185788"/>
    <w:rPr>
      <w:sz w:val="20"/>
      <w:szCs w:val="20"/>
    </w:rPr>
  </w:style>
  <w:style w:type="character" w:customStyle="1" w:styleId="EndnoteTextChar">
    <w:name w:val="Endnote Text Char"/>
    <w:basedOn w:val="DefaultParagraphFont"/>
    <w:link w:val="EndnoteText"/>
    <w:uiPriority w:val="99"/>
    <w:semiHidden/>
    <w:rsid w:val="00185788"/>
    <w:rPr>
      <w:sz w:val="20"/>
      <w:szCs w:val="20"/>
      <w:lang w:val="en-AU"/>
    </w:rPr>
  </w:style>
  <w:style w:type="character" w:styleId="EndnoteReference">
    <w:name w:val="endnote reference"/>
    <w:basedOn w:val="DefaultParagraphFont"/>
    <w:uiPriority w:val="99"/>
    <w:semiHidden/>
    <w:unhideWhenUsed/>
    <w:rsid w:val="00185788"/>
    <w:rPr>
      <w:vertAlign w:val="superscript"/>
    </w:rPr>
  </w:style>
  <w:style w:type="paragraph" w:styleId="Revision">
    <w:name w:val="Revision"/>
    <w:hidden/>
    <w:uiPriority w:val="99"/>
    <w:semiHidden/>
    <w:rsid w:val="00185788"/>
    <w:pPr>
      <w:spacing w:after="0" w:line="240" w:lineRule="auto"/>
    </w:pPr>
    <w:rPr>
      <w:lang w:val="en-AU"/>
    </w:rPr>
  </w:style>
  <w:style w:type="character" w:styleId="Emphasis">
    <w:name w:val="Emphasis"/>
    <w:basedOn w:val="DefaultParagraphFont"/>
    <w:uiPriority w:val="20"/>
    <w:qFormat/>
    <w:rsid w:val="00185788"/>
    <w:rPr>
      <w:i/>
      <w:iCs/>
      <w:sz w:val="24"/>
      <w:szCs w:val="24"/>
      <w:bdr w:val="none" w:sz="0" w:space="0" w:color="auto" w:frame="1"/>
      <w:vertAlign w:val="baseline"/>
    </w:rPr>
  </w:style>
  <w:style w:type="paragraph" w:styleId="Header">
    <w:name w:val="header"/>
    <w:basedOn w:val="Normal"/>
    <w:link w:val="HeaderChar"/>
    <w:uiPriority w:val="99"/>
    <w:unhideWhenUsed/>
    <w:rsid w:val="009570A5"/>
    <w:pPr>
      <w:tabs>
        <w:tab w:val="center" w:pos="4680"/>
        <w:tab w:val="right" w:pos="9360"/>
      </w:tabs>
    </w:pPr>
  </w:style>
  <w:style w:type="character" w:customStyle="1" w:styleId="HeaderChar">
    <w:name w:val="Header Char"/>
    <w:basedOn w:val="DefaultParagraphFont"/>
    <w:link w:val="Header"/>
    <w:uiPriority w:val="99"/>
    <w:rsid w:val="009570A5"/>
    <w:rPr>
      <w:lang w:val="en-AU"/>
    </w:rPr>
  </w:style>
  <w:style w:type="paragraph" w:styleId="Footer">
    <w:name w:val="footer"/>
    <w:basedOn w:val="Normal"/>
    <w:link w:val="FooterChar"/>
    <w:uiPriority w:val="99"/>
    <w:unhideWhenUsed/>
    <w:rsid w:val="009570A5"/>
    <w:pPr>
      <w:tabs>
        <w:tab w:val="center" w:pos="4680"/>
        <w:tab w:val="right" w:pos="9360"/>
      </w:tabs>
    </w:pPr>
  </w:style>
  <w:style w:type="character" w:customStyle="1" w:styleId="FooterChar">
    <w:name w:val="Footer Char"/>
    <w:basedOn w:val="DefaultParagraphFont"/>
    <w:link w:val="Footer"/>
    <w:uiPriority w:val="99"/>
    <w:rsid w:val="009570A5"/>
    <w:rPr>
      <w:lang w:val="en-AU"/>
    </w:rPr>
  </w:style>
  <w:style w:type="paragraph" w:styleId="NormalWeb">
    <w:name w:val="Normal (Web)"/>
    <w:basedOn w:val="Normal"/>
    <w:uiPriority w:val="99"/>
    <w:unhideWhenUsed/>
    <w:rsid w:val="00AA39BB"/>
    <w:pPr>
      <w:spacing w:before="100" w:beforeAutospacing="1" w:after="100" w:afterAutospacing="1"/>
    </w:pPr>
  </w:style>
  <w:style w:type="character" w:styleId="HTMLCite">
    <w:name w:val="HTML Cite"/>
    <w:basedOn w:val="DefaultParagraphFont"/>
    <w:uiPriority w:val="99"/>
    <w:semiHidden/>
    <w:unhideWhenUsed/>
    <w:rsid w:val="00E870B1"/>
    <w:rPr>
      <w:i/>
      <w:iCs/>
      <w:vanish w:val="0"/>
      <w:webHidden w:val="0"/>
      <w:color w:val="696969"/>
      <w:specVanish w:val="0"/>
    </w:rPr>
  </w:style>
  <w:style w:type="paragraph" w:customStyle="1" w:styleId="Default">
    <w:name w:val="Default"/>
    <w:rsid w:val="00F24D14"/>
    <w:pPr>
      <w:autoSpaceDE w:val="0"/>
      <w:autoSpaceDN w:val="0"/>
      <w:adjustRightInd w:val="0"/>
      <w:spacing w:after="0" w:line="240" w:lineRule="auto"/>
    </w:pPr>
    <w:rPr>
      <w:rFonts w:ascii="Code" w:hAnsi="Code" w:cs="Code"/>
      <w:color w:val="000000"/>
      <w:sz w:val="24"/>
      <w:szCs w:val="24"/>
    </w:rPr>
  </w:style>
  <w:style w:type="paragraph" w:styleId="NoSpacing">
    <w:name w:val="No Spacing"/>
    <w:uiPriority w:val="1"/>
    <w:qFormat/>
    <w:rsid w:val="003631A8"/>
    <w:pPr>
      <w:spacing w:after="0" w:line="240" w:lineRule="auto"/>
    </w:pPr>
    <w:rPr>
      <w:rFonts w:ascii="Arial" w:hAnsi="Arial" w:cs="Arial"/>
      <w:sz w:val="21"/>
      <w:lang w:val="en-AU"/>
    </w:rPr>
  </w:style>
  <w:style w:type="character" w:customStyle="1" w:styleId="Heading3Char">
    <w:name w:val="Heading 3 Char"/>
    <w:basedOn w:val="DefaultParagraphFont"/>
    <w:link w:val="Heading3"/>
    <w:uiPriority w:val="9"/>
    <w:semiHidden/>
    <w:rsid w:val="006E6231"/>
    <w:rPr>
      <w:rFonts w:asciiTheme="majorHAnsi" w:eastAsiaTheme="majorEastAsia" w:hAnsiTheme="majorHAnsi" w:cstheme="majorBidi"/>
      <w:color w:val="1F4D78" w:themeColor="accent1" w:themeShade="7F"/>
      <w:sz w:val="24"/>
      <w:szCs w:val="24"/>
      <w:lang w:val="en-AU"/>
    </w:rPr>
  </w:style>
  <w:style w:type="character" w:styleId="Strong">
    <w:name w:val="Strong"/>
    <w:basedOn w:val="DefaultParagraphFont"/>
    <w:uiPriority w:val="22"/>
    <w:qFormat/>
    <w:rsid w:val="00B500B8"/>
    <w:rPr>
      <w:b/>
      <w:bCs/>
    </w:rPr>
  </w:style>
  <w:style w:type="paragraph" w:styleId="BodyText">
    <w:name w:val="Body Text"/>
    <w:basedOn w:val="Normal"/>
    <w:link w:val="BodyTextChar"/>
    <w:uiPriority w:val="99"/>
    <w:rsid w:val="007E5222"/>
    <w:pPr>
      <w:widowControl w:val="0"/>
      <w:spacing w:line="480" w:lineRule="auto"/>
    </w:pPr>
  </w:style>
  <w:style w:type="character" w:customStyle="1" w:styleId="BodyTextChar">
    <w:name w:val="Body Text Char"/>
    <w:basedOn w:val="DefaultParagraphFont"/>
    <w:link w:val="BodyText"/>
    <w:uiPriority w:val="99"/>
    <w:rsid w:val="007E522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7E5222"/>
    <w:pPr>
      <w:widowControl w:val="0"/>
      <w:spacing w:line="480" w:lineRule="auto"/>
      <w:ind w:firstLine="720"/>
    </w:pPr>
  </w:style>
  <w:style w:type="character" w:customStyle="1" w:styleId="BodyTextIndentChar">
    <w:name w:val="Body Text Indent Char"/>
    <w:basedOn w:val="DefaultParagraphFont"/>
    <w:link w:val="BodyTextIndent"/>
    <w:uiPriority w:val="99"/>
    <w:rsid w:val="007E5222"/>
    <w:rPr>
      <w:rFonts w:ascii="Times New Roman" w:eastAsia="Times New Roman" w:hAnsi="Times New Roman" w:cs="Times New Roman"/>
      <w:sz w:val="24"/>
      <w:szCs w:val="24"/>
    </w:rPr>
  </w:style>
  <w:style w:type="paragraph" w:customStyle="1" w:styleId="Callout">
    <w:name w:val="Callout"/>
    <w:basedOn w:val="Normal"/>
    <w:qFormat/>
    <w:rsid w:val="007E5222"/>
    <w:pPr>
      <w:widowControl w:val="0"/>
      <w:spacing w:line="480" w:lineRule="auto"/>
      <w:jc w:val="center"/>
    </w:pPr>
    <w:rPr>
      <w:b/>
    </w:rPr>
  </w:style>
  <w:style w:type="character" w:customStyle="1" w:styleId="Heading2Char">
    <w:name w:val="Heading 2 Char"/>
    <w:basedOn w:val="DefaultParagraphFont"/>
    <w:link w:val="Heading2"/>
    <w:uiPriority w:val="9"/>
    <w:rsid w:val="007E5222"/>
    <w:rPr>
      <w:rFonts w:ascii="Times New Roman" w:eastAsia="Times New Roman" w:hAnsi="Times New Roman" w:cs="Times New Roman"/>
      <w:b/>
      <w:i/>
      <w:sz w:val="24"/>
      <w:szCs w:val="24"/>
    </w:rPr>
  </w:style>
  <w:style w:type="paragraph" w:customStyle="1" w:styleId="TableCaption">
    <w:name w:val="Table Caption"/>
    <w:basedOn w:val="Normal"/>
    <w:qFormat/>
    <w:rsid w:val="00D764A7"/>
    <w:pPr>
      <w:keepNext/>
      <w:spacing w:after="120"/>
      <w:jc w:val="center"/>
      <w:outlineLv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0453">
      <w:bodyDiv w:val="1"/>
      <w:marLeft w:val="0"/>
      <w:marRight w:val="0"/>
      <w:marTop w:val="0"/>
      <w:marBottom w:val="0"/>
      <w:divBdr>
        <w:top w:val="none" w:sz="0" w:space="0" w:color="auto"/>
        <w:left w:val="none" w:sz="0" w:space="0" w:color="auto"/>
        <w:bottom w:val="none" w:sz="0" w:space="0" w:color="auto"/>
        <w:right w:val="none" w:sz="0" w:space="0" w:color="auto"/>
      </w:divBdr>
    </w:div>
    <w:div w:id="37436386">
      <w:bodyDiv w:val="1"/>
      <w:marLeft w:val="0"/>
      <w:marRight w:val="0"/>
      <w:marTop w:val="0"/>
      <w:marBottom w:val="0"/>
      <w:divBdr>
        <w:top w:val="none" w:sz="0" w:space="0" w:color="auto"/>
        <w:left w:val="none" w:sz="0" w:space="0" w:color="auto"/>
        <w:bottom w:val="none" w:sz="0" w:space="0" w:color="auto"/>
        <w:right w:val="none" w:sz="0" w:space="0" w:color="auto"/>
      </w:divBdr>
    </w:div>
    <w:div w:id="188684257">
      <w:bodyDiv w:val="1"/>
      <w:marLeft w:val="0"/>
      <w:marRight w:val="0"/>
      <w:marTop w:val="0"/>
      <w:marBottom w:val="0"/>
      <w:divBdr>
        <w:top w:val="none" w:sz="0" w:space="0" w:color="auto"/>
        <w:left w:val="none" w:sz="0" w:space="0" w:color="auto"/>
        <w:bottom w:val="none" w:sz="0" w:space="0" w:color="auto"/>
        <w:right w:val="none" w:sz="0" w:space="0" w:color="auto"/>
      </w:divBdr>
    </w:div>
    <w:div w:id="222103186">
      <w:bodyDiv w:val="1"/>
      <w:marLeft w:val="0"/>
      <w:marRight w:val="0"/>
      <w:marTop w:val="0"/>
      <w:marBottom w:val="0"/>
      <w:divBdr>
        <w:top w:val="none" w:sz="0" w:space="0" w:color="auto"/>
        <w:left w:val="none" w:sz="0" w:space="0" w:color="auto"/>
        <w:bottom w:val="none" w:sz="0" w:space="0" w:color="auto"/>
        <w:right w:val="none" w:sz="0" w:space="0" w:color="auto"/>
      </w:divBdr>
    </w:div>
    <w:div w:id="272786955">
      <w:bodyDiv w:val="1"/>
      <w:marLeft w:val="0"/>
      <w:marRight w:val="0"/>
      <w:marTop w:val="0"/>
      <w:marBottom w:val="0"/>
      <w:divBdr>
        <w:top w:val="none" w:sz="0" w:space="0" w:color="auto"/>
        <w:left w:val="none" w:sz="0" w:space="0" w:color="auto"/>
        <w:bottom w:val="none" w:sz="0" w:space="0" w:color="auto"/>
        <w:right w:val="none" w:sz="0" w:space="0" w:color="auto"/>
      </w:divBdr>
    </w:div>
    <w:div w:id="302201650">
      <w:bodyDiv w:val="1"/>
      <w:marLeft w:val="0"/>
      <w:marRight w:val="0"/>
      <w:marTop w:val="0"/>
      <w:marBottom w:val="0"/>
      <w:divBdr>
        <w:top w:val="none" w:sz="0" w:space="0" w:color="auto"/>
        <w:left w:val="none" w:sz="0" w:space="0" w:color="auto"/>
        <w:bottom w:val="none" w:sz="0" w:space="0" w:color="auto"/>
        <w:right w:val="none" w:sz="0" w:space="0" w:color="auto"/>
      </w:divBdr>
    </w:div>
    <w:div w:id="415135192">
      <w:bodyDiv w:val="1"/>
      <w:marLeft w:val="0"/>
      <w:marRight w:val="0"/>
      <w:marTop w:val="0"/>
      <w:marBottom w:val="0"/>
      <w:divBdr>
        <w:top w:val="none" w:sz="0" w:space="0" w:color="auto"/>
        <w:left w:val="none" w:sz="0" w:space="0" w:color="auto"/>
        <w:bottom w:val="none" w:sz="0" w:space="0" w:color="auto"/>
        <w:right w:val="none" w:sz="0" w:space="0" w:color="auto"/>
      </w:divBdr>
    </w:div>
    <w:div w:id="438645637">
      <w:bodyDiv w:val="1"/>
      <w:marLeft w:val="0"/>
      <w:marRight w:val="0"/>
      <w:marTop w:val="0"/>
      <w:marBottom w:val="0"/>
      <w:divBdr>
        <w:top w:val="none" w:sz="0" w:space="0" w:color="auto"/>
        <w:left w:val="none" w:sz="0" w:space="0" w:color="auto"/>
        <w:bottom w:val="none" w:sz="0" w:space="0" w:color="auto"/>
        <w:right w:val="none" w:sz="0" w:space="0" w:color="auto"/>
      </w:divBdr>
    </w:div>
    <w:div w:id="503857752">
      <w:bodyDiv w:val="1"/>
      <w:marLeft w:val="0"/>
      <w:marRight w:val="0"/>
      <w:marTop w:val="0"/>
      <w:marBottom w:val="0"/>
      <w:divBdr>
        <w:top w:val="none" w:sz="0" w:space="0" w:color="auto"/>
        <w:left w:val="none" w:sz="0" w:space="0" w:color="auto"/>
        <w:bottom w:val="none" w:sz="0" w:space="0" w:color="auto"/>
        <w:right w:val="none" w:sz="0" w:space="0" w:color="auto"/>
      </w:divBdr>
    </w:div>
    <w:div w:id="523175074">
      <w:bodyDiv w:val="1"/>
      <w:marLeft w:val="0"/>
      <w:marRight w:val="0"/>
      <w:marTop w:val="0"/>
      <w:marBottom w:val="0"/>
      <w:divBdr>
        <w:top w:val="none" w:sz="0" w:space="0" w:color="auto"/>
        <w:left w:val="none" w:sz="0" w:space="0" w:color="auto"/>
        <w:bottom w:val="none" w:sz="0" w:space="0" w:color="auto"/>
        <w:right w:val="none" w:sz="0" w:space="0" w:color="auto"/>
      </w:divBdr>
      <w:divsChild>
        <w:div w:id="115367143">
          <w:marLeft w:val="0"/>
          <w:marRight w:val="0"/>
          <w:marTop w:val="0"/>
          <w:marBottom w:val="0"/>
          <w:divBdr>
            <w:top w:val="none" w:sz="0" w:space="0" w:color="auto"/>
            <w:left w:val="none" w:sz="0" w:space="0" w:color="auto"/>
            <w:bottom w:val="none" w:sz="0" w:space="0" w:color="auto"/>
            <w:right w:val="none" w:sz="0" w:space="0" w:color="auto"/>
          </w:divBdr>
          <w:divsChild>
            <w:div w:id="2009865428">
              <w:marLeft w:val="0"/>
              <w:marRight w:val="0"/>
              <w:marTop w:val="0"/>
              <w:marBottom w:val="0"/>
              <w:divBdr>
                <w:top w:val="none" w:sz="0" w:space="0" w:color="auto"/>
                <w:left w:val="none" w:sz="0" w:space="0" w:color="auto"/>
                <w:bottom w:val="none" w:sz="0" w:space="0" w:color="auto"/>
                <w:right w:val="none" w:sz="0" w:space="0" w:color="auto"/>
              </w:divBdr>
              <w:divsChild>
                <w:div w:id="197596411">
                  <w:marLeft w:val="0"/>
                  <w:marRight w:val="0"/>
                  <w:marTop w:val="0"/>
                  <w:marBottom w:val="0"/>
                  <w:divBdr>
                    <w:top w:val="none" w:sz="0" w:space="0" w:color="auto"/>
                    <w:left w:val="none" w:sz="0" w:space="0" w:color="auto"/>
                    <w:bottom w:val="none" w:sz="0" w:space="0" w:color="auto"/>
                    <w:right w:val="none" w:sz="0" w:space="0" w:color="auto"/>
                  </w:divBdr>
                  <w:divsChild>
                    <w:div w:id="63111815">
                      <w:marLeft w:val="0"/>
                      <w:marRight w:val="0"/>
                      <w:marTop w:val="0"/>
                      <w:marBottom w:val="0"/>
                      <w:divBdr>
                        <w:top w:val="none" w:sz="0" w:space="0" w:color="auto"/>
                        <w:left w:val="none" w:sz="0" w:space="0" w:color="auto"/>
                        <w:bottom w:val="none" w:sz="0" w:space="0" w:color="auto"/>
                        <w:right w:val="none" w:sz="0" w:space="0" w:color="auto"/>
                      </w:divBdr>
                      <w:divsChild>
                        <w:div w:id="1145463845">
                          <w:marLeft w:val="0"/>
                          <w:marRight w:val="0"/>
                          <w:marTop w:val="0"/>
                          <w:marBottom w:val="0"/>
                          <w:divBdr>
                            <w:top w:val="none" w:sz="0" w:space="0" w:color="auto"/>
                            <w:left w:val="none" w:sz="0" w:space="0" w:color="auto"/>
                            <w:bottom w:val="none" w:sz="0" w:space="0" w:color="auto"/>
                            <w:right w:val="none" w:sz="0" w:space="0" w:color="auto"/>
                          </w:divBdr>
                          <w:divsChild>
                            <w:div w:id="29184941">
                              <w:marLeft w:val="0"/>
                              <w:marRight w:val="0"/>
                              <w:marTop w:val="0"/>
                              <w:marBottom w:val="0"/>
                              <w:divBdr>
                                <w:top w:val="none" w:sz="0" w:space="0" w:color="auto"/>
                                <w:left w:val="none" w:sz="0" w:space="0" w:color="auto"/>
                                <w:bottom w:val="none" w:sz="0" w:space="0" w:color="auto"/>
                                <w:right w:val="none" w:sz="0" w:space="0" w:color="auto"/>
                              </w:divBdr>
                              <w:divsChild>
                                <w:div w:id="1003243839">
                                  <w:marLeft w:val="0"/>
                                  <w:marRight w:val="0"/>
                                  <w:marTop w:val="0"/>
                                  <w:marBottom w:val="0"/>
                                  <w:divBdr>
                                    <w:top w:val="none" w:sz="0" w:space="0" w:color="auto"/>
                                    <w:left w:val="none" w:sz="0" w:space="0" w:color="auto"/>
                                    <w:bottom w:val="none" w:sz="0" w:space="0" w:color="auto"/>
                                    <w:right w:val="none" w:sz="0" w:space="0" w:color="auto"/>
                                  </w:divBdr>
                                  <w:divsChild>
                                    <w:div w:id="1011031574">
                                      <w:marLeft w:val="0"/>
                                      <w:marRight w:val="0"/>
                                      <w:marTop w:val="0"/>
                                      <w:marBottom w:val="0"/>
                                      <w:divBdr>
                                        <w:top w:val="none" w:sz="0" w:space="0" w:color="auto"/>
                                        <w:left w:val="none" w:sz="0" w:space="0" w:color="auto"/>
                                        <w:bottom w:val="none" w:sz="0" w:space="0" w:color="auto"/>
                                        <w:right w:val="none" w:sz="0" w:space="0" w:color="auto"/>
                                      </w:divBdr>
                                      <w:divsChild>
                                        <w:div w:id="174270371">
                                          <w:marLeft w:val="0"/>
                                          <w:marRight w:val="0"/>
                                          <w:marTop w:val="0"/>
                                          <w:marBottom w:val="0"/>
                                          <w:divBdr>
                                            <w:top w:val="none" w:sz="0" w:space="0" w:color="auto"/>
                                            <w:left w:val="none" w:sz="0" w:space="0" w:color="auto"/>
                                            <w:bottom w:val="none" w:sz="0" w:space="0" w:color="auto"/>
                                            <w:right w:val="none" w:sz="0" w:space="0" w:color="auto"/>
                                          </w:divBdr>
                                        </w:div>
                                        <w:div w:id="837505051">
                                          <w:marLeft w:val="0"/>
                                          <w:marRight w:val="0"/>
                                          <w:marTop w:val="0"/>
                                          <w:marBottom w:val="0"/>
                                          <w:divBdr>
                                            <w:top w:val="none" w:sz="0" w:space="0" w:color="auto"/>
                                            <w:left w:val="none" w:sz="0" w:space="0" w:color="auto"/>
                                            <w:bottom w:val="none" w:sz="0" w:space="0" w:color="auto"/>
                                            <w:right w:val="none" w:sz="0" w:space="0" w:color="auto"/>
                                          </w:divBdr>
                                        </w:div>
                                        <w:div w:id="20132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034857">
      <w:bodyDiv w:val="1"/>
      <w:marLeft w:val="0"/>
      <w:marRight w:val="0"/>
      <w:marTop w:val="0"/>
      <w:marBottom w:val="0"/>
      <w:divBdr>
        <w:top w:val="none" w:sz="0" w:space="0" w:color="auto"/>
        <w:left w:val="none" w:sz="0" w:space="0" w:color="auto"/>
        <w:bottom w:val="none" w:sz="0" w:space="0" w:color="auto"/>
        <w:right w:val="none" w:sz="0" w:space="0" w:color="auto"/>
      </w:divBdr>
    </w:div>
    <w:div w:id="726340904">
      <w:bodyDiv w:val="1"/>
      <w:marLeft w:val="0"/>
      <w:marRight w:val="0"/>
      <w:marTop w:val="0"/>
      <w:marBottom w:val="0"/>
      <w:divBdr>
        <w:top w:val="none" w:sz="0" w:space="0" w:color="auto"/>
        <w:left w:val="none" w:sz="0" w:space="0" w:color="auto"/>
        <w:bottom w:val="none" w:sz="0" w:space="0" w:color="auto"/>
        <w:right w:val="none" w:sz="0" w:space="0" w:color="auto"/>
      </w:divBdr>
    </w:div>
    <w:div w:id="755591853">
      <w:bodyDiv w:val="1"/>
      <w:marLeft w:val="0"/>
      <w:marRight w:val="0"/>
      <w:marTop w:val="0"/>
      <w:marBottom w:val="0"/>
      <w:divBdr>
        <w:top w:val="none" w:sz="0" w:space="0" w:color="auto"/>
        <w:left w:val="none" w:sz="0" w:space="0" w:color="auto"/>
        <w:bottom w:val="none" w:sz="0" w:space="0" w:color="auto"/>
        <w:right w:val="none" w:sz="0" w:space="0" w:color="auto"/>
      </w:divBdr>
    </w:div>
    <w:div w:id="852232739">
      <w:bodyDiv w:val="1"/>
      <w:marLeft w:val="0"/>
      <w:marRight w:val="0"/>
      <w:marTop w:val="0"/>
      <w:marBottom w:val="0"/>
      <w:divBdr>
        <w:top w:val="none" w:sz="0" w:space="0" w:color="auto"/>
        <w:left w:val="none" w:sz="0" w:space="0" w:color="auto"/>
        <w:bottom w:val="none" w:sz="0" w:space="0" w:color="auto"/>
        <w:right w:val="none" w:sz="0" w:space="0" w:color="auto"/>
      </w:divBdr>
    </w:div>
    <w:div w:id="874537820">
      <w:bodyDiv w:val="1"/>
      <w:marLeft w:val="0"/>
      <w:marRight w:val="0"/>
      <w:marTop w:val="0"/>
      <w:marBottom w:val="0"/>
      <w:divBdr>
        <w:top w:val="none" w:sz="0" w:space="0" w:color="auto"/>
        <w:left w:val="none" w:sz="0" w:space="0" w:color="auto"/>
        <w:bottom w:val="none" w:sz="0" w:space="0" w:color="auto"/>
        <w:right w:val="none" w:sz="0" w:space="0" w:color="auto"/>
      </w:divBdr>
    </w:div>
    <w:div w:id="982782093">
      <w:bodyDiv w:val="1"/>
      <w:marLeft w:val="0"/>
      <w:marRight w:val="0"/>
      <w:marTop w:val="0"/>
      <w:marBottom w:val="0"/>
      <w:divBdr>
        <w:top w:val="none" w:sz="0" w:space="0" w:color="auto"/>
        <w:left w:val="none" w:sz="0" w:space="0" w:color="auto"/>
        <w:bottom w:val="none" w:sz="0" w:space="0" w:color="auto"/>
        <w:right w:val="none" w:sz="0" w:space="0" w:color="auto"/>
      </w:divBdr>
    </w:div>
    <w:div w:id="989213949">
      <w:bodyDiv w:val="1"/>
      <w:marLeft w:val="0"/>
      <w:marRight w:val="0"/>
      <w:marTop w:val="0"/>
      <w:marBottom w:val="0"/>
      <w:divBdr>
        <w:top w:val="none" w:sz="0" w:space="0" w:color="auto"/>
        <w:left w:val="none" w:sz="0" w:space="0" w:color="auto"/>
        <w:bottom w:val="none" w:sz="0" w:space="0" w:color="auto"/>
        <w:right w:val="none" w:sz="0" w:space="0" w:color="auto"/>
      </w:divBdr>
    </w:div>
    <w:div w:id="1068914868">
      <w:bodyDiv w:val="1"/>
      <w:marLeft w:val="0"/>
      <w:marRight w:val="0"/>
      <w:marTop w:val="0"/>
      <w:marBottom w:val="0"/>
      <w:divBdr>
        <w:top w:val="none" w:sz="0" w:space="0" w:color="auto"/>
        <w:left w:val="none" w:sz="0" w:space="0" w:color="auto"/>
        <w:bottom w:val="none" w:sz="0" w:space="0" w:color="auto"/>
        <w:right w:val="none" w:sz="0" w:space="0" w:color="auto"/>
      </w:divBdr>
    </w:div>
    <w:div w:id="1080061274">
      <w:bodyDiv w:val="1"/>
      <w:marLeft w:val="0"/>
      <w:marRight w:val="0"/>
      <w:marTop w:val="0"/>
      <w:marBottom w:val="0"/>
      <w:divBdr>
        <w:top w:val="none" w:sz="0" w:space="0" w:color="auto"/>
        <w:left w:val="none" w:sz="0" w:space="0" w:color="auto"/>
        <w:bottom w:val="none" w:sz="0" w:space="0" w:color="auto"/>
        <w:right w:val="none" w:sz="0" w:space="0" w:color="auto"/>
      </w:divBdr>
    </w:div>
    <w:div w:id="1163623884">
      <w:bodyDiv w:val="1"/>
      <w:marLeft w:val="0"/>
      <w:marRight w:val="0"/>
      <w:marTop w:val="0"/>
      <w:marBottom w:val="0"/>
      <w:divBdr>
        <w:top w:val="none" w:sz="0" w:space="0" w:color="auto"/>
        <w:left w:val="none" w:sz="0" w:space="0" w:color="auto"/>
        <w:bottom w:val="none" w:sz="0" w:space="0" w:color="auto"/>
        <w:right w:val="none" w:sz="0" w:space="0" w:color="auto"/>
      </w:divBdr>
    </w:div>
    <w:div w:id="1274242295">
      <w:bodyDiv w:val="1"/>
      <w:marLeft w:val="0"/>
      <w:marRight w:val="0"/>
      <w:marTop w:val="0"/>
      <w:marBottom w:val="0"/>
      <w:divBdr>
        <w:top w:val="none" w:sz="0" w:space="0" w:color="auto"/>
        <w:left w:val="none" w:sz="0" w:space="0" w:color="auto"/>
        <w:bottom w:val="none" w:sz="0" w:space="0" w:color="auto"/>
        <w:right w:val="none" w:sz="0" w:space="0" w:color="auto"/>
      </w:divBdr>
    </w:div>
    <w:div w:id="1275139717">
      <w:bodyDiv w:val="1"/>
      <w:marLeft w:val="0"/>
      <w:marRight w:val="0"/>
      <w:marTop w:val="0"/>
      <w:marBottom w:val="0"/>
      <w:divBdr>
        <w:top w:val="none" w:sz="0" w:space="0" w:color="auto"/>
        <w:left w:val="none" w:sz="0" w:space="0" w:color="auto"/>
        <w:bottom w:val="none" w:sz="0" w:space="0" w:color="auto"/>
        <w:right w:val="none" w:sz="0" w:space="0" w:color="auto"/>
      </w:divBdr>
      <w:divsChild>
        <w:div w:id="195969431">
          <w:marLeft w:val="0"/>
          <w:marRight w:val="0"/>
          <w:marTop w:val="0"/>
          <w:marBottom w:val="0"/>
          <w:divBdr>
            <w:top w:val="none" w:sz="0" w:space="0" w:color="auto"/>
            <w:left w:val="none" w:sz="0" w:space="0" w:color="auto"/>
            <w:bottom w:val="none" w:sz="0" w:space="0" w:color="auto"/>
            <w:right w:val="none" w:sz="0" w:space="0" w:color="auto"/>
          </w:divBdr>
          <w:divsChild>
            <w:div w:id="379013252">
              <w:marLeft w:val="0"/>
              <w:marRight w:val="0"/>
              <w:marTop w:val="0"/>
              <w:marBottom w:val="0"/>
              <w:divBdr>
                <w:top w:val="none" w:sz="0" w:space="0" w:color="auto"/>
                <w:left w:val="none" w:sz="0" w:space="0" w:color="auto"/>
                <w:bottom w:val="none" w:sz="0" w:space="0" w:color="auto"/>
                <w:right w:val="none" w:sz="0" w:space="0" w:color="auto"/>
              </w:divBdr>
              <w:divsChild>
                <w:div w:id="205455711">
                  <w:marLeft w:val="0"/>
                  <w:marRight w:val="0"/>
                  <w:marTop w:val="0"/>
                  <w:marBottom w:val="0"/>
                  <w:divBdr>
                    <w:top w:val="none" w:sz="0" w:space="0" w:color="auto"/>
                    <w:left w:val="none" w:sz="0" w:space="0" w:color="auto"/>
                    <w:bottom w:val="none" w:sz="0" w:space="0" w:color="auto"/>
                    <w:right w:val="none" w:sz="0" w:space="0" w:color="auto"/>
                  </w:divBdr>
                  <w:divsChild>
                    <w:div w:id="735517358">
                      <w:marLeft w:val="0"/>
                      <w:marRight w:val="0"/>
                      <w:marTop w:val="0"/>
                      <w:marBottom w:val="0"/>
                      <w:divBdr>
                        <w:top w:val="none" w:sz="0" w:space="0" w:color="auto"/>
                        <w:left w:val="none" w:sz="0" w:space="0" w:color="auto"/>
                        <w:bottom w:val="none" w:sz="0" w:space="0" w:color="auto"/>
                        <w:right w:val="none" w:sz="0" w:space="0" w:color="auto"/>
                      </w:divBdr>
                      <w:divsChild>
                        <w:div w:id="14296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79776">
      <w:bodyDiv w:val="1"/>
      <w:marLeft w:val="0"/>
      <w:marRight w:val="0"/>
      <w:marTop w:val="0"/>
      <w:marBottom w:val="0"/>
      <w:divBdr>
        <w:top w:val="none" w:sz="0" w:space="0" w:color="auto"/>
        <w:left w:val="none" w:sz="0" w:space="0" w:color="auto"/>
        <w:bottom w:val="none" w:sz="0" w:space="0" w:color="auto"/>
        <w:right w:val="none" w:sz="0" w:space="0" w:color="auto"/>
      </w:divBdr>
    </w:div>
    <w:div w:id="1481576892">
      <w:bodyDiv w:val="1"/>
      <w:marLeft w:val="0"/>
      <w:marRight w:val="0"/>
      <w:marTop w:val="0"/>
      <w:marBottom w:val="0"/>
      <w:divBdr>
        <w:top w:val="none" w:sz="0" w:space="0" w:color="auto"/>
        <w:left w:val="none" w:sz="0" w:space="0" w:color="auto"/>
        <w:bottom w:val="none" w:sz="0" w:space="0" w:color="auto"/>
        <w:right w:val="none" w:sz="0" w:space="0" w:color="auto"/>
      </w:divBdr>
    </w:div>
    <w:div w:id="1587154358">
      <w:bodyDiv w:val="1"/>
      <w:marLeft w:val="0"/>
      <w:marRight w:val="0"/>
      <w:marTop w:val="0"/>
      <w:marBottom w:val="0"/>
      <w:divBdr>
        <w:top w:val="none" w:sz="0" w:space="0" w:color="auto"/>
        <w:left w:val="none" w:sz="0" w:space="0" w:color="auto"/>
        <w:bottom w:val="none" w:sz="0" w:space="0" w:color="auto"/>
        <w:right w:val="none" w:sz="0" w:space="0" w:color="auto"/>
      </w:divBdr>
    </w:div>
    <w:div w:id="1660689285">
      <w:bodyDiv w:val="1"/>
      <w:marLeft w:val="0"/>
      <w:marRight w:val="0"/>
      <w:marTop w:val="0"/>
      <w:marBottom w:val="0"/>
      <w:divBdr>
        <w:top w:val="none" w:sz="0" w:space="0" w:color="auto"/>
        <w:left w:val="none" w:sz="0" w:space="0" w:color="auto"/>
        <w:bottom w:val="none" w:sz="0" w:space="0" w:color="auto"/>
        <w:right w:val="none" w:sz="0" w:space="0" w:color="auto"/>
      </w:divBdr>
    </w:div>
    <w:div w:id="1719359853">
      <w:bodyDiv w:val="1"/>
      <w:marLeft w:val="0"/>
      <w:marRight w:val="0"/>
      <w:marTop w:val="0"/>
      <w:marBottom w:val="0"/>
      <w:divBdr>
        <w:top w:val="none" w:sz="0" w:space="0" w:color="auto"/>
        <w:left w:val="none" w:sz="0" w:space="0" w:color="auto"/>
        <w:bottom w:val="none" w:sz="0" w:space="0" w:color="auto"/>
        <w:right w:val="none" w:sz="0" w:space="0" w:color="auto"/>
      </w:divBdr>
      <w:divsChild>
        <w:div w:id="440884864">
          <w:marLeft w:val="0"/>
          <w:marRight w:val="0"/>
          <w:marTop w:val="0"/>
          <w:marBottom w:val="0"/>
          <w:divBdr>
            <w:top w:val="none" w:sz="0" w:space="0" w:color="auto"/>
            <w:left w:val="none" w:sz="0" w:space="0" w:color="auto"/>
            <w:bottom w:val="none" w:sz="0" w:space="0" w:color="auto"/>
            <w:right w:val="none" w:sz="0" w:space="0" w:color="auto"/>
          </w:divBdr>
          <w:divsChild>
            <w:div w:id="1242368995">
              <w:marLeft w:val="0"/>
              <w:marRight w:val="0"/>
              <w:marTop w:val="0"/>
              <w:marBottom w:val="0"/>
              <w:divBdr>
                <w:top w:val="none" w:sz="0" w:space="0" w:color="auto"/>
                <w:left w:val="none" w:sz="0" w:space="0" w:color="auto"/>
                <w:bottom w:val="none" w:sz="0" w:space="0" w:color="auto"/>
                <w:right w:val="none" w:sz="0" w:space="0" w:color="auto"/>
              </w:divBdr>
              <w:divsChild>
                <w:div w:id="460268345">
                  <w:marLeft w:val="0"/>
                  <w:marRight w:val="0"/>
                  <w:marTop w:val="0"/>
                  <w:marBottom w:val="0"/>
                  <w:divBdr>
                    <w:top w:val="none" w:sz="0" w:space="0" w:color="auto"/>
                    <w:left w:val="none" w:sz="0" w:space="0" w:color="auto"/>
                    <w:bottom w:val="none" w:sz="0" w:space="0" w:color="auto"/>
                    <w:right w:val="none" w:sz="0" w:space="0" w:color="auto"/>
                  </w:divBdr>
                  <w:divsChild>
                    <w:div w:id="691300136">
                      <w:marLeft w:val="0"/>
                      <w:marRight w:val="0"/>
                      <w:marTop w:val="0"/>
                      <w:marBottom w:val="0"/>
                      <w:divBdr>
                        <w:top w:val="none" w:sz="0" w:space="0" w:color="auto"/>
                        <w:left w:val="none" w:sz="0" w:space="0" w:color="auto"/>
                        <w:bottom w:val="none" w:sz="0" w:space="0" w:color="auto"/>
                        <w:right w:val="none" w:sz="0" w:space="0" w:color="auto"/>
                      </w:divBdr>
                      <w:divsChild>
                        <w:div w:id="1133905738">
                          <w:marLeft w:val="0"/>
                          <w:marRight w:val="0"/>
                          <w:marTop w:val="0"/>
                          <w:marBottom w:val="0"/>
                          <w:divBdr>
                            <w:top w:val="none" w:sz="0" w:space="0" w:color="auto"/>
                            <w:left w:val="none" w:sz="0" w:space="0" w:color="auto"/>
                            <w:bottom w:val="none" w:sz="0" w:space="0" w:color="auto"/>
                            <w:right w:val="none" w:sz="0" w:space="0" w:color="auto"/>
                          </w:divBdr>
                          <w:divsChild>
                            <w:div w:id="825244564">
                              <w:marLeft w:val="0"/>
                              <w:marRight w:val="0"/>
                              <w:marTop w:val="0"/>
                              <w:marBottom w:val="525"/>
                              <w:divBdr>
                                <w:top w:val="none" w:sz="0" w:space="0" w:color="auto"/>
                                <w:left w:val="none" w:sz="0" w:space="0" w:color="auto"/>
                                <w:bottom w:val="single" w:sz="6" w:space="8" w:color="000000"/>
                                <w:right w:val="none" w:sz="0" w:space="0" w:color="auto"/>
                              </w:divBdr>
                              <w:divsChild>
                                <w:div w:id="970793617">
                                  <w:marLeft w:val="0"/>
                                  <w:marRight w:val="0"/>
                                  <w:marTop w:val="0"/>
                                  <w:marBottom w:val="0"/>
                                  <w:divBdr>
                                    <w:top w:val="none" w:sz="0" w:space="0" w:color="auto"/>
                                    <w:left w:val="none" w:sz="0" w:space="0" w:color="auto"/>
                                    <w:bottom w:val="none" w:sz="0" w:space="0" w:color="auto"/>
                                    <w:right w:val="none" w:sz="0" w:space="0" w:color="auto"/>
                                  </w:divBdr>
                                  <w:divsChild>
                                    <w:div w:id="24333883">
                                      <w:marLeft w:val="0"/>
                                      <w:marRight w:val="0"/>
                                      <w:marTop w:val="0"/>
                                      <w:marBottom w:val="240"/>
                                      <w:divBdr>
                                        <w:top w:val="none" w:sz="0" w:space="0" w:color="auto"/>
                                        <w:left w:val="none" w:sz="0" w:space="0" w:color="auto"/>
                                        <w:bottom w:val="none" w:sz="0" w:space="0" w:color="auto"/>
                                        <w:right w:val="none" w:sz="0" w:space="0" w:color="auto"/>
                                      </w:divBdr>
                                    </w:div>
                                    <w:div w:id="18054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757756">
      <w:bodyDiv w:val="1"/>
      <w:marLeft w:val="0"/>
      <w:marRight w:val="0"/>
      <w:marTop w:val="0"/>
      <w:marBottom w:val="0"/>
      <w:divBdr>
        <w:top w:val="none" w:sz="0" w:space="0" w:color="auto"/>
        <w:left w:val="none" w:sz="0" w:space="0" w:color="auto"/>
        <w:bottom w:val="none" w:sz="0" w:space="0" w:color="auto"/>
        <w:right w:val="none" w:sz="0" w:space="0" w:color="auto"/>
      </w:divBdr>
      <w:divsChild>
        <w:div w:id="719012077">
          <w:marLeft w:val="0"/>
          <w:marRight w:val="0"/>
          <w:marTop w:val="0"/>
          <w:marBottom w:val="0"/>
          <w:divBdr>
            <w:top w:val="none" w:sz="0" w:space="0" w:color="auto"/>
            <w:left w:val="none" w:sz="0" w:space="0" w:color="auto"/>
            <w:bottom w:val="none" w:sz="0" w:space="0" w:color="auto"/>
            <w:right w:val="none" w:sz="0" w:space="0" w:color="auto"/>
          </w:divBdr>
          <w:divsChild>
            <w:div w:id="1011879875">
              <w:marLeft w:val="0"/>
              <w:marRight w:val="0"/>
              <w:marTop w:val="0"/>
              <w:marBottom w:val="0"/>
              <w:divBdr>
                <w:top w:val="none" w:sz="0" w:space="0" w:color="auto"/>
                <w:left w:val="none" w:sz="0" w:space="0" w:color="auto"/>
                <w:bottom w:val="none" w:sz="0" w:space="0" w:color="auto"/>
                <w:right w:val="none" w:sz="0" w:space="0" w:color="auto"/>
              </w:divBdr>
              <w:divsChild>
                <w:div w:id="591475954">
                  <w:marLeft w:val="0"/>
                  <w:marRight w:val="0"/>
                  <w:marTop w:val="0"/>
                  <w:marBottom w:val="0"/>
                  <w:divBdr>
                    <w:top w:val="none" w:sz="0" w:space="0" w:color="auto"/>
                    <w:left w:val="none" w:sz="0" w:space="0" w:color="auto"/>
                    <w:bottom w:val="none" w:sz="0" w:space="0" w:color="auto"/>
                    <w:right w:val="none" w:sz="0" w:space="0" w:color="auto"/>
                  </w:divBdr>
                  <w:divsChild>
                    <w:div w:id="2111971137">
                      <w:marLeft w:val="0"/>
                      <w:marRight w:val="0"/>
                      <w:marTop w:val="0"/>
                      <w:marBottom w:val="0"/>
                      <w:divBdr>
                        <w:top w:val="none" w:sz="0" w:space="0" w:color="auto"/>
                        <w:left w:val="none" w:sz="0" w:space="0" w:color="auto"/>
                        <w:bottom w:val="none" w:sz="0" w:space="0" w:color="auto"/>
                        <w:right w:val="none" w:sz="0" w:space="0" w:color="auto"/>
                      </w:divBdr>
                      <w:divsChild>
                        <w:div w:id="10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38586">
      <w:bodyDiv w:val="1"/>
      <w:marLeft w:val="0"/>
      <w:marRight w:val="0"/>
      <w:marTop w:val="0"/>
      <w:marBottom w:val="0"/>
      <w:divBdr>
        <w:top w:val="none" w:sz="0" w:space="0" w:color="auto"/>
        <w:left w:val="none" w:sz="0" w:space="0" w:color="auto"/>
        <w:bottom w:val="none" w:sz="0" w:space="0" w:color="auto"/>
        <w:right w:val="none" w:sz="0" w:space="0" w:color="auto"/>
      </w:divBdr>
    </w:div>
    <w:div w:id="20290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2089C-7F8D-B741-98AB-E4E7D55B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4396</Words>
  <Characters>19698</Characters>
  <Application>Microsoft Office Word</Application>
  <DocSecurity>0</DocSecurity>
  <Lines>2188</Lines>
  <Paragraphs>2190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Jonne Guyt</dc:creator>
  <cp:keywords/>
  <dc:description/>
  <cp:lastModifiedBy>Jonne Guyt</cp:lastModifiedBy>
  <cp:revision>3</cp:revision>
  <cp:lastPrinted>2019-09-30T13:51:00Z</cp:lastPrinted>
  <dcterms:created xsi:type="dcterms:W3CDTF">2019-11-28T16:12:00Z</dcterms:created>
  <dcterms:modified xsi:type="dcterms:W3CDTF">2019-11-28T16:12:00Z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http://www.zotero.org/styles/journal-of-marketing</vt:lpwstr>
  </property>
  <property fmtid="{D5CDD505-2E9C-101B-9397-08002B2CF9AE}" pid="13" name="Mendeley Recent Style Name 5_1">
    <vt:lpwstr>Journal of Marketing</vt:lpwstr>
  </property>
  <property fmtid="{D5CDD505-2E9C-101B-9397-08002B2CF9AE}" pid="14" name="Mendeley Recent Style Id 6_1">
    <vt:lpwstr>http://www.zotero.org/styles/journal-of-marketing-research</vt:lpwstr>
  </property>
  <property fmtid="{D5CDD505-2E9C-101B-9397-08002B2CF9AE}" pid="15" name="Mendeley Recent Style Name 6_1">
    <vt:lpwstr>Journal of Marketing Research</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9df792f3-806f-3118-ace9-3f33cf60ef7b</vt:lpwstr>
  </property>
  <property fmtid="{D5CDD505-2E9C-101B-9397-08002B2CF9AE}" pid="24" name="Mendeley Citation Style_1">
    <vt:lpwstr>http://www.zotero.org/styles/journal-of-marketing</vt:lpwstr>
  </property>
</Properties>
</file>