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E" w:rsidRPr="003D4A3A" w:rsidRDefault="009A353E" w:rsidP="009A353E">
      <w:pPr>
        <w:pStyle w:val="H1"/>
      </w:pPr>
      <w:r w:rsidRPr="003D4A3A">
        <w:t>Appendix A</w:t>
      </w:r>
      <w:bookmarkStart w:id="0" w:name="_GoBack"/>
      <w:bookmarkEnd w:id="0"/>
    </w:p>
    <w:p w:rsidR="009A353E" w:rsidRPr="003D4A3A" w:rsidRDefault="009A353E" w:rsidP="009A353E">
      <w:pPr>
        <w:pStyle w:val="TEXT"/>
        <w:rPr>
          <w:noProof/>
        </w:rPr>
      </w:pPr>
      <w:r w:rsidRPr="003D4A3A">
        <w:rPr>
          <w:noProof/>
        </w:rPr>
        <w:t>The thresholds we used to implement existing presence-based measures of white flight were all drawn from prior research. In this appendix, we provide details on each measure and offer relevant citations.</w:t>
      </w:r>
    </w:p>
    <w:p w:rsidR="009A353E" w:rsidRPr="003D4A3A" w:rsidRDefault="009A353E" w:rsidP="009A353E">
      <w:pPr>
        <w:pStyle w:val="NL"/>
        <w:rPr>
          <w:noProof/>
        </w:rPr>
      </w:pPr>
      <w:r w:rsidRPr="003D4A3A">
        <w:rPr>
          <w:noProof/>
        </w:rPr>
        <w:t xml:space="preserve">1. </w:t>
      </w:r>
      <w:r w:rsidRPr="003D4A3A">
        <w:rPr>
          <w:i/>
          <w:iCs/>
          <w:noProof/>
        </w:rPr>
        <w:t>Fixed absolute</w:t>
      </w:r>
      <w:r w:rsidRPr="003D4A3A">
        <w:rPr>
          <w:noProof/>
        </w:rPr>
        <w:t xml:space="preserve">. Fixed absolute thresholds have been used by </w:t>
      </w:r>
      <w:r w:rsidRPr="00AE0C90">
        <w:rPr>
          <w:noProof/>
          <w:color w:val="FF6600"/>
        </w:rPr>
        <w:t xml:space="preserve">Denton and Massey </w:t>
      </w:r>
      <w:r w:rsidRPr="003D4A3A">
        <w:rPr>
          <w:noProof/>
        </w:rPr>
        <w:t>(</w:t>
      </w:r>
      <w:hyperlink w:anchor="HueD_Ref9" w:history="1">
        <w:r w:rsidRPr="00AE0C90">
          <w:rPr>
            <w:rStyle w:val="Hyperlink"/>
            <w:noProof/>
            <w:color w:val="0000FF"/>
          </w:rPr>
          <w:t>1991</w:t>
        </w:r>
      </w:hyperlink>
      <w:r w:rsidRPr="003D4A3A">
        <w:rPr>
          <w:noProof/>
        </w:rPr>
        <w:t xml:space="preserve">) and </w:t>
      </w:r>
      <w:r w:rsidRPr="00AE0C90">
        <w:rPr>
          <w:noProof/>
          <w:color w:val="FF6600"/>
        </w:rPr>
        <w:t xml:space="preserve">Alba et al. </w:t>
      </w:r>
      <w:r w:rsidRPr="003D4A3A">
        <w:rPr>
          <w:noProof/>
        </w:rPr>
        <w:t>(</w:t>
      </w:r>
      <w:hyperlink w:anchor="HueD_Ref2" w:history="1">
        <w:r w:rsidRPr="00AE0C90">
          <w:rPr>
            <w:rStyle w:val="Hyperlink"/>
            <w:noProof/>
            <w:color w:val="0000FF"/>
          </w:rPr>
          <w:t>1995</w:t>
        </w:r>
      </w:hyperlink>
      <w:r w:rsidRPr="003D4A3A">
        <w:rPr>
          <w:noProof/>
        </w:rPr>
        <w:t xml:space="preserve">). The former tested thresholds ranging from 30 to 100 residents, ultimately defining groups as “ present” in any tract where members exceed 30 residents (although finding consistent results across thresholds). Here, we replicate thresholds from </w:t>
      </w:r>
      <w:r w:rsidRPr="00AE0C90">
        <w:rPr>
          <w:noProof/>
          <w:color w:val="FF6600"/>
        </w:rPr>
        <w:t xml:space="preserve">Alba et al. </w:t>
      </w:r>
      <w:r w:rsidRPr="003D4A3A">
        <w:rPr>
          <w:noProof/>
        </w:rPr>
        <w:t>(</w:t>
      </w:r>
      <w:hyperlink w:anchor="HueD_Ref2" w:history="1">
        <w:r w:rsidRPr="00AE0C90">
          <w:rPr>
            <w:rStyle w:val="Hyperlink"/>
            <w:noProof/>
            <w:color w:val="0000FF"/>
          </w:rPr>
          <w:t>1995</w:t>
        </w:r>
      </w:hyperlink>
      <w:r w:rsidRPr="003D4A3A">
        <w:rPr>
          <w:noProof/>
        </w:rPr>
        <w:t>), who counted whites (or any other group) as present in a given year if their population exceeded 100 persons. We chose this criteria over the 30-person criteria because lower thresholds may overestimate neighborhood diversity (</w:t>
      </w:r>
      <w:r w:rsidRPr="00AE0C90">
        <w:rPr>
          <w:noProof/>
          <w:color w:val="FF6600"/>
        </w:rPr>
        <w:t xml:space="preserve">Alba et al. </w:t>
      </w:r>
      <w:hyperlink w:anchor="HueD_Ref2" w:history="1">
        <w:r w:rsidRPr="00AE0C90">
          <w:rPr>
            <w:rStyle w:val="Hyperlink"/>
            <w:noProof/>
            <w:color w:val="0000FF"/>
          </w:rPr>
          <w:t>1995</w:t>
        </w:r>
      </w:hyperlink>
      <w:r w:rsidRPr="003D4A3A">
        <w:rPr>
          <w:noProof/>
        </w:rPr>
        <w:t>). The 100-person threshold has also been replicated in sensitivity analysis of other recent work (</w:t>
      </w:r>
      <w:r w:rsidRPr="00AE0C90">
        <w:rPr>
          <w:noProof/>
          <w:color w:val="FF6600"/>
        </w:rPr>
        <w:t xml:space="preserve">Logan and Zhang </w:t>
      </w:r>
      <w:hyperlink w:anchor="HueD_Ref28" w:history="1">
        <w:r w:rsidRPr="00AE0C90">
          <w:rPr>
            <w:rStyle w:val="Hyperlink"/>
            <w:noProof/>
            <w:color w:val="0000FF"/>
          </w:rPr>
          <w:t>2010</w:t>
        </w:r>
      </w:hyperlink>
      <w:r w:rsidRPr="003D4A3A">
        <w:rPr>
          <w:noProof/>
        </w:rPr>
        <w:t>).</w:t>
      </w:r>
    </w:p>
    <w:p w:rsidR="009A353E" w:rsidRPr="003D4A3A" w:rsidRDefault="009A353E" w:rsidP="009A353E">
      <w:pPr>
        <w:pStyle w:val="NL"/>
        <w:rPr>
          <w:noProof/>
        </w:rPr>
      </w:pPr>
      <w:r w:rsidRPr="003D4A3A">
        <w:rPr>
          <w:noProof/>
        </w:rPr>
        <w:t xml:space="preserve">2. </w:t>
      </w:r>
      <w:r w:rsidRPr="003D4A3A">
        <w:rPr>
          <w:i/>
          <w:iCs/>
          <w:noProof/>
        </w:rPr>
        <w:t>Fixed Relative</w:t>
      </w:r>
      <w:r w:rsidRPr="003D4A3A">
        <w:rPr>
          <w:noProof/>
        </w:rPr>
        <w:t>. Fixed relative thresholds are commonly used in studies of residential integration (</w:t>
      </w:r>
      <w:r w:rsidRPr="00AE0C90">
        <w:rPr>
          <w:noProof/>
          <w:color w:val="FF6600"/>
        </w:rPr>
        <w:t xml:space="preserve">Ellen </w:t>
      </w:r>
      <w:hyperlink w:anchor="HueD_Ref11" w:history="1">
        <w:r w:rsidRPr="00AE0C90">
          <w:rPr>
            <w:rStyle w:val="Hyperlink"/>
            <w:noProof/>
            <w:color w:val="0000FF"/>
          </w:rPr>
          <w:t>2000</w:t>
        </w:r>
      </w:hyperlink>
      <w:r w:rsidRPr="003D4A3A">
        <w:rPr>
          <w:noProof/>
        </w:rPr>
        <w:t xml:space="preserve">; </w:t>
      </w:r>
      <w:r w:rsidRPr="00AE0C90">
        <w:rPr>
          <w:noProof/>
          <w:color w:val="FF6600"/>
        </w:rPr>
        <w:t xml:space="preserve">Fasenfest et al. </w:t>
      </w:r>
      <w:hyperlink w:anchor="HueD_Ref14" w:history="1">
        <w:r w:rsidRPr="00AE0C90">
          <w:rPr>
            <w:rStyle w:val="Hyperlink"/>
            <w:noProof/>
            <w:color w:val="0000FF"/>
          </w:rPr>
          <w:t>2004</w:t>
        </w:r>
      </w:hyperlink>
      <w:r w:rsidRPr="003D4A3A">
        <w:rPr>
          <w:noProof/>
        </w:rPr>
        <w:t xml:space="preserve">; </w:t>
      </w:r>
      <w:r w:rsidRPr="00AE0C90">
        <w:rPr>
          <w:noProof/>
          <w:color w:val="FF6600"/>
        </w:rPr>
        <w:t xml:space="preserve">Friedman </w:t>
      </w:r>
      <w:hyperlink w:anchor="HueD_Ref17" w:history="1">
        <w:r w:rsidRPr="00AE0C90">
          <w:rPr>
            <w:rStyle w:val="Hyperlink"/>
            <w:noProof/>
            <w:color w:val="0000FF"/>
          </w:rPr>
          <w:t>2008</w:t>
        </w:r>
      </w:hyperlink>
      <w:r w:rsidRPr="003D4A3A">
        <w:rPr>
          <w:noProof/>
        </w:rPr>
        <w:t xml:space="preserve">; </w:t>
      </w:r>
      <w:r w:rsidRPr="00AE0C90">
        <w:rPr>
          <w:noProof/>
          <w:color w:val="FF6600"/>
        </w:rPr>
        <w:t xml:space="preserve">Rawlings et al. </w:t>
      </w:r>
      <w:hyperlink w:anchor="HueD_Ref42" w:history="1">
        <w:r w:rsidRPr="00AE0C90">
          <w:rPr>
            <w:rStyle w:val="Hyperlink"/>
            <w:noProof/>
            <w:color w:val="0000FF"/>
          </w:rPr>
          <w:t>2004</w:t>
        </w:r>
      </w:hyperlink>
      <w:r w:rsidRPr="003D4A3A">
        <w:rPr>
          <w:noProof/>
        </w:rPr>
        <w:t xml:space="preserve">). In our analyses, we replicate the classification scheme used in </w:t>
      </w:r>
      <w:r w:rsidRPr="00AE0C90">
        <w:rPr>
          <w:noProof/>
          <w:color w:val="FF6600"/>
        </w:rPr>
        <w:t xml:space="preserve">Ellen </w:t>
      </w:r>
      <w:r w:rsidRPr="003D4A3A">
        <w:rPr>
          <w:noProof/>
        </w:rPr>
        <w:t>(</w:t>
      </w:r>
      <w:hyperlink w:anchor="HueD_Ref11" w:history="1">
        <w:r w:rsidRPr="00AE0C90">
          <w:rPr>
            <w:rStyle w:val="Hyperlink"/>
            <w:noProof/>
            <w:color w:val="0000FF"/>
          </w:rPr>
          <w:t>2000</w:t>
        </w:r>
      </w:hyperlink>
      <w:r w:rsidRPr="003D4A3A">
        <w:rPr>
          <w:noProof/>
        </w:rPr>
        <w:t xml:space="preserve">:29-30), </w:t>
      </w:r>
      <w:r w:rsidRPr="00AE0C90">
        <w:rPr>
          <w:noProof/>
          <w:color w:val="FF6600"/>
        </w:rPr>
        <w:t xml:space="preserve">Fasenfest et al. </w:t>
      </w:r>
      <w:r w:rsidRPr="003D4A3A">
        <w:rPr>
          <w:noProof/>
        </w:rPr>
        <w:t>(</w:t>
      </w:r>
      <w:hyperlink w:anchor="HueD_Ref14" w:history="1">
        <w:r w:rsidRPr="00AE0C90">
          <w:rPr>
            <w:rStyle w:val="Hyperlink"/>
            <w:noProof/>
            <w:color w:val="0000FF"/>
          </w:rPr>
          <w:t>2004</w:t>
        </w:r>
      </w:hyperlink>
      <w:r w:rsidRPr="003D4A3A">
        <w:rPr>
          <w:noProof/>
        </w:rPr>
        <w:t xml:space="preserve">), and </w:t>
      </w:r>
      <w:r w:rsidRPr="00AE0C90">
        <w:rPr>
          <w:noProof/>
          <w:color w:val="FF6600"/>
        </w:rPr>
        <w:t xml:space="preserve">Friedman </w:t>
      </w:r>
      <w:r w:rsidRPr="003D4A3A">
        <w:rPr>
          <w:noProof/>
        </w:rPr>
        <w:t>(</w:t>
      </w:r>
      <w:hyperlink w:anchor="HueD_Ref17" w:history="1">
        <w:r w:rsidRPr="00AE0C90">
          <w:rPr>
            <w:rStyle w:val="Hyperlink"/>
            <w:noProof/>
            <w:color w:val="0000FF"/>
          </w:rPr>
          <w:t>2008</w:t>
        </w:r>
      </w:hyperlink>
      <w:r w:rsidRPr="003D4A3A">
        <w:rPr>
          <w:noProof/>
        </w:rPr>
        <w:t>), where neighborhoods are classified according to one of seven possible types: predominantly white, mixed white-and-black, mixed white-and-other, multiethnic, mixed black-and-other, predominantly black, and predominantly other. Whites in this scheme are only considered “ present” if their tract share exceeds a minimum of 40%.</w:t>
      </w:r>
    </w:p>
    <w:p w:rsidR="009A353E" w:rsidRDefault="009A353E" w:rsidP="009A353E">
      <w:pPr>
        <w:pStyle w:val="NL"/>
        <w:rPr>
          <w:noProof/>
        </w:rPr>
      </w:pPr>
      <w:r w:rsidRPr="003D4A3A">
        <w:rPr>
          <w:noProof/>
        </w:rPr>
        <w:t xml:space="preserve">3. </w:t>
      </w:r>
      <w:r w:rsidRPr="003D4A3A">
        <w:rPr>
          <w:i/>
          <w:iCs/>
          <w:noProof/>
        </w:rPr>
        <w:t>Relative Percentage</w:t>
      </w:r>
      <w:r w:rsidRPr="003D4A3A">
        <w:rPr>
          <w:noProof/>
        </w:rPr>
        <w:t xml:space="preserve">. The relative percentage threshold approach was first used by </w:t>
      </w:r>
      <w:r w:rsidRPr="00AE0C90">
        <w:rPr>
          <w:noProof/>
        </w:rPr>
        <w:t>Zhang and Logan (2010</w:t>
      </w:r>
      <w:proofErr w:type="gramStart"/>
      <w:r w:rsidRPr="00AE0C90">
        <w:rPr>
          <w:noProof/>
        </w:rPr>
        <w:t>)</w:t>
      </w:r>
      <w:r w:rsidRPr="00F1316F">
        <w:rPr>
          <w:rStyle w:val="AQ"/>
        </w:rPr>
        <w:t>[</w:t>
      </w:r>
      <w:proofErr w:type="gramEnd"/>
      <w:r w:rsidRPr="00F1316F">
        <w:rPr>
          <w:rStyle w:val="AQ"/>
        </w:rPr>
        <w:t>AQ: Please provide complete reference details for Zhang and Logan (2010) or delete the citation.]</w:t>
      </w:r>
      <w:r w:rsidRPr="003D4A3A">
        <w:rPr>
          <w:noProof/>
        </w:rPr>
        <w:t xml:space="preserve"> and has since been used by </w:t>
      </w:r>
      <w:r w:rsidRPr="00AE0C90">
        <w:rPr>
          <w:noProof/>
          <w:color w:val="FF6600"/>
        </w:rPr>
        <w:t xml:space="preserve">Parisi et al. </w:t>
      </w:r>
      <w:r w:rsidRPr="003D4A3A">
        <w:rPr>
          <w:noProof/>
        </w:rPr>
        <w:t>(</w:t>
      </w:r>
      <w:hyperlink w:anchor="HueD_Ref38" w:history="1">
        <w:r w:rsidRPr="00AE0C90">
          <w:rPr>
            <w:rStyle w:val="Hyperlink"/>
            <w:noProof/>
            <w:color w:val="0000FF"/>
          </w:rPr>
          <w:t>2015</w:t>
        </w:r>
      </w:hyperlink>
      <w:r w:rsidRPr="003D4A3A">
        <w:rPr>
          <w:noProof/>
        </w:rPr>
        <w:t xml:space="preserve">) and </w:t>
      </w:r>
      <w:r w:rsidRPr="00AE0C90">
        <w:rPr>
          <w:noProof/>
          <w:color w:val="FF6600"/>
        </w:rPr>
        <w:t xml:space="preserve">Zhang and Logan </w:t>
      </w:r>
      <w:r w:rsidRPr="003D4A3A">
        <w:rPr>
          <w:noProof/>
        </w:rPr>
        <w:t>(</w:t>
      </w:r>
      <w:hyperlink w:anchor="HueD_Ref51" w:history="1">
        <w:r w:rsidRPr="00AE0C90">
          <w:rPr>
            <w:rStyle w:val="Hyperlink"/>
            <w:noProof/>
            <w:color w:val="0000FF"/>
          </w:rPr>
          <w:t>2016</w:t>
        </w:r>
      </w:hyperlink>
      <w:r w:rsidRPr="003D4A3A">
        <w:rPr>
          <w:noProof/>
        </w:rPr>
        <w:t xml:space="preserve">). Relative percentage thresholds vary depending on white’s decade-specific, aggregate share of the population. To build off the most recent analysis using this approach— and because we directly replicate their sample of multiethnic neighborhoods— we use thresholds from </w:t>
      </w:r>
      <w:r w:rsidRPr="00AE0C90">
        <w:rPr>
          <w:noProof/>
          <w:color w:val="FF6600"/>
        </w:rPr>
        <w:t xml:space="preserve">Zhang and Logan </w:t>
      </w:r>
      <w:r w:rsidRPr="003D4A3A">
        <w:rPr>
          <w:noProof/>
        </w:rPr>
        <w:t>(</w:t>
      </w:r>
      <w:hyperlink w:anchor="HueD_Ref51" w:history="1">
        <w:r w:rsidRPr="00AE0C90">
          <w:rPr>
            <w:rStyle w:val="Hyperlink"/>
            <w:noProof/>
            <w:color w:val="0000FF"/>
          </w:rPr>
          <w:t>2016</w:t>
        </w:r>
      </w:hyperlink>
      <w:r w:rsidRPr="003D4A3A">
        <w:rPr>
          <w:noProof/>
        </w:rPr>
        <w:t>), where whites are considered “ present” in tracts exceeding 15.8% and 10.5% white in 1980 and 2010, respectively. See the main body of the paper for more details.</w:t>
      </w:r>
    </w:p>
    <w:p w:rsidR="00811C4C" w:rsidRDefault="00811C4C"/>
    <w:sectPr w:rsidR="0081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E"/>
    <w:rsid w:val="0066354E"/>
    <w:rsid w:val="00811C4C"/>
    <w:rsid w:val="009A353E"/>
    <w:rsid w:val="00D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79860-2105-4DCA-9D9B-475DCF8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autoRedefine/>
    <w:rsid w:val="009A353E"/>
    <w:pPr>
      <w:spacing w:after="0" w:line="360" w:lineRule="auto"/>
    </w:pPr>
    <w:rPr>
      <w:rFonts w:ascii="Times New Roman" w:eastAsia="Calibri" w:hAnsi="Times New Roman" w:cs="Times New Roman"/>
      <w:color w:val="31849B"/>
      <w:sz w:val="24"/>
      <w:szCs w:val="24"/>
    </w:rPr>
  </w:style>
  <w:style w:type="paragraph" w:customStyle="1" w:styleId="NL">
    <w:name w:val="NL"/>
    <w:rsid w:val="009A353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">
    <w:name w:val="TEXT"/>
    <w:rsid w:val="009A353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AQ">
    <w:name w:val="AQ"/>
    <w:basedOn w:val="DefaultParagraphFont"/>
    <w:uiPriority w:val="1"/>
    <w:qFormat/>
    <w:rsid w:val="009A353E"/>
  </w:style>
  <w:style w:type="character" w:styleId="Hyperlink">
    <w:name w:val="Hyperlink"/>
    <w:basedOn w:val="DefaultParagraphFont"/>
    <w:uiPriority w:val="99"/>
    <w:unhideWhenUsed/>
    <w:rsid w:val="009A3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Balasubramanian Palanisamy</dc:creator>
  <cp:keywords/>
  <dc:description/>
  <cp:lastModifiedBy>Balasubramanian Palanisamy</cp:lastModifiedBy>
  <cp:revision>1</cp:revision>
  <dcterms:created xsi:type="dcterms:W3CDTF">2019-11-14T11:19:00Z</dcterms:created>
  <dcterms:modified xsi:type="dcterms:W3CDTF">2019-11-14T11:19:00Z</dcterms:modified>
</cp:coreProperties>
</file>