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68" w:rsidRPr="00574C1F" w:rsidRDefault="00C97A68" w:rsidP="00C97A68">
      <w:pPr>
        <w:spacing w:line="480" w:lineRule="auto"/>
      </w:pPr>
      <w:r w:rsidRPr="00574C1F">
        <w:t>Annexes</w:t>
      </w:r>
    </w:p>
    <w:p w:rsidR="00C97A68" w:rsidRPr="00574C1F" w:rsidRDefault="00C97A68" w:rsidP="00C97A68">
      <w:pPr>
        <w:spacing w:line="480" w:lineRule="auto"/>
      </w:pPr>
      <w:r w:rsidRPr="00574C1F">
        <w:t>Error analyses: Adults</w:t>
      </w:r>
    </w:p>
    <w:p w:rsidR="00C97A68" w:rsidRPr="00574C1F" w:rsidRDefault="00C97A68" w:rsidP="00C97A68">
      <w:pPr>
        <w:spacing w:line="480" w:lineRule="auto"/>
      </w:pPr>
      <w:r w:rsidRPr="00574C1F">
        <w:t>Sequential conditions</w:t>
      </w:r>
    </w:p>
    <w:p w:rsidR="00C97A68" w:rsidRPr="00574C1F" w:rsidRDefault="00C97A68" w:rsidP="00C97A68">
      <w:pPr>
        <w:spacing w:line="480" w:lineRule="auto"/>
      </w:pPr>
      <w:r w:rsidRPr="00574C1F">
        <w:t xml:space="preserve">A 2x2 ANOVA for repeated measures was computed using Condition (“tens-first” and “units-first”) as within-group factor and Language-Group (French-speaking, German-speaking) as between-group factor. Main effect of condition and language were both non-significant (Condition effect: </w:t>
      </w:r>
      <w:proofErr w:type="gramStart"/>
      <w:r w:rsidRPr="00574C1F">
        <w:rPr>
          <w:i/>
        </w:rPr>
        <w:t>F</w:t>
      </w:r>
      <w:r w:rsidRPr="00574C1F">
        <w:t>(</w:t>
      </w:r>
      <w:proofErr w:type="gramEnd"/>
      <w:r w:rsidRPr="00574C1F">
        <w:t xml:space="preserve">1, 48) = .482, </w:t>
      </w:r>
      <w:r w:rsidRPr="00574C1F">
        <w:rPr>
          <w:i/>
        </w:rPr>
        <w:t>p</w:t>
      </w:r>
      <w:r w:rsidRPr="00574C1F">
        <w:t xml:space="preserve"> = .491, η</w:t>
      </w:r>
      <w:r w:rsidRPr="00574C1F">
        <w:rPr>
          <w:vertAlign w:val="superscript"/>
        </w:rPr>
        <w:t>2</w:t>
      </w:r>
      <w:r w:rsidRPr="00574C1F">
        <w:t xml:space="preserve"> = .01; Language-group effect: </w:t>
      </w:r>
      <w:r w:rsidRPr="00574C1F">
        <w:rPr>
          <w:i/>
        </w:rPr>
        <w:t>F</w:t>
      </w:r>
      <w:r w:rsidRPr="00574C1F">
        <w:t xml:space="preserve">(1, 48) = .315 , </w:t>
      </w:r>
      <w:r w:rsidRPr="00574C1F">
        <w:rPr>
          <w:i/>
        </w:rPr>
        <w:t>p</w:t>
      </w:r>
      <w:r w:rsidRPr="00574C1F">
        <w:t xml:space="preserve"> = .577, η</w:t>
      </w:r>
      <w:r w:rsidRPr="00574C1F">
        <w:rPr>
          <w:vertAlign w:val="superscript"/>
        </w:rPr>
        <w:t>2</w:t>
      </w:r>
      <w:r w:rsidRPr="00574C1F">
        <w:t xml:space="preserve"> = .007). Moreover we did not observe significant interactions between language-group and condition with respect to error rates (</w:t>
      </w:r>
      <w:proofErr w:type="gramStart"/>
      <w:r w:rsidRPr="00574C1F">
        <w:rPr>
          <w:i/>
        </w:rPr>
        <w:t>F</w:t>
      </w:r>
      <w:r w:rsidRPr="00574C1F">
        <w:t>(</w:t>
      </w:r>
      <w:proofErr w:type="gramEnd"/>
      <w:r w:rsidRPr="00574C1F">
        <w:t xml:space="preserve">1, 48) = .482, </w:t>
      </w:r>
      <w:r w:rsidRPr="00574C1F">
        <w:rPr>
          <w:i/>
        </w:rPr>
        <w:t>p</w:t>
      </w:r>
      <w:r w:rsidRPr="00574C1F">
        <w:t xml:space="preserve"> = .491, η</w:t>
      </w:r>
      <w:r w:rsidRPr="00574C1F">
        <w:rPr>
          <w:vertAlign w:val="superscript"/>
        </w:rPr>
        <w:t>2</w:t>
      </w:r>
      <w:r w:rsidRPr="00574C1F">
        <w:t xml:space="preserve"> = .01).</w:t>
      </w:r>
    </w:p>
    <w:p w:rsidR="00C97A68" w:rsidRPr="00574C1F" w:rsidRDefault="00C97A68" w:rsidP="00C97A68">
      <w:pPr>
        <w:spacing w:line="480" w:lineRule="auto"/>
      </w:pPr>
      <w:r w:rsidRPr="00574C1F">
        <w:t>Simultaneous condition</w:t>
      </w:r>
    </w:p>
    <w:p w:rsidR="00C97A68" w:rsidRPr="00574C1F" w:rsidRDefault="00C97A68" w:rsidP="00C97A68">
      <w:pPr>
        <w:spacing w:line="480" w:lineRule="auto"/>
      </w:pPr>
      <w:r w:rsidRPr="00574C1F">
        <w:t xml:space="preserve">The two-sided t-test performed on the error rates for “simultaneous” condition did not indicate any differences between French- and German-speaking participants (Simultaneous: </w:t>
      </w:r>
      <w:proofErr w:type="gramStart"/>
      <w:r w:rsidRPr="00574C1F">
        <w:rPr>
          <w:i/>
        </w:rPr>
        <w:t>t</w:t>
      </w:r>
      <w:r w:rsidRPr="00574C1F">
        <w:t>(</w:t>
      </w:r>
      <w:proofErr w:type="gramEnd"/>
      <w:r w:rsidRPr="00574C1F">
        <w:t xml:space="preserve">48) = 1.452, </w:t>
      </w:r>
      <w:r w:rsidRPr="00574C1F">
        <w:rPr>
          <w:i/>
        </w:rPr>
        <w:t>p</w:t>
      </w:r>
      <w:r w:rsidRPr="00574C1F">
        <w:t xml:space="preserve"> =.153, d = .412) (see table 6).</w:t>
      </w:r>
    </w:p>
    <w:p w:rsidR="00C97A68" w:rsidRPr="00574C1F" w:rsidRDefault="00C97A68" w:rsidP="00C97A68">
      <w:pPr>
        <w:spacing w:line="480" w:lineRule="auto"/>
      </w:pPr>
      <w:proofErr w:type="gramStart"/>
      <w:r w:rsidRPr="00574C1F">
        <w:t>Table 6.</w:t>
      </w:r>
      <w:proofErr w:type="gramEnd"/>
    </w:p>
    <w:p w:rsidR="00C97A68" w:rsidRPr="00574C1F" w:rsidRDefault="00C97A68" w:rsidP="00C97A68">
      <w:pPr>
        <w:spacing w:line="480" w:lineRule="auto"/>
      </w:pPr>
      <w:proofErr w:type="gramStart"/>
      <w:r w:rsidRPr="00574C1F">
        <w:t>Descriptive statistics of Error Rates (in %) for French- and German-speaking participants.</w:t>
      </w:r>
      <w:proofErr w:type="gramEnd"/>
    </w:p>
    <w:tbl>
      <w:tblPr>
        <w:tblStyle w:val="TableGrid1"/>
        <w:tblW w:w="5000" w:type="pct"/>
        <w:tblLook w:val="04A0"/>
      </w:tblPr>
      <w:tblGrid>
        <w:gridCol w:w="1996"/>
        <w:gridCol w:w="1898"/>
        <w:gridCol w:w="2057"/>
        <w:gridCol w:w="2005"/>
        <w:gridCol w:w="1620"/>
      </w:tblGrid>
      <w:tr w:rsidR="00C97A68" w:rsidRPr="00574C1F" w:rsidTr="005D2C0B">
        <w:trPr>
          <w:trHeight w:val="609"/>
        </w:trPr>
        <w:tc>
          <w:tcPr>
            <w:tcW w:w="1042" w:type="pct"/>
          </w:tcPr>
          <w:p w:rsidR="00C97A68" w:rsidRPr="00574C1F" w:rsidRDefault="00C97A68" w:rsidP="00C97A68">
            <w:pPr>
              <w:spacing w:line="480" w:lineRule="auto"/>
              <w:rPr>
                <w:b/>
              </w:rPr>
            </w:pPr>
          </w:p>
        </w:tc>
        <w:tc>
          <w:tcPr>
            <w:tcW w:w="2065" w:type="pct"/>
            <w:gridSpan w:val="2"/>
          </w:tcPr>
          <w:p w:rsidR="00C97A68" w:rsidRPr="00574C1F" w:rsidRDefault="00C97A68" w:rsidP="00C97A68">
            <w:pPr>
              <w:spacing w:line="480" w:lineRule="auto"/>
              <w:rPr>
                <w:b/>
                <w:lang w:val="fr-BE"/>
              </w:rPr>
            </w:pPr>
            <w:proofErr w:type="spellStart"/>
            <w:r w:rsidRPr="00574C1F">
              <w:rPr>
                <w:b/>
                <w:lang w:val="fr-BE"/>
              </w:rPr>
              <w:t>Means</w:t>
            </w:r>
            <w:proofErr w:type="spellEnd"/>
          </w:p>
        </w:tc>
        <w:tc>
          <w:tcPr>
            <w:tcW w:w="1893" w:type="pct"/>
            <w:gridSpan w:val="2"/>
          </w:tcPr>
          <w:p w:rsidR="00C97A68" w:rsidRPr="00574C1F" w:rsidRDefault="00C97A68" w:rsidP="00C97A68">
            <w:pPr>
              <w:spacing w:line="480" w:lineRule="auto"/>
              <w:rPr>
                <w:b/>
                <w:lang w:val="fr-BE"/>
              </w:rPr>
            </w:pPr>
            <w:r w:rsidRPr="00574C1F">
              <w:rPr>
                <w:b/>
                <w:lang w:val="fr-BE"/>
              </w:rPr>
              <w:t xml:space="preserve">Standard </w:t>
            </w:r>
            <w:proofErr w:type="spellStart"/>
            <w:r w:rsidRPr="00574C1F">
              <w:rPr>
                <w:b/>
                <w:lang w:val="fr-BE"/>
              </w:rPr>
              <w:t>deviations</w:t>
            </w:r>
            <w:proofErr w:type="spellEnd"/>
          </w:p>
        </w:tc>
      </w:tr>
      <w:tr w:rsidR="00C97A68" w:rsidRPr="00574C1F" w:rsidTr="005D2C0B">
        <w:trPr>
          <w:trHeight w:val="629"/>
        </w:trPr>
        <w:tc>
          <w:tcPr>
            <w:tcW w:w="1042" w:type="pct"/>
          </w:tcPr>
          <w:p w:rsidR="00C97A68" w:rsidRPr="00574C1F" w:rsidRDefault="00C97A68" w:rsidP="00C97A68">
            <w:pPr>
              <w:spacing w:line="480" w:lineRule="auto"/>
              <w:rPr>
                <w:b/>
                <w:lang w:val="fr-BE"/>
              </w:rPr>
            </w:pPr>
            <w:r w:rsidRPr="00574C1F">
              <w:rPr>
                <w:b/>
                <w:lang w:val="fr-BE"/>
              </w:rPr>
              <w:t>Conditions</w:t>
            </w:r>
          </w:p>
        </w:tc>
        <w:tc>
          <w:tcPr>
            <w:tcW w:w="991" w:type="pct"/>
          </w:tcPr>
          <w:p w:rsidR="00C97A68" w:rsidRPr="00574C1F" w:rsidRDefault="00C97A68" w:rsidP="00C97A68">
            <w:pPr>
              <w:spacing w:line="480" w:lineRule="auto"/>
              <w:rPr>
                <w:b/>
                <w:lang w:val="fr-BE"/>
              </w:rPr>
            </w:pPr>
            <w:r w:rsidRPr="00574C1F">
              <w:rPr>
                <w:b/>
                <w:lang w:val="fr-BE"/>
              </w:rPr>
              <w:t>French-Speakers</w:t>
            </w:r>
          </w:p>
        </w:tc>
        <w:tc>
          <w:tcPr>
            <w:tcW w:w="1074" w:type="pct"/>
          </w:tcPr>
          <w:p w:rsidR="00C97A68" w:rsidRPr="00574C1F" w:rsidRDefault="00C97A68" w:rsidP="00C97A68">
            <w:pPr>
              <w:spacing w:line="480" w:lineRule="auto"/>
              <w:rPr>
                <w:b/>
                <w:lang w:val="fr-BE"/>
              </w:rPr>
            </w:pPr>
            <w:proofErr w:type="spellStart"/>
            <w:r w:rsidRPr="00574C1F">
              <w:rPr>
                <w:b/>
                <w:lang w:val="fr-BE"/>
              </w:rPr>
              <w:t>German</w:t>
            </w:r>
            <w:proofErr w:type="spellEnd"/>
            <w:r w:rsidRPr="00574C1F">
              <w:rPr>
                <w:b/>
                <w:lang w:val="fr-BE"/>
              </w:rPr>
              <w:t>-speakers</w:t>
            </w:r>
          </w:p>
        </w:tc>
        <w:tc>
          <w:tcPr>
            <w:tcW w:w="1047" w:type="pct"/>
          </w:tcPr>
          <w:p w:rsidR="00C97A68" w:rsidRPr="00574C1F" w:rsidRDefault="00C97A68" w:rsidP="00C97A68">
            <w:pPr>
              <w:spacing w:line="480" w:lineRule="auto"/>
              <w:rPr>
                <w:b/>
                <w:lang w:val="fr-BE"/>
              </w:rPr>
            </w:pPr>
            <w:r w:rsidRPr="00574C1F">
              <w:rPr>
                <w:b/>
                <w:lang w:val="fr-BE"/>
              </w:rPr>
              <w:t>French-Speakers</w:t>
            </w:r>
          </w:p>
        </w:tc>
        <w:tc>
          <w:tcPr>
            <w:tcW w:w="846" w:type="pct"/>
          </w:tcPr>
          <w:p w:rsidR="00C97A68" w:rsidRPr="00574C1F" w:rsidRDefault="00C97A68" w:rsidP="00C97A68">
            <w:pPr>
              <w:spacing w:line="480" w:lineRule="auto"/>
              <w:rPr>
                <w:b/>
                <w:lang w:val="fr-BE"/>
              </w:rPr>
            </w:pPr>
            <w:proofErr w:type="spellStart"/>
            <w:r w:rsidRPr="00574C1F">
              <w:rPr>
                <w:b/>
                <w:lang w:val="fr-BE"/>
              </w:rPr>
              <w:t>German</w:t>
            </w:r>
            <w:proofErr w:type="spellEnd"/>
            <w:r w:rsidRPr="00574C1F">
              <w:rPr>
                <w:b/>
                <w:lang w:val="fr-BE"/>
              </w:rPr>
              <w:t>-speakers</w:t>
            </w:r>
          </w:p>
        </w:tc>
      </w:tr>
      <w:tr w:rsidR="00C97A68" w:rsidRPr="00574C1F" w:rsidTr="005D2C0B">
        <w:trPr>
          <w:trHeight w:val="276"/>
        </w:trPr>
        <w:tc>
          <w:tcPr>
            <w:tcW w:w="1042" w:type="pct"/>
          </w:tcPr>
          <w:p w:rsidR="00C97A68" w:rsidRPr="00574C1F" w:rsidRDefault="00C97A68" w:rsidP="00C97A68">
            <w:pPr>
              <w:spacing w:line="480" w:lineRule="auto"/>
              <w:rPr>
                <w:lang w:val="fr-BE"/>
              </w:rPr>
            </w:pPr>
            <w:r w:rsidRPr="00574C1F">
              <w:rPr>
                <w:lang w:val="fr-BE"/>
              </w:rPr>
              <w:t>Tens-first</w:t>
            </w:r>
          </w:p>
        </w:tc>
        <w:tc>
          <w:tcPr>
            <w:tcW w:w="991" w:type="pct"/>
          </w:tcPr>
          <w:p w:rsidR="00C97A68" w:rsidRPr="00574C1F" w:rsidRDefault="00C97A68" w:rsidP="00C97A68">
            <w:pPr>
              <w:spacing w:line="480" w:lineRule="auto"/>
              <w:rPr>
                <w:lang w:val="fr-BE"/>
              </w:rPr>
            </w:pPr>
            <w:r w:rsidRPr="00574C1F">
              <w:rPr>
                <w:lang w:val="fr-BE"/>
              </w:rPr>
              <w:t>1.68</w:t>
            </w:r>
          </w:p>
        </w:tc>
        <w:tc>
          <w:tcPr>
            <w:tcW w:w="1074" w:type="pct"/>
          </w:tcPr>
          <w:p w:rsidR="00C97A68" w:rsidRPr="00574C1F" w:rsidRDefault="00C97A68" w:rsidP="00C97A68">
            <w:pPr>
              <w:spacing w:line="480" w:lineRule="auto"/>
              <w:rPr>
                <w:lang w:val="fr-BE"/>
              </w:rPr>
            </w:pPr>
            <w:r w:rsidRPr="00574C1F">
              <w:rPr>
                <w:lang w:val="fr-BE"/>
              </w:rPr>
              <w:t>2.38</w:t>
            </w:r>
          </w:p>
        </w:tc>
        <w:tc>
          <w:tcPr>
            <w:tcW w:w="1047" w:type="pct"/>
          </w:tcPr>
          <w:p w:rsidR="00C97A68" w:rsidRPr="00574C1F" w:rsidRDefault="00C97A68" w:rsidP="00C97A68">
            <w:pPr>
              <w:spacing w:line="480" w:lineRule="auto"/>
              <w:rPr>
                <w:lang w:val="fr-BE"/>
              </w:rPr>
            </w:pPr>
            <w:r w:rsidRPr="00574C1F">
              <w:rPr>
                <w:lang w:val="fr-BE"/>
              </w:rPr>
              <w:t>1.96</w:t>
            </w:r>
          </w:p>
        </w:tc>
        <w:tc>
          <w:tcPr>
            <w:tcW w:w="846" w:type="pct"/>
          </w:tcPr>
          <w:p w:rsidR="00C97A68" w:rsidRPr="00574C1F" w:rsidRDefault="00C97A68" w:rsidP="00C97A68">
            <w:pPr>
              <w:spacing w:line="480" w:lineRule="auto"/>
              <w:rPr>
                <w:lang w:val="fr-BE"/>
              </w:rPr>
            </w:pPr>
            <w:r w:rsidRPr="00574C1F">
              <w:rPr>
                <w:lang w:val="fr-BE"/>
              </w:rPr>
              <w:t>2.59</w:t>
            </w:r>
          </w:p>
        </w:tc>
      </w:tr>
      <w:tr w:rsidR="00C97A68" w:rsidRPr="00574C1F" w:rsidTr="005D2C0B">
        <w:trPr>
          <w:trHeight w:val="306"/>
        </w:trPr>
        <w:tc>
          <w:tcPr>
            <w:tcW w:w="1042" w:type="pct"/>
          </w:tcPr>
          <w:p w:rsidR="00C97A68" w:rsidRPr="00574C1F" w:rsidRDefault="00C97A68" w:rsidP="00C97A68">
            <w:pPr>
              <w:spacing w:line="480" w:lineRule="auto"/>
              <w:rPr>
                <w:lang w:val="fr-BE"/>
              </w:rPr>
            </w:pPr>
            <w:proofErr w:type="spellStart"/>
            <w:r w:rsidRPr="00574C1F">
              <w:rPr>
                <w:lang w:val="fr-BE"/>
              </w:rPr>
              <w:t>Units-First</w:t>
            </w:r>
            <w:proofErr w:type="spellEnd"/>
          </w:p>
        </w:tc>
        <w:tc>
          <w:tcPr>
            <w:tcW w:w="991" w:type="pct"/>
          </w:tcPr>
          <w:p w:rsidR="00C97A68" w:rsidRPr="00574C1F" w:rsidRDefault="00C97A68" w:rsidP="00C97A68">
            <w:pPr>
              <w:spacing w:line="480" w:lineRule="auto"/>
              <w:rPr>
                <w:lang w:val="fr-BE"/>
              </w:rPr>
            </w:pPr>
            <w:r w:rsidRPr="00574C1F">
              <w:rPr>
                <w:lang w:val="fr-BE"/>
              </w:rPr>
              <w:t>2.29</w:t>
            </w:r>
          </w:p>
        </w:tc>
        <w:tc>
          <w:tcPr>
            <w:tcW w:w="1074" w:type="pct"/>
          </w:tcPr>
          <w:p w:rsidR="00C97A68" w:rsidRPr="00574C1F" w:rsidRDefault="00C97A68" w:rsidP="00C97A68">
            <w:pPr>
              <w:spacing w:line="480" w:lineRule="auto"/>
              <w:rPr>
                <w:lang w:val="fr-BE"/>
              </w:rPr>
            </w:pPr>
            <w:r w:rsidRPr="00574C1F">
              <w:rPr>
                <w:lang w:val="fr-BE"/>
              </w:rPr>
              <w:t>2.38</w:t>
            </w:r>
          </w:p>
        </w:tc>
        <w:tc>
          <w:tcPr>
            <w:tcW w:w="1047" w:type="pct"/>
          </w:tcPr>
          <w:p w:rsidR="00C97A68" w:rsidRPr="00574C1F" w:rsidRDefault="00C97A68" w:rsidP="00C97A68">
            <w:pPr>
              <w:spacing w:line="480" w:lineRule="auto"/>
              <w:rPr>
                <w:lang w:val="fr-BE"/>
              </w:rPr>
            </w:pPr>
            <w:r w:rsidRPr="00574C1F">
              <w:rPr>
                <w:lang w:val="fr-BE"/>
              </w:rPr>
              <w:t>3.13</w:t>
            </w:r>
          </w:p>
        </w:tc>
        <w:tc>
          <w:tcPr>
            <w:tcW w:w="846" w:type="pct"/>
          </w:tcPr>
          <w:p w:rsidR="00C97A68" w:rsidRPr="00574C1F" w:rsidRDefault="00C97A68" w:rsidP="00C97A68">
            <w:pPr>
              <w:spacing w:line="480" w:lineRule="auto"/>
              <w:rPr>
                <w:lang w:val="fr-BE"/>
              </w:rPr>
            </w:pPr>
            <w:r w:rsidRPr="00574C1F">
              <w:rPr>
                <w:lang w:val="fr-BE"/>
              </w:rPr>
              <w:t>3.87</w:t>
            </w:r>
          </w:p>
        </w:tc>
      </w:tr>
      <w:tr w:rsidR="00C97A68" w:rsidRPr="00574C1F" w:rsidTr="005D2C0B">
        <w:trPr>
          <w:trHeight w:val="629"/>
        </w:trPr>
        <w:tc>
          <w:tcPr>
            <w:tcW w:w="1042" w:type="pct"/>
          </w:tcPr>
          <w:p w:rsidR="00C97A68" w:rsidRPr="00574C1F" w:rsidRDefault="00C97A68" w:rsidP="00C97A68">
            <w:pPr>
              <w:spacing w:line="480" w:lineRule="auto"/>
              <w:rPr>
                <w:lang w:val="fr-BE"/>
              </w:rPr>
            </w:pPr>
            <w:proofErr w:type="spellStart"/>
            <w:r w:rsidRPr="00574C1F">
              <w:rPr>
                <w:lang w:val="fr-BE"/>
              </w:rPr>
              <w:t>Simultaneous</w:t>
            </w:r>
            <w:proofErr w:type="spellEnd"/>
          </w:p>
        </w:tc>
        <w:tc>
          <w:tcPr>
            <w:tcW w:w="991" w:type="pct"/>
          </w:tcPr>
          <w:p w:rsidR="00C97A68" w:rsidRPr="00574C1F" w:rsidRDefault="00C97A68" w:rsidP="00C97A68">
            <w:pPr>
              <w:spacing w:line="480" w:lineRule="auto"/>
              <w:rPr>
                <w:lang w:val="fr-BE"/>
              </w:rPr>
            </w:pPr>
            <w:r w:rsidRPr="00574C1F">
              <w:rPr>
                <w:lang w:val="fr-BE"/>
              </w:rPr>
              <w:t>1.5</w:t>
            </w:r>
          </w:p>
        </w:tc>
        <w:tc>
          <w:tcPr>
            <w:tcW w:w="1074" w:type="pct"/>
          </w:tcPr>
          <w:p w:rsidR="00C97A68" w:rsidRPr="00574C1F" w:rsidRDefault="00C97A68" w:rsidP="00C97A68">
            <w:pPr>
              <w:spacing w:line="480" w:lineRule="auto"/>
              <w:rPr>
                <w:lang w:val="fr-BE"/>
              </w:rPr>
            </w:pPr>
            <w:r w:rsidRPr="00574C1F">
              <w:rPr>
                <w:lang w:val="fr-BE"/>
              </w:rPr>
              <w:t>2.69</w:t>
            </w:r>
          </w:p>
        </w:tc>
        <w:tc>
          <w:tcPr>
            <w:tcW w:w="1047" w:type="pct"/>
          </w:tcPr>
          <w:p w:rsidR="00C97A68" w:rsidRPr="00574C1F" w:rsidRDefault="00C97A68" w:rsidP="00C97A68">
            <w:pPr>
              <w:spacing w:line="480" w:lineRule="auto"/>
              <w:rPr>
                <w:lang w:val="fr-BE"/>
              </w:rPr>
            </w:pPr>
            <w:r w:rsidRPr="00574C1F">
              <w:rPr>
                <w:lang w:val="fr-BE"/>
              </w:rPr>
              <w:t>2.57</w:t>
            </w:r>
          </w:p>
        </w:tc>
        <w:tc>
          <w:tcPr>
            <w:tcW w:w="846" w:type="pct"/>
          </w:tcPr>
          <w:p w:rsidR="00C97A68" w:rsidRPr="00574C1F" w:rsidRDefault="00C97A68" w:rsidP="00C97A68">
            <w:pPr>
              <w:spacing w:line="480" w:lineRule="auto"/>
              <w:rPr>
                <w:lang w:val="fr-BE"/>
              </w:rPr>
            </w:pPr>
            <w:r w:rsidRPr="00574C1F">
              <w:rPr>
                <w:lang w:val="fr-BE"/>
              </w:rPr>
              <w:t>3.23</w:t>
            </w:r>
          </w:p>
        </w:tc>
      </w:tr>
    </w:tbl>
    <w:p w:rsidR="00C97A68" w:rsidRPr="00574C1F" w:rsidRDefault="00C97A68" w:rsidP="00C97A68">
      <w:pPr>
        <w:spacing w:line="480" w:lineRule="auto"/>
      </w:pPr>
      <w:r w:rsidRPr="00574C1F">
        <w:t>Error analysis: Children</w:t>
      </w:r>
    </w:p>
    <w:p w:rsidR="00C97A68" w:rsidRPr="00574C1F" w:rsidRDefault="00C97A68" w:rsidP="00C97A68">
      <w:pPr>
        <w:spacing w:line="480" w:lineRule="auto"/>
      </w:pPr>
      <w:r w:rsidRPr="00574C1F">
        <w:t>Sequential conditions</w:t>
      </w:r>
    </w:p>
    <w:p w:rsidR="00C97A68" w:rsidRPr="00574C1F" w:rsidRDefault="00C97A68" w:rsidP="00C97A68">
      <w:pPr>
        <w:spacing w:line="480" w:lineRule="auto"/>
      </w:pPr>
      <w:r w:rsidRPr="00574C1F">
        <w:lastRenderedPageBreak/>
        <w:t xml:space="preserve">A 2x2 ANOVA for repeated measures was computed with </w:t>
      </w:r>
      <w:r w:rsidRPr="00574C1F">
        <w:rPr>
          <w:lang w:val="en-AU"/>
        </w:rPr>
        <w:t>Condition</w:t>
      </w:r>
      <w:r w:rsidRPr="00574C1F">
        <w:t xml:space="preserve"> </w:t>
      </w:r>
      <w:proofErr w:type="gramStart"/>
      <w:r w:rsidRPr="00574C1F">
        <w:t>( “</w:t>
      </w:r>
      <w:proofErr w:type="gramEnd"/>
      <w:r w:rsidRPr="00574C1F">
        <w:t xml:space="preserve">tens-first” and “units-first”) as within-group factor and the Language-Group (French-speaking, German-speaking) as between-group factor. Main effect of Condition and language were both non-significant (Condition effect: </w:t>
      </w:r>
      <w:proofErr w:type="gramStart"/>
      <w:r w:rsidRPr="00574C1F">
        <w:rPr>
          <w:i/>
        </w:rPr>
        <w:t>F</w:t>
      </w:r>
      <w:r w:rsidRPr="00574C1F">
        <w:t>(</w:t>
      </w:r>
      <w:proofErr w:type="gramEnd"/>
      <w:r w:rsidRPr="00574C1F">
        <w:t xml:space="preserve">1, 40) = .354, </w:t>
      </w:r>
      <w:r w:rsidRPr="00574C1F">
        <w:rPr>
          <w:i/>
        </w:rPr>
        <w:t>p</w:t>
      </w:r>
      <w:r w:rsidRPr="00574C1F">
        <w:t xml:space="preserve"> = .555, η</w:t>
      </w:r>
      <w:r w:rsidRPr="00574C1F">
        <w:rPr>
          <w:vertAlign w:val="superscript"/>
        </w:rPr>
        <w:t>2</w:t>
      </w:r>
      <w:r w:rsidRPr="00574C1F">
        <w:t xml:space="preserve"> = .009; Language-Group effect: </w:t>
      </w:r>
      <w:r w:rsidRPr="00574C1F">
        <w:rPr>
          <w:i/>
        </w:rPr>
        <w:t>F</w:t>
      </w:r>
      <w:r w:rsidRPr="00574C1F">
        <w:t xml:space="preserve">(1, 40) = 2.195 , </w:t>
      </w:r>
      <w:r w:rsidRPr="00574C1F">
        <w:rPr>
          <w:i/>
        </w:rPr>
        <w:t>p</w:t>
      </w:r>
      <w:r w:rsidRPr="00574C1F">
        <w:t xml:space="preserve"> = .146, η</w:t>
      </w:r>
      <w:r w:rsidRPr="00574C1F">
        <w:rPr>
          <w:vertAlign w:val="superscript"/>
        </w:rPr>
        <w:t>2</w:t>
      </w:r>
      <w:r w:rsidRPr="00574C1F">
        <w:t xml:space="preserve"> = .052). Moreover we did not observe a significant interaction between Language-Group and </w:t>
      </w:r>
      <w:r w:rsidRPr="00574C1F">
        <w:rPr>
          <w:lang w:val="en-AU"/>
        </w:rPr>
        <w:t>Condition</w:t>
      </w:r>
      <w:r w:rsidRPr="00574C1F">
        <w:t xml:space="preserve"> (</w:t>
      </w:r>
      <w:proofErr w:type="gramStart"/>
      <w:r w:rsidRPr="00574C1F">
        <w:rPr>
          <w:i/>
        </w:rPr>
        <w:t>F</w:t>
      </w:r>
      <w:r w:rsidRPr="00574C1F">
        <w:t>(</w:t>
      </w:r>
      <w:proofErr w:type="gramEnd"/>
      <w:r w:rsidRPr="00574C1F">
        <w:t xml:space="preserve">1, 40) = .007, </w:t>
      </w:r>
      <w:r w:rsidRPr="00574C1F">
        <w:rPr>
          <w:i/>
        </w:rPr>
        <w:t>p</w:t>
      </w:r>
      <w:r w:rsidRPr="00574C1F">
        <w:t xml:space="preserve"> = .933, η</w:t>
      </w:r>
      <w:r w:rsidRPr="00574C1F">
        <w:rPr>
          <w:vertAlign w:val="superscript"/>
        </w:rPr>
        <w:t>2</w:t>
      </w:r>
      <w:r w:rsidRPr="00574C1F">
        <w:t xml:space="preserve"> = 0).</w:t>
      </w:r>
    </w:p>
    <w:p w:rsidR="00C97A68" w:rsidRPr="00574C1F" w:rsidRDefault="00C97A68" w:rsidP="00C97A68">
      <w:pPr>
        <w:spacing w:line="480" w:lineRule="auto"/>
      </w:pPr>
      <w:r w:rsidRPr="00574C1F">
        <w:t>Furthermore, contrasting the two sequential conditions with two-sided paired t-tests separately for each language group did not show any significant differences between error rates during “tens-first” and “units-first” conditions</w:t>
      </w:r>
      <w:r w:rsidRPr="00574C1F" w:rsidDel="00597026">
        <w:t xml:space="preserve"> </w:t>
      </w:r>
      <w:r w:rsidRPr="00574C1F">
        <w:t xml:space="preserve">(French-speaking language group : </w:t>
      </w:r>
      <w:r w:rsidRPr="00574C1F">
        <w:rPr>
          <w:i/>
        </w:rPr>
        <w:t>t</w:t>
      </w:r>
      <w:r w:rsidRPr="00574C1F">
        <w:t xml:space="preserve">(20) = -.645, </w:t>
      </w:r>
      <w:r w:rsidRPr="00574C1F">
        <w:rPr>
          <w:i/>
        </w:rPr>
        <w:t>p</w:t>
      </w:r>
      <w:r w:rsidRPr="00574C1F">
        <w:t xml:space="preserve"> =.526, d = -.141; German-speaking language group : </w:t>
      </w:r>
      <w:r w:rsidRPr="00574C1F">
        <w:rPr>
          <w:i/>
        </w:rPr>
        <w:t>t</w:t>
      </w:r>
      <w:r w:rsidRPr="00574C1F">
        <w:t xml:space="preserve">(20) = -.37, </w:t>
      </w:r>
      <w:r w:rsidRPr="00574C1F">
        <w:rPr>
          <w:i/>
        </w:rPr>
        <w:t>p</w:t>
      </w:r>
      <w:r w:rsidRPr="00574C1F">
        <w:t xml:space="preserve"> =.715, d = -.081).</w:t>
      </w:r>
    </w:p>
    <w:p w:rsidR="00C97A68" w:rsidRPr="00574C1F" w:rsidRDefault="00C97A68" w:rsidP="00C97A68">
      <w:pPr>
        <w:spacing w:line="480" w:lineRule="auto"/>
      </w:pPr>
      <w:r w:rsidRPr="00574C1F">
        <w:t>Simultaneous condition</w:t>
      </w:r>
    </w:p>
    <w:p w:rsidR="00C97A68" w:rsidRPr="00574C1F" w:rsidRDefault="00C97A68" w:rsidP="00C97A68">
      <w:pPr>
        <w:spacing w:line="480" w:lineRule="auto"/>
      </w:pPr>
      <w:r w:rsidRPr="00574C1F">
        <w:t xml:space="preserve">The two-sided t-test performed on the error rates for “simultaneous” condition did not indicate any differences between French- and German-speaking participants (Simultaneous: </w:t>
      </w:r>
      <w:proofErr w:type="gramStart"/>
      <w:r w:rsidRPr="00574C1F">
        <w:rPr>
          <w:i/>
        </w:rPr>
        <w:t>t</w:t>
      </w:r>
      <w:r w:rsidRPr="00574C1F">
        <w:t>(</w:t>
      </w:r>
      <w:proofErr w:type="gramEnd"/>
      <w:r w:rsidRPr="00574C1F">
        <w:t xml:space="preserve">40) = .101, </w:t>
      </w:r>
      <w:r w:rsidRPr="00574C1F">
        <w:rPr>
          <w:i/>
        </w:rPr>
        <w:t>p</w:t>
      </w:r>
      <w:r w:rsidRPr="00574C1F">
        <w:t xml:space="preserve"> =.92, d = .031) (see table 7).</w:t>
      </w:r>
    </w:p>
    <w:p w:rsidR="00C97A68" w:rsidRPr="00574C1F" w:rsidRDefault="00C97A68" w:rsidP="00C97A68">
      <w:pPr>
        <w:spacing w:line="480" w:lineRule="auto"/>
      </w:pPr>
      <w:proofErr w:type="gramStart"/>
      <w:r w:rsidRPr="00574C1F">
        <w:t>Table 7.</w:t>
      </w:r>
      <w:proofErr w:type="gramEnd"/>
    </w:p>
    <w:p w:rsidR="00C97A68" w:rsidRPr="00574C1F" w:rsidRDefault="00C97A68" w:rsidP="00C97A68">
      <w:pPr>
        <w:spacing w:line="480" w:lineRule="auto"/>
      </w:pPr>
      <w:proofErr w:type="gramStart"/>
      <w:r w:rsidRPr="00574C1F">
        <w:rPr>
          <w:rFonts w:eastAsia="Calibri"/>
          <w:bCs/>
          <w:szCs w:val="20"/>
        </w:rPr>
        <w:t>Descriptive statistics of</w:t>
      </w:r>
      <w:r w:rsidRPr="00574C1F">
        <w:t xml:space="preserve"> Error Rates (in %) </w:t>
      </w:r>
      <w:r w:rsidRPr="00574C1F">
        <w:rPr>
          <w:rFonts w:eastAsia="Calibri"/>
          <w:bCs/>
          <w:szCs w:val="20"/>
        </w:rPr>
        <w:t>for</w:t>
      </w:r>
      <w:r w:rsidRPr="00574C1F">
        <w:t xml:space="preserve"> French- and German-Speaking Children.</w:t>
      </w:r>
      <w:proofErr w:type="gramEnd"/>
    </w:p>
    <w:tbl>
      <w:tblPr>
        <w:tblStyle w:val="TableGrid2"/>
        <w:tblW w:w="5000" w:type="pct"/>
        <w:tblLook w:val="04A0"/>
      </w:tblPr>
      <w:tblGrid>
        <w:gridCol w:w="1906"/>
        <w:gridCol w:w="1886"/>
        <w:gridCol w:w="1950"/>
        <w:gridCol w:w="1886"/>
        <w:gridCol w:w="1948"/>
      </w:tblGrid>
      <w:tr w:rsidR="00C97A68" w:rsidRPr="00574C1F" w:rsidTr="005D2C0B">
        <w:trPr>
          <w:trHeight w:val="520"/>
        </w:trPr>
        <w:tc>
          <w:tcPr>
            <w:tcW w:w="995" w:type="pct"/>
          </w:tcPr>
          <w:p w:rsidR="00C97A68" w:rsidRPr="00574C1F" w:rsidRDefault="00C97A68" w:rsidP="00C97A68">
            <w:pPr>
              <w:spacing w:line="480" w:lineRule="auto"/>
            </w:pPr>
          </w:p>
        </w:tc>
        <w:tc>
          <w:tcPr>
            <w:tcW w:w="2003" w:type="pct"/>
            <w:gridSpan w:val="2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Means</w:t>
            </w:r>
          </w:p>
        </w:tc>
        <w:tc>
          <w:tcPr>
            <w:tcW w:w="2002" w:type="pct"/>
            <w:gridSpan w:val="2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Standard-deviations</w:t>
            </w:r>
          </w:p>
        </w:tc>
      </w:tr>
      <w:tr w:rsidR="00C97A68" w:rsidRPr="00574C1F" w:rsidTr="005D2C0B">
        <w:trPr>
          <w:trHeight w:val="842"/>
        </w:trPr>
        <w:tc>
          <w:tcPr>
            <w:tcW w:w="995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Conditions</w:t>
            </w:r>
          </w:p>
        </w:tc>
        <w:tc>
          <w:tcPr>
            <w:tcW w:w="985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French-Speakers</w:t>
            </w:r>
          </w:p>
        </w:tc>
        <w:tc>
          <w:tcPr>
            <w:tcW w:w="1018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German-speakers</w:t>
            </w:r>
          </w:p>
        </w:tc>
        <w:tc>
          <w:tcPr>
            <w:tcW w:w="985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French-Speakers</w:t>
            </w:r>
          </w:p>
        </w:tc>
        <w:tc>
          <w:tcPr>
            <w:tcW w:w="1017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German-speakers</w:t>
            </w:r>
          </w:p>
        </w:tc>
      </w:tr>
      <w:tr w:rsidR="00C97A68" w:rsidRPr="00574C1F" w:rsidTr="005D2C0B">
        <w:trPr>
          <w:trHeight w:val="520"/>
        </w:trPr>
        <w:tc>
          <w:tcPr>
            <w:tcW w:w="995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Tens-first</w:t>
            </w:r>
          </w:p>
        </w:tc>
        <w:tc>
          <w:tcPr>
            <w:tcW w:w="985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2.72</w:t>
            </w:r>
          </w:p>
        </w:tc>
        <w:tc>
          <w:tcPr>
            <w:tcW w:w="1018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4.19</w:t>
            </w:r>
          </w:p>
        </w:tc>
        <w:tc>
          <w:tcPr>
            <w:tcW w:w="985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2.74</w:t>
            </w:r>
          </w:p>
        </w:tc>
        <w:tc>
          <w:tcPr>
            <w:tcW w:w="1017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4.32</w:t>
            </w:r>
          </w:p>
        </w:tc>
      </w:tr>
      <w:tr w:rsidR="00C97A68" w:rsidRPr="00574C1F" w:rsidTr="005D2C0B">
        <w:trPr>
          <w:trHeight w:val="520"/>
        </w:trPr>
        <w:tc>
          <w:tcPr>
            <w:tcW w:w="995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Units-First</w:t>
            </w:r>
          </w:p>
        </w:tc>
        <w:tc>
          <w:tcPr>
            <w:tcW w:w="985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2.38</w:t>
            </w:r>
          </w:p>
        </w:tc>
        <w:tc>
          <w:tcPr>
            <w:tcW w:w="1018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3.74</w:t>
            </w:r>
          </w:p>
        </w:tc>
        <w:tc>
          <w:tcPr>
            <w:tcW w:w="985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2.61</w:t>
            </w:r>
          </w:p>
        </w:tc>
        <w:tc>
          <w:tcPr>
            <w:tcW w:w="1017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4.91</w:t>
            </w:r>
          </w:p>
        </w:tc>
      </w:tr>
      <w:tr w:rsidR="00C97A68" w:rsidRPr="00E31D05" w:rsidTr="005D2C0B">
        <w:trPr>
          <w:trHeight w:val="609"/>
        </w:trPr>
        <w:tc>
          <w:tcPr>
            <w:tcW w:w="995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Simultaneous</w:t>
            </w:r>
          </w:p>
        </w:tc>
        <w:tc>
          <w:tcPr>
            <w:tcW w:w="985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3.63</w:t>
            </w:r>
          </w:p>
        </w:tc>
        <w:tc>
          <w:tcPr>
            <w:tcW w:w="1018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3.51</w:t>
            </w:r>
          </w:p>
        </w:tc>
        <w:tc>
          <w:tcPr>
            <w:tcW w:w="985" w:type="pct"/>
          </w:tcPr>
          <w:p w:rsidR="00C97A68" w:rsidRPr="00574C1F" w:rsidRDefault="00C97A68" w:rsidP="00C97A68">
            <w:pPr>
              <w:spacing w:line="480" w:lineRule="auto"/>
            </w:pPr>
            <w:r w:rsidRPr="00574C1F">
              <w:t>3.5</w:t>
            </w:r>
          </w:p>
        </w:tc>
        <w:tc>
          <w:tcPr>
            <w:tcW w:w="1017" w:type="pct"/>
          </w:tcPr>
          <w:p w:rsidR="00C97A68" w:rsidRPr="00E31D05" w:rsidRDefault="00C97A68" w:rsidP="00C97A68">
            <w:pPr>
              <w:spacing w:line="480" w:lineRule="auto"/>
            </w:pPr>
            <w:r w:rsidRPr="00574C1F">
              <w:t>3.74</w:t>
            </w:r>
          </w:p>
        </w:tc>
      </w:tr>
    </w:tbl>
    <w:p w:rsidR="00DB2A85" w:rsidRDefault="00DB2A85" w:rsidP="00C97A68">
      <w:pPr>
        <w:spacing w:line="480" w:lineRule="auto"/>
      </w:pPr>
    </w:p>
    <w:sectPr w:rsidR="00DB2A85" w:rsidSect="00DB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compat/>
  <w:rsids>
    <w:rsidRoot w:val="00C97A68"/>
    <w:rsid w:val="00097780"/>
    <w:rsid w:val="002B127A"/>
    <w:rsid w:val="00304E9D"/>
    <w:rsid w:val="00C84066"/>
    <w:rsid w:val="00C97A68"/>
    <w:rsid w:val="00DB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6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">
    <w:name w:val="CP"/>
    <w:basedOn w:val="Normal"/>
    <w:uiPriority w:val="99"/>
    <w:rsid w:val="00C97A68"/>
    <w:rPr>
      <w:color w:val="6D4321"/>
    </w:rPr>
  </w:style>
  <w:style w:type="paragraph" w:customStyle="1" w:styleId="CPB">
    <w:name w:val="CPB"/>
    <w:basedOn w:val="Normal"/>
    <w:uiPriority w:val="99"/>
    <w:rsid w:val="00C97A68"/>
    <w:rPr>
      <w:color w:val="E36C0A" w:themeColor="accent6" w:themeShade="BF"/>
      <w:sz w:val="28"/>
    </w:rPr>
  </w:style>
  <w:style w:type="paragraph" w:customStyle="1" w:styleId="H1">
    <w:name w:val="H1"/>
    <w:basedOn w:val="Normal"/>
    <w:uiPriority w:val="99"/>
    <w:rsid w:val="00C97A68"/>
    <w:rPr>
      <w:color w:val="31849B" w:themeColor="accent5" w:themeShade="BF"/>
      <w:sz w:val="36"/>
    </w:rPr>
  </w:style>
  <w:style w:type="paragraph" w:customStyle="1" w:styleId="H2">
    <w:name w:val="H2"/>
    <w:basedOn w:val="Normal"/>
    <w:uiPriority w:val="99"/>
    <w:rsid w:val="00C97A68"/>
    <w:rPr>
      <w:color w:val="C0504D" w:themeColor="accent2"/>
      <w:sz w:val="32"/>
    </w:rPr>
  </w:style>
  <w:style w:type="paragraph" w:customStyle="1" w:styleId="H3">
    <w:name w:val="H3"/>
    <w:basedOn w:val="Normal"/>
    <w:uiPriority w:val="99"/>
    <w:rsid w:val="00C97A68"/>
    <w:rPr>
      <w:color w:val="007434"/>
      <w:sz w:val="28"/>
    </w:rPr>
  </w:style>
  <w:style w:type="paragraph" w:customStyle="1" w:styleId="TCH">
    <w:name w:val="TCH"/>
    <w:basedOn w:val="Normal"/>
    <w:uiPriority w:val="99"/>
    <w:rsid w:val="00C97A68"/>
    <w:rPr>
      <w:color w:val="6D4321"/>
    </w:rPr>
  </w:style>
  <w:style w:type="paragraph" w:customStyle="1" w:styleId="TEXT">
    <w:name w:val="TEXT"/>
    <w:basedOn w:val="Normal"/>
    <w:uiPriority w:val="99"/>
    <w:rsid w:val="00C97A68"/>
  </w:style>
  <w:style w:type="paragraph" w:customStyle="1" w:styleId="TEXTIND">
    <w:name w:val="TEXT IND"/>
    <w:basedOn w:val="Normal"/>
    <w:link w:val="TEXTINDChar"/>
    <w:uiPriority w:val="99"/>
    <w:rsid w:val="00C97A68"/>
    <w:pPr>
      <w:ind w:firstLine="720"/>
    </w:pPr>
  </w:style>
  <w:style w:type="paragraph" w:customStyle="1" w:styleId="TT">
    <w:name w:val="TT"/>
    <w:basedOn w:val="Normal"/>
    <w:uiPriority w:val="99"/>
    <w:rsid w:val="00C97A68"/>
    <w:rPr>
      <w:color w:val="3C2D65"/>
    </w:rPr>
  </w:style>
  <w:style w:type="character" w:customStyle="1" w:styleId="TEXTINDChar">
    <w:name w:val="TEXT IND Char"/>
    <w:basedOn w:val="DefaultParagraphFont"/>
    <w:link w:val="TEXTIND"/>
    <w:uiPriority w:val="99"/>
    <w:rsid w:val="00C97A68"/>
    <w:rPr>
      <w:rFonts w:ascii="Times New Roman" w:eastAsia="Times New Roman" w:hAnsi="Times New Roman" w:cs="Times New Roman"/>
      <w:sz w:val="24"/>
      <w:szCs w:val="24"/>
    </w:rPr>
  </w:style>
  <w:style w:type="paragraph" w:customStyle="1" w:styleId="Flietext">
    <w:name w:val="Fließtext"/>
    <w:basedOn w:val="Normal"/>
    <w:link w:val="FlietextChar"/>
    <w:rsid w:val="00C97A68"/>
    <w:pPr>
      <w:spacing w:line="240" w:lineRule="auto"/>
      <w:jc w:val="both"/>
    </w:pPr>
    <w:rPr>
      <w:rFonts w:ascii="Arial" w:eastAsia="Arial Unicode MS" w:hAnsi="Arial" w:cs="Arial"/>
      <w:sz w:val="22"/>
      <w:szCs w:val="22"/>
      <w:lang w:val="de-DE" w:eastAsia="zh-CN"/>
    </w:rPr>
  </w:style>
  <w:style w:type="character" w:customStyle="1" w:styleId="FlietextChar">
    <w:name w:val="Fließtext Char"/>
    <w:basedOn w:val="DefaultParagraphFont"/>
    <w:link w:val="Flietext"/>
    <w:rsid w:val="00C97A68"/>
    <w:rPr>
      <w:rFonts w:ascii="Arial" w:eastAsia="Arial Unicode MS" w:hAnsi="Arial" w:cs="Arial"/>
      <w:lang w:val="de-DE" w:eastAsia="zh-CN"/>
    </w:rPr>
  </w:style>
  <w:style w:type="table" w:customStyle="1" w:styleId="TableGrid1">
    <w:name w:val="Table Grid1"/>
    <w:basedOn w:val="TableNormal"/>
    <w:uiPriority w:val="39"/>
    <w:rsid w:val="00C9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9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9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>Grizli777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THIA9453</dc:creator>
  <cp:lastModifiedBy>THIA9453</cp:lastModifiedBy>
  <cp:revision>2</cp:revision>
  <dcterms:created xsi:type="dcterms:W3CDTF">2019-11-19T10:21:00Z</dcterms:created>
  <dcterms:modified xsi:type="dcterms:W3CDTF">2019-11-19T10:25:00Z</dcterms:modified>
</cp:coreProperties>
</file>