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E8" w:rsidRPr="002C7B09" w:rsidRDefault="001D13E8" w:rsidP="001D13E8">
      <w:pPr>
        <w:pStyle w:val="H1"/>
        <w:rPr>
          <w:noProof/>
        </w:rPr>
      </w:pPr>
      <w:r>
        <w:rPr>
          <w:noProof/>
        </w:rPr>
        <w:t>Supplemental Materials</w:t>
      </w:r>
    </w:p>
    <w:p w:rsidR="001D13E8" w:rsidRDefault="001D13E8" w:rsidP="001D13E8">
      <w:pPr>
        <w:pStyle w:val="CPB"/>
        <w:rPr>
          <w:noProof/>
        </w:rPr>
      </w:pPr>
      <w:r w:rsidRPr="002C7B09">
        <w:rPr>
          <w:noProof/>
        </w:rPr>
        <w:t xml:space="preserve">Table A.1. </w:t>
      </w:r>
    </w:p>
    <w:p w:rsidR="001D13E8" w:rsidRPr="002C7B09" w:rsidRDefault="001D13E8" w:rsidP="001D13E8">
      <w:pPr>
        <w:pStyle w:val="CP"/>
        <w:rPr>
          <w:noProof/>
        </w:rPr>
      </w:pPr>
      <w:r w:rsidRPr="002C7B09">
        <w:rPr>
          <w:noProof/>
        </w:rPr>
        <w:t>Alternative Estimator (Ordered Logit)</w:t>
      </w:r>
      <w:r>
        <w:rPr>
          <w:noProof/>
        </w:rPr>
        <w:t>.</w:t>
      </w:r>
    </w:p>
    <w:tbl>
      <w:tblPr>
        <w:tblW w:w="5000" w:type="pct"/>
        <w:tblCellMar>
          <w:left w:w="0" w:type="dxa"/>
          <w:right w:w="60" w:type="dxa"/>
        </w:tblCellMar>
        <w:tblLook w:val="0000" w:firstRow="0" w:lastRow="0" w:firstColumn="0" w:lastColumn="0" w:noHBand="0" w:noVBand="0"/>
      </w:tblPr>
      <w:tblGrid>
        <w:gridCol w:w="2980"/>
        <w:gridCol w:w="1568"/>
        <w:gridCol w:w="1572"/>
        <w:gridCol w:w="1847"/>
        <w:gridCol w:w="1847"/>
      </w:tblGrid>
      <w:tr w:rsidR="001D13E8" w:rsidRPr="002C7B09" w:rsidTr="006D31FB">
        <w:trPr>
          <w:trHeight w:val="20"/>
        </w:trPr>
        <w:tc>
          <w:tcPr>
            <w:tcW w:w="151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(1)</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(3)</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(4)</w:t>
            </w:r>
          </w:p>
        </w:tc>
      </w:tr>
      <w:tr w:rsidR="001D13E8" w:rsidRPr="002C7B09" w:rsidTr="006D31FB">
        <w:trPr>
          <w:trHeight w:val="20"/>
        </w:trPr>
        <w:tc>
          <w:tcPr>
            <w:tcW w:w="151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Rebel</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Rebel</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Conditional</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Conditional</w:t>
            </w:r>
          </w:p>
        </w:tc>
      </w:tr>
      <w:tr w:rsidR="001D13E8" w:rsidRPr="002C7B09" w:rsidTr="006D31FB">
        <w:trPr>
          <w:trHeight w:val="20"/>
        </w:trPr>
        <w:tc>
          <w:tcPr>
            <w:tcW w:w="151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Strength</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Strength</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on Territory</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on Territory</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Any Governance</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0.094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0.264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0.492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1.236*</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(0.457)</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(0.577)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(0.558)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(0.689)</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Secessionist</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0.382</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0.074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0.778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1.777**</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(0.566)</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(0.608)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(0.755)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(0.775)</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Communist</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0.695</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1.460**</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0.447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0.992</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(0.469)</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(0.596)</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(0.675)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(0.904)</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Rebel Group Size</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1.074***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1.382***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1.099**</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1.749***</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(0.215)</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(0.291)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(0.491)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(0.532)</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Territorial Control</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1.222***</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1.111**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(0.473)</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(0.465)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Competition</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0.315**</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0.347**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0.333**</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0.323**</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(0.125)</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(0.141)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(0.144)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(0.144)</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Infant Mortality</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0.003</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0.001</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0.002</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(0.006)</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(0.011)</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GDPpc</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0.312</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0.377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0.385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0.698*</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(0.271)</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(0.304)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(0.407)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(0.410)</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Population (logged)</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0.871***</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1.005***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1.100**</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1.773***</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(0.184)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(0.232)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(0.444)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(0.387)</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Rugged Terrain</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0.082</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0.112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0.055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0.163</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(0.177)</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(0.194)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(0.325)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(0.354)</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Non-Military Aid</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0.653</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0.595</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(0.638)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(1.055)</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cut1</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9.944***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11.282**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14.933**</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23.922***</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(3.426)</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(4.556)</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(6.792)</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(6.758)</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cut2</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5.174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5.746</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10.747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18.643***</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(3.373)</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(4.428)</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(6.580)</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(6.278)</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cut3</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3.402</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3.809</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8.419</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15.462**</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(3.440)</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(4.525)</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(6.610)</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(6.517)</w:t>
            </w:r>
          </w:p>
        </w:tc>
      </w:tr>
      <w:tr w:rsidR="001D13E8" w:rsidRPr="002C7B09" w:rsidTr="006D31FB">
        <w:trPr>
          <w:trHeight w:val="20"/>
        </w:trPr>
        <w:tc>
          <w:tcPr>
            <w:tcW w:w="151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lastRenderedPageBreak/>
              <w:t>cut4</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1.399</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1.927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6.840</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14.096**</w:t>
            </w:r>
          </w:p>
        </w:tc>
      </w:tr>
      <w:tr w:rsidR="001D13E8" w:rsidRPr="002C7B09" w:rsidTr="006D31FB">
        <w:trPr>
          <w:trHeight w:val="20"/>
        </w:trPr>
        <w:tc>
          <w:tcPr>
            <w:tcW w:w="151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(3.639)</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(4.677)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(6.954)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(6.841)</w:t>
            </w:r>
          </w:p>
        </w:tc>
      </w:tr>
      <w:tr w:rsidR="001D13E8" w:rsidRPr="002C7B09" w:rsidTr="006D31FB">
        <w:trPr>
          <w:trHeight w:val="20"/>
        </w:trPr>
        <w:tc>
          <w:tcPr>
            <w:tcW w:w="151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Observations</w: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134</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107</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53</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47</w:t>
            </w:r>
          </w:p>
        </w:tc>
      </w:tr>
      <w:tr w:rsidR="001D13E8" w:rsidRPr="002C7B09" w:rsidTr="006D31FB">
        <w:trPr>
          <w:trHeight w:val="20"/>
        </w:trPr>
        <w:tc>
          <w:tcPr>
            <w:tcW w:w="151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 xml:space="preserve">Pseudo </w:t>
            </w:r>
            <w:r w:rsidRPr="002C7B09">
              <w:rPr>
                <w:position w:val="-4"/>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pt" o:ole="">
                  <v:imagedata r:id="rId5" o:title=""/>
                </v:shape>
                <o:OLEObject Type="Embed" ProgID="Equation.DSMT4" ShapeID="_x0000_i1025" DrawAspect="Content" ObjectID="_1633865351" r:id="rId6"/>
              </w:object>
            </w:r>
          </w:p>
        </w:tc>
        <w:tc>
          <w:tcPr>
            <w:tcW w:w="79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0.378</w:t>
            </w:r>
          </w:p>
        </w:tc>
        <w:tc>
          <w:tcPr>
            <w:tcW w:w="80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0.424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0.294</w:t>
            </w:r>
          </w:p>
        </w:tc>
        <w:tc>
          <w:tcPr>
            <w:tcW w:w="941"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0.419</w:t>
            </w:r>
          </w:p>
        </w:tc>
      </w:tr>
    </w:tbl>
    <w:p w:rsidR="001D13E8" w:rsidRPr="002C7B09" w:rsidRDefault="001D13E8" w:rsidP="001D13E8">
      <w:pPr>
        <w:pStyle w:val="CPSO"/>
        <w:rPr>
          <w:noProof/>
        </w:rPr>
      </w:pPr>
      <w:r w:rsidRPr="002C7B09">
        <w:rPr>
          <w:i/>
          <w:iCs/>
          <w:noProof/>
        </w:rPr>
        <w:t>Note:</w:t>
      </w:r>
      <w:r w:rsidRPr="002C7B09">
        <w:rPr>
          <w:noProof/>
        </w:rPr>
        <w:t xml:space="preserve"> Ordered logistic regression coefficients reported and standard errors are in parentheses. Standard errors are clustered by country. Across all models, the dependent variable in Appendix Table A.1 is </w:t>
      </w:r>
      <w:r w:rsidRPr="002C7B09">
        <w:rPr>
          <w:i/>
          <w:iCs/>
          <w:noProof/>
        </w:rPr>
        <w:t>Rebel Strength</w:t>
      </w:r>
      <w:r w:rsidRPr="002C7B09">
        <w:rPr>
          <w:noProof/>
        </w:rPr>
        <w:t>: a five-value indicator variable. Positive coefficients indicate that independent variables are associated with higher levels of rebel group strength, while negative coefficients indicate that independent variables are associated with lower levels of rebel group strength Models 1 and 2 present the results for all rebel groups in the sample for which data are available. Models 3 and 4 present the results for all rebel groups that control territory and for which data are available. *</w:t>
      </w:r>
      <w:r w:rsidRPr="002C7B09">
        <w:rPr>
          <w:noProof/>
          <w:position w:val="-10"/>
        </w:rPr>
        <w:object w:dxaOrig="900" w:dyaOrig="320">
          <v:shape id="_x0000_i1026" type="#_x0000_t75" style="width:45pt;height:15.5pt" o:ole="">
            <v:imagedata r:id="rId7" o:title=""/>
          </v:shape>
          <o:OLEObject Type="Embed" ProgID="Equation.DSMT4" ShapeID="_x0000_i1026" DrawAspect="Content" ObjectID="_1633865352" r:id="rId8"/>
        </w:object>
      </w:r>
      <w:r w:rsidRPr="002C7B09">
        <w:rPr>
          <w:noProof/>
        </w:rPr>
        <w:t>, **</w:t>
      </w:r>
      <w:r w:rsidRPr="002C7B09">
        <w:rPr>
          <w:noProof/>
          <w:position w:val="-10"/>
        </w:rPr>
        <w:object w:dxaOrig="900" w:dyaOrig="320">
          <v:shape id="_x0000_i1027" type="#_x0000_t75" style="width:45pt;height:15.5pt" o:ole="">
            <v:imagedata r:id="rId9" o:title=""/>
          </v:shape>
          <o:OLEObject Type="Embed" ProgID="Equation.DSMT4" ShapeID="_x0000_i1027" DrawAspect="Content" ObjectID="_1633865353" r:id="rId10"/>
        </w:object>
      </w:r>
      <w:r w:rsidRPr="002C7B09">
        <w:rPr>
          <w:noProof/>
        </w:rPr>
        <w:t>, ***</w:t>
      </w:r>
      <w:r w:rsidRPr="002C7B09">
        <w:rPr>
          <w:noProof/>
          <w:position w:val="-10"/>
        </w:rPr>
        <w:object w:dxaOrig="880" w:dyaOrig="320">
          <v:shape id="_x0000_i1028" type="#_x0000_t75" style="width:44pt;height:15.5pt" o:ole="">
            <v:imagedata r:id="rId11" o:title=""/>
          </v:shape>
          <o:OLEObject Type="Embed" ProgID="Equation.DSMT4" ShapeID="_x0000_i1028" DrawAspect="Content" ObjectID="_1633865354" r:id="rId12"/>
        </w:object>
      </w:r>
      <w:r>
        <w:rPr>
          <w:noProof/>
        </w:rPr>
        <w:t>.</w:t>
      </w:r>
    </w:p>
    <w:p w:rsidR="001D13E8" w:rsidRDefault="001D13E8" w:rsidP="001D13E8">
      <w:pPr>
        <w:pStyle w:val="CPB"/>
        <w:rPr>
          <w:noProof/>
        </w:rPr>
      </w:pPr>
      <w:r w:rsidRPr="002C7B09">
        <w:rPr>
          <w:noProof/>
        </w:rPr>
        <w:t xml:space="preserve">Table A.2. </w:t>
      </w:r>
    </w:p>
    <w:p w:rsidR="001D13E8" w:rsidRPr="002C7B09" w:rsidRDefault="001D13E8" w:rsidP="001D13E8">
      <w:pPr>
        <w:pStyle w:val="CP"/>
        <w:rPr>
          <w:noProof/>
        </w:rPr>
      </w:pPr>
      <w:r w:rsidRPr="002C7B09">
        <w:rPr>
          <w:noProof/>
        </w:rPr>
        <w:t>Alternative Estimator with Most Inclusive Rebel Governance</w:t>
      </w:r>
      <w:r>
        <w:rPr>
          <w:noProof/>
        </w:rPr>
        <w:t>.</w:t>
      </w:r>
    </w:p>
    <w:tbl>
      <w:tblPr>
        <w:tblW w:w="5000" w:type="pct"/>
        <w:tblCellMar>
          <w:left w:w="0" w:type="dxa"/>
          <w:right w:w="60" w:type="dxa"/>
        </w:tblCellMar>
        <w:tblLook w:val="0000" w:firstRow="0" w:lastRow="0" w:firstColumn="0" w:lastColumn="0" w:noHBand="0" w:noVBand="0"/>
      </w:tblPr>
      <w:tblGrid>
        <w:gridCol w:w="3668"/>
        <w:gridCol w:w="1411"/>
        <w:gridCol w:w="1411"/>
        <w:gridCol w:w="1662"/>
        <w:gridCol w:w="1662"/>
      </w:tblGrid>
      <w:tr w:rsidR="001D13E8" w:rsidRPr="002C7B09" w:rsidTr="006D31FB">
        <w:trPr>
          <w:trHeight w:val="20"/>
        </w:trPr>
        <w:tc>
          <w:tcPr>
            <w:tcW w:w="186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(1)</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(3)</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(4)</w:t>
            </w:r>
          </w:p>
        </w:tc>
      </w:tr>
      <w:tr w:rsidR="001D13E8" w:rsidRPr="002C7B09" w:rsidTr="006D31FB">
        <w:trPr>
          <w:trHeight w:val="20"/>
        </w:trPr>
        <w:tc>
          <w:tcPr>
            <w:tcW w:w="186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Rebel</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Rebel</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Conditional</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Conditional</w:t>
            </w:r>
          </w:p>
        </w:tc>
      </w:tr>
      <w:tr w:rsidR="001D13E8" w:rsidRPr="002C7B09" w:rsidTr="006D31FB">
        <w:trPr>
          <w:trHeight w:val="20"/>
        </w:trPr>
        <w:tc>
          <w:tcPr>
            <w:tcW w:w="186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Strength</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Strength</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on Territory</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CH"/>
            </w:pPr>
            <w:r w:rsidRPr="002C7B09">
              <w:t>on Territory</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Most Inclusive Governance</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0.966</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1.391*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2.712**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5.148***</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(0.694)</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(0.739)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(1.113)</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(1.589)</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Secessionist</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0.382</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0.178</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1.542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3.752***</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(0.608)</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(0.680)</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(1.136)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(1.361)</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Communist</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0.653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1.544***</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0.449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1.014</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(0.456)</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(0.520)</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(0.635)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(0.911)</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Rebel Group Size</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1.170***</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1.504***</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1.566**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3.182***</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(0.224)</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(0.297)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(0.654)</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(0.829)</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Territorial Control</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1.292***</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1.172**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(0.480)</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(0.467)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Competition</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0.279**</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0.301**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0.232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0.144</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(0.122)</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(0.139)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(0.157)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(0.157)</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Infant Mortality</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0.006</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0.004</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(0.007)</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(0.009)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(0.013)</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GDPpc</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0.220</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0.304</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0.235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0.756</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(0.274)</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(0.318)</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(0.378)</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(0.543)</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Population (logged)</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0.879***</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1.011***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1.191**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2.273***</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(0.190)</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(0.223)</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(0.565)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(0.610)</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Rugged Terrain</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0.043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0.083</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0.147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0.632</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(0.173)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(0.189)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(0.386)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(0.445)</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Non-Military Aid</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0.625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0.835</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(0.604)</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(1.260)</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cut1</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8.265**</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9.386*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11.180</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21.570*</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(3.793)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(5.122)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(8.087)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(11.034)</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cut2</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3.357</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3.566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6.365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13.874</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(3.692)</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(4.949)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(7.799)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(10.543)</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1.604</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1.656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3.870</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9.628</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(3.783)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(5.079)</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(7.886)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(10.400)</w:t>
            </w:r>
          </w:p>
        </w:tc>
      </w:tr>
      <w:tr w:rsidR="001D13E8" w:rsidRPr="002C7B09" w:rsidTr="006D31FB">
        <w:trPr>
          <w:trHeight w:val="20"/>
        </w:trPr>
        <w:tc>
          <w:tcPr>
            <w:tcW w:w="1868" w:type="pct"/>
            <w:vMerge w:val="restart"/>
            <w:tcBorders>
              <w:top w:val="single" w:sz="4" w:space="0" w:color="auto"/>
              <w:left w:val="single" w:sz="4" w:space="0" w:color="auto"/>
              <w:right w:val="single" w:sz="4" w:space="0" w:color="auto"/>
            </w:tcBorders>
          </w:tcPr>
          <w:p w:rsidR="001D13E8" w:rsidRPr="002C7B09" w:rsidRDefault="001D13E8" w:rsidP="006D31FB">
            <w:pPr>
              <w:pStyle w:val="TT"/>
            </w:pPr>
            <w:r w:rsidRPr="002C7B09">
              <w:t>cut4</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0.448</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0.295</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2.171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t>–</w:t>
            </w:r>
            <w:r w:rsidRPr="002C7B09">
              <w:t>8.076</w:t>
            </w:r>
          </w:p>
        </w:tc>
      </w:tr>
      <w:tr w:rsidR="001D13E8" w:rsidRPr="002C7B09" w:rsidTr="006D31FB">
        <w:trPr>
          <w:trHeight w:val="20"/>
        </w:trPr>
        <w:tc>
          <w:tcPr>
            <w:tcW w:w="1868" w:type="pct"/>
            <w:vMerge/>
            <w:tcBorders>
              <w:left w:val="single" w:sz="4" w:space="0" w:color="auto"/>
              <w:bottom w:val="single" w:sz="4" w:space="0" w:color="auto"/>
              <w:right w:val="single" w:sz="4" w:space="0" w:color="auto"/>
            </w:tcBorders>
          </w:tcPr>
          <w:p w:rsidR="001D13E8" w:rsidRPr="002C7B09" w:rsidRDefault="001D13E8" w:rsidP="006D31FB">
            <w:pPr>
              <w:pStyle w:val="TT"/>
            </w:pP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(3.958)</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(5.143)</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(8.191)</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(10.577)</w:t>
            </w:r>
          </w:p>
        </w:tc>
      </w:tr>
      <w:tr w:rsidR="001D13E8" w:rsidRPr="002C7B09" w:rsidTr="006D31FB">
        <w:trPr>
          <w:trHeight w:val="20"/>
        </w:trPr>
        <w:tc>
          <w:tcPr>
            <w:tcW w:w="186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Observations</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133</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106</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52</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46</w:t>
            </w:r>
          </w:p>
        </w:tc>
      </w:tr>
      <w:tr w:rsidR="001D13E8" w:rsidRPr="002C7B09" w:rsidTr="006D31FB">
        <w:trPr>
          <w:trHeight w:val="20"/>
        </w:trPr>
        <w:tc>
          <w:tcPr>
            <w:tcW w:w="1868"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 xml:space="preserve">Pseudo </w:t>
            </w:r>
            <w:r w:rsidRPr="002C7B09">
              <w:rPr>
                <w:position w:val="-4"/>
              </w:rPr>
              <w:object w:dxaOrig="320" w:dyaOrig="300">
                <v:shape id="_x0000_i1029" type="#_x0000_t75" style="width:15.5pt;height:15pt" o:ole="">
                  <v:imagedata r:id="rId13" o:title=""/>
                </v:shape>
                <o:OLEObject Type="Embed" ProgID="Equation.DSMT4" ShapeID="_x0000_i1029" DrawAspect="Content" ObjectID="_1633865355" r:id="rId14"/>
              </w:objec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0.387</w:t>
            </w:r>
          </w:p>
        </w:tc>
        <w:tc>
          <w:tcPr>
            <w:tcW w:w="719"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0.437</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0.358</w:t>
            </w:r>
          </w:p>
        </w:tc>
        <w:tc>
          <w:tcPr>
            <w:tcW w:w="847" w:type="pct"/>
            <w:tcBorders>
              <w:top w:val="single" w:sz="4" w:space="0" w:color="auto"/>
              <w:left w:val="single" w:sz="4" w:space="0" w:color="auto"/>
              <w:bottom w:val="single" w:sz="4" w:space="0" w:color="auto"/>
              <w:right w:val="single" w:sz="4" w:space="0" w:color="auto"/>
            </w:tcBorders>
          </w:tcPr>
          <w:p w:rsidR="001D13E8" w:rsidRPr="002C7B09" w:rsidRDefault="001D13E8" w:rsidP="006D31FB">
            <w:pPr>
              <w:pStyle w:val="TT"/>
            </w:pPr>
            <w:r w:rsidRPr="002C7B09">
              <w:t>0.553</w:t>
            </w:r>
          </w:p>
        </w:tc>
      </w:tr>
    </w:tbl>
    <w:p w:rsidR="001D13E8" w:rsidRDefault="001D13E8" w:rsidP="001D13E8">
      <w:pPr>
        <w:pStyle w:val="CPSO"/>
        <w:rPr>
          <w:noProof/>
        </w:rPr>
      </w:pPr>
      <w:r w:rsidRPr="002C7B09">
        <w:rPr>
          <w:i/>
          <w:iCs/>
          <w:noProof/>
        </w:rPr>
        <w:t>Note:</w:t>
      </w:r>
      <w:r w:rsidRPr="002C7B09">
        <w:rPr>
          <w:noProof/>
        </w:rPr>
        <w:t xml:space="preserve"> Ordered logistic regression coefficients reported and standard errors are in parentheses. Standard errors are clustered by country. Across all models, the dependent variable in Appendix Table A.2 is </w:t>
      </w:r>
      <w:r w:rsidRPr="002C7B09">
        <w:rPr>
          <w:i/>
          <w:iCs/>
          <w:noProof/>
        </w:rPr>
        <w:t>Rebel Strength</w:t>
      </w:r>
      <w:r w:rsidRPr="002C7B09">
        <w:rPr>
          <w:noProof/>
        </w:rPr>
        <w:t>: a five-value indicator variable. Positive coefficients indicate that independent variables are associated with higher levels of rebel group strength, while negative coefficients indicate that independent variables are associated with lower levels of rebel group strength Models 1 and 2 present the results for all rebel groups in the sample for which data are available. Models 3 and 4 present the results for all rebel groups that control territory and for which data are available. *</w:t>
      </w:r>
      <w:r w:rsidRPr="002C7B09">
        <w:rPr>
          <w:noProof/>
          <w:position w:val="-10"/>
        </w:rPr>
        <w:object w:dxaOrig="900" w:dyaOrig="320">
          <v:shape id="_x0000_i1030" type="#_x0000_t75" style="width:45pt;height:15.5pt" o:ole="">
            <v:imagedata r:id="rId15" o:title=""/>
          </v:shape>
          <o:OLEObject Type="Embed" ProgID="Equation.DSMT4" ShapeID="_x0000_i1030" DrawAspect="Content" ObjectID="_1633865356" r:id="rId16"/>
        </w:object>
      </w:r>
      <w:r w:rsidRPr="002C7B09">
        <w:rPr>
          <w:noProof/>
        </w:rPr>
        <w:t>, **</w:t>
      </w:r>
      <w:r w:rsidRPr="002C7B09">
        <w:rPr>
          <w:noProof/>
          <w:position w:val="-10"/>
        </w:rPr>
        <w:object w:dxaOrig="900" w:dyaOrig="320">
          <v:shape id="_x0000_i1031" type="#_x0000_t75" style="width:45pt;height:15.5pt" o:ole="">
            <v:imagedata r:id="rId17" o:title=""/>
          </v:shape>
          <o:OLEObject Type="Embed" ProgID="Equation.DSMT4" ShapeID="_x0000_i1031" DrawAspect="Content" ObjectID="_1633865357" r:id="rId18"/>
        </w:object>
      </w:r>
      <w:r w:rsidRPr="002C7B09">
        <w:rPr>
          <w:noProof/>
        </w:rPr>
        <w:t>, ***</w:t>
      </w:r>
      <w:r w:rsidRPr="002C7B09">
        <w:rPr>
          <w:noProof/>
          <w:position w:val="-10"/>
        </w:rPr>
        <w:object w:dxaOrig="880" w:dyaOrig="320">
          <v:shape id="_x0000_i1032" type="#_x0000_t75" style="width:44pt;height:15.5pt" o:ole="">
            <v:imagedata r:id="rId19" o:title=""/>
          </v:shape>
          <o:OLEObject Type="Embed" ProgID="Equation.DSMT4" ShapeID="_x0000_i1032" DrawAspect="Content" ObjectID="_1633865358" r:id="rId20"/>
        </w:object>
      </w:r>
      <w:r>
        <w:rPr>
          <w:noProof/>
        </w:rPr>
        <w:t>.</w:t>
      </w:r>
    </w:p>
    <w:p w:rsidR="00BE79F9" w:rsidRDefault="00BE79F9">
      <w:bookmarkStart w:id="0" w:name="_GoBack"/>
      <w:bookmarkEnd w:id="0"/>
    </w:p>
    <w:sectPr w:rsidR="00BE79F9" w:rsidSect="00820EA0">
      <w:pgSz w:w="11909" w:h="16834"/>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E8"/>
    <w:rsid w:val="0000589C"/>
    <w:rsid w:val="001A75A3"/>
    <w:rsid w:val="001D13E8"/>
    <w:rsid w:val="005B357A"/>
    <w:rsid w:val="007256D9"/>
    <w:rsid w:val="007F5B29"/>
    <w:rsid w:val="00BE79F9"/>
    <w:rsid w:val="00C769E2"/>
    <w:rsid w:val="00E742D0"/>
    <w:rsid w:val="00FD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2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1D13E8"/>
    <w:pPr>
      <w:spacing w:after="0" w:line="360" w:lineRule="auto"/>
    </w:pPr>
    <w:rPr>
      <w:rFonts w:eastAsia="Times New Roman" w:cs="Times New Roman"/>
      <w:color w:val="6D4321"/>
      <w:szCs w:val="24"/>
      <w:lang w:val="en-US"/>
    </w:rPr>
  </w:style>
  <w:style w:type="paragraph" w:customStyle="1" w:styleId="CPB">
    <w:name w:val="CPB"/>
    <w:basedOn w:val="Normal"/>
    <w:rsid w:val="001D13E8"/>
    <w:pPr>
      <w:spacing w:after="0" w:line="360" w:lineRule="auto"/>
    </w:pPr>
    <w:rPr>
      <w:rFonts w:eastAsia="Times New Roman" w:cs="Times New Roman"/>
      <w:color w:val="E36C0A" w:themeColor="accent6" w:themeShade="BF"/>
      <w:sz w:val="28"/>
      <w:szCs w:val="24"/>
      <w:lang w:val="en-US"/>
    </w:rPr>
  </w:style>
  <w:style w:type="paragraph" w:customStyle="1" w:styleId="CPSO">
    <w:name w:val="CPSO"/>
    <w:basedOn w:val="Normal"/>
    <w:rsid w:val="001D13E8"/>
    <w:pPr>
      <w:spacing w:after="0" w:line="360" w:lineRule="auto"/>
    </w:pPr>
    <w:rPr>
      <w:rFonts w:eastAsia="Times New Roman" w:cs="Times New Roman"/>
      <w:color w:val="007434"/>
      <w:szCs w:val="24"/>
      <w:lang w:val="en-US"/>
    </w:rPr>
  </w:style>
  <w:style w:type="paragraph" w:customStyle="1" w:styleId="H1">
    <w:name w:val="H1"/>
    <w:basedOn w:val="Normal"/>
    <w:rsid w:val="001D13E8"/>
    <w:pPr>
      <w:spacing w:after="0" w:line="360" w:lineRule="auto"/>
    </w:pPr>
    <w:rPr>
      <w:rFonts w:eastAsia="Times New Roman" w:cs="Times New Roman"/>
      <w:color w:val="31849B" w:themeColor="accent5" w:themeShade="BF"/>
      <w:sz w:val="36"/>
      <w:szCs w:val="24"/>
      <w:lang w:val="en-US"/>
    </w:rPr>
  </w:style>
  <w:style w:type="paragraph" w:customStyle="1" w:styleId="TCH">
    <w:name w:val="TCH"/>
    <w:basedOn w:val="Normal"/>
    <w:rsid w:val="001D13E8"/>
    <w:pPr>
      <w:spacing w:after="0" w:line="360" w:lineRule="auto"/>
    </w:pPr>
    <w:rPr>
      <w:rFonts w:eastAsia="Times New Roman" w:cs="Times New Roman"/>
      <w:color w:val="6D4321"/>
      <w:szCs w:val="24"/>
      <w:lang w:val="en-US"/>
    </w:rPr>
  </w:style>
  <w:style w:type="paragraph" w:customStyle="1" w:styleId="TT">
    <w:name w:val="TT"/>
    <w:basedOn w:val="Normal"/>
    <w:rsid w:val="001D13E8"/>
    <w:pPr>
      <w:spacing w:after="0" w:line="360" w:lineRule="auto"/>
    </w:pPr>
    <w:rPr>
      <w:rFonts w:eastAsia="Times New Roman" w:cs="Times New Roman"/>
      <w:color w:val="3C2D65"/>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2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1D13E8"/>
    <w:pPr>
      <w:spacing w:after="0" w:line="360" w:lineRule="auto"/>
    </w:pPr>
    <w:rPr>
      <w:rFonts w:eastAsia="Times New Roman" w:cs="Times New Roman"/>
      <w:color w:val="6D4321"/>
      <w:szCs w:val="24"/>
      <w:lang w:val="en-US"/>
    </w:rPr>
  </w:style>
  <w:style w:type="paragraph" w:customStyle="1" w:styleId="CPB">
    <w:name w:val="CPB"/>
    <w:basedOn w:val="Normal"/>
    <w:rsid w:val="001D13E8"/>
    <w:pPr>
      <w:spacing w:after="0" w:line="360" w:lineRule="auto"/>
    </w:pPr>
    <w:rPr>
      <w:rFonts w:eastAsia="Times New Roman" w:cs="Times New Roman"/>
      <w:color w:val="E36C0A" w:themeColor="accent6" w:themeShade="BF"/>
      <w:sz w:val="28"/>
      <w:szCs w:val="24"/>
      <w:lang w:val="en-US"/>
    </w:rPr>
  </w:style>
  <w:style w:type="paragraph" w:customStyle="1" w:styleId="CPSO">
    <w:name w:val="CPSO"/>
    <w:basedOn w:val="Normal"/>
    <w:rsid w:val="001D13E8"/>
    <w:pPr>
      <w:spacing w:after="0" w:line="360" w:lineRule="auto"/>
    </w:pPr>
    <w:rPr>
      <w:rFonts w:eastAsia="Times New Roman" w:cs="Times New Roman"/>
      <w:color w:val="007434"/>
      <w:szCs w:val="24"/>
      <w:lang w:val="en-US"/>
    </w:rPr>
  </w:style>
  <w:style w:type="paragraph" w:customStyle="1" w:styleId="H1">
    <w:name w:val="H1"/>
    <w:basedOn w:val="Normal"/>
    <w:rsid w:val="001D13E8"/>
    <w:pPr>
      <w:spacing w:after="0" w:line="360" w:lineRule="auto"/>
    </w:pPr>
    <w:rPr>
      <w:rFonts w:eastAsia="Times New Roman" w:cs="Times New Roman"/>
      <w:color w:val="31849B" w:themeColor="accent5" w:themeShade="BF"/>
      <w:sz w:val="36"/>
      <w:szCs w:val="24"/>
      <w:lang w:val="en-US"/>
    </w:rPr>
  </w:style>
  <w:style w:type="paragraph" w:customStyle="1" w:styleId="TCH">
    <w:name w:val="TCH"/>
    <w:basedOn w:val="Normal"/>
    <w:rsid w:val="001D13E8"/>
    <w:pPr>
      <w:spacing w:after="0" w:line="360" w:lineRule="auto"/>
    </w:pPr>
    <w:rPr>
      <w:rFonts w:eastAsia="Times New Roman" w:cs="Times New Roman"/>
      <w:color w:val="6D4321"/>
      <w:szCs w:val="24"/>
      <w:lang w:val="en-US"/>
    </w:rPr>
  </w:style>
  <w:style w:type="paragraph" w:customStyle="1" w:styleId="TT">
    <w:name w:val="TT"/>
    <w:basedOn w:val="Normal"/>
    <w:rsid w:val="001D13E8"/>
    <w:pPr>
      <w:spacing w:after="0" w:line="360" w:lineRule="auto"/>
    </w:pPr>
    <w:rPr>
      <w:rFonts w:eastAsia="Times New Roman" w:cs="Times New Roman"/>
      <w:color w:val="3C2D65"/>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Pillar</dc:creator>
  <cp:lastModifiedBy>Pillar</cp:lastModifiedBy>
  <cp:revision>1</cp:revision>
  <dcterms:created xsi:type="dcterms:W3CDTF">2019-10-29T14:35:00Z</dcterms:created>
  <dcterms:modified xsi:type="dcterms:W3CDTF">2019-10-29T14:36:00Z</dcterms:modified>
</cp:coreProperties>
</file>