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2C1A1" w14:textId="77777777" w:rsidR="00277184" w:rsidRPr="000451E2" w:rsidRDefault="00277184" w:rsidP="00277184">
      <w:pPr>
        <w:pStyle w:val="Titolo1"/>
        <w:rPr>
          <w:lang w:val="en-GB"/>
        </w:rPr>
      </w:pPr>
      <w:r w:rsidRPr="000451E2">
        <w:rPr>
          <w:lang w:val="en-GB"/>
        </w:rPr>
        <w:t>Appendix II</w:t>
      </w:r>
    </w:p>
    <w:p w14:paraId="74BB1321" w14:textId="77777777" w:rsidR="00277184" w:rsidRPr="000451E2" w:rsidRDefault="00277184" w:rsidP="00277184">
      <w:pPr>
        <w:pStyle w:val="ABKW"/>
        <w:jc w:val="both"/>
        <w:rPr>
          <w:lang w:val="en-GB"/>
        </w:rPr>
      </w:pPr>
    </w:p>
    <w:p w14:paraId="47D9CA6E" w14:textId="77777777" w:rsidR="00277184" w:rsidRPr="000451E2" w:rsidRDefault="00277184" w:rsidP="00277184">
      <w:pPr>
        <w:pStyle w:val="ABKW"/>
        <w:jc w:val="both"/>
        <w:rPr>
          <w:lang w:val="en-GB"/>
        </w:rPr>
      </w:pPr>
      <w:r w:rsidRPr="000451E2">
        <w:rPr>
          <w:lang w:val="en-GB"/>
        </w:rPr>
        <w:t xml:space="preserve">The experiments results and mathematical graph based on the flow regime, are almost laminar (except for the Y-connector) based on the Reynolds numbers obtained. The fluid pressure is enough to keep fluid constantly in contact with walls without deformation or compression. Experimental graphs show continuous derivable functions approximated to second- and third-degree functions.   </w:t>
      </w:r>
    </w:p>
    <w:p w14:paraId="0937B81A" w14:textId="77777777" w:rsidR="00277184" w:rsidRPr="000451E2" w:rsidRDefault="00277184" w:rsidP="00277184">
      <w:pPr>
        <w:pStyle w:val="ABKW"/>
        <w:tabs>
          <w:tab w:val="left" w:pos="1930"/>
        </w:tabs>
        <w:jc w:val="both"/>
        <w:rPr>
          <w:lang w:val="en-GB"/>
        </w:rPr>
      </w:pPr>
      <w:r w:rsidRPr="000451E2">
        <w:rPr>
          <w:lang w:val="en-GB"/>
        </w:rPr>
        <w:t>We enter and process data in the custom-made spreadsheet (Fig.2). First, flow and pressure data are inserted. Knowing the volume flow Q (m</w:t>
      </w:r>
      <w:r w:rsidRPr="000451E2">
        <w:rPr>
          <w:vertAlign w:val="superscript"/>
          <w:lang w:val="en-GB"/>
        </w:rPr>
        <w:t>3</w:t>
      </w:r>
      <w:r w:rsidRPr="000451E2">
        <w:rPr>
          <w:lang w:val="en-GB"/>
        </w:rPr>
        <w:t>/s) in the different circuit points, the continuity equation is used to calculate the flow velocity V (m/s) in the different sections we calculated the flow velocity with equation 2.1 and 2.2.</w:t>
      </w:r>
    </w:p>
    <w:p w14:paraId="399E84A1" w14:textId="77777777" w:rsidR="00277184" w:rsidRPr="000451E2" w:rsidRDefault="00277184" w:rsidP="00277184">
      <w:pPr>
        <w:pStyle w:val="ABKW"/>
        <w:jc w:val="both"/>
        <w:rPr>
          <w:lang w:val="en-GB"/>
        </w:rPr>
      </w:pPr>
      <w:r w:rsidRPr="000451E2">
        <w:rPr>
          <w:noProof/>
        </w:rPr>
        <w:drawing>
          <wp:inline distT="0" distB="0" distL="0" distR="0" wp14:anchorId="29153703" wp14:editId="2DEC3C8B">
            <wp:extent cx="744855" cy="448945"/>
            <wp:effectExtent l="25400" t="0" r="0"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744855" cy="448945"/>
                    </a:xfrm>
                    <a:prstGeom prst="rect">
                      <a:avLst/>
                    </a:prstGeom>
                    <a:noFill/>
                    <a:ln w="9525">
                      <a:noFill/>
                      <a:miter lim="800000"/>
                      <a:headEnd/>
                      <a:tailEnd/>
                    </a:ln>
                  </pic:spPr>
                </pic:pic>
              </a:graphicData>
            </a:graphic>
          </wp:inline>
        </w:drawing>
      </w:r>
    </w:p>
    <w:p w14:paraId="1152DD66" w14:textId="77777777" w:rsidR="00277184" w:rsidRPr="000451E2" w:rsidRDefault="00277184" w:rsidP="00277184">
      <w:pPr>
        <w:pStyle w:val="ABKW"/>
        <w:jc w:val="both"/>
        <w:rPr>
          <w:lang w:val="en-GB"/>
        </w:rPr>
      </w:pPr>
      <w:r w:rsidRPr="000451E2">
        <w:rPr>
          <w:lang w:val="en-GB"/>
        </w:rPr>
        <w:t>Equation 2.1: Q is the flow and V is the flow velocity of the fluid and A is the tubing cross sectional area [m</w:t>
      </w:r>
      <w:r w:rsidRPr="000451E2">
        <w:rPr>
          <w:vertAlign w:val="superscript"/>
          <w:lang w:val="en-GB"/>
        </w:rPr>
        <w:t>2</w:t>
      </w:r>
      <w:r w:rsidRPr="000451E2">
        <w:rPr>
          <w:lang w:val="en-GB"/>
        </w:rPr>
        <w:t>]. To obtain the cross-sectional area with applied the equation 2.2 and 2.3.</w:t>
      </w:r>
    </w:p>
    <w:p w14:paraId="33043B6B" w14:textId="77777777" w:rsidR="00277184" w:rsidRPr="000451E2" w:rsidRDefault="00277184" w:rsidP="00277184">
      <w:pPr>
        <w:pStyle w:val="ABKW"/>
        <w:jc w:val="both"/>
        <w:rPr>
          <w:lang w:val="en-GB"/>
        </w:rPr>
      </w:pPr>
      <w:r w:rsidRPr="000451E2">
        <w:rPr>
          <w:noProof/>
        </w:rPr>
        <w:drawing>
          <wp:inline distT="0" distB="0" distL="0" distR="0" wp14:anchorId="5ADB5ACA" wp14:editId="2C36DD5D">
            <wp:extent cx="1733792" cy="371527"/>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ormule modificate 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3792" cy="371527"/>
                    </a:xfrm>
                    <a:prstGeom prst="rect">
                      <a:avLst/>
                    </a:prstGeom>
                  </pic:spPr>
                </pic:pic>
              </a:graphicData>
            </a:graphic>
          </wp:inline>
        </w:drawing>
      </w:r>
    </w:p>
    <w:p w14:paraId="4468358A" w14:textId="77777777" w:rsidR="00277184" w:rsidRPr="000451E2" w:rsidRDefault="00277184" w:rsidP="00277184">
      <w:pPr>
        <w:pStyle w:val="ABKW"/>
        <w:jc w:val="both"/>
        <w:rPr>
          <w:lang w:val="en-GB"/>
        </w:rPr>
      </w:pPr>
      <w:r w:rsidRPr="000451E2">
        <w:rPr>
          <w:noProof/>
        </w:rPr>
        <w:drawing>
          <wp:anchor distT="0" distB="0" distL="114300" distR="114300" simplePos="0" relativeHeight="251660288" behindDoc="0" locked="0" layoutInCell="1" allowOverlap="1" wp14:anchorId="4FD6F46D" wp14:editId="046BE9EB">
            <wp:simplePos x="742950" y="5010150"/>
            <wp:positionH relativeFrom="column">
              <wp:align>left</wp:align>
            </wp:positionH>
            <wp:positionV relativeFrom="paragraph">
              <wp:align>top</wp:align>
            </wp:positionV>
            <wp:extent cx="855345" cy="169545"/>
            <wp:effectExtent l="0" t="0" r="1905" b="1905"/>
            <wp:wrapSquare wrapText="bothSides"/>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5345" cy="169545"/>
                    </a:xfrm>
                    <a:prstGeom prst="rect">
                      <a:avLst/>
                    </a:prstGeom>
                    <a:noFill/>
                    <a:ln w="9525">
                      <a:noFill/>
                      <a:miter lim="800000"/>
                      <a:headEnd/>
                      <a:tailEnd/>
                    </a:ln>
                  </pic:spPr>
                </pic:pic>
              </a:graphicData>
            </a:graphic>
          </wp:anchor>
        </w:drawing>
      </w:r>
    </w:p>
    <w:p w14:paraId="6CDAB56A" w14:textId="77777777" w:rsidR="00277184" w:rsidRPr="000451E2" w:rsidRDefault="00277184" w:rsidP="00277184">
      <w:pPr>
        <w:pStyle w:val="ABKW"/>
        <w:jc w:val="both"/>
        <w:rPr>
          <w:lang w:val="en-GB"/>
        </w:rPr>
      </w:pPr>
      <w:r w:rsidRPr="000451E2">
        <w:rPr>
          <w:lang w:val="en-GB"/>
        </w:rPr>
        <w:t>Equation 2.2: “r” is the radius and A</w:t>
      </w:r>
      <w:r w:rsidRPr="000451E2">
        <w:rPr>
          <w:vertAlign w:val="subscript"/>
          <w:lang w:val="en-GB"/>
        </w:rPr>
        <w:t xml:space="preserve">pipe </w:t>
      </w:r>
      <w:r w:rsidRPr="000451E2">
        <w:rPr>
          <w:lang w:val="en-GB"/>
        </w:rPr>
        <w:t>is the cross-sectional area of the tubing.</w:t>
      </w:r>
    </w:p>
    <w:p w14:paraId="1D6E8BE3" w14:textId="77777777" w:rsidR="00277184" w:rsidRPr="000451E2" w:rsidRDefault="00277184" w:rsidP="00277184">
      <w:pPr>
        <w:pStyle w:val="ABKW"/>
        <w:jc w:val="both"/>
        <w:rPr>
          <w:lang w:val="en-GB"/>
        </w:rPr>
      </w:pPr>
      <w:r w:rsidRPr="000451E2">
        <w:rPr>
          <w:lang w:val="en-GB"/>
        </w:rPr>
        <w:t>Regarding the flow velocity exiting the cannulas, the cannula outflow area [m</w:t>
      </w:r>
      <w:r w:rsidRPr="000451E2">
        <w:rPr>
          <w:vertAlign w:val="superscript"/>
          <w:lang w:val="en-GB"/>
        </w:rPr>
        <w:t>2</w:t>
      </w:r>
      <w:r w:rsidRPr="000451E2">
        <w:rPr>
          <w:lang w:val="en-GB"/>
        </w:rPr>
        <w:t>] is needed and we applied the equation 3.1, 3.2 and 3.3 to obtain the sum of the centre hole area and the side holes area.</w:t>
      </w:r>
    </w:p>
    <w:p w14:paraId="34F937FE" w14:textId="77777777" w:rsidR="00277184" w:rsidRPr="000451E2" w:rsidRDefault="00277184" w:rsidP="00277184">
      <w:pPr>
        <w:pStyle w:val="ABKW"/>
        <w:jc w:val="both"/>
        <w:rPr>
          <w:lang w:val="en-GB"/>
        </w:rPr>
      </w:pPr>
      <w:r w:rsidRPr="000451E2">
        <w:rPr>
          <w:noProof/>
        </w:rPr>
        <w:drawing>
          <wp:anchor distT="0" distB="0" distL="114300" distR="114300" simplePos="0" relativeHeight="251659264" behindDoc="0" locked="0" layoutInCell="1" allowOverlap="1" wp14:anchorId="3AF99A90" wp14:editId="14AB5703">
            <wp:simplePos x="0" y="0"/>
            <wp:positionH relativeFrom="column">
              <wp:posOffset>-205740</wp:posOffset>
            </wp:positionH>
            <wp:positionV relativeFrom="paragraph">
              <wp:posOffset>145415</wp:posOffset>
            </wp:positionV>
            <wp:extent cx="4829175" cy="1523365"/>
            <wp:effectExtent l="19050" t="0" r="9525" b="0"/>
            <wp:wrapSquare wrapText="bothSides"/>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mule modifica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29175" cy="1523365"/>
                    </a:xfrm>
                    <a:prstGeom prst="rect">
                      <a:avLst/>
                    </a:prstGeom>
                  </pic:spPr>
                </pic:pic>
              </a:graphicData>
            </a:graphic>
          </wp:anchor>
        </w:drawing>
      </w:r>
    </w:p>
    <w:p w14:paraId="57E5CB69" w14:textId="77777777" w:rsidR="00277184" w:rsidRPr="000451E2" w:rsidRDefault="00277184" w:rsidP="00277184">
      <w:pPr>
        <w:pStyle w:val="ABKW"/>
        <w:jc w:val="both"/>
        <w:rPr>
          <w:lang w:val="en-GB"/>
        </w:rPr>
      </w:pPr>
    </w:p>
    <w:p w14:paraId="25B96791" w14:textId="77777777" w:rsidR="00277184" w:rsidRPr="000451E2" w:rsidRDefault="00277184" w:rsidP="00277184">
      <w:pPr>
        <w:pStyle w:val="ABKW"/>
        <w:jc w:val="both"/>
        <w:rPr>
          <w:lang w:val="en-GB"/>
        </w:rPr>
      </w:pPr>
    </w:p>
    <w:p w14:paraId="54C6F925" w14:textId="77777777" w:rsidR="00277184" w:rsidRPr="000451E2" w:rsidRDefault="00277184" w:rsidP="00277184">
      <w:pPr>
        <w:pStyle w:val="ABKW"/>
        <w:jc w:val="both"/>
        <w:rPr>
          <w:lang w:val="en-GB"/>
        </w:rPr>
      </w:pPr>
    </w:p>
    <w:p w14:paraId="7050E79D" w14:textId="77777777" w:rsidR="00277184" w:rsidRPr="000451E2" w:rsidRDefault="00277184" w:rsidP="00277184">
      <w:pPr>
        <w:pStyle w:val="ABKW"/>
        <w:jc w:val="both"/>
        <w:rPr>
          <w:lang w:val="en-GB"/>
        </w:rPr>
      </w:pPr>
    </w:p>
    <w:p w14:paraId="6AD276CE" w14:textId="77777777" w:rsidR="00277184" w:rsidRPr="000451E2" w:rsidRDefault="00277184" w:rsidP="00277184">
      <w:pPr>
        <w:pStyle w:val="ABKW"/>
        <w:jc w:val="both"/>
        <w:rPr>
          <w:lang w:val="en-GB"/>
        </w:rPr>
      </w:pPr>
    </w:p>
    <w:p w14:paraId="2724B7F2" w14:textId="77777777" w:rsidR="00277184" w:rsidRPr="000451E2" w:rsidRDefault="00277184" w:rsidP="00277184">
      <w:pPr>
        <w:pStyle w:val="ABKW"/>
        <w:jc w:val="both"/>
        <w:rPr>
          <w:lang w:val="en-GB"/>
        </w:rPr>
      </w:pPr>
    </w:p>
    <w:p w14:paraId="46B1832C" w14:textId="77777777" w:rsidR="00277184" w:rsidRPr="000451E2" w:rsidRDefault="00277184" w:rsidP="00277184">
      <w:pPr>
        <w:pStyle w:val="ABKW"/>
        <w:jc w:val="both"/>
        <w:rPr>
          <w:lang w:val="en-GB"/>
        </w:rPr>
      </w:pPr>
      <w:r w:rsidRPr="000451E2">
        <w:rPr>
          <w:lang w:val="en-GB"/>
        </w:rPr>
        <w:t>Equation 3.1: The A</w:t>
      </w:r>
      <w:r w:rsidRPr="000451E2">
        <w:rPr>
          <w:vertAlign w:val="subscript"/>
          <w:lang w:val="en-GB"/>
        </w:rPr>
        <w:t>central hole</w:t>
      </w:r>
      <w:r w:rsidRPr="000451E2">
        <w:rPr>
          <w:lang w:val="en-GB"/>
        </w:rPr>
        <w:t xml:space="preserve"> [mm</w:t>
      </w:r>
      <w:r w:rsidRPr="000451E2">
        <w:rPr>
          <w:vertAlign w:val="superscript"/>
          <w:lang w:val="en-GB"/>
        </w:rPr>
        <w:t>2</w:t>
      </w:r>
      <w:r w:rsidRPr="000451E2">
        <w:rPr>
          <w:lang w:val="en-GB"/>
        </w:rPr>
        <w:t>] is the area of the main hole placed at the tip of the cannula, A</w:t>
      </w:r>
      <w:r w:rsidRPr="000451E2">
        <w:rPr>
          <w:vertAlign w:val="subscript"/>
          <w:lang w:val="en-GB"/>
        </w:rPr>
        <w:t>side hole</w:t>
      </w:r>
      <w:r w:rsidRPr="000451E2">
        <w:rPr>
          <w:lang w:val="en-GB"/>
        </w:rPr>
        <w:t xml:space="preserve"> [mm</w:t>
      </w:r>
      <w:r w:rsidRPr="000451E2">
        <w:rPr>
          <w:vertAlign w:val="superscript"/>
          <w:lang w:val="en-GB"/>
        </w:rPr>
        <w:t>2</w:t>
      </w:r>
      <w:r w:rsidRPr="000451E2">
        <w:rPr>
          <w:lang w:val="en-GB"/>
        </w:rPr>
        <w:t>] is the area of a single lateral hole on the cannula shaft, the D</w:t>
      </w:r>
      <w:r w:rsidRPr="000451E2">
        <w:rPr>
          <w:vertAlign w:val="subscript"/>
          <w:lang w:val="en-GB"/>
        </w:rPr>
        <w:t>centrale hole</w:t>
      </w:r>
      <w:r w:rsidRPr="000451E2">
        <w:rPr>
          <w:lang w:val="en-GB"/>
        </w:rPr>
        <w:t xml:space="preserve"> [mm] is the diameter of the main hole placed at the tip of the cannula, the D</w:t>
      </w:r>
      <w:r w:rsidRPr="000451E2">
        <w:rPr>
          <w:vertAlign w:val="subscript"/>
          <w:lang w:val="en-GB"/>
        </w:rPr>
        <w:t>side hole</w:t>
      </w:r>
      <w:r w:rsidRPr="000451E2">
        <w:rPr>
          <w:lang w:val="en-GB"/>
        </w:rPr>
        <w:t xml:space="preserve"> [mm] is the diameter of a single hole placed on the cannula shaft, the N</w:t>
      </w:r>
      <w:r w:rsidRPr="000451E2">
        <w:rPr>
          <w:vertAlign w:val="superscript"/>
          <w:lang w:val="en-GB"/>
        </w:rPr>
        <w:t>o</w:t>
      </w:r>
      <w:r w:rsidRPr="000451E2">
        <w:rPr>
          <w:vertAlign w:val="subscript"/>
          <w:lang w:val="en-GB"/>
        </w:rPr>
        <w:t>side hole</w:t>
      </w:r>
      <w:r w:rsidRPr="000451E2">
        <w:rPr>
          <w:lang w:val="en-GB"/>
        </w:rPr>
        <w:t xml:space="preserve"> is the total number of the hole placed on the cannula’s shaft.</w:t>
      </w:r>
    </w:p>
    <w:p w14:paraId="23021B08" w14:textId="77777777" w:rsidR="00277184" w:rsidRPr="000451E2" w:rsidRDefault="00277184" w:rsidP="00277184">
      <w:pPr>
        <w:pStyle w:val="ABKW"/>
        <w:jc w:val="both"/>
        <w:rPr>
          <w:lang w:val="en-GB"/>
        </w:rPr>
      </w:pPr>
      <w:r w:rsidRPr="000451E2">
        <w:rPr>
          <w:lang w:val="en-GB"/>
        </w:rPr>
        <w:t xml:space="preserve">Through the continuity equation, the velocity at the cannula outlet is determined enabling the computation of the cannula outflow pressure [Pa] using the Bernoulli’s equation. </w:t>
      </w:r>
    </w:p>
    <w:p w14:paraId="22D3D8E6" w14:textId="77777777" w:rsidR="00277184" w:rsidRPr="000451E2" w:rsidRDefault="00277184" w:rsidP="00277184">
      <w:pPr>
        <w:pStyle w:val="ABKW"/>
        <w:jc w:val="both"/>
        <w:rPr>
          <w:lang w:val="en-GB"/>
        </w:rPr>
      </w:pPr>
      <w:r w:rsidRPr="000451E2">
        <w:rPr>
          <w:lang w:val="en-GB"/>
        </w:rPr>
        <w:t>To assess the flow, the continuity equation along with Bernoulli’s equation for a stationary, incompressible and inviscid flow was applied. A Lagrange interpolation polynomial was used as described in the following series of equations:</w:t>
      </w:r>
    </w:p>
    <w:p w14:paraId="3434C4F9" w14:textId="77777777" w:rsidR="00277184" w:rsidRPr="000451E2" w:rsidRDefault="00277184" w:rsidP="00277184">
      <w:pPr>
        <w:pStyle w:val="ABKW"/>
        <w:jc w:val="both"/>
        <w:rPr>
          <w:lang w:val="en-GB"/>
        </w:rPr>
      </w:pPr>
      <w:r w:rsidRPr="000451E2">
        <w:rPr>
          <w:noProof/>
        </w:rPr>
        <w:drawing>
          <wp:inline distT="0" distB="0" distL="0" distR="0" wp14:anchorId="0C35D99F" wp14:editId="08EA5FD6">
            <wp:extent cx="1464945" cy="304800"/>
            <wp:effectExtent l="25400" t="0" r="8255" b="0"/>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1464945" cy="304800"/>
                    </a:xfrm>
                    <a:prstGeom prst="rect">
                      <a:avLst/>
                    </a:prstGeom>
                    <a:noFill/>
                    <a:ln w="9525">
                      <a:noFill/>
                      <a:miter lim="800000"/>
                      <a:headEnd/>
                      <a:tailEnd/>
                    </a:ln>
                  </pic:spPr>
                </pic:pic>
              </a:graphicData>
            </a:graphic>
          </wp:inline>
        </w:drawing>
      </w:r>
    </w:p>
    <w:p w14:paraId="677560FE" w14:textId="77777777" w:rsidR="00277184" w:rsidRPr="000451E2" w:rsidRDefault="00277184" w:rsidP="00277184">
      <w:pPr>
        <w:pStyle w:val="ABKW"/>
        <w:jc w:val="both"/>
        <w:rPr>
          <w:lang w:val="en-GB"/>
        </w:rPr>
      </w:pPr>
      <w:r w:rsidRPr="000451E2">
        <w:rPr>
          <w:noProof/>
        </w:rPr>
        <w:drawing>
          <wp:inline distT="0" distB="0" distL="0" distR="0" wp14:anchorId="226B5BA0" wp14:editId="0BA6DC86">
            <wp:extent cx="3411855" cy="287655"/>
            <wp:effectExtent l="25400" t="0" r="0" b="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3411855" cy="287655"/>
                    </a:xfrm>
                    <a:prstGeom prst="rect">
                      <a:avLst/>
                    </a:prstGeom>
                    <a:noFill/>
                    <a:ln w="9525">
                      <a:noFill/>
                      <a:miter lim="800000"/>
                      <a:headEnd/>
                      <a:tailEnd/>
                    </a:ln>
                  </pic:spPr>
                </pic:pic>
              </a:graphicData>
            </a:graphic>
          </wp:inline>
        </w:drawing>
      </w:r>
    </w:p>
    <w:p w14:paraId="1D16D6A1" w14:textId="77777777" w:rsidR="00277184" w:rsidRPr="000451E2" w:rsidRDefault="00277184" w:rsidP="00277184">
      <w:pPr>
        <w:pStyle w:val="ABKW"/>
        <w:jc w:val="both"/>
        <w:rPr>
          <w:lang w:val="en-GB"/>
        </w:rPr>
      </w:pPr>
      <w:r w:rsidRPr="000451E2">
        <w:rPr>
          <w:lang w:val="en-GB"/>
        </w:rPr>
        <w:lastRenderedPageBreak/>
        <w:t>Equation 4.1 – 4.2: P</w:t>
      </w:r>
      <w:r w:rsidRPr="000451E2">
        <w:rPr>
          <w:vertAlign w:val="subscript"/>
          <w:lang w:val="en-GB"/>
        </w:rPr>
        <w:t xml:space="preserve">pre </w:t>
      </w:r>
      <w:r w:rsidRPr="000451E2">
        <w:rPr>
          <w:lang w:val="en-GB"/>
        </w:rPr>
        <w:t>and P</w:t>
      </w:r>
      <w:r w:rsidRPr="000451E2">
        <w:rPr>
          <w:vertAlign w:val="subscript"/>
          <w:lang w:val="en-GB"/>
        </w:rPr>
        <w:t>post</w:t>
      </w:r>
      <w:r w:rsidRPr="000451E2">
        <w:rPr>
          <w:lang w:val="en-GB"/>
        </w:rPr>
        <w:t xml:space="preserve"> represent the pressure at the cannula connector and at the tip respectively, ρgh</w:t>
      </w:r>
      <w:r w:rsidRPr="000451E2">
        <w:rPr>
          <w:vertAlign w:val="subscript"/>
          <w:lang w:val="en-GB"/>
        </w:rPr>
        <w:t xml:space="preserve">pre </w:t>
      </w:r>
      <w:r w:rsidRPr="000451E2">
        <w:rPr>
          <w:lang w:val="en-GB"/>
        </w:rPr>
        <w:t>and ρgh</w:t>
      </w:r>
      <w:r w:rsidRPr="000451E2">
        <w:rPr>
          <w:vertAlign w:val="subscript"/>
          <w:lang w:val="en-GB"/>
        </w:rPr>
        <w:t>post</w:t>
      </w:r>
      <w:r w:rsidRPr="000451E2">
        <w:rPr>
          <w:lang w:val="en-GB"/>
        </w:rPr>
        <w:t xml:space="preserve"> are the relative heights at the cannula connector and at the tip respectively, ρv</w:t>
      </w:r>
      <w:r w:rsidRPr="000451E2">
        <w:rPr>
          <w:vertAlign w:val="subscript"/>
          <w:lang w:val="en-GB"/>
        </w:rPr>
        <w:t xml:space="preserve">pre </w:t>
      </w:r>
      <w:r w:rsidRPr="000451E2">
        <w:rPr>
          <w:lang w:val="en-GB"/>
        </w:rPr>
        <w:t>and ρv</w:t>
      </w:r>
      <w:r w:rsidRPr="000451E2">
        <w:rPr>
          <w:vertAlign w:val="subscript"/>
          <w:lang w:val="en-GB"/>
        </w:rPr>
        <w:t xml:space="preserve">post </w:t>
      </w:r>
      <w:r w:rsidRPr="000451E2">
        <w:rPr>
          <w:lang w:val="en-GB"/>
        </w:rPr>
        <w:t>represent the fluid velocity at the cannula connector and at the tip respectively</w:t>
      </w:r>
    </w:p>
    <w:p w14:paraId="1034969D" w14:textId="77777777" w:rsidR="00277184" w:rsidRPr="000451E2" w:rsidRDefault="00277184" w:rsidP="00277184">
      <w:pPr>
        <w:pStyle w:val="ABKW"/>
        <w:jc w:val="both"/>
        <w:rPr>
          <w:lang w:val="en-GB"/>
        </w:rPr>
      </w:pPr>
      <w:r w:rsidRPr="000451E2">
        <w:rPr>
          <w:lang w:val="en-GB"/>
        </w:rPr>
        <w:t xml:space="preserve">Assuming the cannula is horizontal </w:t>
      </w:r>
      <w:r w:rsidRPr="000451E2">
        <w:rPr>
          <w:lang w:val="en-GB"/>
        </w:rPr>
        <w:fldChar w:fldCharType="begin"/>
      </w:r>
      <w:r w:rsidRPr="000451E2">
        <w:rPr>
          <w:lang w:val="en-GB"/>
        </w:rPr>
        <w:instrText xml:space="preserve"> QUOTE </w:instrText>
      </w:r>
      <w:r w:rsidRPr="000451E2">
        <w:rPr>
          <w:noProof/>
        </w:rPr>
        <w:drawing>
          <wp:inline distT="0" distB="0" distL="0" distR="0" wp14:anchorId="1B66BA87" wp14:editId="4F0E8936">
            <wp:extent cx="499745" cy="160655"/>
            <wp:effectExtent l="25400" t="0" r="8255"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499745" cy="160655"/>
                    </a:xfrm>
                    <a:prstGeom prst="rect">
                      <a:avLst/>
                    </a:prstGeom>
                    <a:noFill/>
                    <a:ln w="9525">
                      <a:noFill/>
                      <a:miter lim="800000"/>
                      <a:headEnd/>
                      <a:tailEnd/>
                    </a:ln>
                  </pic:spPr>
                </pic:pic>
              </a:graphicData>
            </a:graphic>
          </wp:inline>
        </w:drawing>
      </w:r>
      <w:r w:rsidRPr="000451E2">
        <w:rPr>
          <w:lang w:val="en-GB"/>
        </w:rPr>
        <w:instrText xml:space="preserve"> </w:instrText>
      </w:r>
      <w:r w:rsidRPr="000451E2">
        <w:rPr>
          <w:lang w:val="en-GB"/>
        </w:rPr>
        <w:fldChar w:fldCharType="separate"/>
      </w:r>
      <w:r w:rsidRPr="000451E2">
        <w:rPr>
          <w:noProof/>
        </w:rPr>
        <w:drawing>
          <wp:inline distT="0" distB="0" distL="0" distR="0" wp14:anchorId="7BB2B0FC" wp14:editId="113CA19F">
            <wp:extent cx="499745" cy="160655"/>
            <wp:effectExtent l="25400" t="0" r="8255"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499745" cy="160655"/>
                    </a:xfrm>
                    <a:prstGeom prst="rect">
                      <a:avLst/>
                    </a:prstGeom>
                    <a:noFill/>
                    <a:ln w="9525">
                      <a:noFill/>
                      <a:miter lim="800000"/>
                      <a:headEnd/>
                      <a:tailEnd/>
                    </a:ln>
                  </pic:spPr>
                </pic:pic>
              </a:graphicData>
            </a:graphic>
          </wp:inline>
        </w:drawing>
      </w:r>
      <w:r w:rsidRPr="000451E2">
        <w:rPr>
          <w:lang w:val="en-GB"/>
        </w:rPr>
        <w:fldChar w:fldCharType="end"/>
      </w:r>
      <w:r w:rsidRPr="000451E2">
        <w:rPr>
          <w:lang w:val="en-GB"/>
        </w:rPr>
        <w:t xml:space="preserve"> = </w:t>
      </w:r>
      <w:r w:rsidRPr="000451E2">
        <w:rPr>
          <w:lang w:val="en-GB"/>
        </w:rPr>
        <w:fldChar w:fldCharType="begin"/>
      </w:r>
      <w:r w:rsidRPr="000451E2">
        <w:rPr>
          <w:lang w:val="en-GB"/>
        </w:rPr>
        <w:instrText xml:space="preserve"> QUOTE </w:instrText>
      </w:r>
      <w:r w:rsidRPr="000451E2">
        <w:rPr>
          <w:noProof/>
        </w:rPr>
        <w:drawing>
          <wp:inline distT="0" distB="0" distL="0" distR="0" wp14:anchorId="5E10FDCB" wp14:editId="4CE534F4">
            <wp:extent cx="499745" cy="194945"/>
            <wp:effectExtent l="25400" t="0" r="8255" b="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499745" cy="194945"/>
                    </a:xfrm>
                    <a:prstGeom prst="rect">
                      <a:avLst/>
                    </a:prstGeom>
                    <a:noFill/>
                    <a:ln w="9525">
                      <a:noFill/>
                      <a:miter lim="800000"/>
                      <a:headEnd/>
                      <a:tailEnd/>
                    </a:ln>
                  </pic:spPr>
                </pic:pic>
              </a:graphicData>
            </a:graphic>
          </wp:inline>
        </w:drawing>
      </w:r>
      <w:r w:rsidRPr="000451E2">
        <w:rPr>
          <w:lang w:val="en-GB"/>
        </w:rPr>
        <w:instrText xml:space="preserve"> </w:instrText>
      </w:r>
      <w:r w:rsidRPr="000451E2">
        <w:rPr>
          <w:lang w:val="en-GB"/>
        </w:rPr>
        <w:fldChar w:fldCharType="separate"/>
      </w:r>
      <w:r w:rsidRPr="000451E2">
        <w:rPr>
          <w:noProof/>
        </w:rPr>
        <w:drawing>
          <wp:inline distT="0" distB="0" distL="0" distR="0" wp14:anchorId="102D572D" wp14:editId="3676075B">
            <wp:extent cx="499745" cy="194945"/>
            <wp:effectExtent l="25400" t="0" r="8255"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499745" cy="194945"/>
                    </a:xfrm>
                    <a:prstGeom prst="rect">
                      <a:avLst/>
                    </a:prstGeom>
                    <a:noFill/>
                    <a:ln w="9525">
                      <a:noFill/>
                      <a:miter lim="800000"/>
                      <a:headEnd/>
                      <a:tailEnd/>
                    </a:ln>
                  </pic:spPr>
                </pic:pic>
              </a:graphicData>
            </a:graphic>
          </wp:inline>
        </w:drawing>
      </w:r>
      <w:r w:rsidRPr="000451E2">
        <w:rPr>
          <w:lang w:val="en-GB"/>
        </w:rPr>
        <w:fldChar w:fldCharType="end"/>
      </w:r>
      <w:r w:rsidRPr="000451E2">
        <w:rPr>
          <w:lang w:val="en-GB"/>
        </w:rPr>
        <w:t>. This yield:</w:t>
      </w:r>
    </w:p>
    <w:p w14:paraId="4C82BA62" w14:textId="77777777" w:rsidR="00277184" w:rsidRPr="000451E2" w:rsidRDefault="00277184" w:rsidP="00277184">
      <w:pPr>
        <w:pStyle w:val="ABKW"/>
        <w:jc w:val="both"/>
        <w:rPr>
          <w:lang w:val="en-GB"/>
        </w:rPr>
      </w:pPr>
      <w:r w:rsidRPr="000451E2">
        <w:rPr>
          <w:noProof/>
        </w:rPr>
        <w:drawing>
          <wp:inline distT="0" distB="0" distL="0" distR="0" wp14:anchorId="6904F5C3" wp14:editId="7E553385">
            <wp:extent cx="2176145" cy="287655"/>
            <wp:effectExtent l="25400" t="0" r="8255"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2176145" cy="287655"/>
                    </a:xfrm>
                    <a:prstGeom prst="rect">
                      <a:avLst/>
                    </a:prstGeom>
                    <a:noFill/>
                    <a:ln w="9525">
                      <a:noFill/>
                      <a:miter lim="800000"/>
                      <a:headEnd/>
                      <a:tailEnd/>
                    </a:ln>
                  </pic:spPr>
                </pic:pic>
              </a:graphicData>
            </a:graphic>
          </wp:inline>
        </w:drawing>
      </w:r>
    </w:p>
    <w:p w14:paraId="4E352807" w14:textId="77777777" w:rsidR="00277184" w:rsidRPr="000451E2" w:rsidRDefault="00277184" w:rsidP="00277184">
      <w:pPr>
        <w:pStyle w:val="ABKW"/>
        <w:jc w:val="both"/>
        <w:rPr>
          <w:lang w:val="en-GB"/>
        </w:rPr>
      </w:pPr>
      <w:r w:rsidRPr="000451E2">
        <w:rPr>
          <w:lang w:val="en-GB"/>
        </w:rPr>
        <w:t>Equation 5.1: P</w:t>
      </w:r>
      <w:r w:rsidRPr="000451E2">
        <w:rPr>
          <w:vertAlign w:val="subscript"/>
          <w:lang w:val="en-GB"/>
        </w:rPr>
        <w:t xml:space="preserve">pre </w:t>
      </w:r>
      <w:r w:rsidRPr="000451E2">
        <w:rPr>
          <w:lang w:val="en-GB"/>
        </w:rPr>
        <w:t>and P</w:t>
      </w:r>
      <w:r w:rsidRPr="000451E2">
        <w:rPr>
          <w:vertAlign w:val="subscript"/>
          <w:lang w:val="en-GB"/>
        </w:rPr>
        <w:t>post</w:t>
      </w:r>
      <w:r w:rsidRPr="000451E2">
        <w:rPr>
          <w:lang w:val="en-GB"/>
        </w:rPr>
        <w:t xml:space="preserve"> are the pressures at the cannula connector and at the tip respectively, ρ represents the fluid density, v</w:t>
      </w:r>
      <w:r w:rsidRPr="000451E2">
        <w:rPr>
          <w:vertAlign w:val="subscript"/>
          <w:lang w:val="en-GB"/>
        </w:rPr>
        <w:t xml:space="preserve">pre </w:t>
      </w:r>
      <w:r w:rsidRPr="000451E2">
        <w:rPr>
          <w:lang w:val="en-GB"/>
        </w:rPr>
        <w:t xml:space="preserve"> and v</w:t>
      </w:r>
      <w:r w:rsidRPr="000451E2">
        <w:rPr>
          <w:vertAlign w:val="subscript"/>
          <w:lang w:val="en-GB"/>
        </w:rPr>
        <w:t xml:space="preserve">post  </w:t>
      </w:r>
      <w:r w:rsidRPr="000451E2">
        <w:rPr>
          <w:lang w:val="en-US"/>
        </w:rPr>
        <w:t>[m/s]</w:t>
      </w:r>
      <w:r w:rsidRPr="000451E2">
        <w:rPr>
          <w:sz w:val="28"/>
          <w:szCs w:val="28"/>
          <w:lang w:val="en-US"/>
        </w:rPr>
        <w:t xml:space="preserve">  </w:t>
      </w:r>
      <w:r w:rsidRPr="000451E2">
        <w:rPr>
          <w:lang w:val="en-GB"/>
        </w:rPr>
        <w:t>represent the fluid velocity at the cannula connector and at the tip respectively and h represents the</w:t>
      </w:r>
      <w:r w:rsidRPr="000451E2">
        <w:rPr>
          <w:color w:val="4472C4" w:themeColor="accent1"/>
          <w:lang w:val="en-GB"/>
        </w:rPr>
        <w:t xml:space="preserve"> height </w:t>
      </w:r>
      <w:r w:rsidRPr="000451E2">
        <w:rPr>
          <w:lang w:val="en-GB"/>
        </w:rPr>
        <w:t>of the tube’s centre.</w:t>
      </w:r>
    </w:p>
    <w:p w14:paraId="684D79FE" w14:textId="77777777" w:rsidR="00277184" w:rsidRPr="000451E2" w:rsidRDefault="00277184" w:rsidP="00277184">
      <w:pPr>
        <w:pStyle w:val="ABKW"/>
        <w:jc w:val="both"/>
        <w:rPr>
          <w:lang w:val="en-GB"/>
        </w:rPr>
      </w:pPr>
      <w:r w:rsidRPr="000451E2">
        <w:rPr>
          <w:lang w:val="en-GB"/>
        </w:rPr>
        <w:t xml:space="preserve">Thus, all the pressures, flows and velocities at any point of the circuit, from the post </w:t>
      </w:r>
      <w:r w:rsidRPr="000451E2">
        <w:rPr>
          <w:color w:val="4472C4" w:themeColor="accent1"/>
          <w:lang w:val="en-GB"/>
        </w:rPr>
        <w:t>oxy</w:t>
      </w:r>
      <w:r w:rsidRPr="000451E2">
        <w:rPr>
          <w:lang w:val="en-GB"/>
        </w:rPr>
        <w:t>, to the cannula outflow, can be estimated.</w:t>
      </w:r>
    </w:p>
    <w:p w14:paraId="7F4E0339" w14:textId="77777777" w:rsidR="00277184" w:rsidRPr="000451E2" w:rsidRDefault="00277184" w:rsidP="00277184">
      <w:pPr>
        <w:pStyle w:val="ABKW"/>
        <w:jc w:val="both"/>
        <w:rPr>
          <w:lang w:val="en-GB"/>
        </w:rPr>
      </w:pPr>
      <w:r w:rsidRPr="000451E2">
        <w:rPr>
          <w:lang w:val="en-GB"/>
        </w:rPr>
        <w:t>In addition to this, the spreadsheet shows pressures and velocities at pre and post cannula levels and the flow in both return limbs, showing the single input of the total flow ECMO.</w:t>
      </w:r>
    </w:p>
    <w:p w14:paraId="6EDEAEDF" w14:textId="77777777" w:rsidR="00277184" w:rsidRPr="000451E2" w:rsidRDefault="00277184" w:rsidP="00277184">
      <w:pPr>
        <w:pStyle w:val="ABKW"/>
        <w:jc w:val="both"/>
        <w:rPr>
          <w:lang w:val="en-GB"/>
        </w:rPr>
      </w:pPr>
      <w:r w:rsidRPr="000451E2">
        <w:rPr>
          <w:lang w:val="en-GB"/>
        </w:rPr>
        <w:t>Through a Lagrangian [17] interpolation, a function was obtained where the inflow and outflow pressures and velocities could be estimated from the experimentally obtained data. We then proceeded with the continuity law (to derive cannula outflow speed) and the Bernoulli’s law (for the pressure). This allowed us to assume a hypothetic Qtot [L/min], and see how the system responded.</w:t>
      </w:r>
    </w:p>
    <w:p w14:paraId="6FE782F1" w14:textId="77777777" w:rsidR="00277184" w:rsidRPr="000451E2" w:rsidRDefault="00277184" w:rsidP="00277184">
      <w:pPr>
        <w:pStyle w:val="ABKW"/>
        <w:jc w:val="both"/>
        <w:rPr>
          <w:lang w:val="en-GB"/>
        </w:rPr>
      </w:pPr>
      <w:r w:rsidRPr="000451E2">
        <w:rPr>
          <w:lang w:val="en-GB"/>
        </w:rPr>
        <w:t>These formulas (using Lagrange interpolation) calculate inflow and outflow pressures [mmHg] and velocities [m/s].</w:t>
      </w:r>
    </w:p>
    <w:p w14:paraId="1F9740FA" w14:textId="77777777" w:rsidR="00277184" w:rsidRPr="000451E2" w:rsidRDefault="00277184" w:rsidP="00277184">
      <w:pPr>
        <w:pStyle w:val="ABKW"/>
        <w:jc w:val="both"/>
        <w:rPr>
          <w:lang w:val="en-GB"/>
        </w:rPr>
      </w:pPr>
      <w:r w:rsidRPr="000451E2">
        <w:rPr>
          <w:noProof/>
        </w:rPr>
        <w:drawing>
          <wp:inline distT="0" distB="0" distL="0" distR="0" wp14:anchorId="25A674EC" wp14:editId="7DE04218">
            <wp:extent cx="1134745" cy="575945"/>
            <wp:effectExtent l="25400" t="0" r="8255"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1134745" cy="575945"/>
                    </a:xfrm>
                    <a:prstGeom prst="rect">
                      <a:avLst/>
                    </a:prstGeom>
                    <a:noFill/>
                    <a:ln w="9525">
                      <a:noFill/>
                      <a:miter lim="800000"/>
                      <a:headEnd/>
                      <a:tailEnd/>
                    </a:ln>
                  </pic:spPr>
                </pic:pic>
              </a:graphicData>
            </a:graphic>
          </wp:inline>
        </w:drawing>
      </w:r>
    </w:p>
    <w:p w14:paraId="08A4802E" w14:textId="77777777" w:rsidR="00277184" w:rsidRPr="000451E2" w:rsidRDefault="00277184" w:rsidP="00277184">
      <w:pPr>
        <w:pStyle w:val="ABKW"/>
        <w:jc w:val="both"/>
        <w:rPr>
          <w:lang w:val="en-GB"/>
        </w:rPr>
      </w:pPr>
      <w:r w:rsidRPr="000451E2">
        <w:rPr>
          <w:noProof/>
        </w:rPr>
        <w:drawing>
          <wp:inline distT="0" distB="0" distL="0" distR="0" wp14:anchorId="1F54940C" wp14:editId="0AC0579F">
            <wp:extent cx="1125855" cy="575945"/>
            <wp:effectExtent l="25400" t="0" r="0" b="0"/>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1125855" cy="575945"/>
                    </a:xfrm>
                    <a:prstGeom prst="rect">
                      <a:avLst/>
                    </a:prstGeom>
                    <a:noFill/>
                    <a:ln w="9525">
                      <a:noFill/>
                      <a:miter lim="800000"/>
                      <a:headEnd/>
                      <a:tailEnd/>
                    </a:ln>
                  </pic:spPr>
                </pic:pic>
              </a:graphicData>
            </a:graphic>
          </wp:inline>
        </w:drawing>
      </w:r>
    </w:p>
    <w:p w14:paraId="29D61185" w14:textId="77777777" w:rsidR="00277184" w:rsidRPr="000451E2" w:rsidRDefault="00277184" w:rsidP="00277184">
      <w:pPr>
        <w:pStyle w:val="ABKW"/>
        <w:jc w:val="both"/>
        <w:rPr>
          <w:lang w:val="en-GB"/>
        </w:rPr>
      </w:pPr>
      <w:r w:rsidRPr="000451E2">
        <w:rPr>
          <w:lang w:val="en-GB"/>
        </w:rPr>
        <w:t>Equations 6.1 – 6.2: P</w:t>
      </w:r>
      <w:r w:rsidRPr="000451E2">
        <w:rPr>
          <w:vertAlign w:val="subscript"/>
          <w:lang w:val="en-GB"/>
        </w:rPr>
        <w:t>i</w:t>
      </w:r>
      <w:r w:rsidRPr="000451E2">
        <w:rPr>
          <w:lang w:val="en-GB"/>
        </w:rPr>
        <w:t xml:space="preserve"> [mmHg] is the pressure at the cannula connector, V</w:t>
      </w:r>
      <w:r w:rsidRPr="000451E2">
        <w:rPr>
          <w:vertAlign w:val="subscript"/>
          <w:lang w:val="en-GB"/>
        </w:rPr>
        <w:t xml:space="preserve">i </w:t>
      </w:r>
      <w:r w:rsidRPr="000451E2">
        <w:rPr>
          <w:lang w:val="en-US"/>
        </w:rPr>
        <w:t>[m/s]</w:t>
      </w:r>
      <w:r w:rsidRPr="000451E2">
        <w:rPr>
          <w:sz w:val="28"/>
          <w:szCs w:val="28"/>
          <w:lang w:val="en-US"/>
        </w:rPr>
        <w:t xml:space="preserve"> is</w:t>
      </w:r>
      <w:r w:rsidRPr="000451E2">
        <w:rPr>
          <w:lang w:val="en-GB"/>
        </w:rPr>
        <w:t xml:space="preserve"> the velocity at the cannula connector.</w:t>
      </w:r>
    </w:p>
    <w:p w14:paraId="146AE69F" w14:textId="77777777" w:rsidR="00277184" w:rsidRPr="00B719A1" w:rsidRDefault="00277184" w:rsidP="00277184">
      <w:pPr>
        <w:pStyle w:val="ABKW"/>
        <w:jc w:val="both"/>
        <w:rPr>
          <w:lang w:val="en-GB"/>
        </w:rPr>
      </w:pPr>
      <w:r w:rsidRPr="000451E2">
        <w:rPr>
          <w:lang w:val="en-GB"/>
        </w:rPr>
        <w:t xml:space="preserve">We wondered if it were possible to do the opposite, i.e, to calculate the Qtot [L/min] needed for a given desired arterial flow. This was solved by using the "bisection" or “dichotomy" method. In fact, thanks to this mathematical method we could answer the question: giving the desired arterial flow as an input to the </w:t>
      </w:r>
      <w:r w:rsidRPr="000451E2">
        <w:rPr>
          <w:i/>
          <w:lang w:val="en-GB"/>
        </w:rPr>
        <w:t>calculator,</w:t>
      </w:r>
      <w:r w:rsidRPr="000451E2">
        <w:rPr>
          <w:lang w:val="en-GB"/>
        </w:rPr>
        <w:t xml:space="preserve"> the answer to the question as Qtot needed, was given.</w:t>
      </w:r>
    </w:p>
    <w:p w14:paraId="641E2A4A" w14:textId="77777777" w:rsidR="00277184" w:rsidRPr="00B719A1" w:rsidRDefault="00277184" w:rsidP="00277184">
      <w:pPr>
        <w:rPr>
          <w:lang w:val="en-US"/>
        </w:rPr>
      </w:pPr>
    </w:p>
    <w:p w14:paraId="7449527D" w14:textId="77777777" w:rsidR="00277184" w:rsidRPr="00B719A1" w:rsidRDefault="00277184" w:rsidP="00277184">
      <w:pPr>
        <w:rPr>
          <w:lang w:val="en-US"/>
        </w:rPr>
      </w:pPr>
    </w:p>
    <w:p w14:paraId="3BEE7E0C" w14:textId="77777777" w:rsidR="00277184" w:rsidRDefault="00277184" w:rsidP="00277184">
      <w:pPr>
        <w:pStyle w:val="QS"/>
        <w:jc w:val="both"/>
        <w:rPr>
          <w:color w:val="000000" w:themeColor="text1"/>
          <w:lang w:val="en-GB"/>
        </w:rPr>
      </w:pPr>
    </w:p>
    <w:p w14:paraId="476656EB" w14:textId="77777777" w:rsidR="00277184" w:rsidRDefault="00277184" w:rsidP="00277184">
      <w:pPr>
        <w:pStyle w:val="QS"/>
        <w:jc w:val="both"/>
        <w:rPr>
          <w:color w:val="000000" w:themeColor="text1"/>
          <w:lang w:val="en-GB"/>
        </w:rPr>
      </w:pPr>
    </w:p>
    <w:p w14:paraId="3C2156EE" w14:textId="77777777" w:rsidR="00277184" w:rsidRDefault="00277184" w:rsidP="00277184">
      <w:pPr>
        <w:pStyle w:val="QS"/>
        <w:jc w:val="both"/>
        <w:rPr>
          <w:color w:val="000000" w:themeColor="text1"/>
          <w:lang w:val="en-GB"/>
        </w:rPr>
      </w:pPr>
    </w:p>
    <w:p w14:paraId="6610AEF7" w14:textId="77777777" w:rsidR="00277184" w:rsidRDefault="00277184" w:rsidP="00277184">
      <w:pPr>
        <w:pStyle w:val="QS"/>
        <w:jc w:val="both"/>
        <w:rPr>
          <w:color w:val="000000" w:themeColor="text1"/>
          <w:lang w:val="en-GB"/>
        </w:rPr>
      </w:pPr>
    </w:p>
    <w:p w14:paraId="43576A19" w14:textId="77777777" w:rsidR="00DF09D1" w:rsidRDefault="00DF09D1" w:rsidP="00DF09D1">
      <w:pPr>
        <w:pStyle w:val="QS"/>
        <w:jc w:val="both"/>
        <w:rPr>
          <w:color w:val="000000" w:themeColor="text1"/>
          <w:lang w:val="en-GB"/>
        </w:rPr>
      </w:pPr>
      <w:bookmarkStart w:id="0" w:name="_GoBack"/>
      <w:bookmarkEnd w:id="0"/>
    </w:p>
    <w:sectPr w:rsidR="00DF09D1" w:rsidSect="0033656E">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E31DA" w14:textId="77777777" w:rsidR="00E60159" w:rsidRDefault="00E60159" w:rsidP="00D23D67">
      <w:r>
        <w:separator/>
      </w:r>
    </w:p>
  </w:endnote>
  <w:endnote w:type="continuationSeparator" w:id="0">
    <w:p w14:paraId="67BB09A2" w14:textId="77777777" w:rsidR="00E60159" w:rsidRDefault="00E60159" w:rsidP="00D2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A0982" w14:textId="77777777" w:rsidR="00E60159" w:rsidRDefault="00E60159" w:rsidP="00D23D67">
      <w:r>
        <w:separator/>
      </w:r>
    </w:p>
  </w:footnote>
  <w:footnote w:type="continuationSeparator" w:id="0">
    <w:p w14:paraId="41442164" w14:textId="77777777" w:rsidR="00E60159" w:rsidRDefault="00E60159" w:rsidP="00D23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15E1B"/>
    <w:multiLevelType w:val="multilevel"/>
    <w:tmpl w:val="DD74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D304AB"/>
    <w:multiLevelType w:val="hybridMultilevel"/>
    <w:tmpl w:val="68560784"/>
    <w:lvl w:ilvl="0" w:tplc="ADFABB2A">
      <w:start w:val="1"/>
      <w:numFmt w:val="decimal"/>
      <w:lvlText w:val="%1."/>
      <w:lvlJc w:val="left"/>
      <w:pPr>
        <w:ind w:left="720" w:hanging="360"/>
      </w:pPr>
      <w:rPr>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A6D"/>
    <w:rsid w:val="00003E07"/>
    <w:rsid w:val="00007537"/>
    <w:rsid w:val="0001277A"/>
    <w:rsid w:val="000159C8"/>
    <w:rsid w:val="00023F9A"/>
    <w:rsid w:val="0002619F"/>
    <w:rsid w:val="00036E61"/>
    <w:rsid w:val="000451E2"/>
    <w:rsid w:val="00054B79"/>
    <w:rsid w:val="0005572F"/>
    <w:rsid w:val="000557DA"/>
    <w:rsid w:val="00067071"/>
    <w:rsid w:val="00074C3C"/>
    <w:rsid w:val="000858AD"/>
    <w:rsid w:val="000901C7"/>
    <w:rsid w:val="00093E7E"/>
    <w:rsid w:val="0009512F"/>
    <w:rsid w:val="00096C8C"/>
    <w:rsid w:val="000A416A"/>
    <w:rsid w:val="000B57E4"/>
    <w:rsid w:val="000C13A9"/>
    <w:rsid w:val="000C2301"/>
    <w:rsid w:val="000C6F5A"/>
    <w:rsid w:val="000D09EB"/>
    <w:rsid w:val="000D5D3C"/>
    <w:rsid w:val="000E674A"/>
    <w:rsid w:val="000E6CC7"/>
    <w:rsid w:val="000F0F59"/>
    <w:rsid w:val="000F2B77"/>
    <w:rsid w:val="00107B87"/>
    <w:rsid w:val="00113CDA"/>
    <w:rsid w:val="00125597"/>
    <w:rsid w:val="00130906"/>
    <w:rsid w:val="00132BA3"/>
    <w:rsid w:val="00142B9C"/>
    <w:rsid w:val="00152C11"/>
    <w:rsid w:val="00153A23"/>
    <w:rsid w:val="001650D8"/>
    <w:rsid w:val="00195D64"/>
    <w:rsid w:val="001A343D"/>
    <w:rsid w:val="001A630C"/>
    <w:rsid w:val="001C4090"/>
    <w:rsid w:val="001D6254"/>
    <w:rsid w:val="001E0895"/>
    <w:rsid w:val="001F61D7"/>
    <w:rsid w:val="00202DC7"/>
    <w:rsid w:val="00205D65"/>
    <w:rsid w:val="00221782"/>
    <w:rsid w:val="00236040"/>
    <w:rsid w:val="00276125"/>
    <w:rsid w:val="00277184"/>
    <w:rsid w:val="002943BC"/>
    <w:rsid w:val="002A6C0C"/>
    <w:rsid w:val="002B3665"/>
    <w:rsid w:val="002B42EB"/>
    <w:rsid w:val="002B697B"/>
    <w:rsid w:val="002B7B9B"/>
    <w:rsid w:val="002C03EE"/>
    <w:rsid w:val="002D05B6"/>
    <w:rsid w:val="002D26AE"/>
    <w:rsid w:val="002E32B9"/>
    <w:rsid w:val="002F0C9D"/>
    <w:rsid w:val="002F0E22"/>
    <w:rsid w:val="002F6BBF"/>
    <w:rsid w:val="00335F4E"/>
    <w:rsid w:val="0033656E"/>
    <w:rsid w:val="0034673C"/>
    <w:rsid w:val="00352A7B"/>
    <w:rsid w:val="00363693"/>
    <w:rsid w:val="00364F1E"/>
    <w:rsid w:val="00370740"/>
    <w:rsid w:val="00381887"/>
    <w:rsid w:val="00384503"/>
    <w:rsid w:val="003A0008"/>
    <w:rsid w:val="003A6CEC"/>
    <w:rsid w:val="003C434A"/>
    <w:rsid w:val="003C7B82"/>
    <w:rsid w:val="003F4904"/>
    <w:rsid w:val="003F7800"/>
    <w:rsid w:val="004160C3"/>
    <w:rsid w:val="00422A3C"/>
    <w:rsid w:val="004240B0"/>
    <w:rsid w:val="00424DF6"/>
    <w:rsid w:val="004279F7"/>
    <w:rsid w:val="00435A6D"/>
    <w:rsid w:val="004502B6"/>
    <w:rsid w:val="00465792"/>
    <w:rsid w:val="00465D28"/>
    <w:rsid w:val="004708D0"/>
    <w:rsid w:val="00472D7D"/>
    <w:rsid w:val="00473B43"/>
    <w:rsid w:val="00490A6F"/>
    <w:rsid w:val="004A07EB"/>
    <w:rsid w:val="004A17FE"/>
    <w:rsid w:val="004A1D66"/>
    <w:rsid w:val="004B077C"/>
    <w:rsid w:val="004C02FB"/>
    <w:rsid w:val="004D5EEB"/>
    <w:rsid w:val="004E132C"/>
    <w:rsid w:val="004E1511"/>
    <w:rsid w:val="004F0876"/>
    <w:rsid w:val="004F0A1B"/>
    <w:rsid w:val="004F6798"/>
    <w:rsid w:val="005039F9"/>
    <w:rsid w:val="00505B49"/>
    <w:rsid w:val="0051092D"/>
    <w:rsid w:val="00512508"/>
    <w:rsid w:val="00516D81"/>
    <w:rsid w:val="00516D8A"/>
    <w:rsid w:val="00517505"/>
    <w:rsid w:val="005275F3"/>
    <w:rsid w:val="00530A2B"/>
    <w:rsid w:val="00543D4B"/>
    <w:rsid w:val="00570DD7"/>
    <w:rsid w:val="00573664"/>
    <w:rsid w:val="005748E1"/>
    <w:rsid w:val="00586EFD"/>
    <w:rsid w:val="005905D7"/>
    <w:rsid w:val="005A2D30"/>
    <w:rsid w:val="005B5D24"/>
    <w:rsid w:val="005D04B8"/>
    <w:rsid w:val="005F2051"/>
    <w:rsid w:val="006014F4"/>
    <w:rsid w:val="0060281F"/>
    <w:rsid w:val="006062F5"/>
    <w:rsid w:val="0061164A"/>
    <w:rsid w:val="00634F73"/>
    <w:rsid w:val="00636240"/>
    <w:rsid w:val="006448CB"/>
    <w:rsid w:val="00647A4C"/>
    <w:rsid w:val="006514AC"/>
    <w:rsid w:val="00662ADF"/>
    <w:rsid w:val="006705B0"/>
    <w:rsid w:val="00683EC7"/>
    <w:rsid w:val="006841FF"/>
    <w:rsid w:val="006A3335"/>
    <w:rsid w:val="006B32A3"/>
    <w:rsid w:val="006B55C3"/>
    <w:rsid w:val="006C7E6E"/>
    <w:rsid w:val="006E4F64"/>
    <w:rsid w:val="006F3BE6"/>
    <w:rsid w:val="00703BBD"/>
    <w:rsid w:val="00703DCE"/>
    <w:rsid w:val="0072175E"/>
    <w:rsid w:val="00731C48"/>
    <w:rsid w:val="007410C3"/>
    <w:rsid w:val="00747CCB"/>
    <w:rsid w:val="00754C1D"/>
    <w:rsid w:val="0075664C"/>
    <w:rsid w:val="00772177"/>
    <w:rsid w:val="00776852"/>
    <w:rsid w:val="007855C0"/>
    <w:rsid w:val="007858F9"/>
    <w:rsid w:val="0079368B"/>
    <w:rsid w:val="00796476"/>
    <w:rsid w:val="007B4FDC"/>
    <w:rsid w:val="007C13CD"/>
    <w:rsid w:val="007C1511"/>
    <w:rsid w:val="007C547F"/>
    <w:rsid w:val="007D02D4"/>
    <w:rsid w:val="007D5778"/>
    <w:rsid w:val="007F467B"/>
    <w:rsid w:val="00805E49"/>
    <w:rsid w:val="00821DE9"/>
    <w:rsid w:val="008337E3"/>
    <w:rsid w:val="00836639"/>
    <w:rsid w:val="008501CB"/>
    <w:rsid w:val="0085171C"/>
    <w:rsid w:val="00851EBB"/>
    <w:rsid w:val="008772C1"/>
    <w:rsid w:val="0089174B"/>
    <w:rsid w:val="008A107C"/>
    <w:rsid w:val="008A1166"/>
    <w:rsid w:val="008C0B6C"/>
    <w:rsid w:val="008C35C6"/>
    <w:rsid w:val="008D024B"/>
    <w:rsid w:val="008D57EF"/>
    <w:rsid w:val="008E2466"/>
    <w:rsid w:val="008F173A"/>
    <w:rsid w:val="008F2354"/>
    <w:rsid w:val="009147A5"/>
    <w:rsid w:val="00917F10"/>
    <w:rsid w:val="0092164A"/>
    <w:rsid w:val="00933EFD"/>
    <w:rsid w:val="00935D91"/>
    <w:rsid w:val="00935DB0"/>
    <w:rsid w:val="009375BF"/>
    <w:rsid w:val="00941719"/>
    <w:rsid w:val="00942F39"/>
    <w:rsid w:val="00943037"/>
    <w:rsid w:val="00951EAE"/>
    <w:rsid w:val="0095296A"/>
    <w:rsid w:val="009640DB"/>
    <w:rsid w:val="00964C87"/>
    <w:rsid w:val="00966579"/>
    <w:rsid w:val="00980764"/>
    <w:rsid w:val="00982092"/>
    <w:rsid w:val="00986255"/>
    <w:rsid w:val="00991FAB"/>
    <w:rsid w:val="009C0A14"/>
    <w:rsid w:val="009C0BEF"/>
    <w:rsid w:val="009C2CEC"/>
    <w:rsid w:val="009C4D50"/>
    <w:rsid w:val="009F0E5C"/>
    <w:rsid w:val="009F5A46"/>
    <w:rsid w:val="00A05115"/>
    <w:rsid w:val="00A10D4D"/>
    <w:rsid w:val="00A15E28"/>
    <w:rsid w:val="00A3698F"/>
    <w:rsid w:val="00A51C29"/>
    <w:rsid w:val="00A56AA8"/>
    <w:rsid w:val="00A610CA"/>
    <w:rsid w:val="00A83157"/>
    <w:rsid w:val="00A84C85"/>
    <w:rsid w:val="00AA4241"/>
    <w:rsid w:val="00AA545D"/>
    <w:rsid w:val="00AA62A5"/>
    <w:rsid w:val="00AD26D5"/>
    <w:rsid w:val="00AD65DA"/>
    <w:rsid w:val="00B224A4"/>
    <w:rsid w:val="00B233B1"/>
    <w:rsid w:val="00B261BE"/>
    <w:rsid w:val="00B37FFD"/>
    <w:rsid w:val="00B4294E"/>
    <w:rsid w:val="00B50A2D"/>
    <w:rsid w:val="00B55AE1"/>
    <w:rsid w:val="00B563B0"/>
    <w:rsid w:val="00B84B6E"/>
    <w:rsid w:val="00B91E00"/>
    <w:rsid w:val="00BA000A"/>
    <w:rsid w:val="00BA2236"/>
    <w:rsid w:val="00BA656C"/>
    <w:rsid w:val="00BB296E"/>
    <w:rsid w:val="00BB409A"/>
    <w:rsid w:val="00BB6012"/>
    <w:rsid w:val="00BC06AC"/>
    <w:rsid w:val="00BC10D0"/>
    <w:rsid w:val="00BC5F5E"/>
    <w:rsid w:val="00BC7366"/>
    <w:rsid w:val="00BE3D61"/>
    <w:rsid w:val="00BF3123"/>
    <w:rsid w:val="00C02CAF"/>
    <w:rsid w:val="00C04E77"/>
    <w:rsid w:val="00C05C11"/>
    <w:rsid w:val="00C07E8C"/>
    <w:rsid w:val="00C13B40"/>
    <w:rsid w:val="00C43D9D"/>
    <w:rsid w:val="00C51920"/>
    <w:rsid w:val="00C551FC"/>
    <w:rsid w:val="00C75034"/>
    <w:rsid w:val="00C92467"/>
    <w:rsid w:val="00C92916"/>
    <w:rsid w:val="00CC33E5"/>
    <w:rsid w:val="00CD276B"/>
    <w:rsid w:val="00CD3EBA"/>
    <w:rsid w:val="00CF21CC"/>
    <w:rsid w:val="00D05227"/>
    <w:rsid w:val="00D174A4"/>
    <w:rsid w:val="00D2164B"/>
    <w:rsid w:val="00D23D67"/>
    <w:rsid w:val="00D27EA5"/>
    <w:rsid w:val="00D721C9"/>
    <w:rsid w:val="00DA5EA0"/>
    <w:rsid w:val="00DC3AAF"/>
    <w:rsid w:val="00DF09D1"/>
    <w:rsid w:val="00DF5DE6"/>
    <w:rsid w:val="00E2046F"/>
    <w:rsid w:val="00E252FF"/>
    <w:rsid w:val="00E25F73"/>
    <w:rsid w:val="00E31E87"/>
    <w:rsid w:val="00E505E9"/>
    <w:rsid w:val="00E60159"/>
    <w:rsid w:val="00E64B58"/>
    <w:rsid w:val="00EA15F5"/>
    <w:rsid w:val="00EA77F6"/>
    <w:rsid w:val="00EB42AC"/>
    <w:rsid w:val="00ED14C3"/>
    <w:rsid w:val="00EE390E"/>
    <w:rsid w:val="00EE3D11"/>
    <w:rsid w:val="00EE41DC"/>
    <w:rsid w:val="00EE4282"/>
    <w:rsid w:val="00F02242"/>
    <w:rsid w:val="00F0612D"/>
    <w:rsid w:val="00F14948"/>
    <w:rsid w:val="00F16067"/>
    <w:rsid w:val="00F201FE"/>
    <w:rsid w:val="00F33237"/>
    <w:rsid w:val="00F449C7"/>
    <w:rsid w:val="00F46640"/>
    <w:rsid w:val="00F6102B"/>
    <w:rsid w:val="00F722FC"/>
    <w:rsid w:val="00F72BED"/>
    <w:rsid w:val="00F77CF8"/>
    <w:rsid w:val="00FA48E2"/>
    <w:rsid w:val="00FB5146"/>
    <w:rsid w:val="00FC2747"/>
    <w:rsid w:val="00FC2F1D"/>
    <w:rsid w:val="00FD00BE"/>
    <w:rsid w:val="00FD3905"/>
    <w:rsid w:val="00FD461F"/>
    <w:rsid w:val="00FD58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D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35A6D"/>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ED14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ED14C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BKW">
    <w:name w:val="ABKW"/>
    <w:basedOn w:val="Normale"/>
    <w:rsid w:val="00435A6D"/>
    <w:pPr>
      <w:spacing w:before="120" w:after="120"/>
    </w:pPr>
  </w:style>
  <w:style w:type="paragraph" w:customStyle="1" w:styleId="ABKWH">
    <w:name w:val="ABKWH"/>
    <w:basedOn w:val="Normale"/>
    <w:rsid w:val="00435A6D"/>
    <w:pPr>
      <w:spacing w:before="120" w:after="120"/>
    </w:pPr>
    <w:rPr>
      <w:color w:val="9E3A3A"/>
      <w:sz w:val="32"/>
    </w:rPr>
  </w:style>
  <w:style w:type="paragraph" w:customStyle="1" w:styleId="QS">
    <w:name w:val="QS"/>
    <w:basedOn w:val="Normale"/>
    <w:rsid w:val="00435A6D"/>
  </w:style>
  <w:style w:type="character" w:styleId="Collegamentoipertestuale">
    <w:name w:val="Hyperlink"/>
    <w:basedOn w:val="Carpredefinitoparagrafo"/>
    <w:uiPriority w:val="99"/>
    <w:rsid w:val="00435A6D"/>
    <w:rPr>
      <w:color w:val="0000FF"/>
      <w:u w:val="single"/>
    </w:rPr>
  </w:style>
  <w:style w:type="character" w:styleId="Rimandocommento">
    <w:name w:val="annotation reference"/>
    <w:basedOn w:val="Carpredefinitoparagrafo"/>
    <w:semiHidden/>
    <w:unhideWhenUsed/>
    <w:rsid w:val="00435A6D"/>
    <w:rPr>
      <w:sz w:val="16"/>
      <w:szCs w:val="16"/>
    </w:rPr>
  </w:style>
  <w:style w:type="paragraph" w:styleId="Testocommento">
    <w:name w:val="annotation text"/>
    <w:basedOn w:val="Normale"/>
    <w:link w:val="TestocommentoCarattere"/>
    <w:unhideWhenUsed/>
    <w:rsid w:val="00435A6D"/>
    <w:pPr>
      <w:spacing w:after="200"/>
    </w:pPr>
    <w:rPr>
      <w:rFonts w:asciiTheme="minorHAnsi" w:eastAsiaTheme="minorHAnsi" w:hAnsiTheme="minorHAnsi" w:cstheme="minorBidi"/>
      <w:sz w:val="20"/>
      <w:szCs w:val="20"/>
    </w:rPr>
  </w:style>
  <w:style w:type="character" w:customStyle="1" w:styleId="TestocommentoCarattere">
    <w:name w:val="Testo commento Carattere"/>
    <w:basedOn w:val="Carpredefinitoparagrafo"/>
    <w:link w:val="Testocommento"/>
    <w:rsid w:val="00435A6D"/>
    <w:rPr>
      <w:sz w:val="20"/>
      <w:szCs w:val="20"/>
      <w:lang w:eastAsia="it-IT"/>
    </w:rPr>
  </w:style>
  <w:style w:type="character" w:customStyle="1" w:styleId="jrnl">
    <w:name w:val="jrnl"/>
    <w:basedOn w:val="Carpredefinitoparagrafo"/>
    <w:rsid w:val="00435A6D"/>
  </w:style>
  <w:style w:type="paragraph" w:styleId="Testofumetto">
    <w:name w:val="Balloon Text"/>
    <w:basedOn w:val="Normale"/>
    <w:link w:val="TestofumettoCarattere"/>
    <w:uiPriority w:val="99"/>
    <w:semiHidden/>
    <w:unhideWhenUsed/>
    <w:rsid w:val="00435A6D"/>
    <w:rPr>
      <w:sz w:val="18"/>
      <w:szCs w:val="18"/>
    </w:rPr>
  </w:style>
  <w:style w:type="character" w:customStyle="1" w:styleId="TestofumettoCarattere">
    <w:name w:val="Testo fumetto Carattere"/>
    <w:basedOn w:val="Carpredefinitoparagrafo"/>
    <w:link w:val="Testofumetto"/>
    <w:uiPriority w:val="99"/>
    <w:semiHidden/>
    <w:rsid w:val="00435A6D"/>
    <w:rPr>
      <w:rFonts w:ascii="Times New Roman" w:eastAsia="Times New Roman" w:hAnsi="Times New Roman" w:cs="Times New Roman"/>
      <w:sz w:val="18"/>
      <w:szCs w:val="18"/>
      <w:lang w:eastAsia="it-IT"/>
    </w:rPr>
  </w:style>
  <w:style w:type="paragraph" w:styleId="Revisione">
    <w:name w:val="Revision"/>
    <w:hidden/>
    <w:uiPriority w:val="99"/>
    <w:semiHidden/>
    <w:rsid w:val="00435A6D"/>
    <w:rPr>
      <w:rFonts w:ascii="Times New Roman" w:eastAsia="Times New Roman" w:hAnsi="Times New Roman" w:cs="Times New Roman"/>
      <w:lang w:eastAsia="it-IT"/>
    </w:rPr>
  </w:style>
  <w:style w:type="paragraph" w:styleId="Intestazione">
    <w:name w:val="header"/>
    <w:basedOn w:val="Normale"/>
    <w:link w:val="IntestazioneCarattere"/>
    <w:uiPriority w:val="99"/>
    <w:semiHidden/>
    <w:unhideWhenUsed/>
    <w:rsid w:val="00D23D6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23D67"/>
    <w:rPr>
      <w:rFonts w:ascii="Times New Roman" w:eastAsia="Times New Roman" w:hAnsi="Times New Roman" w:cs="Times New Roman"/>
      <w:lang w:eastAsia="it-IT"/>
    </w:rPr>
  </w:style>
  <w:style w:type="paragraph" w:styleId="Pidipagina">
    <w:name w:val="footer"/>
    <w:basedOn w:val="Normale"/>
    <w:link w:val="PidipaginaCarattere"/>
    <w:uiPriority w:val="99"/>
    <w:semiHidden/>
    <w:unhideWhenUsed/>
    <w:rsid w:val="00D23D6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D23D67"/>
    <w:rPr>
      <w:rFonts w:ascii="Times New Roman" w:eastAsia="Times New Roman" w:hAnsi="Times New Roman" w:cs="Times New Roman"/>
      <w:lang w:eastAsia="it-IT"/>
    </w:rPr>
  </w:style>
  <w:style w:type="paragraph" w:styleId="Paragrafoelenco">
    <w:name w:val="List Paragraph"/>
    <w:basedOn w:val="Normale"/>
    <w:uiPriority w:val="34"/>
    <w:qFormat/>
    <w:rsid w:val="002B3665"/>
    <w:pPr>
      <w:ind w:left="720"/>
      <w:contextualSpacing/>
    </w:pPr>
    <w:rPr>
      <w:szCs w:val="20"/>
    </w:rPr>
  </w:style>
  <w:style w:type="paragraph" w:styleId="NormaleWeb">
    <w:name w:val="Normal (Web)"/>
    <w:basedOn w:val="Normale"/>
    <w:uiPriority w:val="99"/>
    <w:unhideWhenUsed/>
    <w:rsid w:val="00982092"/>
    <w:pPr>
      <w:spacing w:before="100" w:beforeAutospacing="1" w:after="100" w:afterAutospacing="1"/>
    </w:pPr>
  </w:style>
  <w:style w:type="paragraph" w:styleId="PreformattatoHTML">
    <w:name w:val="HTML Preformatted"/>
    <w:basedOn w:val="Normale"/>
    <w:link w:val="PreformattatoHTMLCarattere"/>
    <w:uiPriority w:val="99"/>
    <w:semiHidden/>
    <w:unhideWhenUsed/>
    <w:rsid w:val="007B4FDC"/>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7B4FDC"/>
    <w:rPr>
      <w:rFonts w:ascii="Consolas" w:eastAsia="Times New Roman" w:hAnsi="Consolas" w:cs="Consolas"/>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C4D50"/>
    <w:pPr>
      <w:spacing w:after="0"/>
    </w:pPr>
    <w:rPr>
      <w:rFonts w:ascii="Times New Roman" w:eastAsia="Times New Roman" w:hAnsi="Times New Roman" w:cs="Times New Roman"/>
      <w:b/>
      <w:bCs/>
    </w:rPr>
  </w:style>
  <w:style w:type="character" w:customStyle="1" w:styleId="SoggettocommentoCarattere">
    <w:name w:val="Soggetto commento Carattere"/>
    <w:basedOn w:val="TestocommentoCarattere"/>
    <w:link w:val="Soggettocommento"/>
    <w:uiPriority w:val="99"/>
    <w:semiHidden/>
    <w:rsid w:val="009C4D50"/>
    <w:rPr>
      <w:rFonts w:ascii="Times New Roman" w:eastAsia="Times New Roman" w:hAnsi="Times New Roman" w:cs="Times New Roman"/>
      <w:b/>
      <w:bCs/>
      <w:sz w:val="20"/>
      <w:szCs w:val="20"/>
      <w:lang w:eastAsia="it-IT"/>
    </w:rPr>
  </w:style>
  <w:style w:type="character" w:styleId="Collegamentovisitato">
    <w:name w:val="FollowedHyperlink"/>
    <w:basedOn w:val="Carpredefinitoparagrafo"/>
    <w:uiPriority w:val="99"/>
    <w:semiHidden/>
    <w:unhideWhenUsed/>
    <w:rsid w:val="008C0B6C"/>
    <w:rPr>
      <w:color w:val="954F72" w:themeColor="followedHyperlink"/>
      <w:u w:val="single"/>
    </w:rPr>
  </w:style>
  <w:style w:type="character" w:styleId="CitazioneHTML">
    <w:name w:val="HTML Cite"/>
    <w:basedOn w:val="Carpredefinitoparagrafo"/>
    <w:uiPriority w:val="99"/>
    <w:semiHidden/>
    <w:unhideWhenUsed/>
    <w:rsid w:val="0061164A"/>
    <w:rPr>
      <w:i/>
      <w:iCs/>
    </w:rPr>
  </w:style>
  <w:style w:type="character" w:customStyle="1" w:styleId="apple-converted-space">
    <w:name w:val="apple-converted-space"/>
    <w:basedOn w:val="Carpredefinitoparagrafo"/>
    <w:rsid w:val="0061164A"/>
  </w:style>
  <w:style w:type="character" w:customStyle="1" w:styleId="Menzionenonrisolta1">
    <w:name w:val="Menzione non risolta1"/>
    <w:basedOn w:val="Carpredefinitoparagrafo"/>
    <w:uiPriority w:val="99"/>
    <w:semiHidden/>
    <w:unhideWhenUsed/>
    <w:rsid w:val="005F2051"/>
    <w:rPr>
      <w:color w:val="605E5C"/>
      <w:shd w:val="clear" w:color="auto" w:fill="E1DFDD"/>
    </w:rPr>
  </w:style>
  <w:style w:type="character" w:customStyle="1" w:styleId="Titolo1Carattere">
    <w:name w:val="Titolo 1 Carattere"/>
    <w:basedOn w:val="Carpredefinitoparagrafo"/>
    <w:link w:val="Titolo1"/>
    <w:uiPriority w:val="9"/>
    <w:rsid w:val="00ED14C3"/>
    <w:rPr>
      <w:rFonts w:asciiTheme="majorHAnsi" w:eastAsiaTheme="majorEastAsia" w:hAnsiTheme="majorHAnsi" w:cstheme="majorBidi"/>
      <w:color w:val="2F5496" w:themeColor="accent1" w:themeShade="BF"/>
      <w:sz w:val="32"/>
      <w:szCs w:val="32"/>
      <w:lang w:eastAsia="it-IT"/>
    </w:rPr>
  </w:style>
  <w:style w:type="character" w:customStyle="1" w:styleId="Titolo2Carattere">
    <w:name w:val="Titolo 2 Carattere"/>
    <w:basedOn w:val="Carpredefinitoparagrafo"/>
    <w:link w:val="Titolo2"/>
    <w:uiPriority w:val="9"/>
    <w:rsid w:val="00ED14C3"/>
    <w:rPr>
      <w:rFonts w:asciiTheme="majorHAnsi" w:eastAsiaTheme="majorEastAsia" w:hAnsiTheme="majorHAnsi" w:cstheme="majorBidi"/>
      <w:color w:val="2F5496" w:themeColor="accent1" w:themeShade="BF"/>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57543">
      <w:bodyDiv w:val="1"/>
      <w:marLeft w:val="0"/>
      <w:marRight w:val="0"/>
      <w:marTop w:val="0"/>
      <w:marBottom w:val="0"/>
      <w:divBdr>
        <w:top w:val="none" w:sz="0" w:space="0" w:color="auto"/>
        <w:left w:val="none" w:sz="0" w:space="0" w:color="auto"/>
        <w:bottom w:val="none" w:sz="0" w:space="0" w:color="auto"/>
        <w:right w:val="none" w:sz="0" w:space="0" w:color="auto"/>
      </w:divBdr>
    </w:div>
    <w:div w:id="191381279">
      <w:bodyDiv w:val="1"/>
      <w:marLeft w:val="0"/>
      <w:marRight w:val="0"/>
      <w:marTop w:val="0"/>
      <w:marBottom w:val="0"/>
      <w:divBdr>
        <w:top w:val="none" w:sz="0" w:space="0" w:color="auto"/>
        <w:left w:val="none" w:sz="0" w:space="0" w:color="auto"/>
        <w:bottom w:val="none" w:sz="0" w:space="0" w:color="auto"/>
        <w:right w:val="none" w:sz="0" w:space="0" w:color="auto"/>
      </w:divBdr>
    </w:div>
    <w:div w:id="405307046">
      <w:bodyDiv w:val="1"/>
      <w:marLeft w:val="0"/>
      <w:marRight w:val="0"/>
      <w:marTop w:val="0"/>
      <w:marBottom w:val="0"/>
      <w:divBdr>
        <w:top w:val="none" w:sz="0" w:space="0" w:color="auto"/>
        <w:left w:val="none" w:sz="0" w:space="0" w:color="auto"/>
        <w:bottom w:val="none" w:sz="0" w:space="0" w:color="auto"/>
        <w:right w:val="none" w:sz="0" w:space="0" w:color="auto"/>
      </w:divBdr>
      <w:divsChild>
        <w:div w:id="1881428541">
          <w:marLeft w:val="0"/>
          <w:marRight w:val="0"/>
          <w:marTop w:val="0"/>
          <w:marBottom w:val="0"/>
          <w:divBdr>
            <w:top w:val="none" w:sz="0" w:space="0" w:color="auto"/>
            <w:left w:val="none" w:sz="0" w:space="0" w:color="auto"/>
            <w:bottom w:val="none" w:sz="0" w:space="0" w:color="auto"/>
            <w:right w:val="none" w:sz="0" w:space="0" w:color="auto"/>
          </w:divBdr>
        </w:div>
      </w:divsChild>
    </w:div>
    <w:div w:id="796223705">
      <w:bodyDiv w:val="1"/>
      <w:marLeft w:val="0"/>
      <w:marRight w:val="0"/>
      <w:marTop w:val="0"/>
      <w:marBottom w:val="0"/>
      <w:divBdr>
        <w:top w:val="none" w:sz="0" w:space="0" w:color="auto"/>
        <w:left w:val="none" w:sz="0" w:space="0" w:color="auto"/>
        <w:bottom w:val="none" w:sz="0" w:space="0" w:color="auto"/>
        <w:right w:val="none" w:sz="0" w:space="0" w:color="auto"/>
      </w:divBdr>
      <w:divsChild>
        <w:div w:id="161311896">
          <w:marLeft w:val="0"/>
          <w:marRight w:val="0"/>
          <w:marTop w:val="0"/>
          <w:marBottom w:val="0"/>
          <w:divBdr>
            <w:top w:val="none" w:sz="0" w:space="0" w:color="auto"/>
            <w:left w:val="none" w:sz="0" w:space="0" w:color="auto"/>
            <w:bottom w:val="none" w:sz="0" w:space="0" w:color="auto"/>
            <w:right w:val="none" w:sz="0" w:space="0" w:color="auto"/>
          </w:divBdr>
          <w:divsChild>
            <w:div w:id="1054810712">
              <w:marLeft w:val="0"/>
              <w:marRight w:val="0"/>
              <w:marTop w:val="0"/>
              <w:marBottom w:val="0"/>
              <w:divBdr>
                <w:top w:val="none" w:sz="0" w:space="0" w:color="auto"/>
                <w:left w:val="none" w:sz="0" w:space="0" w:color="auto"/>
                <w:bottom w:val="none" w:sz="0" w:space="0" w:color="auto"/>
                <w:right w:val="none" w:sz="0" w:space="0" w:color="auto"/>
              </w:divBdr>
              <w:divsChild>
                <w:div w:id="15977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49790">
      <w:bodyDiv w:val="1"/>
      <w:marLeft w:val="0"/>
      <w:marRight w:val="0"/>
      <w:marTop w:val="0"/>
      <w:marBottom w:val="0"/>
      <w:divBdr>
        <w:top w:val="none" w:sz="0" w:space="0" w:color="auto"/>
        <w:left w:val="none" w:sz="0" w:space="0" w:color="auto"/>
        <w:bottom w:val="none" w:sz="0" w:space="0" w:color="auto"/>
        <w:right w:val="none" w:sz="0" w:space="0" w:color="auto"/>
      </w:divBdr>
    </w:div>
    <w:div w:id="1767114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13349-497E-844C-BF20-BF282EE5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3472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2019-08-19T19:22:00Z</dcterms:created>
  <dcterms:modified xsi:type="dcterms:W3CDTF">2019-08-19T19:52:00Z</dcterms:modified>
</cp:coreProperties>
</file>