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3AE" w:rsidRPr="000076B4" w:rsidRDefault="00DA2EB1" w:rsidP="00EE14BE">
      <w:pPr>
        <w:pStyle w:val="Text"/>
        <w:rPr>
          <w:rFonts w:ascii="Arial" w:hAnsi="Arial" w:cs="Arial"/>
          <w:b/>
          <w:bCs/>
          <w:lang w:val="en-US"/>
        </w:rPr>
      </w:pPr>
      <w:r w:rsidRPr="000076B4">
        <w:rPr>
          <w:rFonts w:ascii="Arial" w:hAnsi="Arial" w:cs="Arial"/>
          <w:b/>
          <w:bCs/>
          <w:lang w:val="en-US"/>
        </w:rPr>
        <w:t xml:space="preserve">MALDI-TOF Mass Spectrometry-based </w:t>
      </w:r>
      <w:r w:rsidR="00E953AE" w:rsidRPr="000076B4">
        <w:rPr>
          <w:rFonts w:ascii="Arial" w:hAnsi="Arial" w:cs="Arial"/>
          <w:b/>
          <w:bCs/>
          <w:lang w:val="en-US"/>
        </w:rPr>
        <w:t xml:space="preserve">High-Throughput Screening for Inhibitors of the Cytosolic DNA Sensor </w:t>
      </w:r>
      <w:proofErr w:type="spellStart"/>
      <w:r w:rsidR="00E953AE" w:rsidRPr="000076B4">
        <w:rPr>
          <w:rFonts w:ascii="Arial" w:hAnsi="Arial" w:cs="Arial"/>
          <w:b/>
          <w:bCs/>
          <w:lang w:val="en-US"/>
        </w:rPr>
        <w:t>cGAS</w:t>
      </w:r>
      <w:proofErr w:type="spellEnd"/>
      <w:r w:rsidR="00E953AE" w:rsidRPr="000076B4">
        <w:rPr>
          <w:rFonts w:ascii="Arial" w:hAnsi="Arial" w:cs="Arial"/>
          <w:b/>
          <w:bCs/>
          <w:lang w:val="en-US"/>
        </w:rPr>
        <w:t xml:space="preserve"> </w:t>
      </w:r>
    </w:p>
    <w:p w:rsidR="000076B4" w:rsidRPr="000076B4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r w:rsidRPr="000076B4">
        <w:rPr>
          <w:rFonts w:ascii="Arial" w:hAnsi="Arial"/>
          <w:sz w:val="24"/>
          <w:lang w:val="en-US"/>
        </w:rPr>
        <w:t>Roman P. Simon</w:t>
      </w:r>
      <w:r w:rsidRPr="000076B4">
        <w:rPr>
          <w:rFonts w:ascii="Arial" w:hAnsi="Arial"/>
          <w:sz w:val="24"/>
          <w:vertAlign w:val="superscript"/>
          <w:lang w:val="en-US"/>
        </w:rPr>
        <w:t>1,*</w:t>
      </w:r>
      <w:r w:rsidRPr="000076B4">
        <w:rPr>
          <w:rFonts w:ascii="Arial" w:hAnsi="Arial"/>
          <w:sz w:val="24"/>
          <w:lang w:val="en-US"/>
        </w:rPr>
        <w:t>, Martin Winter</w:t>
      </w:r>
      <w:r w:rsidRPr="000076B4">
        <w:rPr>
          <w:rFonts w:ascii="Arial" w:hAnsi="Arial"/>
          <w:sz w:val="24"/>
          <w:vertAlign w:val="superscript"/>
          <w:lang w:val="en-US"/>
        </w:rPr>
        <w:t>1,*</w:t>
      </w:r>
      <w:r w:rsidRPr="000076B4">
        <w:rPr>
          <w:rFonts w:ascii="Arial" w:hAnsi="Arial"/>
          <w:sz w:val="24"/>
          <w:lang w:val="en-US"/>
        </w:rPr>
        <w:t xml:space="preserve">, </w:t>
      </w:r>
      <w:proofErr w:type="spellStart"/>
      <w:r w:rsidRPr="000076B4">
        <w:rPr>
          <w:rFonts w:ascii="Arial" w:hAnsi="Arial"/>
          <w:sz w:val="24"/>
          <w:lang w:val="en-US"/>
        </w:rPr>
        <w:t>Carola</w:t>
      </w:r>
      <w:proofErr w:type="spellEnd"/>
      <w:r w:rsidRPr="000076B4">
        <w:rPr>
          <w:rFonts w:ascii="Arial" w:hAnsi="Arial"/>
          <w:sz w:val="24"/>
          <w:lang w:val="en-US"/>
        </w:rPr>
        <w:t xml:space="preserve"> Kleiner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Robert Ries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Gisela Schnapp</w:t>
      </w:r>
      <w:r w:rsidRPr="000076B4">
        <w:rPr>
          <w:rFonts w:ascii="Arial" w:hAnsi="Arial"/>
          <w:sz w:val="24"/>
          <w:vertAlign w:val="superscript"/>
          <w:lang w:val="en-US"/>
        </w:rPr>
        <w:t>2</w:t>
      </w:r>
      <w:r w:rsidRPr="000076B4">
        <w:rPr>
          <w:rFonts w:ascii="Arial" w:hAnsi="Arial"/>
          <w:sz w:val="24"/>
          <w:lang w:val="en-US"/>
        </w:rPr>
        <w:t xml:space="preserve">, </w:t>
      </w:r>
      <w:proofErr w:type="spellStart"/>
      <w:r w:rsidRPr="000076B4">
        <w:rPr>
          <w:rFonts w:ascii="Arial" w:hAnsi="Arial"/>
          <w:sz w:val="24"/>
          <w:lang w:val="en-US"/>
        </w:rPr>
        <w:t>Annekatrin</w:t>
      </w:r>
      <w:proofErr w:type="spellEnd"/>
      <w:r w:rsidRPr="000076B4">
        <w:rPr>
          <w:rFonts w:ascii="Arial" w:hAnsi="Arial"/>
          <w:sz w:val="24"/>
          <w:lang w:val="en-US"/>
        </w:rPr>
        <w:t xml:space="preserve"> Heimann</w:t>
      </w:r>
      <w:r w:rsidRPr="000076B4">
        <w:rPr>
          <w:rFonts w:ascii="Arial" w:hAnsi="Arial"/>
          <w:sz w:val="24"/>
          <w:vertAlign w:val="superscript"/>
          <w:lang w:val="en-US"/>
        </w:rPr>
        <w:t>2</w:t>
      </w:r>
      <w:r w:rsidRPr="000076B4">
        <w:rPr>
          <w:rFonts w:ascii="Arial" w:hAnsi="Arial"/>
          <w:sz w:val="24"/>
          <w:lang w:val="en-US"/>
        </w:rPr>
        <w:t>, Jun Li</w:t>
      </w:r>
      <w:r w:rsidRPr="000076B4">
        <w:rPr>
          <w:rFonts w:ascii="Arial" w:hAnsi="Arial"/>
          <w:sz w:val="24"/>
          <w:vertAlign w:val="superscript"/>
          <w:lang w:val="en-US"/>
        </w:rPr>
        <w:t>3</w:t>
      </w:r>
      <w:r w:rsidRPr="000076B4">
        <w:rPr>
          <w:rFonts w:ascii="Arial" w:hAnsi="Arial"/>
          <w:sz w:val="24"/>
          <w:lang w:val="en-US"/>
        </w:rPr>
        <w:t xml:space="preserve">, </w:t>
      </w:r>
      <w:proofErr w:type="spellStart"/>
      <w:r w:rsidRPr="000076B4">
        <w:rPr>
          <w:rFonts w:ascii="Arial" w:hAnsi="Arial"/>
          <w:sz w:val="24"/>
          <w:lang w:val="en-US"/>
        </w:rPr>
        <w:t>Ljiljana</w:t>
      </w:r>
      <w:proofErr w:type="spellEnd"/>
      <w:r w:rsidRPr="000076B4">
        <w:rPr>
          <w:rFonts w:ascii="Arial" w:hAnsi="Arial"/>
          <w:sz w:val="24"/>
          <w:lang w:val="en-US"/>
        </w:rPr>
        <w:t xml:space="preserve"> Zuvela-Jelaska</w:t>
      </w:r>
      <w:r w:rsidRPr="000076B4">
        <w:rPr>
          <w:rFonts w:ascii="Arial" w:hAnsi="Arial"/>
          <w:sz w:val="24"/>
          <w:vertAlign w:val="superscript"/>
          <w:lang w:val="en-US"/>
        </w:rPr>
        <w:t>3</w:t>
      </w:r>
      <w:r w:rsidRPr="000076B4">
        <w:rPr>
          <w:rFonts w:ascii="Arial" w:hAnsi="Arial"/>
          <w:sz w:val="24"/>
          <w:lang w:val="en-US"/>
        </w:rPr>
        <w:t>, Tom Bretschneider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Andreas H. Luippold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Wolfgang Reindl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Daniel Bischoff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  <w:r w:rsidRPr="000076B4">
        <w:rPr>
          <w:rFonts w:ascii="Arial" w:hAnsi="Arial"/>
          <w:sz w:val="24"/>
          <w:lang w:val="en-US"/>
        </w:rPr>
        <w:t>, and Frank H. Büttner</w:t>
      </w:r>
      <w:r w:rsidRPr="000076B4">
        <w:rPr>
          <w:rFonts w:ascii="Arial" w:hAnsi="Arial"/>
          <w:sz w:val="24"/>
          <w:vertAlign w:val="superscript"/>
          <w:lang w:val="en-US"/>
        </w:rPr>
        <w:t>1</w:t>
      </w:r>
    </w:p>
    <w:p w:rsidR="000076B4" w:rsidRPr="000076B4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proofErr w:type="gramStart"/>
      <w:r w:rsidRPr="000076B4">
        <w:rPr>
          <w:rFonts w:ascii="Arial" w:hAnsi="Arial"/>
          <w:sz w:val="24"/>
          <w:vertAlign w:val="superscript"/>
          <w:lang w:val="en-US"/>
        </w:rPr>
        <w:t>1</w:t>
      </w:r>
      <w:proofErr w:type="gramEnd"/>
      <w:r w:rsidRPr="000076B4">
        <w:rPr>
          <w:rFonts w:ascii="Arial" w:hAnsi="Arial"/>
          <w:sz w:val="24"/>
          <w:lang w:val="en-US"/>
        </w:rPr>
        <w:t xml:space="preserve"> Drug Discovery Sciences, Boehringer Ingelheim Pharma GmbH &amp; Co. KG, </w:t>
      </w:r>
      <w:proofErr w:type="spellStart"/>
      <w:r w:rsidRPr="000076B4">
        <w:rPr>
          <w:rFonts w:ascii="Arial" w:hAnsi="Arial"/>
          <w:sz w:val="24"/>
          <w:lang w:val="en-US"/>
        </w:rPr>
        <w:t>Biberach</w:t>
      </w:r>
      <w:proofErr w:type="spellEnd"/>
      <w:r w:rsidRPr="000076B4">
        <w:rPr>
          <w:rFonts w:ascii="Arial" w:hAnsi="Arial"/>
          <w:sz w:val="24"/>
          <w:lang w:val="en-US"/>
        </w:rPr>
        <w:t xml:space="preserve"> an der </w:t>
      </w:r>
      <w:proofErr w:type="spellStart"/>
      <w:r w:rsidRPr="000076B4">
        <w:rPr>
          <w:rFonts w:ascii="Arial" w:hAnsi="Arial"/>
          <w:sz w:val="24"/>
          <w:lang w:val="en-US"/>
        </w:rPr>
        <w:t>Riß</w:t>
      </w:r>
      <w:proofErr w:type="spellEnd"/>
      <w:r w:rsidRPr="000076B4">
        <w:rPr>
          <w:rFonts w:ascii="Arial" w:hAnsi="Arial"/>
          <w:sz w:val="24"/>
          <w:lang w:val="en-US"/>
        </w:rPr>
        <w:t>, Germany</w:t>
      </w:r>
    </w:p>
    <w:p w:rsidR="000076B4" w:rsidRPr="000076B4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proofErr w:type="gramStart"/>
      <w:r w:rsidRPr="000076B4">
        <w:rPr>
          <w:rFonts w:ascii="Arial" w:hAnsi="Arial"/>
          <w:sz w:val="24"/>
          <w:vertAlign w:val="superscript"/>
          <w:lang w:val="en-US"/>
        </w:rPr>
        <w:t>2</w:t>
      </w:r>
      <w:proofErr w:type="gramEnd"/>
      <w:r w:rsidRPr="000076B4">
        <w:rPr>
          <w:rFonts w:ascii="Arial" w:hAnsi="Arial"/>
          <w:sz w:val="24"/>
          <w:lang w:val="en-US"/>
        </w:rPr>
        <w:t xml:space="preserve"> Medicinal Chemistry, Boehringer Ingelheim Pharma GmbH &amp; Co. KG, </w:t>
      </w:r>
      <w:proofErr w:type="spellStart"/>
      <w:r w:rsidRPr="000076B4">
        <w:rPr>
          <w:rFonts w:ascii="Arial" w:hAnsi="Arial"/>
          <w:sz w:val="24"/>
          <w:lang w:val="en-US"/>
        </w:rPr>
        <w:t>Biberach</w:t>
      </w:r>
      <w:proofErr w:type="spellEnd"/>
      <w:r w:rsidRPr="000076B4">
        <w:rPr>
          <w:rFonts w:ascii="Arial" w:hAnsi="Arial"/>
          <w:sz w:val="24"/>
          <w:lang w:val="en-US"/>
        </w:rPr>
        <w:t xml:space="preserve"> an der </w:t>
      </w:r>
      <w:proofErr w:type="spellStart"/>
      <w:r w:rsidRPr="000076B4">
        <w:rPr>
          <w:rFonts w:ascii="Arial" w:hAnsi="Arial"/>
          <w:sz w:val="24"/>
          <w:lang w:val="en-US"/>
        </w:rPr>
        <w:t>Riß</w:t>
      </w:r>
      <w:proofErr w:type="spellEnd"/>
      <w:r w:rsidRPr="000076B4">
        <w:rPr>
          <w:rFonts w:ascii="Arial" w:hAnsi="Arial"/>
          <w:sz w:val="24"/>
          <w:lang w:val="en-US"/>
        </w:rPr>
        <w:t>, Germany</w:t>
      </w:r>
    </w:p>
    <w:p w:rsidR="000076B4" w:rsidRPr="000076B4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proofErr w:type="gramStart"/>
      <w:r w:rsidRPr="000076B4">
        <w:rPr>
          <w:rFonts w:ascii="Arial" w:hAnsi="Arial"/>
          <w:sz w:val="24"/>
          <w:vertAlign w:val="superscript"/>
          <w:lang w:val="en-US"/>
        </w:rPr>
        <w:t>3</w:t>
      </w:r>
      <w:proofErr w:type="gramEnd"/>
      <w:r w:rsidRPr="000076B4">
        <w:rPr>
          <w:rFonts w:ascii="Arial" w:hAnsi="Arial"/>
          <w:sz w:val="24"/>
          <w:lang w:val="en-US"/>
        </w:rPr>
        <w:t xml:space="preserve"> Immunology &amp; Respiratory Disease Research, Boehringer Ingelheim Pharma GmbH &amp; Co. KG, Ridgefield (CT), USA</w:t>
      </w:r>
    </w:p>
    <w:p w:rsidR="000076B4" w:rsidRPr="000076B4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r w:rsidRPr="000076B4">
        <w:rPr>
          <w:rFonts w:ascii="Arial" w:hAnsi="Arial"/>
          <w:sz w:val="24"/>
          <w:lang w:val="en-US"/>
        </w:rPr>
        <w:t>* These authors contributed equally to this work</w:t>
      </w:r>
    </w:p>
    <w:p w:rsidR="00EA4FB2" w:rsidRPr="00A71764" w:rsidRDefault="00EA4FB2" w:rsidP="00E17C5B">
      <w:pPr>
        <w:pStyle w:val="Text"/>
        <w:rPr>
          <w:rFonts w:ascii="Arial" w:hAnsi="Arial" w:cs="Arial"/>
          <w:lang w:val="en-US"/>
        </w:rPr>
      </w:pPr>
    </w:p>
    <w:p w:rsidR="00F365B7" w:rsidRPr="00A71764" w:rsidRDefault="00F365B7" w:rsidP="00F365B7">
      <w:pPr>
        <w:pStyle w:val="Text"/>
        <w:jc w:val="center"/>
        <w:rPr>
          <w:rFonts w:ascii="Arial" w:hAnsi="Arial" w:cs="Arial"/>
          <w:b/>
          <w:bCs/>
          <w:lang w:val="en-US"/>
        </w:rPr>
      </w:pPr>
      <w:r w:rsidRPr="00A71764">
        <w:rPr>
          <w:rFonts w:ascii="Arial" w:hAnsi="Arial" w:cs="Arial"/>
          <w:b/>
          <w:bCs/>
          <w:lang w:val="en-US"/>
        </w:rPr>
        <w:t>Supporting Information</w:t>
      </w:r>
    </w:p>
    <w:p w:rsidR="00E17C5B" w:rsidRDefault="00E17C5B" w:rsidP="00E46D08">
      <w:pPr>
        <w:pStyle w:val="Text"/>
        <w:rPr>
          <w:rFonts w:ascii="Arial" w:hAnsi="Arial" w:cs="Arial"/>
          <w:lang w:val="en-US"/>
        </w:rPr>
      </w:pPr>
    </w:p>
    <w:p w:rsidR="00B4391C" w:rsidRPr="00A71764" w:rsidRDefault="00B4391C" w:rsidP="00E46D08">
      <w:pPr>
        <w:pStyle w:val="Text"/>
        <w:rPr>
          <w:rFonts w:ascii="Arial" w:hAnsi="Arial" w:cs="Arial"/>
          <w:lang w:val="en-US"/>
        </w:rPr>
      </w:pPr>
    </w:p>
    <w:p w:rsidR="00E17C5B" w:rsidRPr="00A71764" w:rsidRDefault="00E17C5B" w:rsidP="00E17C5B">
      <w:pPr>
        <w:pStyle w:val="Text"/>
        <w:rPr>
          <w:rFonts w:ascii="Arial" w:hAnsi="Arial" w:cs="Arial"/>
          <w:lang w:val="en-US"/>
        </w:rPr>
      </w:pPr>
      <w:r w:rsidRPr="00A71764">
        <w:rPr>
          <w:rFonts w:ascii="Arial" w:hAnsi="Arial" w:cs="Arial"/>
          <w:lang w:val="en-US"/>
        </w:rPr>
        <w:t>Corresponding authors:</w:t>
      </w:r>
    </w:p>
    <w:p w:rsidR="000076B4" w:rsidRPr="005D1422" w:rsidRDefault="000076B4" w:rsidP="000076B4">
      <w:pPr>
        <w:spacing w:line="480" w:lineRule="auto"/>
        <w:jc w:val="both"/>
        <w:rPr>
          <w:rFonts w:ascii="Arial" w:hAnsi="Arial"/>
          <w:sz w:val="24"/>
          <w:lang w:val="en-US"/>
        </w:rPr>
      </w:pPr>
      <w:r w:rsidRPr="000076B4">
        <w:rPr>
          <w:rFonts w:ascii="Arial" w:hAnsi="Arial"/>
          <w:sz w:val="24"/>
          <w:lang w:val="en-US"/>
        </w:rPr>
        <w:t xml:space="preserve">Roman P. Simon and Frank H. </w:t>
      </w:r>
      <w:proofErr w:type="spellStart"/>
      <w:r w:rsidRPr="000076B4">
        <w:rPr>
          <w:rFonts w:ascii="Arial" w:hAnsi="Arial"/>
          <w:sz w:val="24"/>
          <w:lang w:val="en-US"/>
        </w:rPr>
        <w:t>Büttner</w:t>
      </w:r>
      <w:proofErr w:type="spellEnd"/>
      <w:r w:rsidRPr="000076B4">
        <w:rPr>
          <w:rFonts w:ascii="Arial" w:hAnsi="Arial"/>
          <w:sz w:val="24"/>
          <w:lang w:val="en-US"/>
        </w:rPr>
        <w:t xml:space="preserve">, Boehringer Ingelheim Pharma GmbH &amp; Co. KG, </w:t>
      </w:r>
      <w:proofErr w:type="spellStart"/>
      <w:r w:rsidRPr="000076B4">
        <w:rPr>
          <w:rFonts w:ascii="Arial" w:hAnsi="Arial"/>
          <w:sz w:val="24"/>
          <w:lang w:val="en-US"/>
        </w:rPr>
        <w:t>Birkendorfer</w:t>
      </w:r>
      <w:proofErr w:type="spellEnd"/>
      <w:r w:rsidRPr="000076B4">
        <w:rPr>
          <w:rFonts w:ascii="Arial" w:hAnsi="Arial"/>
          <w:sz w:val="24"/>
          <w:lang w:val="en-US"/>
        </w:rPr>
        <w:t xml:space="preserve"> Str. 65, 88397 </w:t>
      </w:r>
      <w:proofErr w:type="spellStart"/>
      <w:r w:rsidRPr="000076B4">
        <w:rPr>
          <w:rFonts w:ascii="Arial" w:hAnsi="Arial"/>
          <w:sz w:val="24"/>
          <w:lang w:val="en-US"/>
        </w:rPr>
        <w:t>Biberach</w:t>
      </w:r>
      <w:proofErr w:type="spellEnd"/>
      <w:r w:rsidRPr="000076B4">
        <w:rPr>
          <w:rFonts w:ascii="Arial" w:hAnsi="Arial"/>
          <w:sz w:val="24"/>
          <w:lang w:val="en-US"/>
        </w:rPr>
        <w:t>/</w:t>
      </w:r>
      <w:proofErr w:type="spellStart"/>
      <w:r w:rsidRPr="000076B4">
        <w:rPr>
          <w:rFonts w:ascii="Arial" w:hAnsi="Arial"/>
          <w:sz w:val="24"/>
          <w:lang w:val="en-US"/>
        </w:rPr>
        <w:t>Riß</w:t>
      </w:r>
      <w:proofErr w:type="spellEnd"/>
      <w:r w:rsidRPr="000076B4">
        <w:rPr>
          <w:rFonts w:ascii="Arial" w:hAnsi="Arial"/>
          <w:sz w:val="24"/>
          <w:lang w:val="en-US"/>
        </w:rPr>
        <w:t xml:space="preserve">, Germany. </w:t>
      </w:r>
      <w:r w:rsidRPr="005D1422">
        <w:rPr>
          <w:rFonts w:ascii="Arial" w:hAnsi="Arial"/>
          <w:sz w:val="24"/>
          <w:lang w:val="en-US"/>
        </w:rPr>
        <w:t>Email: roman.simon@boehringer-ingelheim.com; frank.buettner@boehringer-ingelheim.com</w:t>
      </w:r>
    </w:p>
    <w:p w:rsidR="00243D77" w:rsidRDefault="00243D77" w:rsidP="00243D77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S1</w:t>
      </w:r>
    </w:p>
    <w:p w:rsidR="00243D77" w:rsidRDefault="00243D77" w:rsidP="00243D77">
      <w:pPr>
        <w:pStyle w:val="Tex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84F19BB" wp14:editId="2D9ACDD0">
            <wp:extent cx="5206365" cy="41459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D77" w:rsidRPr="00E948B8" w:rsidRDefault="00243D77" w:rsidP="00243D77">
      <w:pPr>
        <w:pStyle w:val="Text"/>
        <w:jc w:val="both"/>
        <w:rPr>
          <w:rFonts w:ascii="Arial" w:hAnsi="Arial" w:cs="Arial"/>
          <w:lang w:val="en-US"/>
        </w:rPr>
      </w:pPr>
      <w:bookmarkStart w:id="0" w:name="_GoBack"/>
      <w:r w:rsidRPr="004821BE">
        <w:rPr>
          <w:rFonts w:ascii="Arial" w:hAnsi="Arial" w:cs="Arial"/>
          <w:b/>
          <w:bCs/>
          <w:lang w:val="en-US"/>
        </w:rPr>
        <w:t>Supp. Fig. S1</w:t>
      </w:r>
      <w:bookmarkEnd w:id="0"/>
      <w:r w:rsidRPr="00E948B8">
        <w:rPr>
          <w:rFonts w:ascii="Arial" w:hAnsi="Arial" w:cs="Arial"/>
          <w:lang w:val="en-US"/>
        </w:rPr>
        <w:t xml:space="preserve">: Gantt charts for the plate handling process and the automated conduction of the biochemical assay (top), the MALDI target plate preparation (middle), and MALDI-TOF MS measurement (bottom). </w:t>
      </w:r>
    </w:p>
    <w:p w:rsidR="00243D77" w:rsidRPr="00243D77" w:rsidRDefault="00243D77" w:rsidP="00243D77">
      <w:pPr>
        <w:rPr>
          <w:rFonts w:ascii="Times New Roman" w:hAnsi="Times New Roman"/>
          <w:sz w:val="24"/>
          <w:lang w:val="en-US"/>
        </w:rPr>
      </w:pPr>
      <w:r>
        <w:rPr>
          <w:lang w:val="en-US"/>
        </w:rPr>
        <w:br w:type="page"/>
      </w:r>
    </w:p>
    <w:p w:rsidR="00E17C5B" w:rsidRPr="005E2E49" w:rsidRDefault="00D646FD" w:rsidP="00D704DB">
      <w:pPr>
        <w:pStyle w:val="Text"/>
        <w:rPr>
          <w:rFonts w:ascii="Arial" w:hAnsi="Arial" w:cs="Arial"/>
          <w:b/>
          <w:bCs/>
          <w:lang w:val="en-US"/>
        </w:rPr>
      </w:pPr>
      <w:r w:rsidRPr="005E2E49">
        <w:rPr>
          <w:rFonts w:ascii="Arial" w:hAnsi="Arial" w:cs="Arial"/>
          <w:b/>
          <w:bCs/>
          <w:lang w:val="en-US"/>
        </w:rPr>
        <w:lastRenderedPageBreak/>
        <w:t>S</w:t>
      </w:r>
      <w:r w:rsidR="00243D77">
        <w:rPr>
          <w:rFonts w:ascii="Arial" w:hAnsi="Arial" w:cs="Arial"/>
          <w:b/>
          <w:bCs/>
          <w:lang w:val="en-US"/>
        </w:rPr>
        <w:t>upplemental Figure S2</w:t>
      </w:r>
    </w:p>
    <w:p w:rsidR="00E17C5B" w:rsidRDefault="00D646FD" w:rsidP="00D646FD">
      <w:pPr>
        <w:pStyle w:val="Text"/>
        <w:jc w:val="center"/>
      </w:pPr>
      <w:r>
        <w:object w:dxaOrig="4109" w:dyaOrig="4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230.25pt" o:ole="">
            <v:imagedata r:id="rId5" o:title=""/>
          </v:shape>
          <o:OLEObject Type="Embed" ProgID="Prism8.Document" ShapeID="_x0000_i1025" DrawAspect="Content" ObjectID="_1627506342" r:id="rId6"/>
        </w:object>
      </w:r>
    </w:p>
    <w:p w:rsidR="00D646FD" w:rsidRPr="00D646FD" w:rsidRDefault="00D646FD" w:rsidP="00D646FD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</w:t>
      </w:r>
      <w:r w:rsidR="00243D77" w:rsidRPr="004821BE">
        <w:rPr>
          <w:rFonts w:ascii="Arial" w:hAnsi="Arial" w:cs="Arial"/>
          <w:b/>
          <w:bCs/>
          <w:lang w:val="en-US"/>
        </w:rPr>
        <w:t>g. S2</w:t>
      </w:r>
      <w:r w:rsidRPr="00D646FD">
        <w:rPr>
          <w:rFonts w:ascii="Arial" w:hAnsi="Arial" w:cs="Arial"/>
          <w:lang w:val="en-US"/>
        </w:rPr>
        <w:t xml:space="preserve">: cGAS activity is </w:t>
      </w:r>
      <w:r w:rsidR="00A71764">
        <w:rPr>
          <w:rFonts w:ascii="Arial" w:hAnsi="Arial" w:cs="Arial"/>
          <w:lang w:val="en-US"/>
        </w:rPr>
        <w:t>dependent on the presence</w:t>
      </w:r>
      <w:r w:rsidRPr="00D646FD">
        <w:rPr>
          <w:rFonts w:ascii="Arial" w:hAnsi="Arial" w:cs="Arial"/>
          <w:lang w:val="en-US"/>
        </w:rPr>
        <w:t xml:space="preserve"> of dsDNA. 45-bp dsDNA was titrated against 12 nM cGAS and 60 µM ATP/</w:t>
      </w:r>
      <w:r w:rsidRPr="00D646FD">
        <w:rPr>
          <w:rFonts w:ascii="Arial" w:hAnsi="Arial" w:cs="Arial"/>
          <w:vertAlign w:val="superscript"/>
          <w:lang w:val="en-US"/>
        </w:rPr>
        <w:t>13</w:t>
      </w:r>
      <w:r w:rsidRPr="00D646FD">
        <w:rPr>
          <w:rFonts w:ascii="Arial" w:hAnsi="Arial" w:cs="Arial"/>
          <w:lang w:val="en-US"/>
        </w:rPr>
        <w:t>C</w:t>
      </w:r>
      <w:r w:rsidRPr="00D646FD">
        <w:rPr>
          <w:rFonts w:ascii="Arial" w:hAnsi="Arial" w:cs="Arial"/>
          <w:vertAlign w:val="subscript"/>
          <w:lang w:val="en-US"/>
        </w:rPr>
        <w:t>10</w:t>
      </w:r>
      <w:r w:rsidR="00F87E52">
        <w:rPr>
          <w:rFonts w:ascii="Arial" w:hAnsi="Arial" w:cs="Arial"/>
          <w:lang w:val="en-US"/>
        </w:rPr>
        <w:t>,</w:t>
      </w:r>
      <w:r w:rsidRPr="00D646FD">
        <w:rPr>
          <w:rFonts w:ascii="Arial" w:hAnsi="Arial" w:cs="Arial"/>
          <w:vertAlign w:val="superscript"/>
          <w:lang w:val="en-US"/>
        </w:rPr>
        <w:t>15</w:t>
      </w:r>
      <w:r w:rsidRPr="00D646FD">
        <w:rPr>
          <w:rFonts w:ascii="Arial" w:hAnsi="Arial" w:cs="Arial"/>
          <w:lang w:val="en-US"/>
        </w:rPr>
        <w:t>N</w:t>
      </w:r>
      <w:r w:rsidRPr="00D646FD">
        <w:rPr>
          <w:rFonts w:ascii="Arial" w:hAnsi="Arial" w:cs="Arial"/>
          <w:vertAlign w:val="subscript"/>
          <w:lang w:val="en-US"/>
        </w:rPr>
        <w:t>5</w:t>
      </w:r>
      <w:r w:rsidRPr="00D646FD">
        <w:rPr>
          <w:rFonts w:ascii="Arial" w:hAnsi="Arial" w:cs="Arial"/>
          <w:lang w:val="en-US"/>
        </w:rPr>
        <w:t>-GTP, incubated for 90 minutes, and analyzed by MALDI-TOF MS. No signal was observed in the absence of dsDNA while full activation was reached from 4-324 nM dsDNA.</w:t>
      </w:r>
    </w:p>
    <w:p w:rsidR="00D646FD" w:rsidRPr="00D646FD" w:rsidRDefault="00D646FD" w:rsidP="00D646FD">
      <w:pPr>
        <w:pStyle w:val="Text"/>
        <w:rPr>
          <w:lang w:val="en-US"/>
        </w:rPr>
      </w:pPr>
    </w:p>
    <w:p w:rsidR="00D704DB" w:rsidRPr="00D646FD" w:rsidRDefault="00D704DB" w:rsidP="00D704DB">
      <w:pPr>
        <w:pStyle w:val="Text"/>
        <w:rPr>
          <w:lang w:val="en-US"/>
        </w:rPr>
      </w:pPr>
      <w:r w:rsidRPr="00D646FD">
        <w:rPr>
          <w:lang w:val="en-US"/>
        </w:rPr>
        <w:br w:type="page"/>
      </w:r>
    </w:p>
    <w:p w:rsidR="00D704DB" w:rsidRPr="00D646FD" w:rsidRDefault="00243D77" w:rsidP="00D704DB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S3</w:t>
      </w:r>
    </w:p>
    <w:p w:rsidR="00D646FD" w:rsidRDefault="00D646FD" w:rsidP="00D646FD">
      <w:pPr>
        <w:pStyle w:val="Tex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3A4F7C">
            <wp:extent cx="5545854" cy="1768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83" cy="178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FD" w:rsidRPr="00D646FD" w:rsidRDefault="00243D77" w:rsidP="00D646FD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S3</w:t>
      </w:r>
      <w:r w:rsidR="00D646FD" w:rsidRPr="00D646FD">
        <w:rPr>
          <w:rFonts w:ascii="Arial" w:hAnsi="Arial" w:cs="Arial"/>
          <w:lang w:val="en-US"/>
        </w:rPr>
        <w:t xml:space="preserve">: Schematic mechanism of cGAS catalyzed generation of cGAMP. The linear precursor intermediate AMP-GTP can dissociate from the enzyme and competes with nucleotide substrates for binding to cGAS. However, a direct conversion of AMP-GTP into cGAMP after reorientation of the active site is also possible. The scheme is based on the </w:t>
      </w:r>
      <w:r w:rsidR="005E2E49" w:rsidRPr="00D646FD">
        <w:rPr>
          <w:rFonts w:ascii="Arial" w:hAnsi="Arial" w:cs="Arial"/>
          <w:lang w:val="en-US"/>
        </w:rPr>
        <w:t>mechanism</w:t>
      </w:r>
      <w:r w:rsidR="00D646FD" w:rsidRPr="00D646FD">
        <w:rPr>
          <w:rFonts w:ascii="Arial" w:hAnsi="Arial" w:cs="Arial"/>
          <w:lang w:val="en-US"/>
        </w:rPr>
        <w:t xml:space="preserve"> proposed by Hall et al.</w:t>
      </w:r>
      <w:r w:rsidR="00F87E52">
        <w:rPr>
          <w:rFonts w:ascii="Arial" w:hAnsi="Arial" w:cs="Arial"/>
          <w:vertAlign w:val="superscript"/>
          <w:lang w:val="en-US"/>
        </w:rPr>
        <w:t>8</w:t>
      </w:r>
      <w:r w:rsidR="00D646FD" w:rsidRPr="00D646FD">
        <w:rPr>
          <w:rFonts w:ascii="Arial" w:hAnsi="Arial" w:cs="Arial"/>
          <w:lang w:val="en-US"/>
        </w:rPr>
        <w:t xml:space="preserve"> cGAS</w:t>
      </w:r>
      <w:r w:rsidR="00A71764">
        <w:rPr>
          <w:rFonts w:ascii="Arial" w:hAnsi="Arial" w:cs="Arial"/>
          <w:lang w:val="en-US"/>
        </w:rPr>
        <w:t xml:space="preserve"> in the scheme is shown in its dsDNA bound state</w:t>
      </w:r>
      <w:r w:rsidR="00D646FD" w:rsidRPr="00D646FD">
        <w:rPr>
          <w:rFonts w:ascii="Arial" w:hAnsi="Arial" w:cs="Arial"/>
          <w:lang w:val="en-US"/>
        </w:rPr>
        <w:t>.</w:t>
      </w:r>
    </w:p>
    <w:p w:rsidR="00D646FD" w:rsidRDefault="00D646FD">
      <w:pPr>
        <w:rPr>
          <w:rFonts w:ascii="Times New Roman" w:hAnsi="Times New Roman"/>
          <w:sz w:val="24"/>
          <w:lang w:val="en-US"/>
        </w:rPr>
      </w:pPr>
      <w:r>
        <w:rPr>
          <w:lang w:val="en-US"/>
        </w:rPr>
        <w:br w:type="page"/>
      </w:r>
    </w:p>
    <w:p w:rsidR="00D646FD" w:rsidRPr="00D646FD" w:rsidRDefault="00243D77" w:rsidP="00D646FD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S4</w:t>
      </w:r>
    </w:p>
    <w:p w:rsidR="00D646FD" w:rsidRDefault="00A71764" w:rsidP="00D646FD">
      <w:pPr>
        <w:pStyle w:val="Tex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7503E9E">
            <wp:extent cx="5332070" cy="129720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91" cy="130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FD" w:rsidRPr="00D646FD" w:rsidRDefault="00243D77" w:rsidP="00D646FD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S4</w:t>
      </w:r>
      <w:r w:rsidR="00D646FD" w:rsidRPr="00D646FD">
        <w:rPr>
          <w:rFonts w:ascii="Arial" w:hAnsi="Arial" w:cs="Arial"/>
          <w:lang w:val="en-US"/>
        </w:rPr>
        <w:t>: Published reference cGAS inhibitor PF-06928215 (Ref. Inh. 3). Structure and assay results of Ref. In</w:t>
      </w:r>
      <w:r w:rsidR="00F87E52">
        <w:rPr>
          <w:rFonts w:ascii="Arial" w:hAnsi="Arial" w:cs="Arial"/>
          <w:lang w:val="en-US"/>
        </w:rPr>
        <w:t>h</w:t>
      </w:r>
      <w:r w:rsidR="00D646FD" w:rsidRPr="00D646FD">
        <w:rPr>
          <w:rFonts w:ascii="Arial" w:hAnsi="Arial" w:cs="Arial"/>
          <w:lang w:val="en-US"/>
        </w:rPr>
        <w:t>. 3 from its original publication compared to results from the MALDI-TOF-based assay.</w:t>
      </w:r>
      <w:r w:rsidR="00FF5D68" w:rsidRPr="00FF5D68">
        <w:rPr>
          <w:rFonts w:ascii="Arial" w:hAnsi="Arial" w:cs="Arial"/>
          <w:vertAlign w:val="superscript"/>
          <w:lang w:val="en-US"/>
        </w:rPr>
        <w:t>23</w:t>
      </w:r>
    </w:p>
    <w:p w:rsidR="00D646FD" w:rsidRDefault="00D646FD">
      <w:pPr>
        <w:rPr>
          <w:rFonts w:ascii="Times New Roman" w:hAnsi="Times New Roman"/>
          <w:sz w:val="24"/>
          <w:lang w:val="en-US"/>
        </w:rPr>
      </w:pPr>
      <w:r>
        <w:rPr>
          <w:lang w:val="en-US"/>
        </w:rPr>
        <w:br w:type="page"/>
      </w:r>
    </w:p>
    <w:p w:rsidR="00D646FD" w:rsidRDefault="00243D77" w:rsidP="00D646FD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S5</w:t>
      </w:r>
    </w:p>
    <w:p w:rsidR="00D646FD" w:rsidRPr="00CE565E" w:rsidRDefault="00CE565E" w:rsidP="00D646FD">
      <w:pPr>
        <w:pStyle w:val="Text"/>
        <w:jc w:val="center"/>
        <w:rPr>
          <w:rFonts w:ascii="Arial" w:hAnsi="Arial" w:cs="Arial"/>
          <w:b/>
          <w:bCs/>
          <w:lang w:val="en-US"/>
        </w:rPr>
      </w:pPr>
      <w:r>
        <w:object w:dxaOrig="6048" w:dyaOrig="4234">
          <v:shape id="_x0000_i1026" type="#_x0000_t75" style="width:302.25pt;height:212.25pt" o:ole="">
            <v:imagedata r:id="rId9" o:title=""/>
          </v:shape>
          <o:OLEObject Type="Embed" ProgID="Prism8.Document" ShapeID="_x0000_i1026" DrawAspect="Content" ObjectID="_1627506343" r:id="rId10"/>
        </w:object>
      </w:r>
    </w:p>
    <w:p w:rsidR="00D646FD" w:rsidRPr="00D646FD" w:rsidRDefault="00243D77" w:rsidP="00D646FD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S5</w:t>
      </w:r>
      <w:r w:rsidR="00D646FD" w:rsidRPr="00D646FD">
        <w:rPr>
          <w:rFonts w:ascii="Arial" w:hAnsi="Arial" w:cs="Arial"/>
          <w:lang w:val="en-US"/>
        </w:rPr>
        <w:t xml:space="preserve">: Scatter plot of PoC values from the stability run of 5750 DMSO controls based on signal area. </w:t>
      </w:r>
    </w:p>
    <w:p w:rsidR="00D646FD" w:rsidRDefault="00D646F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4F15BD" w:rsidRDefault="004F15BD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S6</w:t>
      </w:r>
    </w:p>
    <w:p w:rsidR="004F15BD" w:rsidRDefault="0033125E" w:rsidP="004F15BD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4271C115">
            <wp:extent cx="5197842" cy="369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25" cy="370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5BD" w:rsidRPr="004F15BD" w:rsidRDefault="001B6979" w:rsidP="004F15BD">
      <w:pPr>
        <w:spacing w:line="360" w:lineRule="auto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sz w:val="24"/>
          <w:lang w:val="en-US"/>
        </w:rPr>
        <w:t>Supp. Fig. S6</w:t>
      </w:r>
      <w:r w:rsidR="004F15BD" w:rsidRPr="004F15BD">
        <w:rPr>
          <w:rFonts w:ascii="Arial" w:hAnsi="Arial" w:cs="Arial"/>
          <w:sz w:val="24"/>
          <w:lang w:val="en-US"/>
        </w:rPr>
        <w:t>:</w:t>
      </w:r>
      <w:r w:rsidR="004F15BD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4F15BD">
        <w:rPr>
          <w:rFonts w:ascii="Arial" w:hAnsi="Arial" w:cs="Arial"/>
          <w:sz w:val="24"/>
          <w:lang w:val="en-US"/>
        </w:rPr>
        <w:t>Heatmaps</w:t>
      </w:r>
      <w:proofErr w:type="spellEnd"/>
      <w:r w:rsidR="004F15BD">
        <w:rPr>
          <w:rFonts w:ascii="Arial" w:hAnsi="Arial" w:cs="Arial"/>
          <w:sz w:val="24"/>
          <w:lang w:val="en-US"/>
        </w:rPr>
        <w:t xml:space="preserve"> </w:t>
      </w:r>
      <w:r w:rsidR="00B628A6">
        <w:rPr>
          <w:rFonts w:ascii="Arial" w:hAnsi="Arial" w:cs="Arial"/>
          <w:sz w:val="24"/>
          <w:lang w:val="en-US"/>
        </w:rPr>
        <w:t xml:space="preserve">(green: Resolution; blue: Signal/Noise; orange: Intensity; red: Ratio) </w:t>
      </w:r>
      <w:r w:rsidR="004F15BD">
        <w:rPr>
          <w:rFonts w:ascii="Arial" w:hAnsi="Arial" w:cs="Arial"/>
          <w:sz w:val="24"/>
          <w:lang w:val="en-US"/>
        </w:rPr>
        <w:t>of MALDI-TOF MS measurements</w:t>
      </w:r>
      <w:r w:rsidR="0033125E">
        <w:rPr>
          <w:rFonts w:ascii="Arial" w:hAnsi="Arial" w:cs="Arial"/>
          <w:sz w:val="24"/>
          <w:lang w:val="en-US"/>
        </w:rPr>
        <w:t xml:space="preserve"> of </w:t>
      </w:r>
      <w:r w:rsidR="0033125E" w:rsidRPr="0033125E">
        <w:rPr>
          <w:rFonts w:ascii="Arial" w:hAnsi="Arial" w:cs="Arial"/>
          <w:sz w:val="24"/>
          <w:vertAlign w:val="superscript"/>
          <w:lang w:val="en-US"/>
        </w:rPr>
        <w:t>13</w:t>
      </w:r>
      <w:r w:rsidR="0033125E" w:rsidRPr="0033125E">
        <w:rPr>
          <w:rFonts w:ascii="Arial" w:hAnsi="Arial" w:cs="Arial"/>
          <w:sz w:val="24"/>
          <w:lang w:val="en-US"/>
        </w:rPr>
        <w:t>C</w:t>
      </w:r>
      <w:r w:rsidR="0033125E" w:rsidRPr="0033125E">
        <w:rPr>
          <w:rFonts w:ascii="Arial" w:hAnsi="Arial" w:cs="Arial"/>
          <w:sz w:val="24"/>
          <w:vertAlign w:val="subscript"/>
          <w:lang w:val="en-US"/>
        </w:rPr>
        <w:t>10</w:t>
      </w:r>
      <w:r w:rsidR="0033125E" w:rsidRPr="0033125E">
        <w:rPr>
          <w:rFonts w:ascii="Arial" w:hAnsi="Arial" w:cs="Arial"/>
          <w:sz w:val="24"/>
          <w:lang w:val="en-US"/>
        </w:rPr>
        <w:t>,</w:t>
      </w:r>
      <w:r w:rsidR="0033125E" w:rsidRPr="0033125E">
        <w:rPr>
          <w:rFonts w:ascii="Arial" w:hAnsi="Arial" w:cs="Arial"/>
          <w:sz w:val="24"/>
          <w:vertAlign w:val="superscript"/>
          <w:lang w:val="en-US"/>
        </w:rPr>
        <w:t>15</w:t>
      </w:r>
      <w:r w:rsidR="0033125E" w:rsidRPr="0033125E">
        <w:rPr>
          <w:rFonts w:ascii="Arial" w:hAnsi="Arial" w:cs="Arial"/>
          <w:sz w:val="24"/>
          <w:lang w:val="en-US"/>
        </w:rPr>
        <w:t>N</w:t>
      </w:r>
      <w:r w:rsidR="0033125E" w:rsidRPr="0033125E">
        <w:rPr>
          <w:rFonts w:ascii="Arial" w:hAnsi="Arial" w:cs="Arial"/>
          <w:sz w:val="24"/>
          <w:vertAlign w:val="subscript"/>
          <w:lang w:val="en-US"/>
        </w:rPr>
        <w:t>5</w:t>
      </w:r>
      <w:r w:rsidR="0033125E" w:rsidRPr="0033125E">
        <w:rPr>
          <w:rFonts w:ascii="Arial" w:hAnsi="Arial" w:cs="Arial"/>
          <w:sz w:val="24"/>
          <w:lang w:val="en-US"/>
        </w:rPr>
        <w:t>-</w:t>
      </w:r>
      <w:r w:rsidR="0033125E">
        <w:rPr>
          <w:rFonts w:ascii="Arial" w:hAnsi="Arial" w:cs="Arial"/>
          <w:sz w:val="24"/>
          <w:lang w:val="en-US"/>
        </w:rPr>
        <w:t>cGAMP</w:t>
      </w:r>
      <w:r w:rsidR="004F15BD">
        <w:rPr>
          <w:rFonts w:ascii="Arial" w:hAnsi="Arial" w:cs="Arial"/>
          <w:sz w:val="24"/>
          <w:lang w:val="en-US"/>
        </w:rPr>
        <w:t xml:space="preserve"> of a representative 1536</w:t>
      </w:r>
      <w:r w:rsidR="004F15BD">
        <w:rPr>
          <w:rFonts w:ascii="Arial" w:hAnsi="Arial" w:cs="Arial"/>
          <w:sz w:val="24"/>
          <w:lang w:val="en-US"/>
        </w:rPr>
        <w:noBreakHyphen/>
        <w:t>well plate</w:t>
      </w:r>
      <w:r w:rsidR="00AA3E37">
        <w:rPr>
          <w:rFonts w:ascii="Arial" w:hAnsi="Arial" w:cs="Arial"/>
          <w:sz w:val="24"/>
          <w:lang w:val="en-US"/>
        </w:rPr>
        <w:t xml:space="preserve"> containing </w:t>
      </w:r>
      <w:r w:rsidR="00FC340F">
        <w:rPr>
          <w:rFonts w:ascii="Arial" w:hAnsi="Arial" w:cs="Arial"/>
          <w:sz w:val="24"/>
          <w:lang w:val="en-US"/>
        </w:rPr>
        <w:t>1472 DMSO controls and 64 low controls</w:t>
      </w:r>
      <w:r w:rsidR="004F15BD">
        <w:rPr>
          <w:rFonts w:ascii="Arial" w:hAnsi="Arial" w:cs="Arial"/>
          <w:sz w:val="24"/>
          <w:lang w:val="en-US"/>
        </w:rPr>
        <w:t>.</w:t>
      </w:r>
    </w:p>
    <w:p w:rsidR="004F15BD" w:rsidRDefault="004F15B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4F15BD" w:rsidRDefault="004F15B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S7</w:t>
      </w:r>
    </w:p>
    <w:p w:rsidR="004F15BD" w:rsidRDefault="004F15BD" w:rsidP="004F15BD">
      <w:pPr>
        <w:jc w:val="center"/>
      </w:pPr>
      <w:r>
        <w:object w:dxaOrig="7313" w:dyaOrig="4255">
          <v:shape id="_x0000_i1027" type="#_x0000_t75" style="width:366pt;height:212.25pt" o:ole="">
            <v:imagedata r:id="rId12" o:title=""/>
          </v:shape>
          <o:OLEObject Type="Embed" ProgID="Prism8.Document" ShapeID="_x0000_i1027" DrawAspect="Content" ObjectID="_1627506344" r:id="rId13"/>
        </w:object>
      </w:r>
    </w:p>
    <w:p w:rsidR="004F15BD" w:rsidRDefault="001B6979" w:rsidP="004F15BD">
      <w:pPr>
        <w:spacing w:line="360" w:lineRule="auto"/>
        <w:rPr>
          <w:rFonts w:ascii="Arial" w:hAnsi="Arial" w:cs="Arial"/>
          <w:sz w:val="24"/>
          <w:lang w:val="en-US"/>
        </w:rPr>
      </w:pPr>
      <w:r w:rsidRPr="004821BE">
        <w:rPr>
          <w:rFonts w:ascii="Arial" w:hAnsi="Arial" w:cs="Arial"/>
          <w:b/>
          <w:bCs/>
          <w:sz w:val="24"/>
          <w:lang w:val="en-US"/>
        </w:rPr>
        <w:t>Supp. Fig. S7</w:t>
      </w:r>
      <w:r w:rsidR="004821BE">
        <w:rPr>
          <w:rFonts w:ascii="Arial" w:hAnsi="Arial" w:cs="Arial"/>
          <w:sz w:val="24"/>
          <w:lang w:val="en-US"/>
        </w:rPr>
        <w:t>: Comparison of control and Z’-</w:t>
      </w:r>
      <w:r w:rsidR="004F15BD" w:rsidRPr="004F15BD">
        <w:rPr>
          <w:rFonts w:ascii="Arial" w:hAnsi="Arial" w:cs="Arial"/>
          <w:sz w:val="24"/>
          <w:lang w:val="en-US"/>
        </w:rPr>
        <w:t>values for the set of 5750 DMSO controls calculated from data determined with</w:t>
      </w:r>
      <w:r w:rsidR="004F15BD">
        <w:rPr>
          <w:rFonts w:ascii="Arial" w:hAnsi="Arial" w:cs="Arial"/>
          <w:sz w:val="24"/>
          <w:lang w:val="en-US"/>
        </w:rPr>
        <w:t xml:space="preserve"> (S/N = 3)</w:t>
      </w:r>
      <w:r w:rsidR="004F15BD" w:rsidRPr="004F15BD">
        <w:rPr>
          <w:rFonts w:ascii="Arial" w:hAnsi="Arial" w:cs="Arial"/>
          <w:sz w:val="24"/>
          <w:lang w:val="en-US"/>
        </w:rPr>
        <w:t xml:space="preserve"> or without </w:t>
      </w:r>
      <w:r w:rsidR="004F15BD">
        <w:rPr>
          <w:rFonts w:ascii="Arial" w:hAnsi="Arial" w:cs="Arial"/>
          <w:sz w:val="24"/>
          <w:lang w:val="en-US"/>
        </w:rPr>
        <w:t xml:space="preserve">(S/N = 0) </w:t>
      </w:r>
      <w:r w:rsidR="004F15BD" w:rsidRPr="004F15BD">
        <w:rPr>
          <w:rFonts w:ascii="Arial" w:hAnsi="Arial" w:cs="Arial"/>
          <w:sz w:val="24"/>
          <w:lang w:val="en-US"/>
        </w:rPr>
        <w:t>applying a peak picking threshold.</w:t>
      </w:r>
    </w:p>
    <w:p w:rsidR="004F15BD" w:rsidRDefault="004F15B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br w:type="page"/>
      </w:r>
    </w:p>
    <w:p w:rsidR="004F15BD" w:rsidRDefault="004F15BD">
      <w:pPr>
        <w:rPr>
          <w:rFonts w:ascii="Arial" w:hAnsi="Arial" w:cs="Arial"/>
          <w:sz w:val="24"/>
          <w:lang w:val="en-US"/>
        </w:rPr>
      </w:pPr>
    </w:p>
    <w:p w:rsidR="00E948B8" w:rsidRPr="00E948B8" w:rsidRDefault="00E948B8" w:rsidP="00D704DB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Supplemental</w:t>
      </w:r>
      <w:r w:rsidR="004F15BD">
        <w:rPr>
          <w:rFonts w:ascii="Arial" w:hAnsi="Arial" w:cs="Arial"/>
          <w:b/>
          <w:bCs/>
          <w:lang w:val="en-US"/>
        </w:rPr>
        <w:t xml:space="preserve"> Figure S8</w:t>
      </w:r>
    </w:p>
    <w:p w:rsidR="00E948B8" w:rsidRDefault="00A255DC" w:rsidP="00E948B8">
      <w:pPr>
        <w:pStyle w:val="Tex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5AC539F">
            <wp:extent cx="4884263" cy="19194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99" cy="19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B8" w:rsidRPr="00E948B8" w:rsidRDefault="005D1422" w:rsidP="00E948B8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S8</w:t>
      </w:r>
      <w:r w:rsidR="00E948B8" w:rsidRPr="00E948B8">
        <w:rPr>
          <w:rFonts w:ascii="Arial" w:hAnsi="Arial" w:cs="Arial"/>
          <w:lang w:val="en-US"/>
        </w:rPr>
        <w:t xml:space="preserve">: Data analysis based </w:t>
      </w:r>
      <w:r w:rsidR="003A0AC8">
        <w:rPr>
          <w:rFonts w:ascii="Arial" w:hAnsi="Arial" w:cs="Arial"/>
          <w:lang w:val="en-US"/>
        </w:rPr>
        <w:t>on signal intensities rather tha</w:t>
      </w:r>
      <w:r w:rsidR="00E948B8" w:rsidRPr="00E948B8">
        <w:rPr>
          <w:rFonts w:ascii="Arial" w:hAnsi="Arial" w:cs="Arial"/>
          <w:lang w:val="en-US"/>
        </w:rPr>
        <w:t xml:space="preserve">n signal areas </w:t>
      </w:r>
      <w:r w:rsidR="003A0AC8">
        <w:rPr>
          <w:rFonts w:ascii="Arial" w:hAnsi="Arial" w:cs="Arial"/>
          <w:lang w:val="en-US"/>
        </w:rPr>
        <w:t>showed</w:t>
      </w:r>
      <w:r w:rsidR="00E948B8" w:rsidRPr="00E948B8">
        <w:rPr>
          <w:rFonts w:ascii="Arial" w:hAnsi="Arial" w:cs="Arial"/>
          <w:lang w:val="en-US"/>
        </w:rPr>
        <w:t xml:space="preserve"> equivalent assay results. </w:t>
      </w:r>
      <w:r w:rsidR="005E2E49">
        <w:rPr>
          <w:rFonts w:ascii="Arial" w:hAnsi="Arial" w:cs="Arial"/>
          <w:lang w:val="en-US"/>
        </w:rPr>
        <w:t>(</w:t>
      </w:r>
      <w:r w:rsidR="00E948B8" w:rsidRPr="005E2E49">
        <w:rPr>
          <w:rFonts w:ascii="Arial" w:hAnsi="Arial" w:cs="Arial"/>
          <w:b/>
          <w:bCs/>
          <w:lang w:val="en-US"/>
        </w:rPr>
        <w:t>A</w:t>
      </w:r>
      <w:r w:rsidR="00E948B8" w:rsidRPr="00E948B8">
        <w:rPr>
          <w:rFonts w:ascii="Arial" w:hAnsi="Arial" w:cs="Arial"/>
          <w:lang w:val="en-US"/>
        </w:rPr>
        <w:t>) Comparison of results from IC</w:t>
      </w:r>
      <w:r w:rsidR="00E948B8" w:rsidRPr="00E948B8">
        <w:rPr>
          <w:rFonts w:ascii="Arial" w:hAnsi="Arial" w:cs="Arial"/>
          <w:vertAlign w:val="subscript"/>
          <w:lang w:val="en-US"/>
        </w:rPr>
        <w:t>50</w:t>
      </w:r>
      <w:r w:rsidR="00E948B8" w:rsidRPr="00E948B8">
        <w:rPr>
          <w:rFonts w:ascii="Arial" w:hAnsi="Arial" w:cs="Arial"/>
          <w:lang w:val="en-US"/>
        </w:rPr>
        <w:t xml:space="preserve"> determinations based on signal area (x-</w:t>
      </w:r>
      <w:r w:rsidR="005E2E49" w:rsidRPr="00E948B8">
        <w:rPr>
          <w:rFonts w:ascii="Arial" w:hAnsi="Arial" w:cs="Arial"/>
          <w:lang w:val="en-US"/>
        </w:rPr>
        <w:t>axis</w:t>
      </w:r>
      <w:r w:rsidR="00E948B8" w:rsidRPr="00E948B8">
        <w:rPr>
          <w:rFonts w:ascii="Arial" w:hAnsi="Arial" w:cs="Arial"/>
          <w:lang w:val="en-US"/>
        </w:rPr>
        <w:t>) or signal intensity (y-axis). Results of tool c</w:t>
      </w:r>
      <w:r w:rsidR="005E2E49">
        <w:rPr>
          <w:rFonts w:ascii="Arial" w:hAnsi="Arial" w:cs="Arial"/>
          <w:lang w:val="en-US"/>
        </w:rPr>
        <w:t>ompounds are indicated in red. (</w:t>
      </w:r>
      <w:r w:rsidR="005E2E49" w:rsidRPr="005E2E49">
        <w:rPr>
          <w:rFonts w:ascii="Arial" w:hAnsi="Arial" w:cs="Arial"/>
          <w:b/>
          <w:bCs/>
          <w:lang w:val="en-US"/>
        </w:rPr>
        <w:t>B</w:t>
      </w:r>
      <w:r w:rsidR="00E948B8" w:rsidRPr="00E948B8">
        <w:rPr>
          <w:rFonts w:ascii="Arial" w:hAnsi="Arial" w:cs="Arial"/>
          <w:lang w:val="en-US"/>
        </w:rPr>
        <w:t xml:space="preserve">) Concordance of results from the validation set based on area-based or intensity-based data evaluation. </w:t>
      </w:r>
    </w:p>
    <w:p w:rsidR="00E948B8" w:rsidRDefault="00E948B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948B8" w:rsidRPr="00E948B8" w:rsidRDefault="004F15BD" w:rsidP="00E948B8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S9</w:t>
      </w:r>
    </w:p>
    <w:p w:rsidR="00E948B8" w:rsidRDefault="00CD47B4" w:rsidP="00E948B8">
      <w:pPr>
        <w:pStyle w:val="Tex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CEB0531">
            <wp:extent cx="5923382" cy="2076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4" cy="208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B8" w:rsidRPr="00E948B8" w:rsidRDefault="005D1422" w:rsidP="00E948B8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S9</w:t>
      </w:r>
      <w:r w:rsidR="00E948B8" w:rsidRPr="00E948B8">
        <w:rPr>
          <w:rFonts w:ascii="Arial" w:hAnsi="Arial" w:cs="Arial"/>
          <w:lang w:val="en-US"/>
        </w:rPr>
        <w:t xml:space="preserve">: Consistency of controls during the primary library screening campaign. </w:t>
      </w:r>
      <w:r w:rsidR="005E2E49">
        <w:rPr>
          <w:rFonts w:ascii="Arial" w:hAnsi="Arial" w:cs="Arial"/>
          <w:lang w:val="en-US"/>
        </w:rPr>
        <w:t>(</w:t>
      </w:r>
      <w:r w:rsidR="00E948B8" w:rsidRPr="005E2E49">
        <w:rPr>
          <w:rFonts w:ascii="Arial" w:hAnsi="Arial" w:cs="Arial"/>
          <w:b/>
          <w:bCs/>
          <w:lang w:val="en-US"/>
        </w:rPr>
        <w:t>A</w:t>
      </w:r>
      <w:r w:rsidR="00E948B8" w:rsidRPr="00E948B8">
        <w:rPr>
          <w:rFonts w:ascii="Arial" w:hAnsi="Arial" w:cs="Arial"/>
          <w:lang w:val="en-US"/>
        </w:rPr>
        <w:t>) Scatter plot of PoC values for 51</w:t>
      </w:r>
      <w:r w:rsidR="00A71764">
        <w:rPr>
          <w:rFonts w:ascii="Arial" w:hAnsi="Arial" w:cs="Arial"/>
          <w:lang w:val="en-US"/>
        </w:rPr>
        <w:t>,</w:t>
      </w:r>
      <w:r w:rsidR="00E948B8" w:rsidRPr="00E948B8">
        <w:rPr>
          <w:rFonts w:ascii="Arial" w:hAnsi="Arial" w:cs="Arial"/>
          <w:lang w:val="en-US"/>
        </w:rPr>
        <w:t xml:space="preserve">486 high controls in the primary HTS screen. An average control value of 100.0% with a variation of 3.3% CV was determined. </w:t>
      </w:r>
      <w:r w:rsidR="005E2E49">
        <w:rPr>
          <w:rFonts w:ascii="Arial" w:hAnsi="Arial" w:cs="Arial"/>
          <w:lang w:val="en-US"/>
        </w:rPr>
        <w:t>(</w:t>
      </w:r>
      <w:r w:rsidR="00E948B8" w:rsidRPr="005E2E49">
        <w:rPr>
          <w:rFonts w:ascii="Arial" w:hAnsi="Arial" w:cs="Arial"/>
          <w:b/>
          <w:bCs/>
          <w:lang w:val="en-US"/>
        </w:rPr>
        <w:t>B</w:t>
      </w:r>
      <w:r w:rsidR="00E948B8" w:rsidRPr="00E948B8">
        <w:rPr>
          <w:rFonts w:ascii="Arial" w:hAnsi="Arial" w:cs="Arial"/>
          <w:lang w:val="en-US"/>
        </w:rPr>
        <w:t>) IC</w:t>
      </w:r>
      <w:r w:rsidR="00E948B8" w:rsidRPr="00E948B8">
        <w:rPr>
          <w:rFonts w:ascii="Arial" w:hAnsi="Arial" w:cs="Arial"/>
          <w:vertAlign w:val="subscript"/>
          <w:lang w:val="en-US"/>
        </w:rPr>
        <w:t>50</w:t>
      </w:r>
      <w:r w:rsidR="00E948B8" w:rsidRPr="00E948B8">
        <w:rPr>
          <w:rFonts w:ascii="Arial" w:hAnsi="Arial" w:cs="Arial"/>
          <w:lang w:val="en-US"/>
        </w:rPr>
        <w:t xml:space="preserve"> curves of Ref. Inh. 1 from control plates included in every screening batch</w:t>
      </w:r>
      <w:r w:rsidR="00420CDF">
        <w:rPr>
          <w:rFonts w:ascii="Arial" w:hAnsi="Arial" w:cs="Arial"/>
          <w:lang w:val="en-US"/>
        </w:rPr>
        <w:t xml:space="preserve"> (n = 19)</w:t>
      </w:r>
      <w:r w:rsidR="00E948B8" w:rsidRPr="00E948B8">
        <w:rPr>
          <w:rFonts w:ascii="Arial" w:hAnsi="Arial" w:cs="Arial"/>
          <w:lang w:val="en-US"/>
        </w:rPr>
        <w:t>. Determined IC</w:t>
      </w:r>
      <w:r w:rsidR="00E948B8" w:rsidRPr="00E948B8">
        <w:rPr>
          <w:rFonts w:ascii="Arial" w:hAnsi="Arial" w:cs="Arial"/>
          <w:vertAlign w:val="subscript"/>
          <w:lang w:val="en-US"/>
        </w:rPr>
        <w:t>50</w:t>
      </w:r>
      <w:r w:rsidR="00E948B8" w:rsidRPr="00E948B8">
        <w:rPr>
          <w:rFonts w:ascii="Arial" w:hAnsi="Arial" w:cs="Arial"/>
          <w:lang w:val="en-US"/>
        </w:rPr>
        <w:t xml:space="preserve"> values were highly consistent throughout the screen (8.87 ± 2.03 µM).</w:t>
      </w:r>
      <w:r w:rsidR="00CD47B4" w:rsidRPr="00CD47B4">
        <w:rPr>
          <w:lang w:val="en-US"/>
        </w:rPr>
        <w:t xml:space="preserve"> </w:t>
      </w:r>
      <w:r w:rsidR="00CD47B4" w:rsidRPr="00CD47B4">
        <w:rPr>
          <w:rFonts w:ascii="Arial" w:hAnsi="Arial" w:cs="Arial"/>
          <w:lang w:val="en-US"/>
        </w:rPr>
        <w:t>(</w:t>
      </w:r>
      <w:r w:rsidR="00CD47B4" w:rsidRPr="00CD47B4">
        <w:rPr>
          <w:rFonts w:ascii="Arial" w:hAnsi="Arial" w:cs="Arial"/>
          <w:b/>
          <w:bCs/>
          <w:lang w:val="en-US"/>
        </w:rPr>
        <w:t>C</w:t>
      </w:r>
      <w:r w:rsidR="00CD47B4" w:rsidRPr="00CD47B4">
        <w:rPr>
          <w:rFonts w:ascii="Arial" w:hAnsi="Arial" w:cs="Arial"/>
          <w:lang w:val="en-US"/>
        </w:rPr>
        <w:t>) Correlation of IC</w:t>
      </w:r>
      <w:r w:rsidR="00CD47B4" w:rsidRPr="00CD47B4">
        <w:rPr>
          <w:rFonts w:ascii="Arial" w:hAnsi="Arial" w:cs="Arial"/>
          <w:vertAlign w:val="subscript"/>
          <w:lang w:val="en-US"/>
        </w:rPr>
        <w:t>50</w:t>
      </w:r>
      <w:r w:rsidR="00CD47B4" w:rsidRPr="00CD47B4">
        <w:rPr>
          <w:rFonts w:ascii="Arial" w:hAnsi="Arial" w:cs="Arial"/>
          <w:lang w:val="en-US"/>
        </w:rPr>
        <w:t xml:space="preserve"> determinations for primary screening hits from two individual experiments</w:t>
      </w:r>
      <w:r w:rsidR="00CD47B4">
        <w:rPr>
          <w:rFonts w:ascii="Arial" w:hAnsi="Arial" w:cs="Arial"/>
          <w:lang w:val="en-US"/>
        </w:rPr>
        <w:t>.</w:t>
      </w:r>
    </w:p>
    <w:p w:rsidR="00E948B8" w:rsidRDefault="00E948B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948B8" w:rsidRPr="00E948B8" w:rsidRDefault="004F15BD" w:rsidP="00E948B8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S10</w:t>
      </w:r>
    </w:p>
    <w:p w:rsidR="00E948B8" w:rsidRDefault="00A71764" w:rsidP="00E948B8">
      <w:pPr>
        <w:pStyle w:val="Tex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B09BD5B">
            <wp:extent cx="3230088" cy="419264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82" cy="419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B8" w:rsidRPr="00E948B8" w:rsidRDefault="005D1422" w:rsidP="00E948B8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Supp. Fig. S10</w:t>
      </w:r>
      <w:r w:rsidR="00E948B8" w:rsidRPr="00E948B8">
        <w:rPr>
          <w:rFonts w:ascii="Arial" w:hAnsi="Arial" w:cs="Arial"/>
          <w:lang w:val="en-US"/>
        </w:rPr>
        <w:t xml:space="preserve">: Low ionization efficiency is the proposed reason for non-reproducible compound activity. Under conditions where internal standard (red) produces a higher signal than the reaction product (blue) during MALDI-TOF analysis (e.g. Ratio = 0.64), low ionization efficiencies can lead to false positive assay results due to signal </w:t>
      </w:r>
      <w:r w:rsidR="005E2E49" w:rsidRPr="00E948B8">
        <w:rPr>
          <w:rFonts w:ascii="Arial" w:hAnsi="Arial" w:cs="Arial"/>
          <w:lang w:val="en-US"/>
        </w:rPr>
        <w:t>intensity</w:t>
      </w:r>
      <w:r w:rsidR="00E948B8" w:rsidRPr="00E948B8">
        <w:rPr>
          <w:rFonts w:ascii="Arial" w:hAnsi="Arial" w:cs="Arial"/>
          <w:lang w:val="en-US"/>
        </w:rPr>
        <w:t xml:space="preserve"> reduction below the detection limit. This aspect can be </w:t>
      </w:r>
      <w:r w:rsidR="005E2E49" w:rsidRPr="00E948B8">
        <w:rPr>
          <w:rFonts w:ascii="Arial" w:hAnsi="Arial" w:cs="Arial"/>
          <w:lang w:val="en-US"/>
        </w:rPr>
        <w:t>addressed</w:t>
      </w:r>
      <w:r w:rsidR="00E948B8" w:rsidRPr="00E948B8">
        <w:rPr>
          <w:rFonts w:ascii="Arial" w:hAnsi="Arial" w:cs="Arial"/>
          <w:lang w:val="en-US"/>
        </w:rPr>
        <w:t xml:space="preserve"> by providing equal signal intensities of both analytes (Ratio = 1).</w:t>
      </w:r>
    </w:p>
    <w:p w:rsidR="00E948B8" w:rsidRDefault="00E948B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948B8" w:rsidRPr="00E948B8" w:rsidRDefault="004F15BD" w:rsidP="00E948B8">
      <w:pPr>
        <w:pStyle w:val="Tex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Supplemental Figure S11</w:t>
      </w:r>
    </w:p>
    <w:p w:rsidR="00E948B8" w:rsidRDefault="000E7E8F" w:rsidP="00E948B8">
      <w:pPr>
        <w:pStyle w:val="Tex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07B7566D">
            <wp:extent cx="5547647" cy="628143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96" cy="629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B8" w:rsidRPr="00E948B8" w:rsidRDefault="00E948B8" w:rsidP="00E948B8">
      <w:pPr>
        <w:pStyle w:val="Text"/>
        <w:jc w:val="both"/>
        <w:rPr>
          <w:rFonts w:ascii="Arial" w:hAnsi="Arial" w:cs="Arial"/>
          <w:lang w:val="en-US"/>
        </w:rPr>
      </w:pPr>
      <w:r w:rsidRPr="004821BE">
        <w:rPr>
          <w:rFonts w:ascii="Arial" w:hAnsi="Arial" w:cs="Arial"/>
          <w:b/>
          <w:bCs/>
          <w:lang w:val="en-US"/>
        </w:rPr>
        <w:t>S</w:t>
      </w:r>
      <w:r w:rsidR="005D1422" w:rsidRPr="004821BE">
        <w:rPr>
          <w:rFonts w:ascii="Arial" w:hAnsi="Arial" w:cs="Arial"/>
          <w:b/>
          <w:bCs/>
          <w:lang w:val="en-US"/>
        </w:rPr>
        <w:t>upp. Fig. S11</w:t>
      </w:r>
      <w:r w:rsidRPr="00E948B8">
        <w:rPr>
          <w:rFonts w:ascii="Arial" w:hAnsi="Arial" w:cs="Arial"/>
          <w:lang w:val="en-US"/>
        </w:rPr>
        <w:t xml:space="preserve">: Isobaric compound interference. </w:t>
      </w:r>
      <w:r w:rsidR="005E2E49">
        <w:rPr>
          <w:rFonts w:ascii="Arial" w:hAnsi="Arial" w:cs="Arial"/>
          <w:lang w:val="en-US"/>
        </w:rPr>
        <w:t>(</w:t>
      </w:r>
      <w:r w:rsidRPr="005E2E49">
        <w:rPr>
          <w:rFonts w:ascii="Arial" w:hAnsi="Arial" w:cs="Arial"/>
          <w:b/>
          <w:bCs/>
          <w:lang w:val="en-US"/>
        </w:rPr>
        <w:t>A</w:t>
      </w:r>
      <w:r w:rsidRPr="00E948B8">
        <w:rPr>
          <w:rFonts w:ascii="Arial" w:hAnsi="Arial" w:cs="Arial"/>
          <w:lang w:val="en-US"/>
        </w:rPr>
        <w:t xml:space="preserve">) Evaluation of compound detectability under assay conditions. </w:t>
      </w:r>
      <w:r w:rsidR="005E2E49" w:rsidRPr="00E948B8">
        <w:rPr>
          <w:rFonts w:ascii="Arial" w:hAnsi="Arial" w:cs="Arial"/>
          <w:lang w:val="en-US"/>
        </w:rPr>
        <w:t>Replicates</w:t>
      </w:r>
      <w:r w:rsidRPr="00E948B8">
        <w:rPr>
          <w:rFonts w:ascii="Arial" w:hAnsi="Arial" w:cs="Arial"/>
          <w:lang w:val="en-US"/>
        </w:rPr>
        <w:t xml:space="preserve"> (n = 8) of potential interfering compounds (36 cpds.) were measured under low control conditions without internal standard in the </w:t>
      </w:r>
      <w:r w:rsidRPr="00E948B8">
        <w:rPr>
          <w:rFonts w:ascii="Arial" w:hAnsi="Arial" w:cs="Arial"/>
          <w:lang w:val="en-US"/>
        </w:rPr>
        <w:lastRenderedPageBreak/>
        <w:t xml:space="preserve">incubation mixtures. Percent values represent average normalized signal intensities compared to internal standard (n = 16). </w:t>
      </w:r>
      <w:r w:rsidR="005E2E49">
        <w:rPr>
          <w:rFonts w:ascii="Arial" w:hAnsi="Arial" w:cs="Arial"/>
          <w:lang w:val="en-US"/>
        </w:rPr>
        <w:t>(</w:t>
      </w:r>
      <w:r w:rsidRPr="005E2E49">
        <w:rPr>
          <w:rFonts w:ascii="Arial" w:hAnsi="Arial" w:cs="Arial"/>
          <w:b/>
          <w:bCs/>
          <w:lang w:val="en-US"/>
        </w:rPr>
        <w:t>B</w:t>
      </w:r>
      <w:r w:rsidRPr="00E948B8">
        <w:rPr>
          <w:rFonts w:ascii="Arial" w:hAnsi="Arial" w:cs="Arial"/>
          <w:lang w:val="en-US"/>
        </w:rPr>
        <w:t xml:space="preserve">) Representative MALDI-TOF spectra of internal standard (IS) and isobaric compounds (Interf. 1-4). The average normalized signal intensities are included in parentheses. </w:t>
      </w:r>
      <w:r w:rsidR="005E2E49">
        <w:rPr>
          <w:rFonts w:ascii="Arial" w:hAnsi="Arial" w:cs="Arial"/>
          <w:lang w:val="en-US"/>
        </w:rPr>
        <w:t>(</w:t>
      </w:r>
      <w:r w:rsidRPr="005E2E49">
        <w:rPr>
          <w:rFonts w:ascii="Arial" w:hAnsi="Arial" w:cs="Arial"/>
          <w:b/>
          <w:bCs/>
          <w:lang w:val="en-US"/>
        </w:rPr>
        <w:t>C</w:t>
      </w:r>
      <w:r w:rsidRPr="00E948B8">
        <w:rPr>
          <w:rFonts w:ascii="Arial" w:hAnsi="Arial" w:cs="Arial"/>
          <w:lang w:val="en-US"/>
        </w:rPr>
        <w:t xml:space="preserve">) Visualization of the MS/MS principle for effect analysis of isobaric compounds. Fragmentation at the indicated positions and loss of the guanine residues produce two distinct ion species with a mass difference of 5 Da. Signals </w:t>
      </w:r>
      <w:r w:rsidRPr="00E948B8">
        <w:rPr>
          <w:rFonts w:ascii="Arial" w:hAnsi="Arial" w:cs="Arial"/>
          <w:b/>
          <w:bCs/>
          <w:lang w:val="en-US"/>
        </w:rPr>
        <w:t>a</w:t>
      </w:r>
      <w:r w:rsidRPr="00E948B8">
        <w:rPr>
          <w:rFonts w:ascii="Arial" w:hAnsi="Arial" w:cs="Arial"/>
          <w:lang w:val="en-US"/>
        </w:rPr>
        <w:t xml:space="preserve"> and </w:t>
      </w:r>
      <w:r w:rsidRPr="00E948B8">
        <w:rPr>
          <w:rFonts w:ascii="Arial" w:hAnsi="Arial" w:cs="Arial"/>
          <w:b/>
          <w:bCs/>
          <w:lang w:val="en-US"/>
        </w:rPr>
        <w:t>b</w:t>
      </w:r>
      <w:r w:rsidRPr="00E948B8">
        <w:rPr>
          <w:rFonts w:ascii="Arial" w:hAnsi="Arial" w:cs="Arial"/>
          <w:lang w:val="en-US"/>
        </w:rPr>
        <w:t xml:space="preserve"> were recorded in individual experiments and demonstrate the general feasibility to quantify cGAS activity based on fragment ions</w:t>
      </w:r>
      <w:r w:rsidR="00420CDF">
        <w:rPr>
          <w:rFonts w:ascii="Arial" w:hAnsi="Arial" w:cs="Arial"/>
          <w:lang w:val="en-US"/>
        </w:rPr>
        <w:t xml:space="preserve"> the MS/MS featured MALDI-TOF/TOF system</w:t>
      </w:r>
      <w:r w:rsidRPr="00E948B8">
        <w:rPr>
          <w:rFonts w:ascii="Arial" w:hAnsi="Arial" w:cs="Arial"/>
          <w:lang w:val="en-US"/>
        </w:rPr>
        <w:t>.</w:t>
      </w:r>
    </w:p>
    <w:p w:rsidR="00E948B8" w:rsidRPr="00D646FD" w:rsidRDefault="00E948B8" w:rsidP="00E948B8">
      <w:pPr>
        <w:pStyle w:val="Text"/>
        <w:rPr>
          <w:rFonts w:ascii="Arial" w:hAnsi="Arial" w:cs="Arial"/>
          <w:lang w:val="en-US"/>
        </w:rPr>
      </w:pPr>
    </w:p>
    <w:sectPr w:rsidR="00E948B8" w:rsidRPr="00D646FD" w:rsidSect="00F730D8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6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BE"/>
    <w:rsid w:val="000076B4"/>
    <w:rsid w:val="00071FFC"/>
    <w:rsid w:val="000772E6"/>
    <w:rsid w:val="000E7E8F"/>
    <w:rsid w:val="00116F27"/>
    <w:rsid w:val="001B6979"/>
    <w:rsid w:val="00200823"/>
    <w:rsid w:val="00243D77"/>
    <w:rsid w:val="0033125E"/>
    <w:rsid w:val="00342495"/>
    <w:rsid w:val="003A0AC8"/>
    <w:rsid w:val="003B24F1"/>
    <w:rsid w:val="003E5460"/>
    <w:rsid w:val="00420CDF"/>
    <w:rsid w:val="004821BE"/>
    <w:rsid w:val="004F15BD"/>
    <w:rsid w:val="005D1422"/>
    <w:rsid w:val="005E2E49"/>
    <w:rsid w:val="00707BE7"/>
    <w:rsid w:val="00833234"/>
    <w:rsid w:val="00A255DC"/>
    <w:rsid w:val="00A71764"/>
    <w:rsid w:val="00AA3E37"/>
    <w:rsid w:val="00B4391C"/>
    <w:rsid w:val="00B628A6"/>
    <w:rsid w:val="00CD47B4"/>
    <w:rsid w:val="00CE565E"/>
    <w:rsid w:val="00D54FD1"/>
    <w:rsid w:val="00D646FD"/>
    <w:rsid w:val="00D704DB"/>
    <w:rsid w:val="00DA2EB1"/>
    <w:rsid w:val="00E17C5B"/>
    <w:rsid w:val="00E46D08"/>
    <w:rsid w:val="00E948B8"/>
    <w:rsid w:val="00E953AE"/>
    <w:rsid w:val="00EA4FB2"/>
    <w:rsid w:val="00EE14BE"/>
    <w:rsid w:val="00F365B7"/>
    <w:rsid w:val="00F730D8"/>
    <w:rsid w:val="00F87E52"/>
    <w:rsid w:val="00FC340F"/>
    <w:rsid w:val="00FF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C58EAC"/>
  <w14:defaultImageDpi w14:val="330"/>
  <w15:chartTrackingRefBased/>
  <w15:docId w15:val="{C6FCD864-262A-4A47-896B-91A153CB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de-DE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qFormat/>
    <w:rsid w:val="00EE14BE"/>
    <w:pPr>
      <w:spacing w:line="480" w:lineRule="auto"/>
    </w:pPr>
    <w:rPr>
      <w:rFonts w:ascii="Times New Roman" w:hAnsi="Times New Roman"/>
      <w:sz w:val="24"/>
    </w:rPr>
  </w:style>
  <w:style w:type="character" w:customStyle="1" w:styleId="TextChar">
    <w:name w:val="Text Char"/>
    <w:basedOn w:val="DefaultParagraphFont"/>
    <w:link w:val="Text"/>
    <w:rsid w:val="00E17C5B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D646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2E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735</Words>
  <Characters>4633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Simon,Roman (RES DDS) BIP-DE-B</dc:creator>
  <cp:keywords/>
  <dc:description/>
  <cp:lastModifiedBy>Simon,Dr.,Roman (RES DDS) BIP-DE-B</cp:lastModifiedBy>
  <cp:revision>9</cp:revision>
  <dcterms:created xsi:type="dcterms:W3CDTF">2019-08-16T11:50:00Z</dcterms:created>
  <dcterms:modified xsi:type="dcterms:W3CDTF">2019-08-16T22:19:00Z</dcterms:modified>
</cp:coreProperties>
</file>