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18" w:rsidRDefault="006B0BE3" w:rsidP="006B0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46E1">
        <w:rPr>
          <w:rFonts w:ascii="Times New Roman" w:hAnsi="Times New Roman" w:cs="Times New Roman"/>
          <w:b/>
          <w:sz w:val="20"/>
          <w:szCs w:val="20"/>
          <w:u w:val="single"/>
        </w:rPr>
        <w:t>Supp</w:t>
      </w:r>
      <w:r w:rsidR="000379B3">
        <w:rPr>
          <w:rFonts w:ascii="Times New Roman" w:hAnsi="Times New Roman" w:cs="Times New Roman"/>
          <w:b/>
          <w:sz w:val="20"/>
          <w:szCs w:val="20"/>
          <w:u w:val="single"/>
        </w:rPr>
        <w:t>lementary</w:t>
      </w:r>
      <w:r w:rsidR="00D12DA7">
        <w:rPr>
          <w:rFonts w:ascii="Times New Roman" w:hAnsi="Times New Roman" w:cs="Times New Roman"/>
          <w:b/>
          <w:sz w:val="20"/>
          <w:szCs w:val="20"/>
          <w:u w:val="single"/>
        </w:rPr>
        <w:t xml:space="preserve"> material for “</w:t>
      </w:r>
      <w:r w:rsidR="0054617A" w:rsidRPr="00B43072">
        <w:rPr>
          <w:rFonts w:ascii="Times New Roman" w:hAnsi="Times New Roman" w:cs="Times New Roman"/>
          <w:b/>
          <w:sz w:val="20"/>
          <w:szCs w:val="20"/>
          <w:u w:val="single"/>
        </w:rPr>
        <w:t>Polypharmacy among community-dwelling elderly in Singapore: Prevalence, risk factors and association with medication non-adherence</w:t>
      </w:r>
      <w:r w:rsidR="00D12DA7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bookmarkStart w:id="0" w:name="_GoBack"/>
      <w:bookmarkEnd w:id="0"/>
    </w:p>
    <w:p w:rsidR="0054617A" w:rsidRPr="003146E1" w:rsidRDefault="0054617A" w:rsidP="006B0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458D" w:rsidRDefault="007D458D">
      <w:pPr>
        <w:rPr>
          <w:rFonts w:ascii="Times New Roman" w:hAnsi="Times New Roman" w:cs="Times New Roman"/>
          <w:b/>
          <w:sz w:val="20"/>
          <w:szCs w:val="20"/>
        </w:rPr>
      </w:pPr>
    </w:p>
    <w:p w:rsidR="00554A76" w:rsidRDefault="0045479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Figure 1. Distribution of </w:t>
      </w:r>
      <w:r w:rsidR="0054617A">
        <w:rPr>
          <w:rFonts w:ascii="Times New Roman" w:hAnsi="Times New Roman" w:cs="Times New Roman"/>
          <w:b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sz w:val="20"/>
          <w:szCs w:val="20"/>
        </w:rPr>
        <w:t xml:space="preserve">number of </w:t>
      </w:r>
      <w:r w:rsidR="0054617A">
        <w:rPr>
          <w:rFonts w:ascii="Times New Roman" w:hAnsi="Times New Roman" w:cs="Times New Roman"/>
          <w:b/>
          <w:sz w:val="20"/>
          <w:szCs w:val="20"/>
        </w:rPr>
        <w:t xml:space="preserve">prescription </w:t>
      </w:r>
      <w:r>
        <w:rPr>
          <w:rFonts w:ascii="Times New Roman" w:hAnsi="Times New Roman" w:cs="Times New Roman"/>
          <w:b/>
          <w:sz w:val="20"/>
          <w:szCs w:val="20"/>
        </w:rPr>
        <w:t xml:space="preserve">medications </w:t>
      </w:r>
      <w:r w:rsidR="007D458D">
        <w:rPr>
          <w:rFonts w:ascii="Times New Roman" w:hAnsi="Times New Roman" w:cs="Times New Roman"/>
          <w:b/>
          <w:sz w:val="20"/>
          <w:szCs w:val="20"/>
        </w:rPr>
        <w:t xml:space="preserve">being taken on a regular basis </w:t>
      </w:r>
      <w:r w:rsidR="0054617A">
        <w:rPr>
          <w:rFonts w:ascii="Times New Roman" w:hAnsi="Times New Roman" w:cs="Times New Roman"/>
          <w:b/>
          <w:sz w:val="20"/>
          <w:szCs w:val="20"/>
        </w:rPr>
        <w:t>among</w:t>
      </w:r>
      <w:r>
        <w:rPr>
          <w:rFonts w:ascii="Times New Roman" w:hAnsi="Times New Roman" w:cs="Times New Roman"/>
          <w:b/>
          <w:sz w:val="20"/>
          <w:szCs w:val="20"/>
        </w:rPr>
        <w:t xml:space="preserve"> community-dwelling elderly Singaporeans</w:t>
      </w:r>
      <w:r w:rsidR="0054617A">
        <w:rPr>
          <w:rFonts w:ascii="Times New Roman" w:hAnsi="Times New Roman" w:cs="Times New Roman"/>
          <w:b/>
          <w:sz w:val="20"/>
          <w:szCs w:val="20"/>
        </w:rPr>
        <w:t xml:space="preserve"> (N = 1,499)</w:t>
      </w:r>
    </w:p>
    <w:p w:rsidR="00454791" w:rsidRDefault="00B71523">
      <w:pPr>
        <w:rPr>
          <w:rFonts w:ascii="Times New Roman" w:hAnsi="Times New Roman" w:cs="Times New Roman"/>
          <w:b/>
          <w:sz w:val="20"/>
          <w:szCs w:val="20"/>
        </w:rPr>
      </w:pPr>
      <w:r w:rsidRPr="00B7152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262577" cy="45830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72" cy="45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791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9668F" w:rsidRPr="003146E1" w:rsidRDefault="006B0BE3" w:rsidP="006B0B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46E1">
        <w:rPr>
          <w:rFonts w:ascii="Times New Roman" w:hAnsi="Times New Roman" w:cs="Times New Roman"/>
          <w:b/>
          <w:sz w:val="20"/>
          <w:szCs w:val="20"/>
        </w:rPr>
        <w:lastRenderedPageBreak/>
        <w:t>Supplementary Table 1</w:t>
      </w:r>
      <w:r w:rsidR="00B069D3" w:rsidRPr="003146E1">
        <w:rPr>
          <w:rFonts w:ascii="Times New Roman" w:hAnsi="Times New Roman" w:cs="Times New Roman"/>
          <w:b/>
          <w:sz w:val="20"/>
          <w:szCs w:val="20"/>
        </w:rPr>
        <w:t>.</w:t>
      </w:r>
      <w:r w:rsidR="0079668F" w:rsidRPr="003146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46E1">
        <w:rPr>
          <w:rFonts w:ascii="Times New Roman" w:hAnsi="Times New Roman" w:cs="Times New Roman"/>
          <w:b/>
          <w:sz w:val="20"/>
          <w:szCs w:val="20"/>
        </w:rPr>
        <w:t>Association of potential risk factors with polypharmacy among community-dwelling elderly Singaporeans: Multivariable logistic regression</w:t>
      </w:r>
      <w:r w:rsidR="0079668F" w:rsidRPr="003146E1">
        <w:rPr>
          <w:rFonts w:ascii="Times New Roman" w:hAnsi="Times New Roman" w:cs="Times New Roman"/>
          <w:b/>
          <w:sz w:val="20"/>
          <w:szCs w:val="20"/>
        </w:rPr>
        <w:t xml:space="preserve"> – Sensitivity Analyses</w:t>
      </w:r>
    </w:p>
    <w:tbl>
      <w:tblPr>
        <w:tblW w:w="1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419"/>
        <w:gridCol w:w="4056"/>
      </w:tblGrid>
      <w:tr w:rsidR="00485412" w:rsidRPr="003146E1" w:rsidTr="0055573F">
        <w:trPr>
          <w:trHeight w:val="170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85412" w:rsidRPr="003146E1" w:rsidRDefault="00485412" w:rsidP="006B7D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412" w:rsidRPr="003146E1" w:rsidRDefault="00485412" w:rsidP="006B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SENSITIVITY ANALYSIS 1:</w:t>
            </w:r>
          </w:p>
          <w:p w:rsidR="00485412" w:rsidRPr="003146E1" w:rsidRDefault="00485412" w:rsidP="006B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Polypharmacy</w:t>
            </w:r>
            <w:r w:rsidR="00DC6F57"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≥6 medicines</w:t>
            </w:r>
          </w:p>
          <w:p w:rsidR="00485412" w:rsidRPr="003146E1" w:rsidRDefault="00485412" w:rsidP="006B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(N = 1,499)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0A07" w:rsidRPr="003146E1" w:rsidRDefault="00180A07" w:rsidP="006B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SENSITIVITY ANALYSIS 2:</w:t>
            </w:r>
          </w:p>
          <w:p w:rsidR="00180A07" w:rsidRPr="003146E1" w:rsidRDefault="00180A07" w:rsidP="006B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Polypharmacy</w:t>
            </w:r>
            <w:r w:rsidR="00DC6F57"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≥5 medicines among those taking ≥1 medicine</w:t>
            </w:r>
          </w:p>
          <w:p w:rsidR="00485412" w:rsidRPr="003146E1" w:rsidRDefault="00180A07" w:rsidP="006B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(N = 1,229)</w:t>
            </w:r>
          </w:p>
        </w:tc>
      </w:tr>
      <w:tr w:rsidR="00485412" w:rsidRPr="003146E1" w:rsidTr="003146E1">
        <w:trPr>
          <w:trHeight w:val="170"/>
        </w:trPr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5412" w:rsidRPr="003146E1" w:rsidRDefault="000A269F" w:rsidP="006B7D16">
            <w:pPr>
              <w:spacing w:after="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Risk factor</w:t>
            </w:r>
          </w:p>
        </w:tc>
        <w:tc>
          <w:tcPr>
            <w:tcW w:w="8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85412" w:rsidRPr="003146E1" w:rsidRDefault="00485412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Confidence Interval)</w:t>
            </w:r>
          </w:p>
        </w:tc>
      </w:tr>
      <w:tr w:rsidR="00B069D3" w:rsidRPr="003146E1" w:rsidTr="0055573F">
        <w:trPr>
          <w:trHeight w:val="113"/>
        </w:trPr>
        <w:tc>
          <w:tcPr>
            <w:tcW w:w="493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 w:rsidRPr="0031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(Ref: 66 - 69)</w:t>
            </w:r>
          </w:p>
        </w:tc>
        <w:tc>
          <w:tcPr>
            <w:tcW w:w="4419" w:type="dxa"/>
            <w:tcBorders>
              <w:top w:val="single" w:sz="4" w:space="0" w:color="auto"/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9D3" w:rsidRPr="003146E1" w:rsidTr="0055573F">
        <w:trPr>
          <w:trHeight w:val="57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70 - 74 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287293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1.58 (0.76, 3.28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1.25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(0.71, 2.19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57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75 - 79 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287293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2.10 (0.99, 4.42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1.65 (0.93, 2.93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57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80 - 84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287293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1.51 (0.69, 3.33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1.49 (0.82, 2.70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57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≥85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287293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1.94 (0.86, 4.39</w:t>
            </w:r>
            <w:r w:rsidR="00B069D3" w:rsidRPr="003146E1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1.85 (0.99, 3.46</w:t>
            </w:r>
            <w:r w:rsidR="00B069D3" w:rsidRPr="003146E1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  <w:r w:rsidRPr="0031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(Ref: Women)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  <w:hideMark/>
          </w:tcPr>
          <w:p w:rsidR="00B069D3" w:rsidRPr="003146E1" w:rsidRDefault="0028729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 (1.07, 2.72</w:t>
            </w:r>
            <w:r w:rsidR="00B069D3" w:rsidRPr="0031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1.97 (1.34, 2.90</w:t>
            </w:r>
            <w:r w:rsidR="00B069D3" w:rsidRPr="0031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 xml:space="preserve">Ethnicity </w:t>
            </w:r>
            <w:r w:rsidRPr="0031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(Ref: Chinese)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287293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2.05 (1.06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3.96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2.01 (1.21, 3.36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287293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2.41</w:t>
            </w:r>
            <w:r w:rsidR="00B94920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(1.19, 4.88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3.79 (2.01, 7.15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12334F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</w:rPr>
              <w:t>4.40 (1.27, 15.2</w:t>
            </w:r>
            <w:r w:rsidR="00B069D3" w:rsidRPr="003146E1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2334F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2.67 (0.55, 13.1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bottom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Educational Status</w:t>
            </w:r>
            <w:r w:rsidRPr="0031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(Ref: No formal education)</w:t>
            </w:r>
          </w:p>
        </w:tc>
        <w:tc>
          <w:tcPr>
            <w:tcW w:w="4419" w:type="dxa"/>
            <w:tcBorders>
              <w:bottom w:val="nil"/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B94920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1.18 (0.69, 2.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0</w:t>
            </w: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3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0.99 (0.64, 1.52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Secondary and above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B94920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0.65 (0.31, 1.37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0.67 (0.39, 1.15)</w:t>
            </w:r>
          </w:p>
        </w:tc>
      </w:tr>
      <w:tr w:rsidR="00B069D3" w:rsidRPr="003146E1" w:rsidTr="0048116A">
        <w:trPr>
          <w:trHeight w:val="170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Housing Type </w:t>
            </w:r>
            <w:r w:rsidRPr="003146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(Ref: 1</w:t>
            </w:r>
            <w:r w:rsidR="0055573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and </w:t>
            </w:r>
            <w:r w:rsidRPr="003146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55573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3146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room flat)</w:t>
            </w:r>
          </w:p>
        </w:tc>
        <w:tc>
          <w:tcPr>
            <w:tcW w:w="441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69D3" w:rsidRPr="003146E1" w:rsidTr="0048116A">
        <w:trPr>
          <w:trHeight w:val="170"/>
        </w:trPr>
        <w:tc>
          <w:tcPr>
            <w:tcW w:w="493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3-room flat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B94920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1.52 (0.66, 3.49</w:t>
            </w:r>
            <w:r w:rsidR="00B069D3" w:rsidRPr="003146E1">
              <w:rPr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1.80 (0.89, 3.65</w:t>
            </w:r>
            <w:r w:rsidR="00B069D3" w:rsidRPr="003146E1">
              <w:rPr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48116A">
        <w:trPr>
          <w:trHeight w:val="87"/>
        </w:trPr>
        <w:tc>
          <w:tcPr>
            <w:tcW w:w="493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4- and 5-room flat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B94920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0.83 (0.38, 1.83</w:t>
            </w:r>
            <w:r w:rsidR="00B069D3" w:rsidRPr="003146E1">
              <w:rPr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1.20</w:t>
            </w:r>
            <w:r w:rsidR="00B069D3" w:rsidRPr="003146E1">
              <w:rPr>
                <w:color w:val="000000" w:themeColor="text1"/>
                <w:kern w:val="24"/>
                <w:sz w:val="20"/>
                <w:szCs w:val="20"/>
              </w:rPr>
              <w:t xml:space="preserve"> (0.62, 2.35)</w:t>
            </w: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B94920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1.23 (0.42</w:t>
            </w:r>
            <w:r w:rsidR="00B069D3" w:rsidRPr="003146E1">
              <w:rPr>
                <w:color w:val="000000" w:themeColor="text1"/>
                <w:kern w:val="24"/>
                <w:sz w:val="20"/>
                <w:szCs w:val="20"/>
              </w:rPr>
              <w:t>,</w:t>
            </w:r>
            <w:r w:rsidRPr="003146E1">
              <w:rPr>
                <w:color w:val="000000" w:themeColor="text1"/>
                <w:kern w:val="24"/>
                <w:position w:val="1"/>
                <w:sz w:val="20"/>
                <w:szCs w:val="20"/>
              </w:rPr>
              <w:t xml:space="preserve"> 3.64</w:t>
            </w:r>
            <w:r w:rsidR="00B069D3" w:rsidRPr="003146E1">
              <w:rPr>
                <w:color w:val="000000" w:themeColor="text1"/>
                <w:kern w:val="24"/>
                <w:position w:val="1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1.68 (0.68</w:t>
            </w:r>
            <w:r w:rsidR="00B069D3" w:rsidRPr="003146E1">
              <w:rPr>
                <w:color w:val="000000" w:themeColor="text1"/>
                <w:kern w:val="24"/>
                <w:sz w:val="20"/>
                <w:szCs w:val="20"/>
              </w:rPr>
              <w:t>,</w:t>
            </w:r>
            <w:r w:rsidRPr="003146E1">
              <w:rPr>
                <w:color w:val="000000" w:themeColor="text1"/>
                <w:kern w:val="24"/>
                <w:position w:val="1"/>
                <w:sz w:val="20"/>
                <w:szCs w:val="20"/>
              </w:rPr>
              <w:t xml:space="preserve"> 4.15</w:t>
            </w:r>
            <w:r w:rsidR="00B069D3" w:rsidRPr="003146E1">
              <w:rPr>
                <w:color w:val="000000" w:themeColor="text1"/>
                <w:kern w:val="24"/>
                <w:position w:val="1"/>
                <w:sz w:val="20"/>
                <w:szCs w:val="20"/>
              </w:rPr>
              <w:t>)</w:t>
            </w: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B069D3" w:rsidRPr="003146E1" w:rsidRDefault="00CF452F" w:rsidP="006B7D1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Hospitaliz</w:t>
            </w:r>
            <w:r w:rsidR="00B069D3" w:rsidRPr="003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ations in past 1 year </w:t>
            </w:r>
            <w:r w:rsidR="00B069D3" w:rsidRPr="0031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(Ref: 0)</w:t>
            </w:r>
          </w:p>
        </w:tc>
        <w:tc>
          <w:tcPr>
            <w:tcW w:w="441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55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B94920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1.56 (0.92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2.67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1.30 (0.83, 2.06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6B7D16">
        <w:trPr>
          <w:trHeight w:val="155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12334F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</w:rPr>
              <w:t>4.34 (1.64, 11.5</w:t>
            </w:r>
            <w:r w:rsidR="00B069D3" w:rsidRPr="003146E1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pStyle w:val="NormalWeb"/>
              <w:spacing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1.80 (0.67, 4.81</w:t>
            </w:r>
            <w:r w:rsidR="00B069D3"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top w:val="nil"/>
              <w:bottom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 xml:space="preserve">Emergency Room Visit in past 6 months </w:t>
            </w:r>
            <w:r w:rsidRPr="0031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(Ref: No)</w:t>
            </w:r>
          </w:p>
        </w:tc>
        <w:tc>
          <w:tcPr>
            <w:tcW w:w="441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6B7D16">
        <w:trPr>
          <w:trHeight w:val="170"/>
        </w:trPr>
        <w:tc>
          <w:tcPr>
            <w:tcW w:w="4932" w:type="dxa"/>
            <w:tcBorders>
              <w:top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419" w:type="dxa"/>
            <w:tcBorders>
              <w:top w:val="nil"/>
              <w:right w:val="nil"/>
            </w:tcBorders>
            <w:noWrap/>
            <w:vAlign w:val="bottom"/>
            <w:hideMark/>
          </w:tcPr>
          <w:p w:rsidR="00B069D3" w:rsidRPr="003146E1" w:rsidRDefault="00B94920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1.90 (1.00, 3.60</w:t>
            </w:r>
            <w:r w:rsidR="00B069D3"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1.49 (0.82, 2.68</w:t>
            </w:r>
            <w:r w:rsidR="00B069D3" w:rsidRPr="00314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Doctor Visit in past 3 months </w:t>
            </w:r>
            <w:r w:rsidRPr="0031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(Ref: No)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  <w:hideMark/>
          </w:tcPr>
          <w:p w:rsidR="00B069D3" w:rsidRPr="003146E1" w:rsidRDefault="00B94920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0.65 (0.32, 1.29</w:t>
            </w:r>
            <w:r w:rsidR="00B069D3" w:rsidRPr="00314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B51E5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1.04 (0.53, 2.03</w:t>
            </w:r>
            <w:r w:rsidR="00B069D3" w:rsidRPr="00314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 xml:space="preserve">Used Pioneer Generation Card in past 3 months </w:t>
            </w:r>
            <w:r w:rsidRPr="0031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(Ref: No)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</w:tcPr>
          <w:p w:rsidR="00B069D3" w:rsidRPr="003146E1" w:rsidRDefault="00B94920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1.51 (0.86, 2.67</w:t>
            </w:r>
            <w:r w:rsidR="00B069D3" w:rsidRPr="00314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5C377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1.38 (0.82, 2.31</w:t>
            </w:r>
            <w:r w:rsidR="00B069D3" w:rsidRPr="00314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 xml:space="preserve">Number of Chronic Diseases </w:t>
            </w:r>
            <w:r w:rsidR="0055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(Ref: 0 -</w:t>
            </w:r>
            <w:r w:rsidRPr="003146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1)</w:t>
            </w:r>
          </w:p>
        </w:tc>
        <w:tc>
          <w:tcPr>
            <w:tcW w:w="4419" w:type="dxa"/>
            <w:tcBorders>
              <w:right w:val="nil"/>
            </w:tcBorders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B069D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6B7D16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12.9</w:t>
            </w:r>
            <w:r w:rsidR="0012334F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(3.97, 41.8)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5C3773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4.53 (2.05, 9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.</w:t>
            </w: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9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8)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B069D3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6B7D16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21.8</w:t>
            </w:r>
            <w:r w:rsidR="004F582D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(6.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7</w:t>
            </w:r>
            <w:r w:rsidR="0012334F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4, 70.4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5C3773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10.7</w:t>
            </w:r>
            <w:r w:rsidR="0012334F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(4.92, 23.4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069D3" w:rsidRPr="003146E1" w:rsidTr="0055573F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B069D3" w:rsidRPr="003146E1" w:rsidRDefault="0055573F" w:rsidP="006B7D16">
            <w:pPr>
              <w:spacing w:after="0" w:line="480" w:lineRule="auto"/>
              <w:ind w:firstLineChars="100" w:firstLine="20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3E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69D3" w:rsidRPr="003146E1" w:rsidRDefault="004F582D" w:rsidP="006B7D16">
            <w:pPr>
              <w:pStyle w:val="NormalWeb"/>
              <w:spacing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44.5</w:t>
            </w:r>
            <w:r w:rsidR="0012334F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(14.0</w:t>
            </w:r>
            <w:r w:rsidR="006B7D16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, 142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9D3" w:rsidRPr="003146E1" w:rsidRDefault="0012334F" w:rsidP="006B7D16">
            <w:pPr>
              <w:pStyle w:val="NormalWeb"/>
              <w:spacing w:after="0" w:afterAutospacing="0" w:line="480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27.4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(12.8, 58.8</w:t>
            </w:r>
            <w:r w:rsidR="00B069D3" w:rsidRPr="003146E1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4F582D" w:rsidRPr="003146E1" w:rsidTr="0055573F">
        <w:trPr>
          <w:trHeight w:val="85"/>
        </w:trPr>
        <w:tc>
          <w:tcPr>
            <w:tcW w:w="4932" w:type="dxa"/>
            <w:noWrap/>
            <w:vAlign w:val="bottom"/>
          </w:tcPr>
          <w:p w:rsidR="004F582D" w:rsidRPr="003146E1" w:rsidRDefault="004F582D" w:rsidP="006B7D1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146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Number of ADL Limitations </w:t>
            </w:r>
            <w:r w:rsidRPr="00314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(0 - 6)</w:t>
            </w:r>
          </w:p>
        </w:tc>
        <w:tc>
          <w:tcPr>
            <w:tcW w:w="4419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4F582D" w:rsidRPr="003146E1" w:rsidRDefault="004F582D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Cs/>
                <w:sz w:val="20"/>
                <w:szCs w:val="20"/>
              </w:rPr>
              <w:t>1.13 (0.99, 1.29)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82D" w:rsidRPr="003146E1" w:rsidRDefault="005C3773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 (1.05, 1.31</w:t>
            </w:r>
            <w:r w:rsidR="004F582D" w:rsidRPr="00314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6B7D16" w:rsidRDefault="006B0BE3" w:rsidP="006B0B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6E1">
        <w:rPr>
          <w:rFonts w:ascii="Times New Roman" w:hAnsi="Times New Roman" w:cs="Times New Roman"/>
          <w:i/>
          <w:sz w:val="20"/>
          <w:szCs w:val="20"/>
        </w:rPr>
        <w:t xml:space="preserve">Ref </w:t>
      </w:r>
      <w:r w:rsidRPr="003146E1">
        <w:rPr>
          <w:rFonts w:ascii="Times New Roman" w:hAnsi="Times New Roman" w:cs="Times New Roman"/>
          <w:sz w:val="20"/>
          <w:szCs w:val="20"/>
        </w:rPr>
        <w:t>Reference,</w:t>
      </w:r>
      <w:r w:rsidRPr="003146E1">
        <w:rPr>
          <w:rFonts w:ascii="Times New Roman" w:hAnsi="Times New Roman" w:cs="Times New Roman"/>
          <w:i/>
          <w:sz w:val="20"/>
          <w:szCs w:val="20"/>
        </w:rPr>
        <w:t xml:space="preserve"> ADL</w:t>
      </w:r>
      <w:r w:rsidRPr="003146E1">
        <w:rPr>
          <w:rFonts w:ascii="Times New Roman" w:hAnsi="Times New Roman" w:cs="Times New Roman"/>
          <w:sz w:val="20"/>
          <w:szCs w:val="20"/>
        </w:rPr>
        <w:t xml:space="preserve"> Activities of daily living</w:t>
      </w:r>
    </w:p>
    <w:p w:rsidR="006B7D16" w:rsidRDefault="006B7D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69D3" w:rsidRPr="003146E1" w:rsidRDefault="00B069D3" w:rsidP="00B069D3">
      <w:pPr>
        <w:rPr>
          <w:rFonts w:ascii="Times New Roman" w:hAnsi="Times New Roman" w:cs="Times New Roman"/>
          <w:b/>
          <w:sz w:val="20"/>
          <w:szCs w:val="20"/>
        </w:rPr>
      </w:pPr>
      <w:r w:rsidRPr="003146E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Table 2. </w:t>
      </w:r>
      <w:r w:rsidRPr="003146E1">
        <w:rPr>
          <w:rFonts w:ascii="Times New Roman" w:eastAsia="DengXian" w:hAnsi="Times New Roman" w:cs="Times New Roman"/>
          <w:b/>
          <w:sz w:val="20"/>
          <w:szCs w:val="20"/>
        </w:rPr>
        <w:t>Association of polypharmacy</w:t>
      </w:r>
      <w:r w:rsidR="00E80484" w:rsidRPr="003146E1">
        <w:rPr>
          <w:rFonts w:ascii="Times New Roman" w:eastAsia="DengXian" w:hAnsi="Times New Roman" w:cs="Times New Roman"/>
          <w:b/>
          <w:sz w:val="20"/>
          <w:szCs w:val="20"/>
        </w:rPr>
        <w:t xml:space="preserve">, </w:t>
      </w:r>
      <w:r w:rsidR="00E80484" w:rsidRPr="003146E1">
        <w:rPr>
          <w:rFonts w:ascii="Times New Roman" w:eastAsia="DengXian" w:hAnsi="Times New Roman" w:cs="Times New Roman"/>
          <w:b/>
          <w:i/>
          <w:sz w:val="20"/>
          <w:szCs w:val="20"/>
        </w:rPr>
        <w:t>when defined as</w:t>
      </w:r>
      <w:r w:rsidR="00E80484" w:rsidRPr="003146E1">
        <w:rPr>
          <w:rFonts w:ascii="Times New Roman" w:hAnsi="Times New Roman" w:cs="Times New Roman"/>
          <w:b/>
          <w:i/>
          <w:sz w:val="20"/>
          <w:szCs w:val="20"/>
        </w:rPr>
        <w:t xml:space="preserve"> ‘≥6 medicines’</w:t>
      </w:r>
      <w:r w:rsidR="00E80484" w:rsidRPr="003146E1">
        <w:rPr>
          <w:rFonts w:ascii="Times New Roman" w:eastAsia="DengXian" w:hAnsi="Times New Roman" w:cs="Times New Roman"/>
          <w:b/>
          <w:i/>
          <w:sz w:val="20"/>
          <w:szCs w:val="20"/>
        </w:rPr>
        <w:t>,</w:t>
      </w:r>
      <w:r w:rsidR="00E80484" w:rsidRPr="003146E1">
        <w:rPr>
          <w:rFonts w:ascii="Times New Roman" w:eastAsia="DengXian" w:hAnsi="Times New Roman" w:cs="Times New Roman"/>
          <w:b/>
          <w:sz w:val="20"/>
          <w:szCs w:val="20"/>
        </w:rPr>
        <w:t xml:space="preserve"> </w:t>
      </w:r>
      <w:r w:rsidRPr="003146E1">
        <w:rPr>
          <w:rFonts w:ascii="Times New Roman" w:eastAsia="DengXian" w:hAnsi="Times New Roman" w:cs="Times New Roman"/>
          <w:b/>
          <w:sz w:val="20"/>
          <w:szCs w:val="20"/>
        </w:rPr>
        <w:t xml:space="preserve">with medication non-adherence among community-dwelling elderly Singaporeans: Multivariable logistic regression </w:t>
      </w:r>
      <w:r w:rsidRPr="003146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(N = </w:t>
      </w:r>
      <w:r w:rsidR="00E80484" w:rsidRPr="003146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1,104</w:t>
      </w:r>
      <w:r w:rsidRPr="003146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)</w:t>
      </w:r>
      <w:r w:rsidR="00BF097E" w:rsidRPr="00BF097E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3809"/>
      </w:tblGrid>
      <w:tr w:rsidR="000356E8" w:rsidRPr="003146E1" w:rsidTr="000356E8">
        <w:trPr>
          <w:trHeight w:val="113"/>
        </w:trPr>
        <w:tc>
          <w:tcPr>
            <w:tcW w:w="4932" w:type="dxa"/>
            <w:tcBorders>
              <w:top w:val="single" w:sz="4" w:space="0" w:color="auto"/>
            </w:tcBorders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Risk factor</w:t>
            </w: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Odds Ratio (95% Confidence Interval)</w:t>
            </w:r>
          </w:p>
        </w:tc>
      </w:tr>
      <w:tr w:rsidR="000356E8" w:rsidRPr="003146E1" w:rsidTr="000356E8">
        <w:trPr>
          <w:trHeight w:val="113"/>
        </w:trPr>
        <w:tc>
          <w:tcPr>
            <w:tcW w:w="493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>Polypharmacy (</w:t>
            </w:r>
            <w:r w:rsidRPr="003146E1">
              <w:rPr>
                <w:rFonts w:ascii="Times New Roman" w:hAnsi="Times New Roman" w:cs="Times New Roman"/>
                <w:b/>
                <w:sz w:val="20"/>
                <w:szCs w:val="20"/>
              </w:rPr>
              <w:t>defined as ‘≥6 medicines’)</w:t>
            </w:r>
            <w:r w:rsidRPr="003146E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 </w:t>
            </w:r>
            <w:r w:rsidRPr="003146E1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 w:eastAsia="en-US"/>
              </w:rPr>
              <w:t>(Ref: No)</w:t>
            </w:r>
          </w:p>
        </w:tc>
        <w:tc>
          <w:tcPr>
            <w:tcW w:w="380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56E8" w:rsidRPr="003146E1" w:rsidTr="000356E8">
        <w:trPr>
          <w:trHeight w:val="57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US"/>
              </w:rPr>
              <w:t>Yes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0356E8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0356E8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</w:rPr>
              <w:t>1.71 (1.09, 2.67)</w:t>
            </w:r>
          </w:p>
        </w:tc>
      </w:tr>
      <w:tr w:rsidR="000356E8" w:rsidRPr="003146E1" w:rsidTr="000356E8">
        <w:trPr>
          <w:trHeight w:val="57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46E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Age </w:t>
            </w:r>
            <w:r w:rsidRPr="003146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 w:eastAsia="en-US"/>
              </w:rPr>
              <w:t>(Ref: 66 - 69)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rPr>
                <w:sz w:val="20"/>
                <w:szCs w:val="20"/>
              </w:rPr>
            </w:pPr>
          </w:p>
        </w:tc>
      </w:tr>
      <w:tr w:rsidR="000356E8" w:rsidRPr="003146E1" w:rsidTr="000356E8">
        <w:trPr>
          <w:trHeight w:val="57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70 - 74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 0.96 (0.62, 1.47)</w:t>
            </w:r>
          </w:p>
        </w:tc>
      </w:tr>
      <w:tr w:rsidR="000356E8" w:rsidRPr="003146E1" w:rsidTr="000356E8">
        <w:trPr>
          <w:trHeight w:val="57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75 - 79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1.28 (0.81, 2.01)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80 - 84</w:t>
            </w:r>
          </w:p>
        </w:tc>
        <w:tc>
          <w:tcPr>
            <w:tcW w:w="380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1.54 (0.97, 2.45)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en-US"/>
              </w:rPr>
              <w:t>≥85</w:t>
            </w:r>
          </w:p>
        </w:tc>
        <w:tc>
          <w:tcPr>
            <w:tcW w:w="380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bCs/>
                <w:sz w:val="20"/>
                <w:szCs w:val="20"/>
              </w:rPr>
              <w:t>1.29 (0.77, 2.15)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46E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Gender </w:t>
            </w:r>
            <w:r w:rsidRPr="003146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 w:eastAsia="en-US"/>
              </w:rPr>
              <w:t>(Ref: Women)</w:t>
            </w:r>
          </w:p>
        </w:tc>
        <w:tc>
          <w:tcPr>
            <w:tcW w:w="380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Men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0.78 (0.56, 1.08)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46E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Ethnicity </w:t>
            </w:r>
            <w:r w:rsidRPr="003146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 w:eastAsia="en-US"/>
              </w:rPr>
              <w:t>(Ref: Chinese)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Malay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</w:rPr>
              <w:t>0.96 (0.64, 1.44)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Indian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1.55 (0.88, 2.72)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Other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2.76 (0.86, 8.81)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46E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Educational Status </w:t>
            </w:r>
            <w:r w:rsidRPr="003146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 w:eastAsia="en-US"/>
              </w:rPr>
              <w:t>(Ref: No formal education)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Primary</w:t>
            </w:r>
          </w:p>
        </w:tc>
        <w:tc>
          <w:tcPr>
            <w:tcW w:w="3809" w:type="dxa"/>
            <w:tcBorders>
              <w:right w:val="single" w:sz="4" w:space="0" w:color="auto"/>
            </w:tcBorders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6E1">
              <w:rPr>
                <w:rFonts w:ascii="Times New Roman" w:hAnsi="Times New Roman" w:cs="Times New Roman"/>
                <w:sz w:val="20"/>
                <w:szCs w:val="20"/>
              </w:rPr>
              <w:t>0.93 (0.65, 1.33)</w:t>
            </w:r>
          </w:p>
        </w:tc>
      </w:tr>
      <w:tr w:rsidR="000356E8" w:rsidRPr="003146E1" w:rsidTr="000356E8">
        <w:trPr>
          <w:trHeight w:val="170"/>
        </w:trPr>
        <w:tc>
          <w:tcPr>
            <w:tcW w:w="4932" w:type="dxa"/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Secondary and above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0356E8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0356E8">
              <w:rPr>
                <w:b/>
                <w:color w:val="000000" w:themeColor="text1"/>
                <w:kern w:val="24"/>
                <w:sz w:val="20"/>
                <w:szCs w:val="20"/>
              </w:rPr>
              <w:t>0.59 (0.39, 0.89)</w:t>
            </w:r>
          </w:p>
        </w:tc>
      </w:tr>
      <w:tr w:rsidR="000356E8" w:rsidRPr="003146E1" w:rsidTr="0048116A">
        <w:trPr>
          <w:trHeight w:val="170"/>
        </w:trPr>
        <w:tc>
          <w:tcPr>
            <w:tcW w:w="4932" w:type="dxa"/>
            <w:tcBorders>
              <w:bottom w:val="nil"/>
            </w:tcBorders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  <w:t xml:space="preserve">Cognitive Status </w:t>
            </w:r>
            <w:r w:rsidRPr="003146E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GB" w:eastAsia="en-US"/>
              </w:rPr>
              <w:t>(Ref: No impairment)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356E8" w:rsidRPr="003146E1" w:rsidTr="0048116A">
        <w:trPr>
          <w:trHeight w:val="170"/>
        </w:trPr>
        <w:tc>
          <w:tcPr>
            <w:tcW w:w="493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t>Mild impairment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1.18 (0.78, 1.78)</w:t>
            </w:r>
          </w:p>
        </w:tc>
      </w:tr>
      <w:tr w:rsidR="000356E8" w:rsidRPr="003146E1" w:rsidTr="0048116A">
        <w:trPr>
          <w:trHeight w:val="170"/>
        </w:trPr>
        <w:tc>
          <w:tcPr>
            <w:tcW w:w="493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0356E8" w:rsidRPr="003146E1" w:rsidRDefault="000356E8" w:rsidP="006B7D16">
            <w:pPr>
              <w:spacing w:after="0" w:line="480" w:lineRule="auto"/>
              <w:ind w:firstLineChars="100" w:firstLine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3146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 w:eastAsia="en-US"/>
              </w:rPr>
              <w:lastRenderedPageBreak/>
              <w:t>Moderate impairment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E8" w:rsidRPr="003146E1" w:rsidRDefault="000356E8" w:rsidP="006B7D16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3146E1">
              <w:rPr>
                <w:color w:val="000000" w:themeColor="text1"/>
                <w:kern w:val="24"/>
                <w:sz w:val="20"/>
                <w:szCs w:val="20"/>
              </w:rPr>
              <w:t>0.52 (0.16,</w:t>
            </w:r>
            <w:r w:rsidRPr="003146E1">
              <w:rPr>
                <w:color w:val="000000" w:themeColor="text1"/>
                <w:kern w:val="24"/>
                <w:position w:val="1"/>
                <w:sz w:val="20"/>
                <w:szCs w:val="20"/>
              </w:rPr>
              <w:t xml:space="preserve"> 1.64)</w:t>
            </w:r>
          </w:p>
        </w:tc>
      </w:tr>
    </w:tbl>
    <w:p w:rsidR="00BF097E" w:rsidRPr="006B7D16" w:rsidRDefault="00E80484" w:rsidP="006B7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6E1">
        <w:rPr>
          <w:rFonts w:ascii="Times New Roman" w:eastAsia="DengXian" w:hAnsi="Times New Roman" w:cs="Times New Roman"/>
          <w:i/>
          <w:sz w:val="20"/>
          <w:szCs w:val="20"/>
        </w:rPr>
        <w:t xml:space="preserve">Ref </w:t>
      </w:r>
      <w:r w:rsidRPr="003146E1">
        <w:rPr>
          <w:rFonts w:ascii="Times New Roman" w:eastAsia="DengXian" w:hAnsi="Times New Roman" w:cs="Times New Roman"/>
          <w:sz w:val="20"/>
          <w:szCs w:val="20"/>
        </w:rPr>
        <w:t>Reference</w:t>
      </w:r>
      <w:r w:rsidR="006B7D16">
        <w:rPr>
          <w:rFonts w:ascii="Times New Roman" w:eastAsia="DengXian" w:hAnsi="Times New Roman" w:cs="Times New Roman"/>
          <w:sz w:val="20"/>
          <w:szCs w:val="20"/>
        </w:rPr>
        <w:br/>
      </w:r>
    </w:p>
    <w:p w:rsidR="00E80484" w:rsidRPr="00BF097E" w:rsidRDefault="00BF097E" w:rsidP="00B069D3">
      <w:pPr>
        <w:rPr>
          <w:rFonts w:ascii="Times New Roman" w:hAnsi="Times New Roman" w:cs="Times New Roman"/>
          <w:sz w:val="20"/>
          <w:szCs w:val="20"/>
        </w:rPr>
      </w:pPr>
      <w:r w:rsidRPr="00DF2DD6">
        <w:rPr>
          <w:rFonts w:ascii="Times New Roman" w:hAnsi="Times New Roman" w:cs="Times New Roman"/>
          <w:sz w:val="20"/>
          <w:szCs w:val="20"/>
        </w:rPr>
        <w:t>*</w:t>
      </w:r>
      <w:r w:rsidRPr="00DF2DD6">
        <w:rPr>
          <w:rFonts w:ascii="Times New Roman" w:hAnsi="Times New Roman" w:cs="Times New Roman"/>
          <w:i/>
          <w:sz w:val="20"/>
          <w:szCs w:val="20"/>
        </w:rPr>
        <w:t>Association of polypharmacy, defined as ‘≥</w:t>
      </w:r>
      <w:r w:rsidRPr="00DF2DD6">
        <w:rPr>
          <w:rFonts w:ascii="Times New Roman" w:hAnsi="Times New Roman" w:cs="Times New Roman" w:hint="eastAsia"/>
          <w:i/>
          <w:sz w:val="20"/>
          <w:szCs w:val="20"/>
        </w:rPr>
        <w:t xml:space="preserve">5 medicines among </w:t>
      </w:r>
      <w:proofErr w:type="gramStart"/>
      <w:r w:rsidRPr="00DF2DD6">
        <w:rPr>
          <w:rFonts w:ascii="Times New Roman" w:hAnsi="Times New Roman" w:cs="Times New Roman" w:hint="eastAsia"/>
          <w:i/>
          <w:sz w:val="20"/>
          <w:szCs w:val="20"/>
        </w:rPr>
        <w:t>those taking</w:t>
      </w:r>
      <w:r w:rsidRPr="00DF2DD6">
        <w:rPr>
          <w:rFonts w:ascii="Times New Roman" w:hAnsi="Times New Roman" w:cs="Times New Roman"/>
          <w:i/>
          <w:sz w:val="20"/>
          <w:szCs w:val="20"/>
        </w:rPr>
        <w:t xml:space="preserve"> ≥</w:t>
      </w:r>
      <w:r w:rsidRPr="00DF2DD6">
        <w:rPr>
          <w:rFonts w:ascii="Times New Roman" w:hAnsi="Times New Roman" w:cs="Times New Roman" w:hint="eastAsia"/>
          <w:i/>
          <w:sz w:val="20"/>
          <w:szCs w:val="20"/>
        </w:rPr>
        <w:t>1 medicine</w:t>
      </w:r>
      <w:proofErr w:type="gramEnd"/>
      <w:r w:rsidRPr="00DF2DD6">
        <w:rPr>
          <w:rFonts w:ascii="Times New Roman" w:hAnsi="Times New Roman" w:cs="Times New Roman"/>
          <w:i/>
          <w:sz w:val="20"/>
          <w:szCs w:val="20"/>
        </w:rPr>
        <w:t xml:space="preserve">’, with medication non-adherence is not shown. The results are the same as the </w:t>
      </w:r>
      <w:r w:rsidR="006D3F90" w:rsidRPr="00DF2DD6">
        <w:rPr>
          <w:rFonts w:ascii="Times New Roman" w:hAnsi="Times New Roman" w:cs="Times New Roman"/>
          <w:i/>
          <w:sz w:val="20"/>
          <w:szCs w:val="20"/>
        </w:rPr>
        <w:t xml:space="preserve">main </w:t>
      </w:r>
      <w:r w:rsidRPr="00DF2DD6">
        <w:rPr>
          <w:rFonts w:ascii="Times New Roman" w:hAnsi="Times New Roman" w:cs="Times New Roman"/>
          <w:i/>
          <w:sz w:val="20"/>
          <w:szCs w:val="20"/>
        </w:rPr>
        <w:t>analysis, which defines polypharmacy as ‘≥</w:t>
      </w:r>
      <w:r w:rsidRPr="00DF2DD6">
        <w:rPr>
          <w:rFonts w:ascii="Times New Roman" w:hAnsi="Times New Roman" w:cs="Times New Roman" w:hint="eastAsia"/>
          <w:i/>
          <w:sz w:val="20"/>
          <w:szCs w:val="20"/>
        </w:rPr>
        <w:t>5 medicines</w:t>
      </w:r>
      <w:r w:rsidRPr="00DF2DD6">
        <w:rPr>
          <w:rFonts w:ascii="Times New Roman" w:hAnsi="Times New Roman" w:cs="Times New Roman"/>
          <w:i/>
          <w:sz w:val="20"/>
          <w:szCs w:val="20"/>
        </w:rPr>
        <w:t xml:space="preserve">’. </w:t>
      </w:r>
      <w:r w:rsidRPr="00DF2DD6">
        <w:rPr>
          <w:rFonts w:ascii="Times New Roman" w:hAnsi="Times New Roman" w:cs="Times New Roman" w:hint="eastAsia"/>
          <w:i/>
          <w:sz w:val="20"/>
          <w:szCs w:val="20"/>
        </w:rPr>
        <w:t>This is because elderly not taking any prescription m</w:t>
      </w:r>
      <w:r w:rsidRPr="00DF2DD6">
        <w:rPr>
          <w:rFonts w:ascii="Times New Roman" w:hAnsi="Times New Roman" w:cs="Times New Roman"/>
          <w:i/>
          <w:sz w:val="20"/>
          <w:szCs w:val="20"/>
        </w:rPr>
        <w:t xml:space="preserve">edications could not report medication non-adherence, and thus, </w:t>
      </w:r>
      <w:proofErr w:type="gramStart"/>
      <w:r w:rsidRPr="00DF2DD6">
        <w:rPr>
          <w:rFonts w:ascii="Times New Roman" w:hAnsi="Times New Roman" w:cs="Times New Roman"/>
          <w:i/>
          <w:sz w:val="20"/>
          <w:szCs w:val="20"/>
        </w:rPr>
        <w:t>are already excluded</w:t>
      </w:r>
      <w:proofErr w:type="gramEnd"/>
      <w:r w:rsidRPr="00DF2DD6">
        <w:rPr>
          <w:rFonts w:ascii="Times New Roman" w:hAnsi="Times New Roman" w:cs="Times New Roman"/>
          <w:i/>
          <w:sz w:val="20"/>
          <w:szCs w:val="20"/>
        </w:rPr>
        <w:t xml:space="preserve"> from this sample.</w:t>
      </w:r>
    </w:p>
    <w:sectPr w:rsidR="00E80484" w:rsidRPr="00BF097E" w:rsidSect="0033300D">
      <w:footerReference w:type="default" r:id="rId7"/>
      <w:pgSz w:w="16838" w:h="11906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A3" w:rsidRDefault="007F16A3" w:rsidP="00EC720E">
      <w:pPr>
        <w:spacing w:after="0" w:line="240" w:lineRule="auto"/>
      </w:pPr>
      <w:r>
        <w:separator/>
      </w:r>
    </w:p>
  </w:endnote>
  <w:endnote w:type="continuationSeparator" w:id="0">
    <w:p w:rsidR="007F16A3" w:rsidRDefault="007F16A3" w:rsidP="00EC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0E" w:rsidRDefault="00EC7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9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720E" w:rsidRDefault="00EC7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A3" w:rsidRDefault="007F16A3" w:rsidP="00EC720E">
      <w:pPr>
        <w:spacing w:after="0" w:line="240" w:lineRule="auto"/>
      </w:pPr>
      <w:r>
        <w:separator/>
      </w:r>
    </w:p>
  </w:footnote>
  <w:footnote w:type="continuationSeparator" w:id="0">
    <w:p w:rsidR="007F16A3" w:rsidRDefault="007F16A3" w:rsidP="00EC7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E3"/>
    <w:rsid w:val="000356E8"/>
    <w:rsid w:val="000379B3"/>
    <w:rsid w:val="00077BF8"/>
    <w:rsid w:val="000A269F"/>
    <w:rsid w:val="0012334F"/>
    <w:rsid w:val="00180A07"/>
    <w:rsid w:val="001B51E5"/>
    <w:rsid w:val="001C6A35"/>
    <w:rsid w:val="001F74C1"/>
    <w:rsid w:val="00287293"/>
    <w:rsid w:val="003146E1"/>
    <w:rsid w:val="0033300D"/>
    <w:rsid w:val="00454791"/>
    <w:rsid w:val="0048116A"/>
    <w:rsid w:val="00485412"/>
    <w:rsid w:val="004865E4"/>
    <w:rsid w:val="004F05C8"/>
    <w:rsid w:val="004F582D"/>
    <w:rsid w:val="0054617A"/>
    <w:rsid w:val="00554A76"/>
    <w:rsid w:val="0055573F"/>
    <w:rsid w:val="005C3773"/>
    <w:rsid w:val="005C3F81"/>
    <w:rsid w:val="00675678"/>
    <w:rsid w:val="006B0BE3"/>
    <w:rsid w:val="006B7D16"/>
    <w:rsid w:val="006D3F90"/>
    <w:rsid w:val="00715BEA"/>
    <w:rsid w:val="00781CB5"/>
    <w:rsid w:val="0079668F"/>
    <w:rsid w:val="007D458D"/>
    <w:rsid w:val="007F16A3"/>
    <w:rsid w:val="00805BB4"/>
    <w:rsid w:val="009044FB"/>
    <w:rsid w:val="00953118"/>
    <w:rsid w:val="00A00D78"/>
    <w:rsid w:val="00A24ACD"/>
    <w:rsid w:val="00AB7E05"/>
    <w:rsid w:val="00AF2DCC"/>
    <w:rsid w:val="00B069D3"/>
    <w:rsid w:val="00B71523"/>
    <w:rsid w:val="00B94920"/>
    <w:rsid w:val="00BF097E"/>
    <w:rsid w:val="00C4311B"/>
    <w:rsid w:val="00C81E2A"/>
    <w:rsid w:val="00CF452F"/>
    <w:rsid w:val="00D12DA7"/>
    <w:rsid w:val="00DC6F57"/>
    <w:rsid w:val="00DF2DD6"/>
    <w:rsid w:val="00E30CFA"/>
    <w:rsid w:val="00E70B80"/>
    <w:rsid w:val="00E7659A"/>
    <w:rsid w:val="00E80484"/>
    <w:rsid w:val="00EC720E"/>
    <w:rsid w:val="00F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3CEC"/>
  <w15:chartTrackingRefBased/>
  <w15:docId w15:val="{158277F8-3E86-41EC-AD83-A198AF0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E3"/>
    <w:rPr>
      <w:rFonts w:eastAsiaTheme="minorEastAsia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0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0E"/>
    <w:rPr>
      <w:rFonts w:eastAsiaTheme="minorEastAsia"/>
      <w:lang w:val="en-SG" w:eastAsia="zh-CN"/>
    </w:rPr>
  </w:style>
  <w:style w:type="paragraph" w:styleId="Footer">
    <w:name w:val="footer"/>
    <w:basedOn w:val="Normal"/>
    <w:link w:val="FooterChar"/>
    <w:uiPriority w:val="99"/>
    <w:unhideWhenUsed/>
    <w:rsid w:val="00EC7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0E"/>
    <w:rPr>
      <w:rFonts w:eastAsiaTheme="minorEastAsia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Malhotra</dc:creator>
  <cp:keywords/>
  <dc:description/>
  <cp:lastModifiedBy>Tan Yi Wen</cp:lastModifiedBy>
  <cp:revision>3</cp:revision>
  <dcterms:created xsi:type="dcterms:W3CDTF">2019-02-07T01:48:00Z</dcterms:created>
  <dcterms:modified xsi:type="dcterms:W3CDTF">2019-02-07T01:58:00Z</dcterms:modified>
</cp:coreProperties>
</file>