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17B" w:rsidRDefault="0030217B" w:rsidP="005914C2">
      <w:pPr>
        <w:pBdr>
          <w:bottom w:val="single" w:sz="8" w:space="4" w:color="4F81BD"/>
        </w:pBdr>
        <w:spacing w:before="0" w:after="300" w:line="240" w:lineRule="auto"/>
        <w:contextualSpacing/>
        <w:jc w:val="center"/>
        <w:rPr>
          <w:rFonts w:eastAsia="SimSun" w:cs="Times New Roman"/>
          <w:color w:val="17365D"/>
          <w:spacing w:val="5"/>
          <w:kern w:val="28"/>
          <w:sz w:val="36"/>
          <w:szCs w:val="36"/>
        </w:rPr>
      </w:pPr>
      <w:bookmarkStart w:id="0" w:name="_GoBack"/>
      <w:bookmarkEnd w:id="0"/>
      <w:r w:rsidRPr="00B966DB">
        <w:rPr>
          <w:rFonts w:eastAsia="SimSun" w:cs="Times New Roman"/>
          <w:color w:val="17365D"/>
          <w:spacing w:val="5"/>
          <w:kern w:val="28"/>
          <w:sz w:val="36"/>
          <w:szCs w:val="36"/>
        </w:rPr>
        <w:t>The Surprising Breadth of Harbingers of Failure</w:t>
      </w:r>
    </w:p>
    <w:p w:rsidR="0030217B" w:rsidRDefault="0030217B" w:rsidP="005914C2">
      <w:pPr>
        <w:pBdr>
          <w:bottom w:val="single" w:sz="8" w:space="4" w:color="4F81BD"/>
        </w:pBdr>
        <w:spacing w:before="0" w:after="300" w:line="240" w:lineRule="auto"/>
        <w:contextualSpacing/>
        <w:jc w:val="center"/>
        <w:rPr>
          <w:rFonts w:eastAsia="SimSun" w:cs="Times New Roman"/>
          <w:color w:val="17365D"/>
          <w:spacing w:val="5"/>
          <w:kern w:val="28"/>
          <w:sz w:val="36"/>
          <w:szCs w:val="36"/>
        </w:rPr>
      </w:pPr>
    </w:p>
    <w:p w:rsidR="0030217B" w:rsidRDefault="004B4196" w:rsidP="005914C2">
      <w:pPr>
        <w:pBdr>
          <w:bottom w:val="single" w:sz="8" w:space="4" w:color="4F81BD"/>
        </w:pBdr>
        <w:spacing w:before="0" w:after="300" w:line="240" w:lineRule="auto"/>
        <w:contextualSpacing/>
        <w:jc w:val="center"/>
        <w:rPr>
          <w:rFonts w:eastAsia="SimSun" w:cs="Times New Roman"/>
          <w:color w:val="17365D"/>
          <w:spacing w:val="5"/>
          <w:kern w:val="28"/>
          <w:sz w:val="36"/>
          <w:szCs w:val="36"/>
        </w:rPr>
      </w:pPr>
      <w:r>
        <w:rPr>
          <w:rFonts w:eastAsia="SimSun" w:cs="Times New Roman"/>
          <w:color w:val="17365D"/>
          <w:spacing w:val="5"/>
          <w:kern w:val="28"/>
          <w:sz w:val="36"/>
          <w:szCs w:val="36"/>
        </w:rPr>
        <w:t xml:space="preserve">WEB </w:t>
      </w:r>
      <w:r w:rsidR="0030217B">
        <w:rPr>
          <w:rFonts w:eastAsia="SimSun" w:cs="Times New Roman"/>
          <w:color w:val="17365D"/>
          <w:spacing w:val="5"/>
          <w:kern w:val="28"/>
          <w:sz w:val="36"/>
          <w:szCs w:val="36"/>
        </w:rPr>
        <w:t>APPENDIX</w:t>
      </w:r>
    </w:p>
    <w:p w:rsidR="0030217B" w:rsidRPr="00B966DB" w:rsidRDefault="0030217B" w:rsidP="005914C2">
      <w:pPr>
        <w:pBdr>
          <w:bottom w:val="single" w:sz="8" w:space="4" w:color="4F81BD"/>
        </w:pBdr>
        <w:spacing w:before="0" w:after="300" w:line="240" w:lineRule="auto"/>
        <w:contextualSpacing/>
        <w:jc w:val="center"/>
        <w:rPr>
          <w:rFonts w:eastAsia="SimSun" w:cs="Times New Roman"/>
          <w:color w:val="17365D"/>
          <w:spacing w:val="5"/>
          <w:kern w:val="28"/>
          <w:sz w:val="36"/>
          <w:szCs w:val="36"/>
        </w:rPr>
      </w:pPr>
    </w:p>
    <w:p w:rsidR="0030217B" w:rsidRPr="00B966DB" w:rsidRDefault="0030217B" w:rsidP="005914C2">
      <w:pPr>
        <w:numPr>
          <w:ilvl w:val="1"/>
          <w:numId w:val="0"/>
        </w:numPr>
        <w:spacing w:before="0" w:line="240" w:lineRule="auto"/>
        <w:jc w:val="center"/>
        <w:rPr>
          <w:rFonts w:eastAsia="SimSun" w:cs="Times New Roman"/>
          <w:iCs/>
          <w:spacing w:val="15"/>
          <w:sz w:val="24"/>
          <w:szCs w:val="24"/>
        </w:rPr>
      </w:pPr>
    </w:p>
    <w:p w:rsidR="0030217B" w:rsidRDefault="0030217B" w:rsidP="0030217B">
      <w:pPr>
        <w:spacing w:before="0" w:after="200"/>
        <w:jc w:val="center"/>
        <w:rPr>
          <w:rFonts w:eastAsia="SimSun" w:cs="Times New Roman"/>
          <w:sz w:val="24"/>
          <w:szCs w:val="24"/>
        </w:rPr>
      </w:pPr>
    </w:p>
    <w:p w:rsidR="007E7EE7" w:rsidRPr="007E7EE7" w:rsidRDefault="007E7EE7" w:rsidP="007E7EE7">
      <w:pPr>
        <w:spacing w:before="0" w:line="240" w:lineRule="auto"/>
        <w:jc w:val="center"/>
        <w:rPr>
          <w:rFonts w:eastAsia="SimSun" w:cs="Times New Roman"/>
          <w:sz w:val="24"/>
          <w:szCs w:val="24"/>
        </w:rPr>
      </w:pPr>
      <w:r w:rsidRPr="007E7EE7">
        <w:rPr>
          <w:rFonts w:eastAsia="SimSun" w:cs="Times New Roman"/>
          <w:sz w:val="24"/>
          <w:szCs w:val="24"/>
        </w:rPr>
        <w:t>Duncan I. Simester</w:t>
      </w:r>
    </w:p>
    <w:p w:rsidR="007E7EE7" w:rsidRPr="007E7EE7" w:rsidRDefault="007E7EE7" w:rsidP="007E7EE7">
      <w:pPr>
        <w:spacing w:before="0" w:line="240" w:lineRule="auto"/>
        <w:jc w:val="center"/>
        <w:rPr>
          <w:rFonts w:eastAsia="SimSun" w:cs="Times New Roman"/>
          <w:sz w:val="24"/>
          <w:szCs w:val="24"/>
        </w:rPr>
      </w:pPr>
      <w:r w:rsidRPr="007E7EE7">
        <w:rPr>
          <w:rFonts w:eastAsia="SimSun" w:cs="Times New Roman"/>
          <w:sz w:val="24"/>
          <w:szCs w:val="24"/>
        </w:rPr>
        <w:t>MIT Sloan School of Management</w:t>
      </w:r>
    </w:p>
    <w:p w:rsidR="007E7EE7" w:rsidRPr="007E7EE7" w:rsidRDefault="007E7EE7" w:rsidP="007E7EE7">
      <w:pPr>
        <w:spacing w:before="0" w:line="240" w:lineRule="auto"/>
        <w:jc w:val="center"/>
        <w:rPr>
          <w:rFonts w:eastAsia="SimSun" w:cs="Times New Roman"/>
          <w:sz w:val="24"/>
          <w:szCs w:val="24"/>
        </w:rPr>
      </w:pPr>
    </w:p>
    <w:p w:rsidR="007E7EE7" w:rsidRPr="007E7EE7" w:rsidRDefault="007E7EE7" w:rsidP="007E7EE7">
      <w:pPr>
        <w:spacing w:before="0" w:line="240" w:lineRule="auto"/>
        <w:jc w:val="center"/>
        <w:rPr>
          <w:rFonts w:eastAsia="SimSun" w:cs="Times New Roman"/>
          <w:sz w:val="24"/>
          <w:szCs w:val="24"/>
        </w:rPr>
      </w:pPr>
    </w:p>
    <w:p w:rsidR="007E7EE7" w:rsidRPr="007E7EE7" w:rsidRDefault="007E7EE7" w:rsidP="007E7EE7">
      <w:pPr>
        <w:spacing w:before="0" w:line="240" w:lineRule="auto"/>
        <w:jc w:val="center"/>
        <w:rPr>
          <w:rFonts w:eastAsia="SimSun" w:cs="Times New Roman"/>
          <w:sz w:val="24"/>
          <w:szCs w:val="24"/>
        </w:rPr>
      </w:pPr>
      <w:r w:rsidRPr="007E7EE7">
        <w:rPr>
          <w:rFonts w:eastAsia="SimSun" w:cs="Times New Roman"/>
          <w:sz w:val="24"/>
          <w:szCs w:val="24"/>
        </w:rPr>
        <w:t>Catherine E. Tucker</w:t>
      </w:r>
    </w:p>
    <w:p w:rsidR="007E7EE7" w:rsidRPr="007E7EE7" w:rsidRDefault="007E7EE7" w:rsidP="007E7EE7">
      <w:pPr>
        <w:spacing w:before="0" w:line="240" w:lineRule="auto"/>
        <w:jc w:val="center"/>
        <w:rPr>
          <w:rFonts w:eastAsia="SimSun" w:cs="Times New Roman"/>
          <w:sz w:val="24"/>
          <w:szCs w:val="24"/>
        </w:rPr>
      </w:pPr>
      <w:r w:rsidRPr="007E7EE7">
        <w:rPr>
          <w:rFonts w:eastAsia="SimSun" w:cs="Times New Roman"/>
          <w:sz w:val="24"/>
          <w:szCs w:val="24"/>
        </w:rPr>
        <w:t>MIT Sloan School of Management</w:t>
      </w:r>
    </w:p>
    <w:p w:rsidR="007E7EE7" w:rsidRPr="007E7EE7" w:rsidRDefault="007E7EE7" w:rsidP="007E7EE7">
      <w:pPr>
        <w:spacing w:before="0" w:line="240" w:lineRule="auto"/>
        <w:jc w:val="center"/>
        <w:rPr>
          <w:rFonts w:eastAsia="SimSun" w:cs="Times New Roman"/>
          <w:sz w:val="24"/>
          <w:szCs w:val="24"/>
        </w:rPr>
      </w:pPr>
    </w:p>
    <w:p w:rsidR="007E7EE7" w:rsidRPr="007E7EE7" w:rsidRDefault="007E7EE7" w:rsidP="007E7EE7">
      <w:pPr>
        <w:spacing w:before="0" w:line="240" w:lineRule="auto"/>
        <w:jc w:val="center"/>
        <w:rPr>
          <w:rFonts w:eastAsia="SimSun" w:cs="Times New Roman"/>
          <w:sz w:val="24"/>
          <w:szCs w:val="24"/>
        </w:rPr>
      </w:pPr>
    </w:p>
    <w:p w:rsidR="007E7EE7" w:rsidRPr="007E7EE7" w:rsidRDefault="007E7EE7" w:rsidP="007E7EE7">
      <w:pPr>
        <w:spacing w:before="0" w:line="240" w:lineRule="auto"/>
        <w:jc w:val="center"/>
        <w:rPr>
          <w:rFonts w:eastAsia="SimSun" w:cs="Times New Roman"/>
          <w:sz w:val="24"/>
          <w:szCs w:val="24"/>
        </w:rPr>
      </w:pPr>
      <w:r w:rsidRPr="007E7EE7">
        <w:rPr>
          <w:rFonts w:eastAsia="SimSun" w:cs="Times New Roman"/>
          <w:sz w:val="24"/>
          <w:szCs w:val="24"/>
        </w:rPr>
        <w:t>Clair Yang</w:t>
      </w:r>
    </w:p>
    <w:p w:rsidR="007E7EE7" w:rsidRPr="007E7EE7" w:rsidRDefault="007E7EE7" w:rsidP="007E7EE7">
      <w:pPr>
        <w:spacing w:before="0" w:line="240" w:lineRule="auto"/>
        <w:jc w:val="center"/>
        <w:rPr>
          <w:rFonts w:eastAsia="SimSun" w:cs="Times New Roman"/>
          <w:sz w:val="24"/>
          <w:szCs w:val="24"/>
        </w:rPr>
      </w:pPr>
      <w:r w:rsidRPr="007E7EE7">
        <w:rPr>
          <w:rFonts w:eastAsia="SimSun" w:cs="Times New Roman"/>
          <w:sz w:val="24"/>
          <w:szCs w:val="24"/>
        </w:rPr>
        <w:t>The Henry M. Jackson School of International Studies</w:t>
      </w:r>
    </w:p>
    <w:p w:rsidR="00D7136C" w:rsidRPr="00B966DB" w:rsidRDefault="007E7EE7" w:rsidP="007E7EE7">
      <w:pPr>
        <w:spacing w:before="0" w:line="240" w:lineRule="auto"/>
        <w:jc w:val="center"/>
        <w:rPr>
          <w:rFonts w:eastAsia="SimSun" w:cs="Times New Roman"/>
          <w:sz w:val="24"/>
          <w:szCs w:val="24"/>
        </w:rPr>
      </w:pPr>
      <w:r w:rsidRPr="007E7EE7">
        <w:rPr>
          <w:rFonts w:eastAsia="SimSun" w:cs="Times New Roman"/>
          <w:sz w:val="24"/>
          <w:szCs w:val="24"/>
        </w:rPr>
        <w:t>University of Washington</w:t>
      </w:r>
    </w:p>
    <w:p w:rsidR="007E7EE7" w:rsidRDefault="007E7EE7" w:rsidP="0030217B">
      <w:pPr>
        <w:spacing w:before="0" w:after="200"/>
        <w:jc w:val="center"/>
        <w:rPr>
          <w:rFonts w:eastAsia="SimSun" w:cs="Times New Roman"/>
          <w:sz w:val="24"/>
          <w:szCs w:val="24"/>
        </w:rPr>
      </w:pPr>
    </w:p>
    <w:p w:rsidR="007E7EE7" w:rsidRDefault="007E7EE7" w:rsidP="0030217B">
      <w:pPr>
        <w:spacing w:before="0" w:after="200"/>
        <w:jc w:val="center"/>
        <w:rPr>
          <w:rFonts w:eastAsia="SimSun" w:cs="Times New Roman"/>
          <w:sz w:val="24"/>
          <w:szCs w:val="24"/>
        </w:rPr>
      </w:pPr>
    </w:p>
    <w:p w:rsidR="0030217B" w:rsidRPr="00B966DB" w:rsidRDefault="007E7EE7" w:rsidP="0030217B">
      <w:pPr>
        <w:spacing w:before="0" w:after="200"/>
        <w:jc w:val="center"/>
        <w:rPr>
          <w:rFonts w:eastAsia="SimSun" w:cs="Times New Roman"/>
          <w:sz w:val="24"/>
          <w:szCs w:val="24"/>
        </w:rPr>
      </w:pPr>
      <w:r>
        <w:rPr>
          <w:rFonts w:eastAsia="SimSun" w:cs="Times New Roman"/>
          <w:sz w:val="24"/>
          <w:szCs w:val="24"/>
        </w:rPr>
        <w:t>July</w:t>
      </w:r>
      <w:r w:rsidR="00D44636">
        <w:rPr>
          <w:rFonts w:eastAsia="SimSun" w:cs="Times New Roman"/>
          <w:sz w:val="24"/>
          <w:szCs w:val="24"/>
        </w:rPr>
        <w:t xml:space="preserve"> 2019</w:t>
      </w:r>
    </w:p>
    <w:p w:rsidR="0030217B" w:rsidRDefault="0030217B" w:rsidP="0030217B">
      <w:pPr>
        <w:rPr>
          <w:rFonts w:eastAsia="SimSun" w:cs="Times New Roman"/>
        </w:rPr>
        <w:sectPr w:rsidR="0030217B" w:rsidSect="0060435F">
          <w:footerReference w:type="default" r:id="rId8"/>
          <w:footerReference w:type="first" r:id="rId9"/>
          <w:pgSz w:w="12240" w:h="15840" w:code="1"/>
          <w:pgMar w:top="1440" w:right="1440" w:bottom="1440" w:left="1440" w:header="709" w:footer="851" w:gutter="0"/>
          <w:cols w:space="720"/>
          <w:titlePg/>
          <w:docGrid w:linePitch="360"/>
        </w:sectPr>
      </w:pPr>
    </w:p>
    <w:p w:rsidR="00412769" w:rsidRPr="00412769" w:rsidRDefault="00412769" w:rsidP="00412769">
      <w:pPr>
        <w:jc w:val="center"/>
        <w:rPr>
          <w:b/>
          <w:sz w:val="28"/>
          <w:szCs w:val="28"/>
        </w:rPr>
      </w:pPr>
      <w:r w:rsidRPr="00412769">
        <w:rPr>
          <w:b/>
          <w:sz w:val="28"/>
          <w:szCs w:val="28"/>
        </w:rPr>
        <w:lastRenderedPageBreak/>
        <w:t>Contents</w:t>
      </w:r>
    </w:p>
    <w:p w:rsidR="00412769" w:rsidRDefault="00412769"/>
    <w:p w:rsidR="005C316A" w:rsidRPr="00DB0052" w:rsidRDefault="005C316A">
      <w:pPr>
        <w:rPr>
          <w:b/>
        </w:rPr>
      </w:pPr>
      <w:r w:rsidRPr="00DB0052">
        <w:rPr>
          <w:b/>
        </w:rPr>
        <w:t>MassStore Analysis (Section 3)</w:t>
      </w:r>
    </w:p>
    <w:p w:rsidR="00412769" w:rsidRDefault="00412769">
      <w:r w:rsidRPr="00412769">
        <w:t>Demographic Variables: Definitions and Summary Statistics</w:t>
      </w:r>
    </w:p>
    <w:p w:rsidR="008707D9" w:rsidRDefault="008707D9">
      <w:r w:rsidRPr="008707D9">
        <w:t xml:space="preserve">Number of Purchases </w:t>
      </w:r>
      <w:r w:rsidR="00CE5471">
        <w:t>f</w:t>
      </w:r>
      <w:r w:rsidRPr="008707D9">
        <w:t>rom Group 2, Group 3 and Group 4 Customers</w:t>
      </w:r>
      <w:r w:rsidR="00CE5471">
        <w:t>:</w:t>
      </w:r>
      <w:r w:rsidRPr="008707D9">
        <w:t xml:space="preserve"> Products That Succeeded </w:t>
      </w:r>
      <w:r w:rsidR="00CE5471">
        <w:t>a</w:t>
      </w:r>
      <w:r w:rsidRPr="008707D9">
        <w:t>nd Failed</w:t>
      </w:r>
    </w:p>
    <w:p w:rsidR="006E6692" w:rsidRDefault="00070EC7">
      <w:r>
        <w:t>Coefficients for the Control Variables</w:t>
      </w:r>
    </w:p>
    <w:p w:rsidR="00213747" w:rsidRDefault="00213747" w:rsidP="00213747">
      <w:r>
        <w:t>Variation in Average Success Rate Explained by Control Variables</w:t>
      </w:r>
    </w:p>
    <w:p w:rsidR="00385DCE" w:rsidRDefault="00385DCE">
      <w:r w:rsidRPr="00385DCE">
        <w:t>Alternative Controls for Income</w:t>
      </w:r>
    </w:p>
    <w:p w:rsidR="005C316A" w:rsidRDefault="00385DCE">
      <w:r w:rsidRPr="00385DCE">
        <w:t>Including Controls for Average Price Paid and Number of Stores</w:t>
      </w:r>
    </w:p>
    <w:p w:rsidR="00817359" w:rsidRDefault="00817359">
      <w:r w:rsidRPr="00817359">
        <w:t xml:space="preserve">Coefficients from Regressing Average Success Rate on the Control Variables </w:t>
      </w:r>
      <w:r w:rsidR="00130E33">
        <w:t>b</w:t>
      </w:r>
      <w:r w:rsidRPr="00817359">
        <w:t>y Harbinger Group</w:t>
      </w:r>
    </w:p>
    <w:p w:rsidR="005D0FEF" w:rsidRDefault="005D0FEF">
      <w:r w:rsidRPr="005D0FEF">
        <w:t>Varying the Threshold Used to Define New Product Survival</w:t>
      </w:r>
    </w:p>
    <w:p w:rsidR="004B3273" w:rsidRDefault="004B3273">
      <w:r w:rsidRPr="004B3273">
        <w:t>Number of Stores New Items are Sold In</w:t>
      </w:r>
    </w:p>
    <w:p w:rsidR="00130E33" w:rsidRDefault="00130E33">
      <w:r>
        <w:t>Logistic Regression Models</w:t>
      </w:r>
    </w:p>
    <w:p w:rsidR="00213747" w:rsidRDefault="00213747" w:rsidP="00213747">
      <w:r w:rsidRPr="004B3273">
        <w:t xml:space="preserve">Calculating the </w:t>
      </w:r>
      <w:r w:rsidRPr="00FC3E3E">
        <w:rPr>
          <w:i/>
        </w:rPr>
        <w:t>Average Success Rate</w:t>
      </w:r>
      <w:r w:rsidRPr="004B3273">
        <w:t xml:space="preserve"> by Weighting Using the Number of Households that Purchased</w:t>
      </w:r>
    </w:p>
    <w:p w:rsidR="004B3273" w:rsidRDefault="004B3273" w:rsidP="004B3273">
      <w:r>
        <w:t xml:space="preserve">Finer Segmentation of </w:t>
      </w:r>
      <w:r w:rsidRPr="004B3273">
        <w:rPr>
          <w:i/>
        </w:rPr>
        <w:t>Average Survival Rate</w:t>
      </w:r>
      <w:r>
        <w:t>: Deciles</w:t>
      </w:r>
    </w:p>
    <w:p w:rsidR="00AA509D" w:rsidRDefault="00AA509D" w:rsidP="004B3273">
      <w:r w:rsidRPr="00AA509D">
        <w:t xml:space="preserve">Proportion of 2013 Revenue Contributed by Each </w:t>
      </w:r>
      <w:r w:rsidRPr="00AA509D">
        <w:rPr>
          <w:i/>
        </w:rPr>
        <w:t>Average Success Rate</w:t>
      </w:r>
      <w:r w:rsidRPr="00AA509D">
        <w:t xml:space="preserve"> Decile</w:t>
      </w:r>
    </w:p>
    <w:p w:rsidR="00BC4A7D" w:rsidRDefault="00BC4A7D" w:rsidP="004B3273">
      <w:r w:rsidRPr="00BC4A7D">
        <w:t>Differences in Marketing Activities</w:t>
      </w:r>
    </w:p>
    <w:p w:rsidR="00E450B3" w:rsidRDefault="00E450B3" w:rsidP="004B3273"/>
    <w:p w:rsidR="005C316A" w:rsidRPr="00DB0052" w:rsidRDefault="005C316A">
      <w:pPr>
        <w:rPr>
          <w:b/>
        </w:rPr>
      </w:pPr>
      <w:r w:rsidRPr="00DB0052">
        <w:rPr>
          <w:b/>
        </w:rPr>
        <w:t>ApparelCo Analysis (Section 4)</w:t>
      </w:r>
    </w:p>
    <w:p w:rsidR="00426DB1" w:rsidRDefault="00426DB1">
      <w:r w:rsidRPr="00426DB1">
        <w:t>Do Harbingers Purchase Items that Other Customers Return?</w:t>
      </w:r>
    </w:p>
    <w:p w:rsidR="0034059E" w:rsidRDefault="0034059E">
      <w:r w:rsidRPr="0034059E">
        <w:t>Customers that Moved Zip Codes</w:t>
      </w:r>
    </w:p>
    <w:p w:rsidR="0034059E" w:rsidRDefault="0034059E"/>
    <w:p w:rsidR="00217311" w:rsidRPr="00217311" w:rsidRDefault="00217311">
      <w:pPr>
        <w:rPr>
          <w:b/>
        </w:rPr>
      </w:pPr>
      <w:r w:rsidRPr="00217311">
        <w:rPr>
          <w:b/>
        </w:rPr>
        <w:t>Zillow House Price Analysis</w:t>
      </w:r>
      <w:r>
        <w:rPr>
          <w:b/>
        </w:rPr>
        <w:t xml:space="preserve"> (Section 5)</w:t>
      </w:r>
    </w:p>
    <w:p w:rsidR="00217311" w:rsidRDefault="00217311">
      <w:r w:rsidRPr="00217311">
        <w:t>Robustness Checks</w:t>
      </w:r>
    </w:p>
    <w:p w:rsidR="00217311" w:rsidRDefault="00217311"/>
    <w:p w:rsidR="0034059E" w:rsidRPr="0034059E" w:rsidRDefault="0034059E">
      <w:pPr>
        <w:rPr>
          <w:b/>
        </w:rPr>
      </w:pPr>
      <w:r w:rsidRPr="0034059E">
        <w:rPr>
          <w:b/>
        </w:rPr>
        <w:t>Congressional Election Donations (Section 6)</w:t>
      </w:r>
    </w:p>
    <w:p w:rsidR="0034059E" w:rsidRDefault="0034059E">
      <w:r w:rsidRPr="0034059E">
        <w:t>Contributions to Winning vs. Losing Candidates</w:t>
      </w:r>
    </w:p>
    <w:p w:rsidR="002D6E5A" w:rsidRDefault="002D6E5A">
      <w:pPr>
        <w:rPr>
          <w:rFonts w:cs="Times New Roman"/>
          <w:b/>
        </w:rPr>
      </w:pPr>
      <w:r>
        <w:rPr>
          <w:rFonts w:cs="Times New Roman"/>
          <w:b/>
        </w:rPr>
        <w:br w:type="page"/>
      </w:r>
    </w:p>
    <w:p w:rsidR="003C7066" w:rsidRPr="0030217B" w:rsidRDefault="00B86050" w:rsidP="00B86050">
      <w:pPr>
        <w:keepNext/>
        <w:spacing w:before="0" w:after="200"/>
        <w:jc w:val="center"/>
        <w:rPr>
          <w:rFonts w:cs="Times New Roman"/>
          <w:b/>
        </w:rPr>
      </w:pPr>
      <w:r w:rsidRPr="0030217B">
        <w:rPr>
          <w:rFonts w:cs="Times New Roman"/>
          <w:b/>
        </w:rPr>
        <w:lastRenderedPageBreak/>
        <w:t>Demographic Variables: Definitions and Summary Statistics</w:t>
      </w:r>
    </w:p>
    <w:tbl>
      <w:tblPr>
        <w:tblStyle w:val="TableGrid"/>
        <w:tblW w:w="831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4176"/>
        <w:gridCol w:w="1053"/>
        <w:gridCol w:w="1053"/>
      </w:tblGrid>
      <w:tr w:rsidR="00125182" w:rsidRPr="0030217B" w:rsidTr="00A358F3">
        <w:trPr>
          <w:jc w:val="center"/>
        </w:trPr>
        <w:tc>
          <w:tcPr>
            <w:tcW w:w="2034" w:type="dxa"/>
            <w:tcBorders>
              <w:top w:val="single" w:sz="4" w:space="0" w:color="auto"/>
              <w:bottom w:val="single" w:sz="4" w:space="0" w:color="auto"/>
            </w:tcBorders>
          </w:tcPr>
          <w:p w:rsidR="00125182" w:rsidRPr="0030217B" w:rsidRDefault="00125182" w:rsidP="00173C0C">
            <w:pPr>
              <w:spacing w:before="60" w:after="60"/>
              <w:jc w:val="left"/>
              <w:rPr>
                <w:rFonts w:cs="Times New Roman"/>
                <w:b/>
              </w:rPr>
            </w:pPr>
            <w:r w:rsidRPr="0030217B">
              <w:rPr>
                <w:rFonts w:cs="Times New Roman"/>
                <w:b/>
              </w:rPr>
              <w:t>Variable</w:t>
            </w:r>
          </w:p>
        </w:tc>
        <w:tc>
          <w:tcPr>
            <w:tcW w:w="4176" w:type="dxa"/>
            <w:tcBorders>
              <w:top w:val="single" w:sz="4" w:space="0" w:color="auto"/>
              <w:bottom w:val="single" w:sz="4" w:space="0" w:color="auto"/>
            </w:tcBorders>
          </w:tcPr>
          <w:p w:rsidR="00125182" w:rsidRPr="0030217B" w:rsidRDefault="00125182" w:rsidP="00173C0C">
            <w:pPr>
              <w:spacing w:before="60" w:after="60"/>
              <w:jc w:val="left"/>
              <w:rPr>
                <w:rFonts w:cs="Times New Roman"/>
                <w:b/>
              </w:rPr>
            </w:pPr>
            <w:r w:rsidRPr="0030217B">
              <w:rPr>
                <w:rFonts w:cs="Times New Roman"/>
                <w:b/>
              </w:rPr>
              <w:t>Definition</w:t>
            </w:r>
          </w:p>
        </w:tc>
        <w:tc>
          <w:tcPr>
            <w:tcW w:w="1053" w:type="dxa"/>
            <w:tcBorders>
              <w:top w:val="single" w:sz="4" w:space="0" w:color="auto"/>
              <w:bottom w:val="single" w:sz="4" w:space="0" w:color="auto"/>
            </w:tcBorders>
          </w:tcPr>
          <w:p w:rsidR="00125182" w:rsidRPr="0030217B" w:rsidRDefault="00125182" w:rsidP="00125182">
            <w:pPr>
              <w:spacing w:before="60" w:after="60"/>
              <w:jc w:val="right"/>
              <w:rPr>
                <w:rFonts w:cs="Times New Roman"/>
                <w:b/>
              </w:rPr>
            </w:pPr>
            <w:r w:rsidRPr="0030217B">
              <w:rPr>
                <w:rFonts w:cs="Times New Roman"/>
                <w:b/>
              </w:rPr>
              <w:t>Mean</w:t>
            </w:r>
          </w:p>
        </w:tc>
        <w:tc>
          <w:tcPr>
            <w:tcW w:w="1053" w:type="dxa"/>
            <w:tcBorders>
              <w:top w:val="single" w:sz="4" w:space="0" w:color="auto"/>
              <w:bottom w:val="single" w:sz="4" w:space="0" w:color="auto"/>
            </w:tcBorders>
          </w:tcPr>
          <w:p w:rsidR="00125182" w:rsidRPr="0030217B" w:rsidRDefault="00125182" w:rsidP="00125182">
            <w:pPr>
              <w:spacing w:before="60" w:after="60"/>
              <w:jc w:val="right"/>
              <w:rPr>
                <w:rFonts w:cs="Times New Roman"/>
                <w:b/>
              </w:rPr>
            </w:pPr>
            <w:r w:rsidRPr="0030217B">
              <w:rPr>
                <w:rFonts w:cs="Times New Roman"/>
                <w:b/>
              </w:rPr>
              <w:t>Std</w:t>
            </w:r>
            <w:r>
              <w:rPr>
                <w:rFonts w:cs="Times New Roman"/>
                <w:b/>
              </w:rPr>
              <w:t>.</w:t>
            </w:r>
            <w:r w:rsidRPr="0030217B">
              <w:rPr>
                <w:rFonts w:cs="Times New Roman"/>
                <w:b/>
              </w:rPr>
              <w:t xml:space="preserve"> Dev</w:t>
            </w:r>
            <w:r>
              <w:rPr>
                <w:rFonts w:cs="Times New Roman"/>
                <w:b/>
              </w:rPr>
              <w:t>.</w:t>
            </w:r>
          </w:p>
        </w:tc>
      </w:tr>
      <w:tr w:rsidR="00125182" w:rsidRPr="0030217B" w:rsidTr="00A358F3">
        <w:trPr>
          <w:jc w:val="center"/>
        </w:trPr>
        <w:tc>
          <w:tcPr>
            <w:tcW w:w="2034" w:type="dxa"/>
            <w:tcBorders>
              <w:top w:val="single" w:sz="4" w:space="0" w:color="auto"/>
            </w:tcBorders>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Age</w:t>
            </w:r>
          </w:p>
        </w:tc>
        <w:tc>
          <w:tcPr>
            <w:tcW w:w="4176" w:type="dxa"/>
            <w:tcBorders>
              <w:top w:val="single" w:sz="4" w:space="0" w:color="auto"/>
            </w:tcBorders>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 xml:space="preserve">Average age of head of household </w:t>
            </w:r>
          </w:p>
        </w:tc>
        <w:tc>
          <w:tcPr>
            <w:tcW w:w="1053" w:type="dxa"/>
            <w:tcBorders>
              <w:top w:val="single" w:sz="4" w:space="0" w:color="auto"/>
            </w:tcBorders>
          </w:tcPr>
          <w:p w:rsidR="00125182" w:rsidRPr="00125182" w:rsidRDefault="00125182" w:rsidP="00125182">
            <w:pPr>
              <w:spacing w:before="60" w:after="60"/>
              <w:jc w:val="right"/>
              <w:rPr>
                <w:sz w:val="20"/>
                <w:szCs w:val="20"/>
              </w:rPr>
            </w:pPr>
            <w:r w:rsidRPr="00125182">
              <w:rPr>
                <w:sz w:val="20"/>
                <w:szCs w:val="20"/>
              </w:rPr>
              <w:t xml:space="preserve"> 53.27 </w:t>
            </w:r>
          </w:p>
        </w:tc>
        <w:tc>
          <w:tcPr>
            <w:tcW w:w="1053" w:type="dxa"/>
            <w:tcBorders>
              <w:top w:val="single" w:sz="4" w:space="0" w:color="auto"/>
            </w:tcBorders>
          </w:tcPr>
          <w:p w:rsidR="00125182" w:rsidRPr="00125182" w:rsidRDefault="00125182" w:rsidP="00125182">
            <w:pPr>
              <w:spacing w:before="60" w:after="60"/>
              <w:jc w:val="right"/>
              <w:rPr>
                <w:sz w:val="20"/>
                <w:szCs w:val="20"/>
              </w:rPr>
            </w:pPr>
            <w:r w:rsidRPr="00125182">
              <w:rPr>
                <w:sz w:val="20"/>
                <w:szCs w:val="20"/>
              </w:rPr>
              <w:t xml:space="preserve"> 3.61 </w:t>
            </w:r>
          </w:p>
        </w:tc>
      </w:tr>
      <w:tr w:rsidR="00125182" w:rsidRPr="0030217B" w:rsidTr="00A358F3">
        <w:trPr>
          <w:jc w:val="center"/>
        </w:trPr>
        <w:tc>
          <w:tcPr>
            <w:tcW w:w="2034" w:type="dxa"/>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Home Value</w:t>
            </w:r>
          </w:p>
        </w:tc>
        <w:tc>
          <w:tcPr>
            <w:tcW w:w="4176" w:type="dxa"/>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 xml:space="preserve">Estimated home value </w:t>
            </w:r>
          </w:p>
        </w:tc>
        <w:tc>
          <w:tcPr>
            <w:tcW w:w="1053" w:type="dxa"/>
          </w:tcPr>
          <w:p w:rsidR="00125182" w:rsidRPr="00125182" w:rsidRDefault="00125182" w:rsidP="00125182">
            <w:pPr>
              <w:spacing w:before="60" w:after="60"/>
              <w:jc w:val="right"/>
              <w:rPr>
                <w:sz w:val="20"/>
                <w:szCs w:val="20"/>
              </w:rPr>
            </w:pPr>
            <w:r w:rsidRPr="00125182">
              <w:rPr>
                <w:sz w:val="20"/>
                <w:szCs w:val="20"/>
              </w:rPr>
              <w:t xml:space="preserve"> </w:t>
            </w:r>
            <w:r w:rsidR="00A358F3">
              <w:rPr>
                <w:sz w:val="20"/>
                <w:szCs w:val="20"/>
              </w:rPr>
              <w:t>$</w:t>
            </w:r>
            <w:r w:rsidRPr="00125182">
              <w:rPr>
                <w:sz w:val="20"/>
                <w:szCs w:val="20"/>
              </w:rPr>
              <w:t xml:space="preserve">278,868 </w:t>
            </w:r>
          </w:p>
        </w:tc>
        <w:tc>
          <w:tcPr>
            <w:tcW w:w="1053" w:type="dxa"/>
          </w:tcPr>
          <w:p w:rsidR="00125182" w:rsidRPr="00125182" w:rsidRDefault="00125182" w:rsidP="00125182">
            <w:pPr>
              <w:spacing w:before="60" w:after="60"/>
              <w:jc w:val="right"/>
              <w:rPr>
                <w:sz w:val="20"/>
                <w:szCs w:val="20"/>
              </w:rPr>
            </w:pPr>
            <w:r w:rsidRPr="00125182">
              <w:rPr>
                <w:sz w:val="20"/>
                <w:szCs w:val="20"/>
              </w:rPr>
              <w:t xml:space="preserve"> </w:t>
            </w:r>
            <w:r w:rsidR="00A358F3">
              <w:rPr>
                <w:sz w:val="20"/>
                <w:szCs w:val="20"/>
              </w:rPr>
              <w:t>$</w:t>
            </w:r>
            <w:r w:rsidRPr="00125182">
              <w:rPr>
                <w:sz w:val="20"/>
                <w:szCs w:val="20"/>
              </w:rPr>
              <w:t xml:space="preserve">185,177 </w:t>
            </w:r>
          </w:p>
        </w:tc>
      </w:tr>
      <w:tr w:rsidR="00125182" w:rsidRPr="0030217B" w:rsidTr="00A358F3">
        <w:trPr>
          <w:jc w:val="center"/>
        </w:trPr>
        <w:tc>
          <w:tcPr>
            <w:tcW w:w="2034" w:type="dxa"/>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Income</w:t>
            </w:r>
          </w:p>
        </w:tc>
        <w:tc>
          <w:tcPr>
            <w:tcW w:w="4176" w:type="dxa"/>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Est. household income in the zip code</w:t>
            </w:r>
          </w:p>
        </w:tc>
        <w:tc>
          <w:tcPr>
            <w:tcW w:w="1053" w:type="dxa"/>
          </w:tcPr>
          <w:p w:rsidR="00125182" w:rsidRPr="00125182" w:rsidRDefault="00125182" w:rsidP="00125182">
            <w:pPr>
              <w:spacing w:before="60" w:after="60"/>
              <w:jc w:val="right"/>
              <w:rPr>
                <w:sz w:val="20"/>
                <w:szCs w:val="20"/>
              </w:rPr>
            </w:pPr>
            <w:r w:rsidRPr="00125182">
              <w:rPr>
                <w:sz w:val="20"/>
                <w:szCs w:val="20"/>
              </w:rPr>
              <w:t xml:space="preserve"> </w:t>
            </w:r>
            <w:r w:rsidR="00A358F3">
              <w:rPr>
                <w:sz w:val="20"/>
                <w:szCs w:val="20"/>
              </w:rPr>
              <w:t>$</w:t>
            </w:r>
            <w:r w:rsidRPr="00125182">
              <w:rPr>
                <w:sz w:val="20"/>
                <w:szCs w:val="20"/>
              </w:rPr>
              <w:t xml:space="preserve">83,213 </w:t>
            </w:r>
          </w:p>
        </w:tc>
        <w:tc>
          <w:tcPr>
            <w:tcW w:w="1053" w:type="dxa"/>
          </w:tcPr>
          <w:p w:rsidR="00125182" w:rsidRPr="00125182" w:rsidRDefault="00125182" w:rsidP="00125182">
            <w:pPr>
              <w:spacing w:before="60" w:after="60"/>
              <w:jc w:val="right"/>
              <w:rPr>
                <w:sz w:val="20"/>
                <w:szCs w:val="20"/>
              </w:rPr>
            </w:pPr>
            <w:r w:rsidRPr="00125182">
              <w:rPr>
                <w:sz w:val="20"/>
                <w:szCs w:val="20"/>
              </w:rPr>
              <w:t xml:space="preserve"> </w:t>
            </w:r>
            <w:r w:rsidR="00A358F3">
              <w:rPr>
                <w:sz w:val="20"/>
                <w:szCs w:val="20"/>
              </w:rPr>
              <w:t>$</w:t>
            </w:r>
            <w:r w:rsidRPr="00125182">
              <w:rPr>
                <w:sz w:val="20"/>
                <w:szCs w:val="20"/>
              </w:rPr>
              <w:t xml:space="preserve">52,577 </w:t>
            </w:r>
          </w:p>
        </w:tc>
      </w:tr>
      <w:tr w:rsidR="00125182" w:rsidRPr="0030217B" w:rsidTr="00A358F3">
        <w:trPr>
          <w:jc w:val="center"/>
        </w:trPr>
        <w:tc>
          <w:tcPr>
            <w:tcW w:w="2034" w:type="dxa"/>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Single Family</w:t>
            </w:r>
          </w:p>
        </w:tc>
        <w:tc>
          <w:tcPr>
            <w:tcW w:w="4176" w:type="dxa"/>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 of households in single family homes</w:t>
            </w:r>
          </w:p>
        </w:tc>
        <w:tc>
          <w:tcPr>
            <w:tcW w:w="1053" w:type="dxa"/>
          </w:tcPr>
          <w:p w:rsidR="00125182" w:rsidRPr="00125182" w:rsidRDefault="00125182" w:rsidP="00125182">
            <w:pPr>
              <w:spacing w:before="60" w:after="60"/>
              <w:jc w:val="right"/>
              <w:rPr>
                <w:sz w:val="20"/>
                <w:szCs w:val="20"/>
              </w:rPr>
            </w:pPr>
            <w:r w:rsidRPr="00125182">
              <w:rPr>
                <w:sz w:val="20"/>
                <w:szCs w:val="20"/>
              </w:rPr>
              <w:t xml:space="preserve"> 0.78 </w:t>
            </w:r>
          </w:p>
        </w:tc>
        <w:tc>
          <w:tcPr>
            <w:tcW w:w="1053" w:type="dxa"/>
          </w:tcPr>
          <w:p w:rsidR="00125182" w:rsidRPr="00125182" w:rsidRDefault="00125182" w:rsidP="00125182">
            <w:pPr>
              <w:spacing w:before="60" w:after="60"/>
              <w:jc w:val="right"/>
              <w:rPr>
                <w:sz w:val="20"/>
                <w:szCs w:val="20"/>
              </w:rPr>
            </w:pPr>
            <w:r w:rsidRPr="00125182">
              <w:rPr>
                <w:sz w:val="20"/>
                <w:szCs w:val="20"/>
              </w:rPr>
              <w:t xml:space="preserve"> 0.24 </w:t>
            </w:r>
          </w:p>
        </w:tc>
      </w:tr>
      <w:tr w:rsidR="00125182" w:rsidRPr="0030217B" w:rsidTr="00A358F3">
        <w:trPr>
          <w:jc w:val="center"/>
        </w:trPr>
        <w:tc>
          <w:tcPr>
            <w:tcW w:w="2034" w:type="dxa"/>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Multi-family</w:t>
            </w:r>
          </w:p>
        </w:tc>
        <w:tc>
          <w:tcPr>
            <w:tcW w:w="4176" w:type="dxa"/>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 xml:space="preserve">% of households in multi-family homes </w:t>
            </w:r>
          </w:p>
        </w:tc>
        <w:tc>
          <w:tcPr>
            <w:tcW w:w="1053" w:type="dxa"/>
          </w:tcPr>
          <w:p w:rsidR="00125182" w:rsidRPr="00125182" w:rsidRDefault="00125182" w:rsidP="00125182">
            <w:pPr>
              <w:spacing w:before="60" w:after="60"/>
              <w:jc w:val="right"/>
              <w:rPr>
                <w:sz w:val="20"/>
                <w:szCs w:val="20"/>
              </w:rPr>
            </w:pPr>
            <w:r w:rsidRPr="00125182">
              <w:rPr>
                <w:sz w:val="20"/>
                <w:szCs w:val="20"/>
              </w:rPr>
              <w:t xml:space="preserve"> 0.22 </w:t>
            </w:r>
          </w:p>
        </w:tc>
        <w:tc>
          <w:tcPr>
            <w:tcW w:w="1053" w:type="dxa"/>
          </w:tcPr>
          <w:p w:rsidR="00125182" w:rsidRPr="00125182" w:rsidRDefault="00125182" w:rsidP="00125182">
            <w:pPr>
              <w:spacing w:before="60" w:after="60"/>
              <w:jc w:val="right"/>
              <w:rPr>
                <w:sz w:val="20"/>
                <w:szCs w:val="20"/>
              </w:rPr>
            </w:pPr>
            <w:r w:rsidRPr="00125182">
              <w:rPr>
                <w:sz w:val="20"/>
                <w:szCs w:val="20"/>
              </w:rPr>
              <w:t xml:space="preserve"> 0.24 </w:t>
            </w:r>
          </w:p>
        </w:tc>
      </w:tr>
      <w:tr w:rsidR="00125182" w:rsidRPr="0030217B" w:rsidTr="00A358F3">
        <w:trPr>
          <w:jc w:val="center"/>
        </w:trPr>
        <w:tc>
          <w:tcPr>
            <w:tcW w:w="2034" w:type="dxa"/>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Distance</w:t>
            </w:r>
          </w:p>
        </w:tc>
        <w:tc>
          <w:tcPr>
            <w:tcW w:w="4176" w:type="dxa"/>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 xml:space="preserve">Distance to nearest </w:t>
            </w:r>
            <w:r>
              <w:rPr>
                <w:rFonts w:cs="Times New Roman"/>
                <w:color w:val="000000" w:themeColor="text1"/>
                <w:sz w:val="20"/>
                <w:szCs w:val="20"/>
              </w:rPr>
              <w:t>MassStore</w:t>
            </w:r>
            <w:r w:rsidRPr="0079591C">
              <w:rPr>
                <w:rFonts w:cs="Times New Roman"/>
                <w:color w:val="000000" w:themeColor="text1"/>
                <w:sz w:val="20"/>
                <w:szCs w:val="20"/>
              </w:rPr>
              <w:t xml:space="preserve"> store </w:t>
            </w:r>
          </w:p>
        </w:tc>
        <w:tc>
          <w:tcPr>
            <w:tcW w:w="1053" w:type="dxa"/>
          </w:tcPr>
          <w:p w:rsidR="00125182" w:rsidRPr="00125182" w:rsidRDefault="00125182" w:rsidP="00125182">
            <w:pPr>
              <w:spacing w:before="60" w:after="60"/>
              <w:jc w:val="right"/>
              <w:rPr>
                <w:sz w:val="20"/>
                <w:szCs w:val="20"/>
              </w:rPr>
            </w:pPr>
            <w:r w:rsidRPr="00125182">
              <w:rPr>
                <w:sz w:val="20"/>
                <w:szCs w:val="20"/>
              </w:rPr>
              <w:t xml:space="preserve"> 9.88 </w:t>
            </w:r>
          </w:p>
        </w:tc>
        <w:tc>
          <w:tcPr>
            <w:tcW w:w="1053" w:type="dxa"/>
          </w:tcPr>
          <w:p w:rsidR="00125182" w:rsidRPr="00125182" w:rsidRDefault="00125182" w:rsidP="00125182">
            <w:pPr>
              <w:spacing w:before="60" w:after="60"/>
              <w:jc w:val="right"/>
              <w:rPr>
                <w:sz w:val="20"/>
                <w:szCs w:val="20"/>
              </w:rPr>
            </w:pPr>
            <w:r w:rsidRPr="00125182">
              <w:rPr>
                <w:sz w:val="20"/>
                <w:szCs w:val="20"/>
              </w:rPr>
              <w:t xml:space="preserve"> 7.72 </w:t>
            </w:r>
          </w:p>
        </w:tc>
      </w:tr>
      <w:tr w:rsidR="00125182" w:rsidRPr="0030217B" w:rsidTr="00A358F3">
        <w:trPr>
          <w:jc w:val="center"/>
        </w:trPr>
        <w:tc>
          <w:tcPr>
            <w:tcW w:w="2034" w:type="dxa"/>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Comp. Distance</w:t>
            </w:r>
          </w:p>
        </w:tc>
        <w:tc>
          <w:tcPr>
            <w:tcW w:w="4176" w:type="dxa"/>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Distance to nearest competitors’ store</w:t>
            </w:r>
          </w:p>
        </w:tc>
        <w:tc>
          <w:tcPr>
            <w:tcW w:w="1053" w:type="dxa"/>
          </w:tcPr>
          <w:p w:rsidR="00125182" w:rsidRPr="00125182" w:rsidRDefault="00125182" w:rsidP="00125182">
            <w:pPr>
              <w:spacing w:before="60" w:after="60"/>
              <w:jc w:val="right"/>
              <w:rPr>
                <w:sz w:val="20"/>
                <w:szCs w:val="20"/>
              </w:rPr>
            </w:pPr>
            <w:r w:rsidRPr="00125182">
              <w:rPr>
                <w:sz w:val="20"/>
                <w:szCs w:val="20"/>
              </w:rPr>
              <w:t xml:space="preserve"> 13.42 </w:t>
            </w:r>
          </w:p>
        </w:tc>
        <w:tc>
          <w:tcPr>
            <w:tcW w:w="1053" w:type="dxa"/>
          </w:tcPr>
          <w:p w:rsidR="00125182" w:rsidRPr="00125182" w:rsidRDefault="00125182" w:rsidP="00125182">
            <w:pPr>
              <w:spacing w:before="60" w:after="60"/>
              <w:jc w:val="right"/>
              <w:rPr>
                <w:sz w:val="20"/>
                <w:szCs w:val="20"/>
              </w:rPr>
            </w:pPr>
            <w:r w:rsidRPr="00125182">
              <w:rPr>
                <w:sz w:val="20"/>
                <w:szCs w:val="20"/>
              </w:rPr>
              <w:t xml:space="preserve"> 13.38 </w:t>
            </w:r>
          </w:p>
        </w:tc>
      </w:tr>
      <w:tr w:rsidR="00125182" w:rsidRPr="0030217B" w:rsidTr="00A358F3">
        <w:trPr>
          <w:jc w:val="center"/>
        </w:trPr>
        <w:tc>
          <w:tcPr>
            <w:tcW w:w="2034" w:type="dxa"/>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Nbr Households</w:t>
            </w:r>
          </w:p>
        </w:tc>
        <w:tc>
          <w:tcPr>
            <w:tcW w:w="4176" w:type="dxa"/>
          </w:tcPr>
          <w:p w:rsidR="00125182" w:rsidRPr="0079591C" w:rsidRDefault="00125182" w:rsidP="00125182">
            <w:pPr>
              <w:spacing w:before="60" w:after="60"/>
              <w:jc w:val="left"/>
              <w:rPr>
                <w:rFonts w:cs="Times New Roman"/>
                <w:color w:val="000000" w:themeColor="text1"/>
                <w:sz w:val="20"/>
                <w:szCs w:val="20"/>
              </w:rPr>
            </w:pPr>
            <w:r w:rsidRPr="0079591C">
              <w:rPr>
                <w:rFonts w:cs="Times New Roman"/>
                <w:color w:val="000000" w:themeColor="text1"/>
                <w:sz w:val="20"/>
                <w:szCs w:val="20"/>
              </w:rPr>
              <w:t>Number of households in the zip code</w:t>
            </w:r>
          </w:p>
        </w:tc>
        <w:tc>
          <w:tcPr>
            <w:tcW w:w="1053" w:type="dxa"/>
          </w:tcPr>
          <w:p w:rsidR="00125182" w:rsidRPr="00125182" w:rsidRDefault="00125182" w:rsidP="00125182">
            <w:pPr>
              <w:spacing w:before="60" w:after="60"/>
              <w:jc w:val="right"/>
              <w:rPr>
                <w:sz w:val="20"/>
                <w:szCs w:val="20"/>
              </w:rPr>
            </w:pPr>
            <w:r w:rsidRPr="00125182">
              <w:rPr>
                <w:sz w:val="20"/>
                <w:szCs w:val="20"/>
              </w:rPr>
              <w:t xml:space="preserve"> 7,485 </w:t>
            </w:r>
          </w:p>
        </w:tc>
        <w:tc>
          <w:tcPr>
            <w:tcW w:w="1053" w:type="dxa"/>
          </w:tcPr>
          <w:p w:rsidR="00125182" w:rsidRPr="00125182" w:rsidRDefault="00125182" w:rsidP="00125182">
            <w:pPr>
              <w:spacing w:before="60" w:after="60"/>
              <w:jc w:val="right"/>
              <w:rPr>
                <w:sz w:val="20"/>
                <w:szCs w:val="20"/>
              </w:rPr>
            </w:pPr>
            <w:r w:rsidRPr="00125182">
              <w:rPr>
                <w:sz w:val="20"/>
                <w:szCs w:val="20"/>
              </w:rPr>
              <w:t xml:space="preserve"> 6,541 </w:t>
            </w:r>
          </w:p>
        </w:tc>
      </w:tr>
      <w:tr w:rsidR="00A358F3" w:rsidRPr="0030217B" w:rsidTr="00A358F3">
        <w:trPr>
          <w:jc w:val="center"/>
        </w:trPr>
        <w:tc>
          <w:tcPr>
            <w:tcW w:w="2034" w:type="dxa"/>
          </w:tcPr>
          <w:p w:rsidR="00A358F3" w:rsidRPr="0079591C" w:rsidRDefault="00A358F3" w:rsidP="00A358F3">
            <w:pPr>
              <w:spacing w:before="60" w:after="60"/>
              <w:jc w:val="left"/>
              <w:rPr>
                <w:rFonts w:cs="Times New Roman"/>
                <w:color w:val="000000" w:themeColor="text1"/>
                <w:sz w:val="20"/>
                <w:szCs w:val="20"/>
              </w:rPr>
            </w:pPr>
            <w:r w:rsidRPr="0079591C">
              <w:rPr>
                <w:rFonts w:cs="Times New Roman"/>
                <w:color w:val="000000" w:themeColor="text1"/>
                <w:sz w:val="20"/>
                <w:szCs w:val="20"/>
              </w:rPr>
              <w:t>% Urban</w:t>
            </w:r>
            <w:r>
              <w:rPr>
                <w:rFonts w:cs="Times New Roman"/>
                <w:color w:val="000000" w:themeColor="text1"/>
                <w:sz w:val="20"/>
                <w:szCs w:val="20"/>
              </w:rPr>
              <w:t>anized</w:t>
            </w:r>
          </w:p>
        </w:tc>
        <w:tc>
          <w:tcPr>
            <w:tcW w:w="4176" w:type="dxa"/>
          </w:tcPr>
          <w:p w:rsidR="00A358F3" w:rsidRPr="0079591C" w:rsidRDefault="00A358F3" w:rsidP="00A358F3">
            <w:pPr>
              <w:spacing w:before="60" w:after="60"/>
              <w:jc w:val="left"/>
              <w:rPr>
                <w:rFonts w:cs="Times New Roman"/>
                <w:color w:val="000000" w:themeColor="text1"/>
                <w:sz w:val="20"/>
                <w:szCs w:val="20"/>
              </w:rPr>
            </w:pPr>
            <w:r w:rsidRPr="0079591C">
              <w:rPr>
                <w:rFonts w:cs="Times New Roman"/>
                <w:color w:val="000000" w:themeColor="text1"/>
                <w:sz w:val="20"/>
                <w:szCs w:val="20"/>
              </w:rPr>
              <w:t xml:space="preserve">% households classified as “Urbanized” </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0.67 </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0.42 </w:t>
            </w:r>
          </w:p>
        </w:tc>
      </w:tr>
      <w:tr w:rsidR="00A358F3" w:rsidRPr="0030217B" w:rsidTr="00A358F3">
        <w:trPr>
          <w:jc w:val="center"/>
        </w:trPr>
        <w:tc>
          <w:tcPr>
            <w:tcW w:w="2034" w:type="dxa"/>
          </w:tcPr>
          <w:p w:rsidR="00A358F3" w:rsidRPr="0079591C" w:rsidRDefault="00A358F3" w:rsidP="00A358F3">
            <w:pPr>
              <w:spacing w:before="60" w:after="60"/>
              <w:jc w:val="left"/>
              <w:rPr>
                <w:rFonts w:cs="Times New Roman"/>
                <w:color w:val="000000" w:themeColor="text1"/>
                <w:sz w:val="20"/>
                <w:szCs w:val="20"/>
              </w:rPr>
            </w:pPr>
            <w:r w:rsidRPr="0079591C">
              <w:rPr>
                <w:rFonts w:cs="Times New Roman"/>
                <w:color w:val="000000" w:themeColor="text1"/>
                <w:sz w:val="20"/>
                <w:szCs w:val="20"/>
              </w:rPr>
              <w:t>% Urban</w:t>
            </w:r>
            <w:r>
              <w:rPr>
                <w:rFonts w:cs="Times New Roman"/>
                <w:color w:val="000000" w:themeColor="text1"/>
                <w:sz w:val="20"/>
                <w:szCs w:val="20"/>
              </w:rPr>
              <w:t xml:space="preserve"> Clusters</w:t>
            </w:r>
          </w:p>
        </w:tc>
        <w:tc>
          <w:tcPr>
            <w:tcW w:w="4176" w:type="dxa"/>
          </w:tcPr>
          <w:p w:rsidR="00A358F3" w:rsidRPr="0079591C" w:rsidRDefault="00A358F3" w:rsidP="00A358F3">
            <w:pPr>
              <w:spacing w:before="60" w:after="60"/>
              <w:jc w:val="left"/>
              <w:rPr>
                <w:rFonts w:cs="Times New Roman"/>
                <w:color w:val="000000" w:themeColor="text1"/>
                <w:sz w:val="20"/>
                <w:szCs w:val="20"/>
              </w:rPr>
            </w:pPr>
            <w:r w:rsidRPr="0079591C">
              <w:rPr>
                <w:rFonts w:cs="Times New Roman"/>
                <w:color w:val="000000" w:themeColor="text1"/>
                <w:sz w:val="20"/>
                <w:szCs w:val="20"/>
              </w:rPr>
              <w:t>% households in “Urban Clusters”</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0.06 </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0.18 </w:t>
            </w:r>
          </w:p>
        </w:tc>
      </w:tr>
      <w:tr w:rsidR="00A358F3" w:rsidRPr="0030217B" w:rsidTr="00A358F3">
        <w:trPr>
          <w:jc w:val="center"/>
        </w:trPr>
        <w:tc>
          <w:tcPr>
            <w:tcW w:w="2034" w:type="dxa"/>
          </w:tcPr>
          <w:p w:rsidR="00A358F3" w:rsidRPr="00B90AD1" w:rsidRDefault="00A358F3" w:rsidP="00A358F3">
            <w:pPr>
              <w:spacing w:before="60" w:after="60"/>
              <w:jc w:val="left"/>
              <w:rPr>
                <w:rFonts w:cs="Times New Roman"/>
                <w:color w:val="000000" w:themeColor="text1"/>
              </w:rPr>
            </w:pPr>
            <w:r w:rsidRPr="00B90AD1">
              <w:rPr>
                <w:rFonts w:cs="Times New Roman"/>
                <w:color w:val="000000" w:themeColor="text1"/>
              </w:rPr>
              <w:t>High School</w:t>
            </w:r>
          </w:p>
        </w:tc>
        <w:tc>
          <w:tcPr>
            <w:tcW w:w="4176" w:type="dxa"/>
          </w:tcPr>
          <w:p w:rsidR="00A358F3" w:rsidRPr="0079591C" w:rsidRDefault="00A358F3" w:rsidP="00A358F3">
            <w:pPr>
              <w:spacing w:before="60" w:after="60"/>
              <w:jc w:val="left"/>
              <w:rPr>
                <w:rFonts w:cs="Times New Roman"/>
                <w:color w:val="000000" w:themeColor="text1"/>
                <w:sz w:val="20"/>
                <w:szCs w:val="20"/>
              </w:rPr>
            </w:pPr>
            <w:r w:rsidRPr="0079591C">
              <w:rPr>
                <w:rFonts w:cs="Times New Roman"/>
                <w:color w:val="000000" w:themeColor="text1"/>
                <w:sz w:val="20"/>
                <w:szCs w:val="20"/>
              </w:rPr>
              <w:t xml:space="preserve">% of households </w:t>
            </w:r>
            <w:r>
              <w:rPr>
                <w:rFonts w:cs="Times New Roman"/>
                <w:color w:val="000000" w:themeColor="text1"/>
                <w:sz w:val="20"/>
                <w:szCs w:val="20"/>
              </w:rPr>
              <w:t>whose highest educational attainment is graduating high school</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0.25 </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0.09 </w:t>
            </w:r>
          </w:p>
        </w:tc>
      </w:tr>
      <w:tr w:rsidR="00A358F3" w:rsidRPr="0030217B" w:rsidTr="00A358F3">
        <w:trPr>
          <w:jc w:val="center"/>
        </w:trPr>
        <w:tc>
          <w:tcPr>
            <w:tcW w:w="2034" w:type="dxa"/>
          </w:tcPr>
          <w:p w:rsidR="00A358F3" w:rsidRPr="00B90AD1" w:rsidRDefault="00A358F3" w:rsidP="00A358F3">
            <w:pPr>
              <w:spacing w:before="60" w:after="60"/>
              <w:jc w:val="left"/>
              <w:rPr>
                <w:rFonts w:cs="Times New Roman"/>
                <w:color w:val="000000" w:themeColor="text1"/>
              </w:rPr>
            </w:pPr>
            <w:r w:rsidRPr="00B90AD1">
              <w:rPr>
                <w:rFonts w:cs="Times New Roman"/>
                <w:color w:val="000000" w:themeColor="text1"/>
              </w:rPr>
              <w:t>Bachelors</w:t>
            </w:r>
            <w:r>
              <w:rPr>
                <w:rFonts w:cs="Times New Roman"/>
                <w:color w:val="000000" w:themeColor="text1"/>
              </w:rPr>
              <w:t xml:space="preserve"> </w:t>
            </w:r>
          </w:p>
        </w:tc>
        <w:tc>
          <w:tcPr>
            <w:tcW w:w="4176" w:type="dxa"/>
          </w:tcPr>
          <w:p w:rsidR="00A358F3" w:rsidRPr="0079591C" w:rsidRDefault="00A358F3" w:rsidP="00A358F3">
            <w:pPr>
              <w:spacing w:before="60" w:after="60"/>
              <w:jc w:val="left"/>
              <w:rPr>
                <w:rFonts w:cs="Times New Roman"/>
                <w:color w:val="000000" w:themeColor="text1"/>
                <w:sz w:val="20"/>
                <w:szCs w:val="20"/>
              </w:rPr>
            </w:pPr>
            <w:r w:rsidRPr="0079591C">
              <w:rPr>
                <w:rFonts w:cs="Times New Roman"/>
                <w:color w:val="000000" w:themeColor="text1"/>
                <w:sz w:val="20"/>
                <w:szCs w:val="20"/>
              </w:rPr>
              <w:t xml:space="preserve">% of households </w:t>
            </w:r>
            <w:r>
              <w:rPr>
                <w:rFonts w:cs="Times New Roman"/>
                <w:color w:val="000000" w:themeColor="text1"/>
                <w:sz w:val="20"/>
                <w:szCs w:val="20"/>
              </w:rPr>
              <w:t>whose highest educational attainment is a bachelor degree</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0.20 </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0.09 </w:t>
            </w:r>
          </w:p>
        </w:tc>
      </w:tr>
      <w:tr w:rsidR="00A358F3" w:rsidRPr="0030217B" w:rsidTr="00A358F3">
        <w:trPr>
          <w:jc w:val="center"/>
        </w:trPr>
        <w:tc>
          <w:tcPr>
            <w:tcW w:w="2034" w:type="dxa"/>
          </w:tcPr>
          <w:p w:rsidR="00A358F3" w:rsidRPr="00B90AD1" w:rsidRDefault="00A358F3" w:rsidP="00A358F3">
            <w:pPr>
              <w:spacing w:before="60" w:after="60"/>
              <w:jc w:val="left"/>
              <w:rPr>
                <w:rFonts w:cs="Times New Roman"/>
                <w:color w:val="000000" w:themeColor="text1"/>
              </w:rPr>
            </w:pPr>
            <w:r w:rsidRPr="00B90AD1">
              <w:rPr>
                <w:rFonts w:cs="Times New Roman"/>
                <w:color w:val="000000" w:themeColor="text1"/>
              </w:rPr>
              <w:t>White</w:t>
            </w:r>
          </w:p>
        </w:tc>
        <w:tc>
          <w:tcPr>
            <w:tcW w:w="4176" w:type="dxa"/>
          </w:tcPr>
          <w:p w:rsidR="00A358F3" w:rsidRPr="0079591C" w:rsidRDefault="00A358F3" w:rsidP="00A358F3">
            <w:pPr>
              <w:spacing w:before="60" w:after="60"/>
              <w:jc w:val="left"/>
              <w:rPr>
                <w:rFonts w:cs="Times New Roman"/>
                <w:color w:val="000000" w:themeColor="text1"/>
                <w:sz w:val="20"/>
                <w:szCs w:val="20"/>
              </w:rPr>
            </w:pPr>
            <w:r>
              <w:rPr>
                <w:rFonts w:cs="Times New Roman"/>
                <w:color w:val="000000" w:themeColor="text1"/>
                <w:sz w:val="20"/>
                <w:szCs w:val="20"/>
              </w:rPr>
              <w:t>% of households</w:t>
            </w:r>
            <w:r w:rsidRPr="0079591C">
              <w:rPr>
                <w:rFonts w:cs="Times New Roman"/>
                <w:color w:val="000000" w:themeColor="text1"/>
                <w:sz w:val="20"/>
                <w:szCs w:val="20"/>
              </w:rPr>
              <w:t xml:space="preserve"> </w:t>
            </w:r>
            <w:r>
              <w:rPr>
                <w:rFonts w:cs="Times New Roman"/>
                <w:color w:val="000000" w:themeColor="text1"/>
                <w:sz w:val="20"/>
                <w:szCs w:val="20"/>
              </w:rPr>
              <w:t>that are identified as “White”</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0.81 </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0.21 </w:t>
            </w:r>
          </w:p>
        </w:tc>
      </w:tr>
      <w:tr w:rsidR="00A358F3" w:rsidRPr="0030217B" w:rsidTr="00A358F3">
        <w:trPr>
          <w:jc w:val="center"/>
        </w:trPr>
        <w:tc>
          <w:tcPr>
            <w:tcW w:w="2034" w:type="dxa"/>
          </w:tcPr>
          <w:p w:rsidR="00A358F3" w:rsidRPr="00B90AD1" w:rsidRDefault="00A358F3" w:rsidP="00A358F3">
            <w:pPr>
              <w:spacing w:before="60" w:after="60"/>
              <w:jc w:val="left"/>
              <w:rPr>
                <w:rFonts w:cs="Times New Roman"/>
                <w:color w:val="000000" w:themeColor="text1"/>
              </w:rPr>
            </w:pPr>
            <w:r w:rsidRPr="00B90AD1">
              <w:rPr>
                <w:rFonts w:cs="Times New Roman"/>
                <w:color w:val="000000" w:themeColor="text1"/>
              </w:rPr>
              <w:t>African American</w:t>
            </w:r>
          </w:p>
        </w:tc>
        <w:tc>
          <w:tcPr>
            <w:tcW w:w="4176" w:type="dxa"/>
          </w:tcPr>
          <w:p w:rsidR="00A358F3" w:rsidRPr="0079591C" w:rsidRDefault="00A358F3" w:rsidP="00A358F3">
            <w:pPr>
              <w:spacing w:before="60" w:after="60"/>
              <w:jc w:val="left"/>
              <w:rPr>
                <w:rFonts w:cs="Times New Roman"/>
                <w:color w:val="000000" w:themeColor="text1"/>
                <w:sz w:val="20"/>
                <w:szCs w:val="20"/>
              </w:rPr>
            </w:pPr>
            <w:r>
              <w:rPr>
                <w:rFonts w:cs="Times New Roman"/>
                <w:color w:val="000000" w:themeColor="text1"/>
                <w:sz w:val="20"/>
                <w:szCs w:val="20"/>
              </w:rPr>
              <w:t>% of households</w:t>
            </w:r>
            <w:r w:rsidRPr="0079591C">
              <w:rPr>
                <w:rFonts w:cs="Times New Roman"/>
                <w:color w:val="000000" w:themeColor="text1"/>
                <w:sz w:val="20"/>
                <w:szCs w:val="20"/>
              </w:rPr>
              <w:t xml:space="preserve"> </w:t>
            </w:r>
            <w:r>
              <w:rPr>
                <w:rFonts w:cs="Times New Roman"/>
                <w:color w:val="000000" w:themeColor="text1"/>
                <w:sz w:val="20"/>
                <w:szCs w:val="20"/>
              </w:rPr>
              <w:t>that are identified as “African American”</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0.13 </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0.18 </w:t>
            </w:r>
          </w:p>
        </w:tc>
      </w:tr>
      <w:tr w:rsidR="00A358F3" w:rsidRPr="0030217B" w:rsidTr="00A358F3">
        <w:trPr>
          <w:jc w:val="center"/>
        </w:trPr>
        <w:tc>
          <w:tcPr>
            <w:tcW w:w="2034" w:type="dxa"/>
          </w:tcPr>
          <w:p w:rsidR="00A358F3" w:rsidRPr="00B90AD1" w:rsidRDefault="00A358F3" w:rsidP="00A358F3">
            <w:pPr>
              <w:spacing w:before="60" w:after="60"/>
              <w:jc w:val="left"/>
              <w:rPr>
                <w:rFonts w:cs="Times New Roman"/>
                <w:color w:val="000000" w:themeColor="text1"/>
              </w:rPr>
            </w:pPr>
            <w:r w:rsidRPr="00B90AD1">
              <w:rPr>
                <w:rFonts w:cs="Times New Roman"/>
                <w:color w:val="000000" w:themeColor="text1"/>
              </w:rPr>
              <w:t>Asian</w:t>
            </w:r>
          </w:p>
        </w:tc>
        <w:tc>
          <w:tcPr>
            <w:tcW w:w="4176" w:type="dxa"/>
          </w:tcPr>
          <w:p w:rsidR="00A358F3" w:rsidRPr="0079591C" w:rsidRDefault="00A358F3" w:rsidP="00A358F3">
            <w:pPr>
              <w:spacing w:before="60" w:after="60"/>
              <w:jc w:val="left"/>
              <w:rPr>
                <w:rFonts w:cs="Times New Roman"/>
                <w:color w:val="000000" w:themeColor="text1"/>
                <w:sz w:val="20"/>
                <w:szCs w:val="20"/>
              </w:rPr>
            </w:pPr>
            <w:r>
              <w:rPr>
                <w:rFonts w:cs="Times New Roman"/>
                <w:color w:val="000000" w:themeColor="text1"/>
                <w:sz w:val="20"/>
                <w:szCs w:val="20"/>
              </w:rPr>
              <w:t>% of households</w:t>
            </w:r>
            <w:r w:rsidRPr="0079591C">
              <w:rPr>
                <w:rFonts w:cs="Times New Roman"/>
                <w:color w:val="000000" w:themeColor="text1"/>
                <w:sz w:val="20"/>
                <w:szCs w:val="20"/>
              </w:rPr>
              <w:t xml:space="preserve"> </w:t>
            </w:r>
            <w:r>
              <w:rPr>
                <w:rFonts w:cs="Times New Roman"/>
                <w:color w:val="000000" w:themeColor="text1"/>
                <w:sz w:val="20"/>
                <w:szCs w:val="20"/>
              </w:rPr>
              <w:t>that are identified as “Asian”</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0.05 </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0.07 </w:t>
            </w:r>
          </w:p>
        </w:tc>
      </w:tr>
      <w:tr w:rsidR="00A358F3" w:rsidRPr="0030217B" w:rsidTr="00A358F3">
        <w:trPr>
          <w:jc w:val="center"/>
        </w:trPr>
        <w:tc>
          <w:tcPr>
            <w:tcW w:w="2034" w:type="dxa"/>
          </w:tcPr>
          <w:p w:rsidR="00A358F3" w:rsidRPr="00B90AD1" w:rsidRDefault="00A358F3" w:rsidP="00A358F3">
            <w:pPr>
              <w:spacing w:before="60" w:after="60"/>
              <w:jc w:val="left"/>
              <w:rPr>
                <w:rFonts w:cs="Times New Roman"/>
                <w:color w:val="000000" w:themeColor="text1"/>
              </w:rPr>
            </w:pPr>
            <w:r w:rsidRPr="00B90AD1">
              <w:rPr>
                <w:rFonts w:cs="Times New Roman"/>
                <w:color w:val="000000" w:themeColor="text1"/>
              </w:rPr>
              <w:t>Hispanic</w:t>
            </w:r>
          </w:p>
        </w:tc>
        <w:tc>
          <w:tcPr>
            <w:tcW w:w="4176" w:type="dxa"/>
          </w:tcPr>
          <w:p w:rsidR="00A358F3" w:rsidRPr="0079591C" w:rsidRDefault="00A358F3" w:rsidP="00A358F3">
            <w:pPr>
              <w:spacing w:before="60" w:after="60"/>
              <w:jc w:val="left"/>
              <w:rPr>
                <w:rFonts w:cs="Times New Roman"/>
                <w:color w:val="000000" w:themeColor="text1"/>
                <w:sz w:val="20"/>
                <w:szCs w:val="20"/>
              </w:rPr>
            </w:pPr>
            <w:r>
              <w:rPr>
                <w:rFonts w:cs="Times New Roman"/>
                <w:color w:val="000000" w:themeColor="text1"/>
                <w:sz w:val="20"/>
                <w:szCs w:val="20"/>
              </w:rPr>
              <w:t>% of households</w:t>
            </w:r>
            <w:r w:rsidRPr="0079591C">
              <w:rPr>
                <w:rFonts w:cs="Times New Roman"/>
                <w:color w:val="000000" w:themeColor="text1"/>
                <w:sz w:val="20"/>
                <w:szCs w:val="20"/>
              </w:rPr>
              <w:t xml:space="preserve"> </w:t>
            </w:r>
            <w:r>
              <w:rPr>
                <w:rFonts w:cs="Times New Roman"/>
                <w:color w:val="000000" w:themeColor="text1"/>
                <w:sz w:val="20"/>
                <w:szCs w:val="20"/>
              </w:rPr>
              <w:t>that are identified as “</w:t>
            </w:r>
            <w:r w:rsidRPr="00173C0C">
              <w:rPr>
                <w:rFonts w:cs="Times New Roman"/>
                <w:color w:val="000000" w:themeColor="text1"/>
                <w:sz w:val="20"/>
                <w:szCs w:val="20"/>
              </w:rPr>
              <w:t>Hispanic or Latino (of any race)</w:t>
            </w:r>
            <w:r>
              <w:rPr>
                <w:rFonts w:cs="Times New Roman"/>
                <w:color w:val="000000" w:themeColor="text1"/>
                <w:sz w:val="20"/>
                <w:szCs w:val="20"/>
              </w:rPr>
              <w:t>”</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0.11 </w:t>
            </w:r>
          </w:p>
        </w:tc>
        <w:tc>
          <w:tcPr>
            <w:tcW w:w="1053" w:type="dxa"/>
          </w:tcPr>
          <w:p w:rsidR="00A358F3" w:rsidRPr="00A358F3" w:rsidRDefault="00A358F3" w:rsidP="00A358F3">
            <w:pPr>
              <w:spacing w:before="60" w:after="60"/>
              <w:jc w:val="right"/>
              <w:rPr>
                <w:sz w:val="20"/>
                <w:szCs w:val="20"/>
              </w:rPr>
            </w:pPr>
            <w:r w:rsidRPr="00A358F3">
              <w:rPr>
                <w:sz w:val="20"/>
                <w:szCs w:val="20"/>
              </w:rPr>
              <w:t xml:space="preserve"> 0.14 </w:t>
            </w:r>
          </w:p>
        </w:tc>
      </w:tr>
      <w:tr w:rsidR="00A358F3" w:rsidRPr="0030217B" w:rsidTr="00A358F3">
        <w:trPr>
          <w:jc w:val="center"/>
        </w:trPr>
        <w:tc>
          <w:tcPr>
            <w:tcW w:w="2034" w:type="dxa"/>
          </w:tcPr>
          <w:p w:rsidR="00A358F3" w:rsidRPr="00B90AD1" w:rsidRDefault="00A358F3" w:rsidP="00A358F3">
            <w:pPr>
              <w:spacing w:before="60" w:after="60"/>
              <w:jc w:val="left"/>
              <w:rPr>
                <w:rFonts w:cs="Times New Roman"/>
              </w:rPr>
            </w:pPr>
            <w:r w:rsidRPr="00B90AD1">
              <w:rPr>
                <w:rFonts w:cs="Times New Roman"/>
              </w:rPr>
              <w:t>Coupon Discount</w:t>
            </w:r>
          </w:p>
        </w:tc>
        <w:tc>
          <w:tcPr>
            <w:tcW w:w="4176" w:type="dxa"/>
          </w:tcPr>
          <w:p w:rsidR="00A358F3" w:rsidRPr="0079591C" w:rsidRDefault="00A358F3" w:rsidP="00A358F3">
            <w:pPr>
              <w:spacing w:before="60" w:after="60"/>
              <w:jc w:val="left"/>
              <w:rPr>
                <w:rFonts w:cs="Times New Roman"/>
                <w:color w:val="000000" w:themeColor="text1"/>
                <w:sz w:val="20"/>
                <w:szCs w:val="20"/>
              </w:rPr>
            </w:pPr>
            <w:r w:rsidRPr="0079591C">
              <w:rPr>
                <w:rFonts w:cs="Times New Roman"/>
                <w:color w:val="000000" w:themeColor="text1"/>
                <w:sz w:val="20"/>
                <w:szCs w:val="20"/>
              </w:rPr>
              <w:t xml:space="preserve">% households classified as “Urbanized” </w:t>
            </w:r>
          </w:p>
        </w:tc>
        <w:tc>
          <w:tcPr>
            <w:tcW w:w="1053" w:type="dxa"/>
          </w:tcPr>
          <w:p w:rsidR="00A358F3" w:rsidRPr="00A358F3" w:rsidRDefault="00A358F3" w:rsidP="00A358F3">
            <w:pPr>
              <w:spacing w:before="60" w:after="60"/>
              <w:jc w:val="right"/>
              <w:rPr>
                <w:sz w:val="20"/>
                <w:szCs w:val="20"/>
              </w:rPr>
            </w:pPr>
          </w:p>
        </w:tc>
        <w:tc>
          <w:tcPr>
            <w:tcW w:w="1053" w:type="dxa"/>
          </w:tcPr>
          <w:p w:rsidR="00A358F3" w:rsidRPr="00A358F3" w:rsidRDefault="00A358F3" w:rsidP="00A358F3">
            <w:pPr>
              <w:spacing w:before="60" w:after="60"/>
              <w:jc w:val="right"/>
              <w:rPr>
                <w:sz w:val="20"/>
                <w:szCs w:val="20"/>
              </w:rPr>
            </w:pPr>
          </w:p>
        </w:tc>
      </w:tr>
      <w:tr w:rsidR="00A358F3" w:rsidRPr="0030217B" w:rsidTr="00A358F3">
        <w:trPr>
          <w:jc w:val="center"/>
        </w:trPr>
        <w:tc>
          <w:tcPr>
            <w:tcW w:w="2034" w:type="dxa"/>
          </w:tcPr>
          <w:p w:rsidR="00A358F3" w:rsidRPr="00B90AD1" w:rsidRDefault="00A358F3" w:rsidP="00A358F3">
            <w:pPr>
              <w:spacing w:before="60" w:after="60"/>
              <w:jc w:val="left"/>
              <w:rPr>
                <w:rFonts w:cs="Times New Roman"/>
              </w:rPr>
            </w:pPr>
            <w:r w:rsidRPr="00B90AD1">
              <w:rPr>
                <w:rFonts w:cs="Times New Roman"/>
              </w:rPr>
              <w:t>Coupon Frequency</w:t>
            </w:r>
          </w:p>
        </w:tc>
        <w:tc>
          <w:tcPr>
            <w:tcW w:w="4176" w:type="dxa"/>
          </w:tcPr>
          <w:p w:rsidR="00A358F3" w:rsidRPr="0079591C" w:rsidRDefault="00A358F3" w:rsidP="00A358F3">
            <w:pPr>
              <w:spacing w:before="60" w:after="60"/>
              <w:jc w:val="left"/>
              <w:rPr>
                <w:rFonts w:cs="Times New Roman"/>
                <w:color w:val="000000" w:themeColor="text1"/>
                <w:sz w:val="20"/>
                <w:szCs w:val="20"/>
              </w:rPr>
            </w:pPr>
            <w:r w:rsidRPr="0079591C">
              <w:rPr>
                <w:rFonts w:cs="Times New Roman"/>
                <w:color w:val="000000" w:themeColor="text1"/>
                <w:sz w:val="20"/>
                <w:szCs w:val="20"/>
              </w:rPr>
              <w:t>% households in “Urban Clusters”</w:t>
            </w:r>
          </w:p>
        </w:tc>
        <w:tc>
          <w:tcPr>
            <w:tcW w:w="1053" w:type="dxa"/>
          </w:tcPr>
          <w:p w:rsidR="00A358F3" w:rsidRPr="00A358F3" w:rsidRDefault="00A358F3" w:rsidP="00A358F3">
            <w:pPr>
              <w:spacing w:before="60" w:after="60"/>
              <w:jc w:val="right"/>
              <w:rPr>
                <w:sz w:val="20"/>
                <w:szCs w:val="20"/>
              </w:rPr>
            </w:pPr>
          </w:p>
        </w:tc>
        <w:tc>
          <w:tcPr>
            <w:tcW w:w="1053" w:type="dxa"/>
          </w:tcPr>
          <w:p w:rsidR="00A358F3" w:rsidRPr="00A358F3" w:rsidRDefault="00A358F3" w:rsidP="00A358F3">
            <w:pPr>
              <w:spacing w:before="60" w:after="60"/>
              <w:jc w:val="right"/>
              <w:rPr>
                <w:sz w:val="20"/>
                <w:szCs w:val="20"/>
              </w:rPr>
            </w:pPr>
          </w:p>
        </w:tc>
      </w:tr>
      <w:tr w:rsidR="00A358F3" w:rsidRPr="0030217B" w:rsidTr="00A358F3">
        <w:trPr>
          <w:jc w:val="center"/>
        </w:trPr>
        <w:tc>
          <w:tcPr>
            <w:tcW w:w="2034" w:type="dxa"/>
          </w:tcPr>
          <w:p w:rsidR="00A358F3" w:rsidRPr="00B90AD1" w:rsidRDefault="00A358F3" w:rsidP="00A358F3">
            <w:pPr>
              <w:spacing w:before="60" w:after="60"/>
              <w:jc w:val="left"/>
              <w:rPr>
                <w:rFonts w:cs="Times New Roman"/>
              </w:rPr>
            </w:pPr>
            <w:r w:rsidRPr="00B90AD1">
              <w:rPr>
                <w:rFonts w:cs="Times New Roman"/>
              </w:rPr>
              <w:t>Unit Price Paid</w:t>
            </w:r>
          </w:p>
        </w:tc>
        <w:tc>
          <w:tcPr>
            <w:tcW w:w="4176" w:type="dxa"/>
          </w:tcPr>
          <w:p w:rsidR="00A358F3" w:rsidRPr="0079591C" w:rsidRDefault="00A358F3" w:rsidP="00A358F3">
            <w:pPr>
              <w:spacing w:before="60" w:after="60"/>
              <w:jc w:val="left"/>
              <w:rPr>
                <w:rFonts w:cs="Times New Roman"/>
                <w:color w:val="000000" w:themeColor="text1"/>
                <w:sz w:val="20"/>
                <w:szCs w:val="20"/>
              </w:rPr>
            </w:pPr>
            <w:r w:rsidRPr="0079591C">
              <w:rPr>
                <w:rFonts w:cs="Times New Roman"/>
                <w:color w:val="000000" w:themeColor="text1"/>
                <w:sz w:val="20"/>
                <w:szCs w:val="20"/>
              </w:rPr>
              <w:t>% households not classified as urban</w:t>
            </w:r>
          </w:p>
        </w:tc>
        <w:tc>
          <w:tcPr>
            <w:tcW w:w="1053" w:type="dxa"/>
          </w:tcPr>
          <w:p w:rsidR="00A358F3" w:rsidRPr="00A358F3" w:rsidRDefault="00A358F3" w:rsidP="00A358F3">
            <w:pPr>
              <w:spacing w:before="60" w:after="60"/>
              <w:jc w:val="right"/>
              <w:rPr>
                <w:sz w:val="20"/>
                <w:szCs w:val="20"/>
              </w:rPr>
            </w:pPr>
          </w:p>
        </w:tc>
        <w:tc>
          <w:tcPr>
            <w:tcW w:w="1053" w:type="dxa"/>
          </w:tcPr>
          <w:p w:rsidR="00A358F3" w:rsidRPr="00A358F3" w:rsidRDefault="00A358F3" w:rsidP="00A358F3">
            <w:pPr>
              <w:spacing w:before="60" w:after="60"/>
              <w:jc w:val="right"/>
              <w:rPr>
                <w:sz w:val="20"/>
                <w:szCs w:val="20"/>
              </w:rPr>
            </w:pPr>
          </w:p>
        </w:tc>
      </w:tr>
    </w:tbl>
    <w:p w:rsidR="00A358F3" w:rsidRDefault="00A358F3" w:rsidP="00A358F3"/>
    <w:p w:rsidR="00173C0C" w:rsidRDefault="00125182" w:rsidP="00A358F3">
      <w:r>
        <w:t xml:space="preserve">The unit of analysis is a zip code and the sample size for each of these measures is 4,689 zip codes. </w:t>
      </w:r>
      <w:r w:rsidR="00A358F3">
        <w:t xml:space="preserve">The summary statistics for the </w:t>
      </w:r>
      <w:r w:rsidR="00A358F3" w:rsidRPr="00A358F3">
        <w:rPr>
          <w:i/>
        </w:rPr>
        <w:t>Coupon Discount</w:t>
      </w:r>
      <w:r w:rsidR="00A358F3">
        <w:t xml:space="preserve">, </w:t>
      </w:r>
      <w:r w:rsidR="00A358F3" w:rsidRPr="00A358F3">
        <w:rPr>
          <w:i/>
        </w:rPr>
        <w:t>Coupon Frequency</w:t>
      </w:r>
      <w:r w:rsidR="00A358F3">
        <w:t xml:space="preserve"> and </w:t>
      </w:r>
      <w:r w:rsidR="00A358F3" w:rsidRPr="00A358F3">
        <w:rPr>
          <w:i/>
        </w:rPr>
        <w:t>Unit Price Paid</w:t>
      </w:r>
      <w:r w:rsidR="00A358F3">
        <w:t xml:space="preserve"> are confidential and are omitted.  </w:t>
      </w:r>
      <w:r w:rsidR="00173C0C">
        <w:t>The urban, ethnic, educational attainment, coupon and unit price paid measures are discussed in greater detail on the following pages.</w:t>
      </w:r>
    </w:p>
    <w:p w:rsidR="00173C0C" w:rsidRDefault="00173C0C" w:rsidP="00B86050">
      <w:pPr>
        <w:rPr>
          <w:rFonts w:cs="Times New Roman"/>
          <w:b/>
        </w:rPr>
      </w:pPr>
    </w:p>
    <w:p w:rsidR="00173C0C" w:rsidRDefault="00173C0C">
      <w:pPr>
        <w:rPr>
          <w:rFonts w:cs="Times New Roman"/>
          <w:b/>
        </w:rPr>
      </w:pPr>
      <w:r>
        <w:rPr>
          <w:rFonts w:cs="Times New Roman"/>
          <w:b/>
        </w:rPr>
        <w:br w:type="page"/>
      </w:r>
    </w:p>
    <w:p w:rsidR="00B86050" w:rsidRPr="0030217B" w:rsidRDefault="00B86050" w:rsidP="00B86050">
      <w:pPr>
        <w:rPr>
          <w:rFonts w:cs="Times New Roman"/>
          <w:b/>
        </w:rPr>
      </w:pPr>
      <w:r w:rsidRPr="0030217B">
        <w:rPr>
          <w:rFonts w:cs="Times New Roman"/>
          <w:b/>
        </w:rPr>
        <w:lastRenderedPageBreak/>
        <w:t>How does the Census Bureau define "urban"</w:t>
      </w:r>
      <w:r w:rsidR="00260DE6">
        <w:rPr>
          <w:rFonts w:cs="Times New Roman"/>
          <w:b/>
        </w:rPr>
        <w:t>?</w:t>
      </w:r>
    </w:p>
    <w:p w:rsidR="00B86050" w:rsidRPr="0030217B" w:rsidRDefault="00B86050" w:rsidP="00B86050">
      <w:pPr>
        <w:rPr>
          <w:rFonts w:cs="Times New Roman"/>
        </w:rPr>
      </w:pPr>
      <w:r w:rsidRPr="0030217B">
        <w:rPr>
          <w:rFonts w:cs="Times New Roman"/>
        </w:rPr>
        <w:t>The Census Bureau's urban classification is a delineation of geographical areas, identifying both individual urban areas and the rural areas of the nation. The Census Bureau's urban areas represent densely developed territory, and encompass residential, commercial, and other non-residential urban land uses. For the 2010 Census, an urban area will comprise a densely settled core of census tracts and/or census blocks that meet minimum population density requirements, along with adjacent territory containing non-residential urban land uses as well as territory with low population density included to link outlying densely settled territory with the densely settled core. To qualify as an urban area, the territory identified according to criteria must encompass at least 2,500 people, at least 1,500 of which reside outside institutional group quarters.</w:t>
      </w:r>
    </w:p>
    <w:p w:rsidR="00B86050" w:rsidRPr="0030217B" w:rsidRDefault="00B86050" w:rsidP="00B86050">
      <w:pPr>
        <w:rPr>
          <w:rFonts w:cs="Times New Roman"/>
        </w:rPr>
      </w:pPr>
      <w:r w:rsidRPr="0030217B">
        <w:rPr>
          <w:rFonts w:cs="Times New Roman"/>
        </w:rPr>
        <w:t>The Census Bureau identifies two types of urban areas:</w:t>
      </w:r>
    </w:p>
    <w:p w:rsidR="00B86050" w:rsidRPr="0030217B" w:rsidRDefault="00B86050" w:rsidP="00B86050">
      <w:pPr>
        <w:pStyle w:val="ListParagraph"/>
        <w:numPr>
          <w:ilvl w:val="0"/>
          <w:numId w:val="1"/>
        </w:numPr>
        <w:rPr>
          <w:rFonts w:cs="Times New Roman"/>
        </w:rPr>
      </w:pPr>
      <w:r w:rsidRPr="0030217B">
        <w:rPr>
          <w:rFonts w:cs="Times New Roman"/>
        </w:rPr>
        <w:t>Urbanized Areas (UAs) of 50,000 or more people;</w:t>
      </w:r>
    </w:p>
    <w:p w:rsidR="00B86050" w:rsidRPr="0030217B" w:rsidRDefault="00B86050" w:rsidP="00B86050">
      <w:pPr>
        <w:pStyle w:val="ListParagraph"/>
        <w:numPr>
          <w:ilvl w:val="0"/>
          <w:numId w:val="1"/>
        </w:numPr>
        <w:rPr>
          <w:rFonts w:cs="Times New Roman"/>
        </w:rPr>
      </w:pPr>
      <w:r w:rsidRPr="0030217B">
        <w:rPr>
          <w:rFonts w:cs="Times New Roman"/>
        </w:rPr>
        <w:t>Urban Clusters (UCs) of at least 2,500 and less than 50,000 people.</w:t>
      </w:r>
    </w:p>
    <w:p w:rsidR="0075653A" w:rsidRPr="0030217B" w:rsidRDefault="00B86050" w:rsidP="00B86050">
      <w:pPr>
        <w:rPr>
          <w:rFonts w:cs="Times New Roman"/>
        </w:rPr>
      </w:pPr>
      <w:r w:rsidRPr="0030217B">
        <w:rPr>
          <w:rFonts w:cs="Times New Roman"/>
        </w:rPr>
        <w:t>"Rural" encompasses all population, housing, and territory not included within an urban area.</w:t>
      </w:r>
    </w:p>
    <w:p w:rsidR="00E537F3" w:rsidRDefault="00B86050" w:rsidP="00B86050">
      <w:pPr>
        <w:rPr>
          <w:rStyle w:val="Hyperlink"/>
          <w:rFonts w:cs="Times New Roman"/>
        </w:rPr>
      </w:pPr>
      <w:r w:rsidRPr="0030217B">
        <w:rPr>
          <w:rFonts w:cs="Times New Roman"/>
        </w:rPr>
        <w:t xml:space="preserve">Source: </w:t>
      </w:r>
      <w:hyperlink r:id="rId10" w:history="1">
        <w:r w:rsidRPr="0030217B">
          <w:rPr>
            <w:rStyle w:val="Hyperlink"/>
            <w:rFonts w:cs="Times New Roman"/>
          </w:rPr>
          <w:t>https://www.census.gov/geo/reference/ua/uafaq.html</w:t>
        </w:r>
      </w:hyperlink>
    </w:p>
    <w:p w:rsidR="00E537F3" w:rsidRDefault="00E537F3">
      <w:pPr>
        <w:rPr>
          <w:rStyle w:val="Hyperlink"/>
          <w:rFonts w:cs="Times New Roman"/>
        </w:rPr>
      </w:pPr>
    </w:p>
    <w:p w:rsidR="0021763B" w:rsidRDefault="0021763B">
      <w:pPr>
        <w:rPr>
          <w:rFonts w:cs="Times New Roman"/>
          <w:b/>
        </w:rPr>
      </w:pPr>
      <w:r>
        <w:rPr>
          <w:rFonts w:cs="Times New Roman"/>
          <w:b/>
        </w:rPr>
        <w:br w:type="page"/>
      </w:r>
    </w:p>
    <w:p w:rsidR="00285173" w:rsidRPr="00E537F3" w:rsidRDefault="00E537F3" w:rsidP="00B86050">
      <w:pPr>
        <w:rPr>
          <w:rFonts w:cs="Times New Roman"/>
          <w:b/>
        </w:rPr>
      </w:pPr>
      <w:r w:rsidRPr="00E537F3">
        <w:rPr>
          <w:rFonts w:cs="Times New Roman"/>
          <w:b/>
        </w:rPr>
        <w:lastRenderedPageBreak/>
        <w:t>Education</w:t>
      </w:r>
      <w:r w:rsidR="00260DE6">
        <w:rPr>
          <w:rFonts w:cs="Times New Roman"/>
          <w:b/>
        </w:rPr>
        <w:t xml:space="preserve"> and Ethnicity</w:t>
      </w:r>
      <w:r w:rsidRPr="00E537F3">
        <w:rPr>
          <w:rFonts w:cs="Times New Roman"/>
          <w:b/>
        </w:rPr>
        <w:t xml:space="preserve"> Data</w:t>
      </w:r>
    </w:p>
    <w:p w:rsidR="00260DE6" w:rsidRDefault="00E537F3" w:rsidP="00E537F3">
      <w:pPr>
        <w:rPr>
          <w:rFonts w:cs="Times New Roman"/>
        </w:rPr>
      </w:pPr>
      <w:r>
        <w:rPr>
          <w:rFonts w:cs="Times New Roman"/>
        </w:rPr>
        <w:t xml:space="preserve">This </w:t>
      </w:r>
      <w:r w:rsidR="00A65113">
        <w:rPr>
          <w:rFonts w:cs="Times New Roman"/>
        </w:rPr>
        <w:t xml:space="preserve">data </w:t>
      </w:r>
      <w:r>
        <w:rPr>
          <w:rFonts w:cs="Times New Roman"/>
        </w:rPr>
        <w:t xml:space="preserve">was obtained from the US Census Bureau’s American Fact Finder.  </w:t>
      </w:r>
      <w:r w:rsidR="00260DE6">
        <w:rPr>
          <w:rFonts w:cs="Times New Roman"/>
        </w:rPr>
        <w:t>The data is for 2016 and is obtained from the 2012-2016 American Community Survey 5-year estimates.</w:t>
      </w:r>
    </w:p>
    <w:p w:rsidR="005C7F8E" w:rsidRDefault="00E537F3" w:rsidP="00E537F3">
      <w:pPr>
        <w:rPr>
          <w:rFonts w:cs="Times New Roman"/>
        </w:rPr>
      </w:pPr>
      <w:r>
        <w:rPr>
          <w:rFonts w:cs="Times New Roman"/>
        </w:rPr>
        <w:t xml:space="preserve">The data is aggregated to the “Zip Code Tabulation Area”, which </w:t>
      </w:r>
      <w:r w:rsidRPr="00E537F3">
        <w:rPr>
          <w:rFonts w:cs="Times New Roman"/>
        </w:rPr>
        <w:t>are generalized areal representations of United States Postal Service (USPS) ZIP Code service areas.</w:t>
      </w:r>
      <w:r>
        <w:rPr>
          <w:rFonts w:cs="Times New Roman"/>
        </w:rPr>
        <w:t xml:space="preserve"> </w:t>
      </w:r>
      <w:r w:rsidRPr="00E537F3">
        <w:rPr>
          <w:rFonts w:cs="Times New Roman"/>
        </w:rPr>
        <w:t>The USPS ZIP Codes identify the individual post office or metropolitan area delivery station associated with mailing addresses. USPS ZIP Codes are not areal features but a collection of mail delivery routes.</w:t>
      </w:r>
      <w:r>
        <w:rPr>
          <w:rFonts w:cs="Times New Roman"/>
        </w:rPr>
        <w:t xml:space="preserve"> The ZCTAs are labeled to identify the most frequently occurring zip code in an area for each ZCTA code</w:t>
      </w:r>
      <w:r w:rsidR="005C7F8E">
        <w:rPr>
          <w:rFonts w:cs="Times New Roman"/>
        </w:rPr>
        <w:t>.</w:t>
      </w:r>
    </w:p>
    <w:p w:rsidR="00E537F3" w:rsidRDefault="005C7F8E" w:rsidP="00E537F3">
      <w:pPr>
        <w:rPr>
          <w:rFonts w:cs="Times New Roman"/>
        </w:rPr>
      </w:pPr>
      <w:r>
        <w:rPr>
          <w:rFonts w:cs="Times New Roman"/>
        </w:rPr>
        <w:t xml:space="preserve">Source: </w:t>
      </w:r>
      <w:hyperlink r:id="rId11" w:history="1">
        <w:r w:rsidR="00E537F3" w:rsidRPr="00B619A5">
          <w:rPr>
            <w:rStyle w:val="Hyperlink"/>
            <w:rFonts w:cs="Times New Roman"/>
          </w:rPr>
          <w:t>https://www.census.gov/geo/reference/zctas.html</w:t>
        </w:r>
      </w:hyperlink>
    </w:p>
    <w:p w:rsidR="00E537F3" w:rsidRDefault="00A65113" w:rsidP="00E537F3">
      <w:pPr>
        <w:rPr>
          <w:rFonts w:cs="Times New Roman"/>
        </w:rPr>
      </w:pPr>
      <w:r>
        <w:rPr>
          <w:rFonts w:cs="Times New Roman"/>
        </w:rPr>
        <w:t xml:space="preserve">The education data we use describes the </w:t>
      </w:r>
      <w:r w:rsidR="00CC45DB">
        <w:rPr>
          <w:rFonts w:cs="Times New Roman"/>
        </w:rPr>
        <w:t xml:space="preserve">highest level of </w:t>
      </w:r>
      <w:r>
        <w:rPr>
          <w:rFonts w:cs="Times New Roman"/>
        </w:rPr>
        <w:t xml:space="preserve">educational attainment for the population 25 years and over.  </w:t>
      </w:r>
      <w:r w:rsidR="00E537F3">
        <w:rPr>
          <w:rFonts w:cs="Times New Roman"/>
        </w:rPr>
        <w:t>We use two measures of educational achievement:</w:t>
      </w:r>
    </w:p>
    <w:p w:rsidR="00E537F3" w:rsidRDefault="00E537F3" w:rsidP="00E537F3">
      <w:pPr>
        <w:pStyle w:val="ListParagraph"/>
        <w:numPr>
          <w:ilvl w:val="0"/>
          <w:numId w:val="2"/>
        </w:numPr>
        <w:rPr>
          <w:rFonts w:cs="Times New Roman"/>
        </w:rPr>
      </w:pPr>
      <w:r>
        <w:rPr>
          <w:rFonts w:cs="Times New Roman"/>
        </w:rPr>
        <w:t>High School: % of the ZCTA population with a regular high school diploma</w:t>
      </w:r>
    </w:p>
    <w:p w:rsidR="00E537F3" w:rsidRPr="00E537F3" w:rsidRDefault="00E537F3" w:rsidP="00E537F3">
      <w:pPr>
        <w:pStyle w:val="ListParagraph"/>
        <w:numPr>
          <w:ilvl w:val="0"/>
          <w:numId w:val="2"/>
        </w:numPr>
        <w:rPr>
          <w:rFonts w:cs="Times New Roman"/>
        </w:rPr>
      </w:pPr>
      <w:r>
        <w:rPr>
          <w:rFonts w:cs="Times New Roman"/>
        </w:rPr>
        <w:t>Bachelor Degree: %</w:t>
      </w:r>
      <w:r w:rsidR="00260DE6">
        <w:rPr>
          <w:rFonts w:cs="Times New Roman"/>
        </w:rPr>
        <w:t xml:space="preserve"> of the ZCTA population with a Bachelor’s degree</w:t>
      </w:r>
    </w:p>
    <w:p w:rsidR="00A65113" w:rsidRDefault="00A65113">
      <w:r>
        <w:t>We use four measures of ethnicity:</w:t>
      </w:r>
    </w:p>
    <w:p w:rsidR="00A65113" w:rsidRDefault="00A65113" w:rsidP="00A65113">
      <w:pPr>
        <w:pStyle w:val="ListParagraph"/>
        <w:numPr>
          <w:ilvl w:val="0"/>
          <w:numId w:val="2"/>
        </w:numPr>
        <w:rPr>
          <w:rFonts w:cs="Times New Roman"/>
        </w:rPr>
      </w:pPr>
      <w:r>
        <w:rPr>
          <w:rFonts w:cs="Times New Roman"/>
        </w:rPr>
        <w:t>White: % of the ZCTA population that is identified as “</w:t>
      </w:r>
      <w:r w:rsidR="00173C0C">
        <w:rPr>
          <w:rFonts w:cs="Times New Roman"/>
        </w:rPr>
        <w:t>W</w:t>
      </w:r>
      <w:r>
        <w:rPr>
          <w:rFonts w:cs="Times New Roman"/>
        </w:rPr>
        <w:t>hite”</w:t>
      </w:r>
    </w:p>
    <w:p w:rsidR="00A65113" w:rsidRDefault="00A65113" w:rsidP="00A65113">
      <w:pPr>
        <w:pStyle w:val="ListParagraph"/>
        <w:numPr>
          <w:ilvl w:val="0"/>
          <w:numId w:val="2"/>
        </w:numPr>
        <w:rPr>
          <w:rFonts w:cs="Times New Roman"/>
        </w:rPr>
      </w:pPr>
      <w:r>
        <w:rPr>
          <w:rFonts w:cs="Times New Roman"/>
        </w:rPr>
        <w:t>African American: % of the ZCTA population that is identified as “African American”</w:t>
      </w:r>
    </w:p>
    <w:p w:rsidR="00A65113" w:rsidRDefault="00A65113" w:rsidP="0089249B">
      <w:pPr>
        <w:pStyle w:val="ListParagraph"/>
        <w:numPr>
          <w:ilvl w:val="0"/>
          <w:numId w:val="2"/>
        </w:numPr>
        <w:rPr>
          <w:rFonts w:cs="Times New Roman"/>
        </w:rPr>
      </w:pPr>
      <w:r>
        <w:rPr>
          <w:rFonts w:cs="Times New Roman"/>
        </w:rPr>
        <w:t>Hispanic: % of the ZCTA population that is identified as “</w:t>
      </w:r>
      <w:r w:rsidR="0089249B" w:rsidRPr="0089249B">
        <w:rPr>
          <w:rFonts w:cs="Times New Roman"/>
        </w:rPr>
        <w:t>Hispanic or Latino (of any race)</w:t>
      </w:r>
      <w:r>
        <w:rPr>
          <w:rFonts w:cs="Times New Roman"/>
        </w:rPr>
        <w:t>”</w:t>
      </w:r>
    </w:p>
    <w:p w:rsidR="00A65113" w:rsidRPr="00E537F3" w:rsidRDefault="00A65113" w:rsidP="00A65113">
      <w:pPr>
        <w:pStyle w:val="ListParagraph"/>
        <w:numPr>
          <w:ilvl w:val="0"/>
          <w:numId w:val="2"/>
        </w:numPr>
        <w:rPr>
          <w:rFonts w:cs="Times New Roman"/>
        </w:rPr>
      </w:pPr>
      <w:r>
        <w:rPr>
          <w:rFonts w:cs="Times New Roman"/>
        </w:rPr>
        <w:t>Asian: % of the ZCTA population that is identified as “Asian”</w:t>
      </w:r>
    </w:p>
    <w:p w:rsidR="00173C0C" w:rsidRDefault="00D72E85">
      <w:r>
        <w:t xml:space="preserve">For </w:t>
      </w:r>
      <w:r w:rsidR="0089249B">
        <w:t xml:space="preserve">the </w:t>
      </w:r>
      <w:r w:rsidR="0089249B">
        <w:rPr>
          <w:i/>
        </w:rPr>
        <w:t>White</w:t>
      </w:r>
      <w:r w:rsidR="0089249B">
        <w:t xml:space="preserve">, </w:t>
      </w:r>
      <w:r w:rsidR="0089249B" w:rsidRPr="0089249B">
        <w:rPr>
          <w:i/>
        </w:rPr>
        <w:t>African American</w:t>
      </w:r>
      <w:r w:rsidR="0089249B">
        <w:t xml:space="preserve"> and </w:t>
      </w:r>
      <w:r w:rsidR="0089249B" w:rsidRPr="0089249B">
        <w:rPr>
          <w:i/>
        </w:rPr>
        <w:t>Asian</w:t>
      </w:r>
      <w:r>
        <w:t xml:space="preserve"> measure</w:t>
      </w:r>
      <w:r w:rsidR="0089249B">
        <w:t>s</w:t>
      </w:r>
      <w:r>
        <w:t xml:space="preserve"> of ethnicity we use a measure of that race “</w:t>
      </w:r>
      <w:r w:rsidRPr="00D72E85">
        <w:t>alone or in combination with one or more other races</w:t>
      </w:r>
      <w:r>
        <w:t>”.</w:t>
      </w:r>
    </w:p>
    <w:p w:rsidR="0021763B" w:rsidRDefault="0021763B">
      <w:pPr>
        <w:rPr>
          <w:b/>
        </w:rPr>
      </w:pPr>
      <w:r>
        <w:rPr>
          <w:b/>
        </w:rPr>
        <w:br w:type="page"/>
      </w:r>
    </w:p>
    <w:p w:rsidR="00173C0C" w:rsidRPr="00173C0C" w:rsidRDefault="00173C0C" w:rsidP="00173C0C">
      <w:pPr>
        <w:rPr>
          <w:b/>
        </w:rPr>
      </w:pPr>
      <w:r w:rsidRPr="00173C0C">
        <w:rPr>
          <w:b/>
        </w:rPr>
        <w:lastRenderedPageBreak/>
        <w:t>Coupon Discount, Coupon Frequency and Unit Price Paid</w:t>
      </w:r>
    </w:p>
    <w:p w:rsidR="006700EE" w:rsidRDefault="006700EE" w:rsidP="00173C0C">
      <w:r>
        <w:t>These three variables are constructed using all of the transactions from each zip code in 2013. For each zip code we calculate the number of items purchased, the total amount spent, the number of coupons used, and the total value of the discounts received from the use of coupons. We then calculated the following zip code level measures:</w:t>
      </w:r>
    </w:p>
    <w:p w:rsidR="006700EE" w:rsidRDefault="006700EE" w:rsidP="00173C0C"/>
    <w:p w:rsidR="006700EE" w:rsidRDefault="00C66C3E" w:rsidP="00173C0C">
      <m:oMathPara>
        <m:oMath>
          <m:sSub>
            <m:sSubPr>
              <m:ctrlPr>
                <w:rPr>
                  <w:rFonts w:ascii="Cambria Math" w:hAnsi="Cambria Math"/>
                  <w:i/>
                </w:rPr>
              </m:ctrlPr>
            </m:sSubPr>
            <m:e>
              <m:r>
                <w:rPr>
                  <w:rFonts w:ascii="Cambria Math" w:hAnsi="Cambria Math"/>
                </w:rPr>
                <m:t>Coupon Discount</m:t>
              </m:r>
            </m:e>
            <m:sub>
              <m:r>
                <w:rPr>
                  <w:rFonts w:ascii="Cambria Math" w:hAnsi="Cambria Math"/>
                </w:rPr>
                <m:t>z</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Total Value of Discounts</m:t>
                  </m:r>
                </m:e>
                <m:sub>
                  <m:r>
                    <w:rPr>
                      <w:rFonts w:ascii="Cambria Math" w:hAnsi="Cambria Math"/>
                    </w:rPr>
                    <m:t>z</m:t>
                  </m:r>
                </m:sub>
              </m:sSub>
            </m:num>
            <m:den>
              <m:sSub>
                <m:sSubPr>
                  <m:ctrlPr>
                    <w:rPr>
                      <w:rFonts w:ascii="Cambria Math" w:hAnsi="Cambria Math"/>
                      <w:i/>
                    </w:rPr>
                  </m:ctrlPr>
                </m:sSubPr>
                <m:e>
                  <m:r>
                    <w:rPr>
                      <w:rFonts w:ascii="Cambria Math" w:hAnsi="Cambria Math"/>
                    </w:rPr>
                    <m:t>Total Value of Discounts</m:t>
                  </m:r>
                </m:e>
                <m:sub>
                  <m:r>
                    <w:rPr>
                      <w:rFonts w:ascii="Cambria Math" w:hAnsi="Cambria Math"/>
                    </w:rPr>
                    <m:t>z</m:t>
                  </m:r>
                </m:sub>
              </m:sSub>
              <m:r>
                <w:rPr>
                  <w:rFonts w:ascii="Cambria Math" w:hAnsi="Cambria Math"/>
                </w:rPr>
                <m:t>+ Total Amount Spent</m:t>
              </m:r>
            </m:den>
          </m:f>
        </m:oMath>
      </m:oMathPara>
    </w:p>
    <w:p w:rsidR="006700EE" w:rsidRDefault="006700EE" w:rsidP="00173C0C">
      <w:r>
        <w:t xml:space="preserve"> </w:t>
      </w:r>
    </w:p>
    <w:p w:rsidR="006700EE" w:rsidRDefault="00C66C3E" w:rsidP="006700EE">
      <m:oMathPara>
        <m:oMath>
          <m:sSub>
            <m:sSubPr>
              <m:ctrlPr>
                <w:rPr>
                  <w:rFonts w:ascii="Cambria Math" w:hAnsi="Cambria Math"/>
                  <w:i/>
                </w:rPr>
              </m:ctrlPr>
            </m:sSubPr>
            <m:e>
              <m:r>
                <w:rPr>
                  <w:rFonts w:ascii="Cambria Math" w:hAnsi="Cambria Math"/>
                </w:rPr>
                <m:t>Coupon Frequency</m:t>
              </m:r>
            </m:e>
            <m:sub>
              <m:r>
                <w:rPr>
                  <w:rFonts w:ascii="Cambria Math" w:hAnsi="Cambria Math"/>
                </w:rPr>
                <m:t>z</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Number of Coupons Used</m:t>
                  </m:r>
                </m:e>
                <m:sub>
                  <m:r>
                    <w:rPr>
                      <w:rFonts w:ascii="Cambria Math" w:hAnsi="Cambria Math"/>
                    </w:rPr>
                    <m:t>z</m:t>
                  </m:r>
                </m:sub>
              </m:sSub>
            </m:num>
            <m:den>
              <m:sSub>
                <m:sSubPr>
                  <m:ctrlPr>
                    <w:rPr>
                      <w:rFonts w:ascii="Cambria Math" w:hAnsi="Cambria Math"/>
                      <w:i/>
                    </w:rPr>
                  </m:ctrlPr>
                </m:sSubPr>
                <m:e>
                  <m:r>
                    <w:rPr>
                      <w:rFonts w:ascii="Cambria Math" w:hAnsi="Cambria Math"/>
                    </w:rPr>
                    <m:t>Number of Items Purchased</m:t>
                  </m:r>
                </m:e>
                <m:sub>
                  <m:r>
                    <w:rPr>
                      <w:rFonts w:ascii="Cambria Math" w:hAnsi="Cambria Math"/>
                    </w:rPr>
                    <m:t>z</m:t>
                  </m:r>
                </m:sub>
              </m:sSub>
            </m:den>
          </m:f>
        </m:oMath>
      </m:oMathPara>
    </w:p>
    <w:p w:rsidR="006700EE" w:rsidRDefault="006700EE" w:rsidP="00173C0C"/>
    <w:p w:rsidR="006700EE" w:rsidRDefault="00C66C3E" w:rsidP="006700EE">
      <m:oMathPara>
        <m:oMath>
          <m:sSub>
            <m:sSubPr>
              <m:ctrlPr>
                <w:rPr>
                  <w:rFonts w:ascii="Cambria Math" w:hAnsi="Cambria Math"/>
                  <w:i/>
                </w:rPr>
              </m:ctrlPr>
            </m:sSubPr>
            <m:e>
              <m:r>
                <w:rPr>
                  <w:rFonts w:ascii="Cambria Math" w:hAnsi="Cambria Math"/>
                </w:rPr>
                <m:t>Unit Price Paid</m:t>
              </m:r>
            </m:e>
            <m:sub>
              <m:r>
                <w:rPr>
                  <w:rFonts w:ascii="Cambria Math" w:hAnsi="Cambria Math"/>
                </w:rPr>
                <m:t>z</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Total Amount Spent</m:t>
                  </m:r>
                </m:e>
                <m:sub>
                  <m:r>
                    <w:rPr>
                      <w:rFonts w:ascii="Cambria Math" w:hAnsi="Cambria Math"/>
                    </w:rPr>
                    <m:t>z</m:t>
                  </m:r>
                </m:sub>
              </m:sSub>
            </m:num>
            <m:den>
              <m:sSub>
                <m:sSubPr>
                  <m:ctrlPr>
                    <w:rPr>
                      <w:rFonts w:ascii="Cambria Math" w:hAnsi="Cambria Math"/>
                      <w:i/>
                    </w:rPr>
                  </m:ctrlPr>
                </m:sSubPr>
                <m:e>
                  <m:r>
                    <w:rPr>
                      <w:rFonts w:ascii="Cambria Math" w:hAnsi="Cambria Math"/>
                    </w:rPr>
                    <m:t>Number of Items Purchased</m:t>
                  </m:r>
                </m:e>
                <m:sub>
                  <m:r>
                    <w:rPr>
                      <w:rFonts w:ascii="Cambria Math" w:hAnsi="Cambria Math"/>
                    </w:rPr>
                    <m:t>z</m:t>
                  </m:r>
                </m:sub>
              </m:sSub>
            </m:den>
          </m:f>
        </m:oMath>
      </m:oMathPara>
    </w:p>
    <w:p w:rsidR="006700EE" w:rsidRDefault="006700EE" w:rsidP="00173C0C"/>
    <w:p w:rsidR="006700EE" w:rsidRPr="0021763B" w:rsidRDefault="0058081B">
      <w:r>
        <w:br w:type="page"/>
      </w:r>
    </w:p>
    <w:p w:rsidR="008707D9" w:rsidRDefault="008707D9" w:rsidP="008707D9">
      <w:pPr>
        <w:spacing w:after="120"/>
        <w:jc w:val="center"/>
      </w:pPr>
      <w:r w:rsidRPr="008707D9">
        <w:rPr>
          <w:b/>
        </w:rPr>
        <w:lastRenderedPageBreak/>
        <w:t xml:space="preserve">Number </w:t>
      </w:r>
      <w:r>
        <w:rPr>
          <w:b/>
        </w:rPr>
        <w:t>o</w:t>
      </w:r>
      <w:r w:rsidRPr="008707D9">
        <w:rPr>
          <w:b/>
        </w:rPr>
        <w:t xml:space="preserve">f Purchases </w:t>
      </w:r>
      <w:r w:rsidR="00CE5471">
        <w:rPr>
          <w:b/>
          <w:sz w:val="20"/>
          <w:szCs w:val="20"/>
        </w:rPr>
        <w:t>f</w:t>
      </w:r>
      <w:r w:rsidRPr="008707D9">
        <w:rPr>
          <w:b/>
          <w:sz w:val="20"/>
          <w:szCs w:val="20"/>
        </w:rPr>
        <w:t xml:space="preserve">rom Group 2, Group 3 </w:t>
      </w:r>
      <w:r>
        <w:rPr>
          <w:b/>
          <w:sz w:val="20"/>
          <w:szCs w:val="20"/>
        </w:rPr>
        <w:t>a</w:t>
      </w:r>
      <w:r w:rsidRPr="008707D9">
        <w:rPr>
          <w:b/>
          <w:sz w:val="20"/>
          <w:szCs w:val="20"/>
        </w:rPr>
        <w:t>nd Group 4 Customers</w:t>
      </w:r>
      <w:r w:rsidR="00CE5471">
        <w:rPr>
          <w:b/>
          <w:sz w:val="20"/>
          <w:szCs w:val="20"/>
        </w:rPr>
        <w:t>:</w:t>
      </w:r>
      <w:r w:rsidRPr="008707D9">
        <w:rPr>
          <w:b/>
          <w:sz w:val="20"/>
          <w:szCs w:val="20"/>
        </w:rPr>
        <w:t xml:space="preserve">                                                                                             Products That Succeeded </w:t>
      </w:r>
      <w:r w:rsidR="00CE5471">
        <w:rPr>
          <w:b/>
          <w:sz w:val="20"/>
          <w:szCs w:val="20"/>
        </w:rPr>
        <w:t>a</w:t>
      </w:r>
      <w:r w:rsidRPr="008707D9">
        <w:rPr>
          <w:b/>
          <w:sz w:val="20"/>
          <w:szCs w:val="20"/>
        </w:rPr>
        <w:t>nd Failed</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584"/>
        <w:gridCol w:w="1614"/>
        <w:gridCol w:w="1614"/>
      </w:tblGrid>
      <w:tr w:rsidR="008707D9" w:rsidRPr="00176B2B" w:rsidTr="00794AF2">
        <w:trPr>
          <w:jc w:val="center"/>
        </w:trPr>
        <w:tc>
          <w:tcPr>
            <w:tcW w:w="2448" w:type="dxa"/>
            <w:tcBorders>
              <w:top w:val="double" w:sz="4" w:space="0" w:color="auto"/>
              <w:bottom w:val="single" w:sz="4" w:space="0" w:color="auto"/>
            </w:tcBorders>
          </w:tcPr>
          <w:p w:rsidR="008707D9" w:rsidRDefault="008707D9" w:rsidP="00794AF2">
            <w:pPr>
              <w:spacing w:before="60" w:after="60"/>
            </w:pPr>
          </w:p>
        </w:tc>
        <w:tc>
          <w:tcPr>
            <w:tcW w:w="1584" w:type="dxa"/>
            <w:tcBorders>
              <w:top w:val="double" w:sz="4" w:space="0" w:color="auto"/>
              <w:bottom w:val="single" w:sz="4" w:space="0" w:color="auto"/>
            </w:tcBorders>
          </w:tcPr>
          <w:p w:rsidR="008707D9" w:rsidRDefault="008707D9" w:rsidP="00CE5471">
            <w:pPr>
              <w:spacing w:before="60" w:after="60"/>
            </w:pPr>
            <w:r>
              <w:rPr>
                <w:b/>
              </w:rPr>
              <w:t xml:space="preserve">Products that </w:t>
            </w:r>
            <w:r w:rsidR="00CE5471">
              <w:rPr>
                <w:b/>
              </w:rPr>
              <w:t>Failed</w:t>
            </w:r>
          </w:p>
        </w:tc>
        <w:tc>
          <w:tcPr>
            <w:tcW w:w="1614" w:type="dxa"/>
            <w:tcBorders>
              <w:top w:val="double" w:sz="4" w:space="0" w:color="auto"/>
              <w:bottom w:val="single" w:sz="4" w:space="0" w:color="auto"/>
            </w:tcBorders>
          </w:tcPr>
          <w:p w:rsidR="008707D9" w:rsidRPr="00176B2B" w:rsidRDefault="008707D9" w:rsidP="00CE5471">
            <w:pPr>
              <w:spacing w:before="60" w:after="60"/>
              <w:rPr>
                <w:b/>
              </w:rPr>
            </w:pPr>
            <w:r>
              <w:rPr>
                <w:b/>
              </w:rPr>
              <w:t xml:space="preserve">Products that </w:t>
            </w:r>
            <w:r w:rsidR="00CE5471">
              <w:rPr>
                <w:b/>
              </w:rPr>
              <w:t>Succeeded</w:t>
            </w:r>
          </w:p>
        </w:tc>
        <w:tc>
          <w:tcPr>
            <w:tcW w:w="1614" w:type="dxa"/>
            <w:tcBorders>
              <w:top w:val="double" w:sz="4" w:space="0" w:color="auto"/>
              <w:bottom w:val="single" w:sz="4" w:space="0" w:color="auto"/>
            </w:tcBorders>
          </w:tcPr>
          <w:p w:rsidR="008707D9" w:rsidRPr="00176B2B" w:rsidRDefault="008707D9" w:rsidP="00794AF2">
            <w:pPr>
              <w:spacing w:before="60" w:after="60"/>
              <w:rPr>
                <w:b/>
              </w:rPr>
            </w:pPr>
            <w:r>
              <w:rPr>
                <w:b/>
              </w:rPr>
              <w:t>Difference</w:t>
            </w:r>
          </w:p>
        </w:tc>
      </w:tr>
      <w:tr w:rsidR="008707D9" w:rsidTr="00794AF2">
        <w:trPr>
          <w:trHeight w:val="720"/>
          <w:jc w:val="center"/>
        </w:trPr>
        <w:tc>
          <w:tcPr>
            <w:tcW w:w="2448" w:type="dxa"/>
            <w:tcBorders>
              <w:top w:val="single" w:sz="4" w:space="0" w:color="auto"/>
              <w:bottom w:val="nil"/>
            </w:tcBorders>
          </w:tcPr>
          <w:p w:rsidR="008707D9" w:rsidRDefault="008707D9" w:rsidP="00794AF2">
            <w:pPr>
              <w:spacing w:before="60" w:after="60"/>
              <w:jc w:val="left"/>
            </w:pPr>
            <w:r>
              <w:t>Log Group 2 Orders</w:t>
            </w:r>
          </w:p>
        </w:tc>
        <w:tc>
          <w:tcPr>
            <w:tcW w:w="1584" w:type="dxa"/>
            <w:tcBorders>
              <w:top w:val="single" w:sz="4" w:space="0" w:color="auto"/>
              <w:bottom w:val="nil"/>
            </w:tcBorders>
          </w:tcPr>
          <w:p w:rsidR="008707D9" w:rsidRDefault="008707D9" w:rsidP="00794AF2">
            <w:pPr>
              <w:spacing w:before="60" w:after="60"/>
            </w:pPr>
            <w:r>
              <w:t>100.00</w:t>
            </w:r>
          </w:p>
        </w:tc>
        <w:tc>
          <w:tcPr>
            <w:tcW w:w="1614" w:type="dxa"/>
            <w:tcBorders>
              <w:top w:val="single" w:sz="4" w:space="0" w:color="auto"/>
              <w:bottom w:val="nil"/>
            </w:tcBorders>
          </w:tcPr>
          <w:p w:rsidR="008707D9" w:rsidRDefault="008707D9" w:rsidP="00794AF2">
            <w:pPr>
              <w:tabs>
                <w:tab w:val="decimal" w:pos="432"/>
              </w:tabs>
              <w:spacing w:before="60" w:after="60"/>
            </w:pPr>
            <w:r>
              <w:t xml:space="preserve">97.73  </w:t>
            </w:r>
          </w:p>
        </w:tc>
        <w:tc>
          <w:tcPr>
            <w:tcW w:w="1614" w:type="dxa"/>
            <w:tcBorders>
              <w:top w:val="single" w:sz="4" w:space="0" w:color="auto"/>
              <w:bottom w:val="nil"/>
            </w:tcBorders>
          </w:tcPr>
          <w:p w:rsidR="008707D9" w:rsidRDefault="008707D9" w:rsidP="00794AF2">
            <w:pPr>
              <w:tabs>
                <w:tab w:val="decimal" w:pos="540"/>
              </w:tabs>
              <w:spacing w:before="60" w:after="60"/>
              <w:jc w:val="left"/>
            </w:pPr>
            <w:r>
              <w:t>2.27</w:t>
            </w:r>
            <w:r>
              <w:rPr>
                <w:vertAlign w:val="superscript"/>
              </w:rPr>
              <w:t>**</w:t>
            </w:r>
            <w:r>
              <w:t xml:space="preserve">       (0.54)</w:t>
            </w:r>
          </w:p>
        </w:tc>
      </w:tr>
      <w:tr w:rsidR="008707D9" w:rsidTr="00794AF2">
        <w:trPr>
          <w:trHeight w:val="720"/>
          <w:jc w:val="center"/>
        </w:trPr>
        <w:tc>
          <w:tcPr>
            <w:tcW w:w="2448" w:type="dxa"/>
            <w:tcBorders>
              <w:top w:val="nil"/>
              <w:bottom w:val="nil"/>
            </w:tcBorders>
          </w:tcPr>
          <w:p w:rsidR="008707D9" w:rsidRDefault="008707D9" w:rsidP="00794AF2">
            <w:pPr>
              <w:spacing w:before="60" w:after="60"/>
              <w:jc w:val="left"/>
            </w:pPr>
            <w:r>
              <w:t>Log Group 3 Orders</w:t>
            </w:r>
          </w:p>
        </w:tc>
        <w:tc>
          <w:tcPr>
            <w:tcW w:w="1584" w:type="dxa"/>
            <w:tcBorders>
              <w:top w:val="nil"/>
              <w:bottom w:val="nil"/>
            </w:tcBorders>
          </w:tcPr>
          <w:p w:rsidR="008707D9" w:rsidRDefault="008707D9" w:rsidP="00794AF2">
            <w:pPr>
              <w:spacing w:before="60" w:after="60"/>
            </w:pPr>
            <w:r>
              <w:t>100.00</w:t>
            </w:r>
          </w:p>
        </w:tc>
        <w:tc>
          <w:tcPr>
            <w:tcW w:w="1614" w:type="dxa"/>
            <w:tcBorders>
              <w:top w:val="nil"/>
              <w:bottom w:val="nil"/>
            </w:tcBorders>
          </w:tcPr>
          <w:p w:rsidR="008707D9" w:rsidRDefault="008707D9" w:rsidP="00794AF2">
            <w:pPr>
              <w:tabs>
                <w:tab w:val="decimal" w:pos="432"/>
              </w:tabs>
              <w:spacing w:before="60" w:after="60"/>
            </w:pPr>
            <w:r>
              <w:t xml:space="preserve">96.09 </w:t>
            </w:r>
          </w:p>
        </w:tc>
        <w:tc>
          <w:tcPr>
            <w:tcW w:w="1614" w:type="dxa"/>
            <w:tcBorders>
              <w:top w:val="nil"/>
              <w:bottom w:val="nil"/>
            </w:tcBorders>
          </w:tcPr>
          <w:p w:rsidR="008707D9" w:rsidRDefault="008707D9" w:rsidP="00794AF2">
            <w:pPr>
              <w:tabs>
                <w:tab w:val="decimal" w:pos="540"/>
              </w:tabs>
              <w:spacing w:before="60" w:after="60"/>
              <w:jc w:val="left"/>
            </w:pPr>
            <w:r>
              <w:t>3.90</w:t>
            </w:r>
            <w:r>
              <w:rPr>
                <w:vertAlign w:val="superscript"/>
              </w:rPr>
              <w:t>**</w:t>
            </w:r>
            <w:r>
              <w:t xml:space="preserve">        (0.59)</w:t>
            </w:r>
          </w:p>
        </w:tc>
      </w:tr>
      <w:tr w:rsidR="008707D9" w:rsidTr="00794AF2">
        <w:trPr>
          <w:trHeight w:val="720"/>
          <w:jc w:val="center"/>
        </w:trPr>
        <w:tc>
          <w:tcPr>
            <w:tcW w:w="2448" w:type="dxa"/>
            <w:tcBorders>
              <w:top w:val="nil"/>
            </w:tcBorders>
          </w:tcPr>
          <w:p w:rsidR="008707D9" w:rsidRDefault="008707D9" w:rsidP="00794AF2">
            <w:pPr>
              <w:spacing w:before="60" w:after="60"/>
              <w:jc w:val="left"/>
            </w:pPr>
            <w:r>
              <w:t>Log Group 4 Orders</w:t>
            </w:r>
          </w:p>
        </w:tc>
        <w:tc>
          <w:tcPr>
            <w:tcW w:w="1584" w:type="dxa"/>
            <w:tcBorders>
              <w:top w:val="nil"/>
            </w:tcBorders>
          </w:tcPr>
          <w:p w:rsidR="008707D9" w:rsidRDefault="008707D9" w:rsidP="00794AF2">
            <w:pPr>
              <w:spacing w:before="60" w:after="60"/>
            </w:pPr>
            <w:r>
              <w:t>100.00</w:t>
            </w:r>
          </w:p>
        </w:tc>
        <w:tc>
          <w:tcPr>
            <w:tcW w:w="1614" w:type="dxa"/>
            <w:tcBorders>
              <w:top w:val="nil"/>
            </w:tcBorders>
          </w:tcPr>
          <w:p w:rsidR="008707D9" w:rsidRDefault="008707D9" w:rsidP="00794AF2">
            <w:pPr>
              <w:tabs>
                <w:tab w:val="decimal" w:pos="432"/>
              </w:tabs>
              <w:spacing w:before="60" w:after="60"/>
            </w:pPr>
            <w:r>
              <w:t>93.83</w:t>
            </w:r>
          </w:p>
        </w:tc>
        <w:tc>
          <w:tcPr>
            <w:tcW w:w="1614" w:type="dxa"/>
            <w:tcBorders>
              <w:top w:val="nil"/>
            </w:tcBorders>
          </w:tcPr>
          <w:p w:rsidR="008707D9" w:rsidRDefault="008707D9" w:rsidP="00794AF2">
            <w:pPr>
              <w:tabs>
                <w:tab w:val="decimal" w:pos="540"/>
              </w:tabs>
              <w:spacing w:before="60" w:after="60"/>
              <w:jc w:val="left"/>
            </w:pPr>
            <w:r>
              <w:t>6.17</w:t>
            </w:r>
            <w:r>
              <w:rPr>
                <w:vertAlign w:val="superscript"/>
              </w:rPr>
              <w:t>**</w:t>
            </w:r>
            <w:r>
              <w:t xml:space="preserve">                (0.72)</w:t>
            </w:r>
          </w:p>
        </w:tc>
      </w:tr>
    </w:tbl>
    <w:p w:rsidR="008707D9" w:rsidRDefault="008707D9" w:rsidP="008707D9">
      <w:pPr>
        <w:spacing w:before="60" w:line="240" w:lineRule="auto"/>
        <w:ind w:left="1080" w:right="1080"/>
        <w:rPr>
          <w:sz w:val="20"/>
          <w:szCs w:val="20"/>
        </w:rPr>
      </w:pPr>
      <w:r w:rsidRPr="008707D9">
        <w:rPr>
          <w:sz w:val="20"/>
          <w:szCs w:val="20"/>
        </w:rPr>
        <w:t xml:space="preserve">The </w:t>
      </w:r>
      <w:r>
        <w:rPr>
          <w:sz w:val="20"/>
          <w:szCs w:val="20"/>
        </w:rPr>
        <w:t xml:space="preserve">table reports the </w:t>
      </w:r>
      <w:r w:rsidRPr="008707D9">
        <w:rPr>
          <w:sz w:val="20"/>
          <w:szCs w:val="20"/>
        </w:rPr>
        <w:t xml:space="preserve">mean of </w:t>
      </w:r>
      <w:r w:rsidR="00FA3C3C">
        <w:rPr>
          <w:sz w:val="20"/>
          <w:szCs w:val="20"/>
        </w:rPr>
        <w:t>(</w:t>
      </w:r>
      <w:r>
        <w:rPr>
          <w:sz w:val="20"/>
          <w:szCs w:val="20"/>
        </w:rPr>
        <w:t xml:space="preserve">the log of) the number of </w:t>
      </w:r>
      <w:r w:rsidRPr="008707D9">
        <w:rPr>
          <w:sz w:val="20"/>
          <w:szCs w:val="20"/>
        </w:rPr>
        <w:t>purchases from Group 2, Group 3 and Group 4 customers for products that succeeded and failed.</w:t>
      </w:r>
      <w:r>
        <w:rPr>
          <w:sz w:val="20"/>
          <w:szCs w:val="20"/>
        </w:rPr>
        <w:t xml:space="preserve"> The analysis restricts </w:t>
      </w:r>
      <w:r w:rsidRPr="008707D9">
        <w:rPr>
          <w:sz w:val="20"/>
          <w:szCs w:val="20"/>
        </w:rPr>
        <w:t>attention to new products for which the number of orders from Group 1 customers is within half a standard deviation of the mean of</w:t>
      </w:r>
      <w:r>
        <w:rPr>
          <w:sz w:val="20"/>
          <w:szCs w:val="20"/>
        </w:rPr>
        <w:t xml:space="preserve"> </w:t>
      </w:r>
      <w:r w:rsidR="00FA3C3C">
        <w:rPr>
          <w:sz w:val="20"/>
          <w:szCs w:val="20"/>
        </w:rPr>
        <w:t>(</w:t>
      </w:r>
      <w:r>
        <w:rPr>
          <w:sz w:val="20"/>
          <w:szCs w:val="20"/>
        </w:rPr>
        <w:t>the log of) the number of</w:t>
      </w:r>
      <w:r w:rsidRPr="008707D9">
        <w:rPr>
          <w:sz w:val="20"/>
          <w:szCs w:val="20"/>
        </w:rPr>
        <w:t xml:space="preserve"> orders from Group 1 customers. These 927 products include 361 products that failed and 566 products that succeeded. To preserve confidentiality, for each group we index the log of the number of orders at 100 among the products that </w:t>
      </w:r>
      <w:r w:rsidR="002A3C98">
        <w:rPr>
          <w:sz w:val="20"/>
          <w:szCs w:val="20"/>
        </w:rPr>
        <w:t>failed</w:t>
      </w:r>
      <w:r w:rsidRPr="008707D9">
        <w:rPr>
          <w:sz w:val="20"/>
          <w:szCs w:val="20"/>
        </w:rPr>
        <w:t>.</w:t>
      </w:r>
    </w:p>
    <w:p w:rsidR="008707D9" w:rsidRDefault="008707D9" w:rsidP="008707D9">
      <w:pPr>
        <w:spacing w:before="60" w:line="240" w:lineRule="auto"/>
        <w:ind w:left="1080" w:right="1080"/>
        <w:rPr>
          <w:sz w:val="20"/>
          <w:szCs w:val="20"/>
        </w:rPr>
      </w:pPr>
    </w:p>
    <w:p w:rsidR="006E6692" w:rsidRDefault="006E6692">
      <w:pPr>
        <w:rPr>
          <w:b/>
        </w:rPr>
      </w:pPr>
      <w:r>
        <w:rPr>
          <w:b/>
        </w:rPr>
        <w:br w:type="page"/>
      </w:r>
    </w:p>
    <w:p w:rsidR="006E6692" w:rsidRPr="004A388B" w:rsidRDefault="006E6692" w:rsidP="006E6692">
      <w:pPr>
        <w:spacing w:after="120" w:line="240" w:lineRule="auto"/>
        <w:jc w:val="center"/>
        <w:rPr>
          <w:b/>
        </w:rPr>
      </w:pPr>
      <w:r>
        <w:rPr>
          <w:b/>
        </w:rPr>
        <w:lastRenderedPageBreak/>
        <w:t xml:space="preserve">Coefficients for the Control Variables </w:t>
      </w:r>
    </w:p>
    <w:tbl>
      <w:tblPr>
        <w:tblStyle w:val="TableGrid"/>
        <w:tblW w:w="7920"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728"/>
        <w:gridCol w:w="2016"/>
        <w:gridCol w:w="1728"/>
      </w:tblGrid>
      <w:tr w:rsidR="006E6692" w:rsidRPr="00B966DB" w:rsidTr="006E6692">
        <w:trPr>
          <w:jc w:val="center"/>
        </w:trPr>
        <w:tc>
          <w:tcPr>
            <w:tcW w:w="2448" w:type="dxa"/>
            <w:tcBorders>
              <w:top w:val="double" w:sz="4" w:space="0" w:color="auto"/>
              <w:bottom w:val="nil"/>
            </w:tcBorders>
          </w:tcPr>
          <w:p w:rsidR="006E6692" w:rsidRPr="00AF2F01" w:rsidRDefault="006E6692" w:rsidP="0015171A">
            <w:pPr>
              <w:spacing w:before="120" w:after="60"/>
              <w:jc w:val="left"/>
              <w:rPr>
                <w:rFonts w:cs="Times New Roman"/>
                <w:color w:val="000000" w:themeColor="text1"/>
              </w:rPr>
            </w:pPr>
            <w:r w:rsidRPr="00AF2F01">
              <w:rPr>
                <w:rFonts w:cs="Times New Roman"/>
                <w:color w:val="000000" w:themeColor="text1"/>
              </w:rPr>
              <w:t>Age</w:t>
            </w:r>
          </w:p>
        </w:tc>
        <w:tc>
          <w:tcPr>
            <w:tcW w:w="1728" w:type="dxa"/>
            <w:tcBorders>
              <w:top w:val="double" w:sz="4" w:space="0" w:color="auto"/>
              <w:bottom w:val="nil"/>
            </w:tcBorders>
          </w:tcPr>
          <w:p w:rsidR="006E6692" w:rsidRPr="00AF2F01" w:rsidRDefault="006E6692" w:rsidP="0015171A">
            <w:pPr>
              <w:tabs>
                <w:tab w:val="decimal" w:pos="599"/>
              </w:tabs>
              <w:spacing w:before="120" w:after="60"/>
              <w:jc w:val="left"/>
              <w:rPr>
                <w:rFonts w:cs="Times New Roman"/>
              </w:rPr>
            </w:pPr>
            <w:r w:rsidRPr="00AF2F01">
              <w:rPr>
                <w:rFonts w:cs="Times New Roman"/>
              </w:rPr>
              <w:t>2.60%       (4.85%)</w:t>
            </w:r>
          </w:p>
        </w:tc>
        <w:tc>
          <w:tcPr>
            <w:tcW w:w="2016" w:type="dxa"/>
            <w:tcBorders>
              <w:top w:val="double" w:sz="4" w:space="0" w:color="auto"/>
              <w:bottom w:val="nil"/>
            </w:tcBorders>
          </w:tcPr>
          <w:p w:rsidR="006E6692" w:rsidRPr="00AF2F01" w:rsidRDefault="006E6692" w:rsidP="0015171A">
            <w:pPr>
              <w:spacing w:before="120" w:after="60"/>
              <w:jc w:val="left"/>
              <w:rPr>
                <w:rFonts w:cs="Times New Roman"/>
                <w:color w:val="000000" w:themeColor="text1"/>
              </w:rPr>
            </w:pPr>
            <w:r w:rsidRPr="00AF2F01">
              <w:rPr>
                <w:rFonts w:cs="Times New Roman"/>
                <w:color w:val="000000" w:themeColor="text1"/>
              </w:rPr>
              <w:t>High School</w:t>
            </w:r>
          </w:p>
        </w:tc>
        <w:tc>
          <w:tcPr>
            <w:tcW w:w="1728" w:type="dxa"/>
            <w:tcBorders>
              <w:top w:val="double" w:sz="4" w:space="0" w:color="auto"/>
              <w:bottom w:val="nil"/>
            </w:tcBorders>
          </w:tcPr>
          <w:p w:rsidR="006E6692" w:rsidRPr="00AF2F01" w:rsidRDefault="006E6692" w:rsidP="0015171A">
            <w:pPr>
              <w:tabs>
                <w:tab w:val="decimal" w:pos="599"/>
              </w:tabs>
              <w:spacing w:before="120" w:after="60"/>
              <w:jc w:val="left"/>
              <w:rPr>
                <w:rFonts w:cs="Times New Roman"/>
              </w:rPr>
            </w:pPr>
            <w:r w:rsidRPr="00AF2F01">
              <w:rPr>
                <w:rFonts w:cs="Times New Roman"/>
              </w:rPr>
              <w:t>-1.78%      (4.07%)</w:t>
            </w:r>
          </w:p>
        </w:tc>
      </w:tr>
      <w:tr w:rsidR="006E6692" w:rsidRPr="00B966DB" w:rsidTr="006E6692">
        <w:trPr>
          <w:jc w:val="center"/>
        </w:trPr>
        <w:tc>
          <w:tcPr>
            <w:tcW w:w="2448" w:type="dxa"/>
            <w:tcBorders>
              <w:top w:val="nil"/>
              <w:bottom w:val="nil"/>
            </w:tcBorders>
          </w:tcPr>
          <w:p w:rsidR="006E6692" w:rsidRPr="00AF2F01" w:rsidRDefault="006E6692" w:rsidP="006E6692">
            <w:pPr>
              <w:spacing w:before="60" w:after="60"/>
              <w:jc w:val="left"/>
              <w:rPr>
                <w:rFonts w:cs="Times New Roman"/>
                <w:color w:val="000000" w:themeColor="text1"/>
              </w:rPr>
            </w:pPr>
            <w:r w:rsidRPr="00AF2F01">
              <w:rPr>
                <w:rFonts w:cs="Times New Roman"/>
                <w:color w:val="000000" w:themeColor="text1"/>
              </w:rPr>
              <w:t>Home Value $10,000s</w:t>
            </w:r>
          </w:p>
        </w:tc>
        <w:tc>
          <w:tcPr>
            <w:tcW w:w="1728" w:type="dxa"/>
            <w:tcBorders>
              <w:top w:val="nil"/>
              <w:bottom w:val="nil"/>
            </w:tcBorders>
          </w:tcPr>
          <w:p w:rsidR="006E6692" w:rsidRPr="00AF2F01" w:rsidRDefault="006E6692" w:rsidP="006E6692">
            <w:pPr>
              <w:tabs>
                <w:tab w:val="decimal" w:pos="599"/>
              </w:tabs>
              <w:spacing w:before="60" w:after="60"/>
              <w:jc w:val="left"/>
              <w:rPr>
                <w:rFonts w:cs="Times New Roman"/>
              </w:rPr>
            </w:pPr>
            <w:r w:rsidRPr="00AF2F01">
              <w:rPr>
                <w:rFonts w:cs="Times New Roman"/>
              </w:rPr>
              <w:t>-1.81%      (2.41%)</w:t>
            </w:r>
          </w:p>
        </w:tc>
        <w:tc>
          <w:tcPr>
            <w:tcW w:w="2016" w:type="dxa"/>
            <w:tcBorders>
              <w:top w:val="nil"/>
              <w:bottom w:val="nil"/>
            </w:tcBorders>
          </w:tcPr>
          <w:p w:rsidR="006E6692" w:rsidRPr="00AF2F01" w:rsidRDefault="006E6692" w:rsidP="006E6692">
            <w:pPr>
              <w:spacing w:before="60" w:after="60"/>
              <w:jc w:val="left"/>
              <w:rPr>
                <w:rFonts w:cs="Times New Roman"/>
                <w:color w:val="000000" w:themeColor="text1"/>
              </w:rPr>
            </w:pPr>
            <w:r w:rsidRPr="00AF2F01">
              <w:rPr>
                <w:rFonts w:cs="Times New Roman"/>
                <w:color w:val="000000" w:themeColor="text1"/>
              </w:rPr>
              <w:t>Bachelors</w:t>
            </w:r>
          </w:p>
        </w:tc>
        <w:tc>
          <w:tcPr>
            <w:tcW w:w="1728" w:type="dxa"/>
            <w:tcBorders>
              <w:top w:val="nil"/>
              <w:bottom w:val="nil"/>
            </w:tcBorders>
          </w:tcPr>
          <w:p w:rsidR="006E6692" w:rsidRPr="00AF2F01" w:rsidRDefault="006E6692" w:rsidP="006E6692">
            <w:pPr>
              <w:tabs>
                <w:tab w:val="decimal" w:pos="599"/>
              </w:tabs>
              <w:spacing w:before="60" w:after="60"/>
              <w:jc w:val="left"/>
              <w:rPr>
                <w:rFonts w:cs="Times New Roman"/>
              </w:rPr>
            </w:pPr>
            <w:r w:rsidRPr="00AF2F01">
              <w:rPr>
                <w:rFonts w:cs="Times New Roman"/>
              </w:rPr>
              <w:t>0.40%      (4.78%)</w:t>
            </w:r>
          </w:p>
        </w:tc>
      </w:tr>
      <w:tr w:rsidR="006E6692" w:rsidRPr="00B966DB" w:rsidTr="006E6692">
        <w:trPr>
          <w:jc w:val="center"/>
        </w:trPr>
        <w:tc>
          <w:tcPr>
            <w:tcW w:w="2448" w:type="dxa"/>
            <w:tcBorders>
              <w:top w:val="nil"/>
              <w:bottom w:val="nil"/>
            </w:tcBorders>
          </w:tcPr>
          <w:p w:rsidR="006E6692" w:rsidRPr="00AF2F01" w:rsidRDefault="006E6692" w:rsidP="006E6692">
            <w:pPr>
              <w:spacing w:before="60" w:after="60"/>
              <w:jc w:val="left"/>
              <w:rPr>
                <w:rFonts w:cs="Times New Roman"/>
                <w:color w:val="000000" w:themeColor="text1"/>
              </w:rPr>
            </w:pPr>
            <w:r w:rsidRPr="00AF2F01">
              <w:rPr>
                <w:rFonts w:cs="Times New Roman"/>
                <w:color w:val="000000" w:themeColor="text1"/>
              </w:rPr>
              <w:t>Income $10,000s</w:t>
            </w:r>
          </w:p>
        </w:tc>
        <w:tc>
          <w:tcPr>
            <w:tcW w:w="1728" w:type="dxa"/>
            <w:tcBorders>
              <w:top w:val="nil"/>
              <w:bottom w:val="nil"/>
            </w:tcBorders>
          </w:tcPr>
          <w:p w:rsidR="006E6692" w:rsidRPr="00AF2F01" w:rsidRDefault="006E6692" w:rsidP="006E6692">
            <w:pPr>
              <w:tabs>
                <w:tab w:val="decimal" w:pos="599"/>
              </w:tabs>
              <w:spacing w:before="60" w:after="60"/>
              <w:jc w:val="left"/>
              <w:rPr>
                <w:rFonts w:cs="Times New Roman"/>
              </w:rPr>
            </w:pPr>
            <w:r w:rsidRPr="00AF2F01">
              <w:rPr>
                <w:rFonts w:cs="Times New Roman"/>
              </w:rPr>
              <w:t>-0.</w:t>
            </w:r>
            <w:r>
              <w:rPr>
                <w:rFonts w:cs="Times New Roman"/>
              </w:rPr>
              <w:t>01</w:t>
            </w:r>
            <w:r w:rsidRPr="00AF2F01">
              <w:rPr>
                <w:rFonts w:cs="Times New Roman"/>
              </w:rPr>
              <w:t>%      (9.56%)</w:t>
            </w:r>
          </w:p>
        </w:tc>
        <w:tc>
          <w:tcPr>
            <w:tcW w:w="2016" w:type="dxa"/>
            <w:tcBorders>
              <w:top w:val="nil"/>
              <w:bottom w:val="nil"/>
            </w:tcBorders>
          </w:tcPr>
          <w:p w:rsidR="006E6692" w:rsidRPr="00AF2F01" w:rsidRDefault="006E6692" w:rsidP="006E6692">
            <w:pPr>
              <w:spacing w:before="60" w:after="60"/>
              <w:jc w:val="left"/>
              <w:rPr>
                <w:rFonts w:cs="Times New Roman"/>
                <w:color w:val="000000" w:themeColor="text1"/>
              </w:rPr>
            </w:pPr>
            <w:r w:rsidRPr="00AF2F01">
              <w:rPr>
                <w:rFonts w:cs="Times New Roman"/>
                <w:color w:val="000000" w:themeColor="text1"/>
              </w:rPr>
              <w:t>White</w:t>
            </w:r>
          </w:p>
        </w:tc>
        <w:tc>
          <w:tcPr>
            <w:tcW w:w="1728" w:type="dxa"/>
            <w:tcBorders>
              <w:top w:val="nil"/>
              <w:bottom w:val="nil"/>
            </w:tcBorders>
          </w:tcPr>
          <w:p w:rsidR="006E6692" w:rsidRPr="00AF2F01" w:rsidRDefault="006E6692" w:rsidP="006E6692">
            <w:pPr>
              <w:tabs>
                <w:tab w:val="decimal" w:pos="599"/>
              </w:tabs>
              <w:spacing w:before="60" w:after="60"/>
              <w:jc w:val="left"/>
              <w:rPr>
                <w:rFonts w:cs="Times New Roman"/>
              </w:rPr>
            </w:pPr>
            <w:r w:rsidRPr="00AF2F01">
              <w:rPr>
                <w:rFonts w:cs="Times New Roman"/>
              </w:rPr>
              <w:t>-2.70%      (3.11%)</w:t>
            </w:r>
          </w:p>
        </w:tc>
      </w:tr>
      <w:tr w:rsidR="006E6692" w:rsidRPr="00B966DB" w:rsidTr="006E6692">
        <w:trPr>
          <w:jc w:val="center"/>
        </w:trPr>
        <w:tc>
          <w:tcPr>
            <w:tcW w:w="2448" w:type="dxa"/>
            <w:tcBorders>
              <w:top w:val="nil"/>
              <w:bottom w:val="nil"/>
            </w:tcBorders>
          </w:tcPr>
          <w:p w:rsidR="006E6692" w:rsidRPr="00AF2F01" w:rsidRDefault="006E6692" w:rsidP="006E6692">
            <w:pPr>
              <w:spacing w:before="60" w:after="60"/>
              <w:jc w:val="left"/>
              <w:rPr>
                <w:rFonts w:cs="Times New Roman"/>
                <w:color w:val="000000" w:themeColor="text1"/>
              </w:rPr>
            </w:pPr>
            <w:r w:rsidRPr="00AF2F01">
              <w:rPr>
                <w:rFonts w:cs="Times New Roman"/>
                <w:color w:val="000000" w:themeColor="text1"/>
              </w:rPr>
              <w:t>Single Family</w:t>
            </w:r>
          </w:p>
        </w:tc>
        <w:tc>
          <w:tcPr>
            <w:tcW w:w="1728" w:type="dxa"/>
            <w:tcBorders>
              <w:top w:val="nil"/>
              <w:bottom w:val="nil"/>
            </w:tcBorders>
          </w:tcPr>
          <w:p w:rsidR="006E6692" w:rsidRPr="00AF2F01" w:rsidRDefault="006E6692" w:rsidP="006E6692">
            <w:pPr>
              <w:tabs>
                <w:tab w:val="decimal" w:pos="599"/>
              </w:tabs>
              <w:spacing w:before="60" w:after="60"/>
              <w:jc w:val="left"/>
              <w:rPr>
                <w:rFonts w:cs="Times New Roman"/>
              </w:rPr>
            </w:pPr>
            <w:r w:rsidRPr="00AF2F01">
              <w:rPr>
                <w:rFonts w:cs="Times New Roman"/>
              </w:rPr>
              <w:t>19.60%      (17.15%)</w:t>
            </w:r>
          </w:p>
        </w:tc>
        <w:tc>
          <w:tcPr>
            <w:tcW w:w="2016" w:type="dxa"/>
            <w:tcBorders>
              <w:top w:val="nil"/>
              <w:bottom w:val="nil"/>
            </w:tcBorders>
          </w:tcPr>
          <w:p w:rsidR="006E6692" w:rsidRPr="00AF2F01" w:rsidRDefault="006E6692" w:rsidP="006E6692">
            <w:pPr>
              <w:spacing w:before="60" w:after="60"/>
              <w:jc w:val="left"/>
              <w:rPr>
                <w:rFonts w:cs="Times New Roman"/>
                <w:color w:val="000000" w:themeColor="text1"/>
              </w:rPr>
            </w:pPr>
            <w:r w:rsidRPr="00AF2F01">
              <w:rPr>
                <w:rFonts w:cs="Times New Roman"/>
                <w:color w:val="000000" w:themeColor="text1"/>
              </w:rPr>
              <w:t>African American</w:t>
            </w:r>
          </w:p>
        </w:tc>
        <w:tc>
          <w:tcPr>
            <w:tcW w:w="1728" w:type="dxa"/>
            <w:tcBorders>
              <w:top w:val="nil"/>
              <w:bottom w:val="nil"/>
            </w:tcBorders>
          </w:tcPr>
          <w:p w:rsidR="006E6692" w:rsidRPr="00AF2F01" w:rsidRDefault="006E6692" w:rsidP="006E6692">
            <w:pPr>
              <w:tabs>
                <w:tab w:val="decimal" w:pos="599"/>
              </w:tabs>
              <w:spacing w:before="60" w:after="60"/>
              <w:jc w:val="left"/>
              <w:rPr>
                <w:rFonts w:cs="Times New Roman"/>
              </w:rPr>
            </w:pPr>
            <w:r w:rsidRPr="00AF2F01">
              <w:rPr>
                <w:rFonts w:cs="Times New Roman"/>
              </w:rPr>
              <w:t>-4.80%      (3.14%)</w:t>
            </w:r>
          </w:p>
        </w:tc>
      </w:tr>
      <w:tr w:rsidR="006E6692" w:rsidRPr="00B966DB" w:rsidTr="006E6692">
        <w:trPr>
          <w:jc w:val="center"/>
        </w:trPr>
        <w:tc>
          <w:tcPr>
            <w:tcW w:w="2448" w:type="dxa"/>
            <w:tcBorders>
              <w:top w:val="nil"/>
              <w:bottom w:val="nil"/>
            </w:tcBorders>
          </w:tcPr>
          <w:p w:rsidR="006E6692" w:rsidRPr="00AF2F01" w:rsidRDefault="006E6692" w:rsidP="006E6692">
            <w:pPr>
              <w:spacing w:before="60" w:after="60"/>
              <w:jc w:val="left"/>
              <w:rPr>
                <w:rFonts w:cs="Times New Roman"/>
                <w:color w:val="000000" w:themeColor="text1"/>
              </w:rPr>
            </w:pPr>
            <w:r w:rsidRPr="00AF2F01">
              <w:rPr>
                <w:rFonts w:cs="Times New Roman"/>
                <w:color w:val="000000" w:themeColor="text1"/>
              </w:rPr>
              <w:t>Multi-family</w:t>
            </w:r>
          </w:p>
        </w:tc>
        <w:tc>
          <w:tcPr>
            <w:tcW w:w="1728" w:type="dxa"/>
            <w:tcBorders>
              <w:top w:val="nil"/>
              <w:bottom w:val="nil"/>
            </w:tcBorders>
          </w:tcPr>
          <w:p w:rsidR="006E6692" w:rsidRPr="00AF2F01" w:rsidRDefault="006E6692" w:rsidP="006E6692">
            <w:pPr>
              <w:tabs>
                <w:tab w:val="decimal" w:pos="599"/>
              </w:tabs>
              <w:spacing w:before="60" w:after="60"/>
              <w:jc w:val="left"/>
              <w:rPr>
                <w:rFonts w:cs="Times New Roman"/>
              </w:rPr>
            </w:pPr>
            <w:r w:rsidRPr="00AF2F01">
              <w:rPr>
                <w:rFonts w:cs="Times New Roman"/>
              </w:rPr>
              <w:t>19.79%      (17.06%)</w:t>
            </w:r>
          </w:p>
        </w:tc>
        <w:tc>
          <w:tcPr>
            <w:tcW w:w="2016" w:type="dxa"/>
            <w:tcBorders>
              <w:top w:val="nil"/>
              <w:bottom w:val="nil"/>
            </w:tcBorders>
          </w:tcPr>
          <w:p w:rsidR="006E6692" w:rsidRPr="00AF2F01" w:rsidRDefault="006E6692" w:rsidP="006E6692">
            <w:pPr>
              <w:spacing w:before="60" w:after="60"/>
              <w:jc w:val="left"/>
              <w:rPr>
                <w:rFonts w:cs="Times New Roman"/>
                <w:color w:val="000000" w:themeColor="text1"/>
              </w:rPr>
            </w:pPr>
            <w:r w:rsidRPr="00AF2F01">
              <w:rPr>
                <w:rFonts w:cs="Times New Roman"/>
                <w:color w:val="000000" w:themeColor="text1"/>
              </w:rPr>
              <w:t>Asian</w:t>
            </w:r>
          </w:p>
        </w:tc>
        <w:tc>
          <w:tcPr>
            <w:tcW w:w="1728" w:type="dxa"/>
            <w:tcBorders>
              <w:top w:val="nil"/>
              <w:bottom w:val="nil"/>
            </w:tcBorders>
          </w:tcPr>
          <w:p w:rsidR="006E6692" w:rsidRPr="00AF2F01" w:rsidRDefault="006E6692" w:rsidP="006E6692">
            <w:pPr>
              <w:tabs>
                <w:tab w:val="decimal" w:pos="599"/>
              </w:tabs>
              <w:spacing w:before="60" w:after="60"/>
              <w:jc w:val="left"/>
              <w:rPr>
                <w:rFonts w:cs="Times New Roman"/>
              </w:rPr>
            </w:pPr>
            <w:r w:rsidRPr="00AF2F01">
              <w:rPr>
                <w:rFonts w:cs="Times New Roman"/>
              </w:rPr>
              <w:t>-8.74%</w:t>
            </w:r>
            <w:r w:rsidRPr="00AF2F01">
              <w:rPr>
                <w:rFonts w:cs="Times New Roman"/>
                <w:vertAlign w:val="superscript"/>
              </w:rPr>
              <w:t>*</w:t>
            </w:r>
            <w:r w:rsidRPr="00AF2F01">
              <w:rPr>
                <w:rFonts w:cs="Times New Roman"/>
              </w:rPr>
              <w:t xml:space="preserve">      (3.69%)</w:t>
            </w:r>
          </w:p>
        </w:tc>
      </w:tr>
      <w:tr w:rsidR="006E6692" w:rsidRPr="00B966DB" w:rsidTr="006E6692">
        <w:trPr>
          <w:jc w:val="center"/>
        </w:trPr>
        <w:tc>
          <w:tcPr>
            <w:tcW w:w="2448" w:type="dxa"/>
            <w:tcBorders>
              <w:top w:val="nil"/>
              <w:bottom w:val="nil"/>
            </w:tcBorders>
          </w:tcPr>
          <w:p w:rsidR="006E6692" w:rsidRPr="00AF2F01" w:rsidRDefault="006E6692" w:rsidP="006E6692">
            <w:pPr>
              <w:spacing w:before="60" w:after="60"/>
              <w:jc w:val="left"/>
              <w:rPr>
                <w:rFonts w:cs="Times New Roman"/>
                <w:color w:val="000000" w:themeColor="text1"/>
              </w:rPr>
            </w:pPr>
            <w:r w:rsidRPr="00AF2F01">
              <w:rPr>
                <w:rFonts w:cs="Times New Roman"/>
                <w:color w:val="000000" w:themeColor="text1"/>
              </w:rPr>
              <w:t>Distance</w:t>
            </w:r>
          </w:p>
        </w:tc>
        <w:tc>
          <w:tcPr>
            <w:tcW w:w="1728" w:type="dxa"/>
            <w:tcBorders>
              <w:top w:val="nil"/>
              <w:bottom w:val="nil"/>
            </w:tcBorders>
          </w:tcPr>
          <w:p w:rsidR="006E6692" w:rsidRPr="00AF2F01" w:rsidRDefault="006E6692" w:rsidP="006E6692">
            <w:pPr>
              <w:tabs>
                <w:tab w:val="decimal" w:pos="599"/>
              </w:tabs>
              <w:spacing w:before="60" w:after="60"/>
              <w:jc w:val="left"/>
              <w:rPr>
                <w:rFonts w:cs="Times New Roman"/>
              </w:rPr>
            </w:pPr>
            <w:r w:rsidRPr="00AF2F01">
              <w:rPr>
                <w:rFonts w:cs="Times New Roman"/>
              </w:rPr>
              <w:t>17.64%</w:t>
            </w:r>
            <w:r w:rsidRPr="00AF2F01">
              <w:rPr>
                <w:rFonts w:cs="Times New Roman"/>
                <w:vertAlign w:val="superscript"/>
              </w:rPr>
              <w:t>**</w:t>
            </w:r>
            <w:r w:rsidRPr="00AF2F01">
              <w:rPr>
                <w:rFonts w:cs="Times New Roman"/>
              </w:rPr>
              <w:t xml:space="preserve">      (4.61%)</w:t>
            </w:r>
          </w:p>
        </w:tc>
        <w:tc>
          <w:tcPr>
            <w:tcW w:w="2016" w:type="dxa"/>
            <w:tcBorders>
              <w:top w:val="nil"/>
              <w:bottom w:val="nil"/>
            </w:tcBorders>
          </w:tcPr>
          <w:p w:rsidR="006E6692" w:rsidRPr="00AF2F01" w:rsidRDefault="006E6692" w:rsidP="006E6692">
            <w:pPr>
              <w:spacing w:before="60" w:after="60"/>
              <w:jc w:val="left"/>
              <w:rPr>
                <w:rFonts w:cs="Times New Roman"/>
                <w:color w:val="000000" w:themeColor="text1"/>
              </w:rPr>
            </w:pPr>
            <w:r w:rsidRPr="00AF2F01">
              <w:rPr>
                <w:rFonts w:cs="Times New Roman"/>
                <w:color w:val="000000" w:themeColor="text1"/>
              </w:rPr>
              <w:t>Hispanic</w:t>
            </w:r>
          </w:p>
        </w:tc>
        <w:tc>
          <w:tcPr>
            <w:tcW w:w="1728" w:type="dxa"/>
            <w:tcBorders>
              <w:top w:val="nil"/>
              <w:bottom w:val="nil"/>
            </w:tcBorders>
          </w:tcPr>
          <w:p w:rsidR="006E6692" w:rsidRPr="00AF2F01" w:rsidRDefault="006E6692" w:rsidP="006E6692">
            <w:pPr>
              <w:tabs>
                <w:tab w:val="decimal" w:pos="599"/>
              </w:tabs>
              <w:spacing w:before="60" w:after="60"/>
              <w:jc w:val="left"/>
              <w:rPr>
                <w:rFonts w:cs="Times New Roman"/>
              </w:rPr>
            </w:pPr>
            <w:r w:rsidRPr="00AF2F01">
              <w:rPr>
                <w:rFonts w:cs="Times New Roman"/>
              </w:rPr>
              <w:t>-3.08%</w:t>
            </w:r>
            <w:r w:rsidRPr="00AF2F01">
              <w:rPr>
                <w:rFonts w:cs="Times New Roman"/>
                <w:vertAlign w:val="superscript"/>
              </w:rPr>
              <w:t>**</w:t>
            </w:r>
            <w:r w:rsidRPr="00AF2F01">
              <w:rPr>
                <w:rFonts w:cs="Times New Roman"/>
              </w:rPr>
              <w:t xml:space="preserve">      (0.94%)</w:t>
            </w:r>
          </w:p>
        </w:tc>
      </w:tr>
      <w:tr w:rsidR="006E6692" w:rsidRPr="00B966DB" w:rsidTr="006E6692">
        <w:trPr>
          <w:jc w:val="center"/>
        </w:trPr>
        <w:tc>
          <w:tcPr>
            <w:tcW w:w="2448" w:type="dxa"/>
            <w:tcBorders>
              <w:top w:val="nil"/>
              <w:bottom w:val="nil"/>
            </w:tcBorders>
          </w:tcPr>
          <w:p w:rsidR="006E6692" w:rsidRPr="00AF2F01" w:rsidRDefault="006E6692" w:rsidP="006E6692">
            <w:pPr>
              <w:spacing w:before="60" w:after="60"/>
              <w:jc w:val="left"/>
              <w:rPr>
                <w:rFonts w:cs="Times New Roman"/>
                <w:color w:val="000000" w:themeColor="text1"/>
              </w:rPr>
            </w:pPr>
            <w:r w:rsidRPr="00AF2F01">
              <w:rPr>
                <w:rFonts w:cs="Times New Roman"/>
                <w:color w:val="000000" w:themeColor="text1"/>
              </w:rPr>
              <w:t>Comp. Distance</w:t>
            </w:r>
          </w:p>
        </w:tc>
        <w:tc>
          <w:tcPr>
            <w:tcW w:w="1728" w:type="dxa"/>
            <w:tcBorders>
              <w:top w:val="nil"/>
              <w:bottom w:val="nil"/>
            </w:tcBorders>
          </w:tcPr>
          <w:p w:rsidR="006E6692" w:rsidRPr="00AF2F01" w:rsidRDefault="006E6692" w:rsidP="006E6692">
            <w:pPr>
              <w:tabs>
                <w:tab w:val="decimal" w:pos="599"/>
              </w:tabs>
              <w:spacing w:before="60" w:after="60"/>
              <w:jc w:val="left"/>
              <w:rPr>
                <w:rFonts w:cs="Times New Roman"/>
              </w:rPr>
            </w:pPr>
            <w:r w:rsidRPr="00AF2F01">
              <w:rPr>
                <w:rFonts w:cs="Times New Roman"/>
              </w:rPr>
              <w:t>-8.17%</w:t>
            </w:r>
            <w:r w:rsidRPr="00AF2F01">
              <w:rPr>
                <w:rFonts w:cs="Times New Roman"/>
                <w:vertAlign w:val="superscript"/>
              </w:rPr>
              <w:t>**</w:t>
            </w:r>
            <w:r w:rsidRPr="00AF2F01">
              <w:rPr>
                <w:rFonts w:cs="Times New Roman"/>
              </w:rPr>
              <w:t xml:space="preserve">      (1.96%)</w:t>
            </w:r>
          </w:p>
        </w:tc>
        <w:tc>
          <w:tcPr>
            <w:tcW w:w="2016" w:type="dxa"/>
            <w:tcBorders>
              <w:top w:val="nil"/>
              <w:bottom w:val="nil"/>
            </w:tcBorders>
          </w:tcPr>
          <w:p w:rsidR="006E6692" w:rsidRPr="00AF2F01" w:rsidRDefault="006E6692" w:rsidP="006E6692">
            <w:pPr>
              <w:spacing w:before="60" w:after="60"/>
              <w:jc w:val="left"/>
              <w:rPr>
                <w:rFonts w:cs="Times New Roman"/>
              </w:rPr>
            </w:pPr>
            <w:r w:rsidRPr="00AF2F01">
              <w:rPr>
                <w:rFonts w:cs="Times New Roman"/>
              </w:rPr>
              <w:t>Coupon Discount</w:t>
            </w:r>
          </w:p>
        </w:tc>
        <w:tc>
          <w:tcPr>
            <w:tcW w:w="1728" w:type="dxa"/>
            <w:tcBorders>
              <w:top w:val="nil"/>
              <w:bottom w:val="nil"/>
            </w:tcBorders>
          </w:tcPr>
          <w:p w:rsidR="006E6692" w:rsidRPr="00AF2F01" w:rsidRDefault="006E6692" w:rsidP="006E6692">
            <w:pPr>
              <w:tabs>
                <w:tab w:val="decimal" w:pos="653"/>
              </w:tabs>
              <w:spacing w:before="60" w:after="60"/>
              <w:jc w:val="left"/>
              <w:rPr>
                <w:rFonts w:cs="Times New Roman"/>
              </w:rPr>
            </w:pPr>
            <w:r w:rsidRPr="00AF2F01">
              <w:rPr>
                <w:rFonts w:cs="Times New Roman"/>
              </w:rPr>
              <w:t>12.44%</w:t>
            </w:r>
            <w:r w:rsidRPr="00AF2F01">
              <w:rPr>
                <w:rFonts w:cs="Times New Roman"/>
                <w:vertAlign w:val="superscript"/>
              </w:rPr>
              <w:t xml:space="preserve"> </w:t>
            </w:r>
            <w:r w:rsidRPr="00AF2F01">
              <w:rPr>
                <w:rFonts w:cs="Times New Roman"/>
              </w:rPr>
              <w:t xml:space="preserve">       (10.73%)</w:t>
            </w:r>
          </w:p>
        </w:tc>
      </w:tr>
      <w:tr w:rsidR="006E6692" w:rsidRPr="00B966DB" w:rsidTr="006E6692">
        <w:trPr>
          <w:jc w:val="center"/>
        </w:trPr>
        <w:tc>
          <w:tcPr>
            <w:tcW w:w="2448" w:type="dxa"/>
            <w:tcBorders>
              <w:top w:val="nil"/>
              <w:bottom w:val="nil"/>
            </w:tcBorders>
          </w:tcPr>
          <w:p w:rsidR="006E6692" w:rsidRPr="00AF2F01" w:rsidRDefault="006E6692" w:rsidP="006E6692">
            <w:pPr>
              <w:spacing w:before="60" w:after="60"/>
              <w:jc w:val="left"/>
              <w:rPr>
                <w:rFonts w:cs="Times New Roman"/>
                <w:color w:val="000000" w:themeColor="text1"/>
              </w:rPr>
            </w:pPr>
            <w:r w:rsidRPr="00AF2F01">
              <w:rPr>
                <w:rFonts w:cs="Times New Roman"/>
                <w:color w:val="000000" w:themeColor="text1"/>
              </w:rPr>
              <w:t>Nbr Households 1,000s</w:t>
            </w:r>
          </w:p>
        </w:tc>
        <w:tc>
          <w:tcPr>
            <w:tcW w:w="1728" w:type="dxa"/>
            <w:tcBorders>
              <w:top w:val="nil"/>
              <w:bottom w:val="nil"/>
            </w:tcBorders>
          </w:tcPr>
          <w:p w:rsidR="006E6692" w:rsidRPr="00AF2F01" w:rsidRDefault="006E6692" w:rsidP="006E6692">
            <w:pPr>
              <w:tabs>
                <w:tab w:val="decimal" w:pos="599"/>
              </w:tabs>
              <w:spacing w:before="60" w:after="60"/>
              <w:jc w:val="left"/>
              <w:rPr>
                <w:rFonts w:cs="Times New Roman"/>
              </w:rPr>
            </w:pPr>
            <w:r w:rsidRPr="00AF2F01">
              <w:rPr>
                <w:rFonts w:cs="Times New Roman"/>
              </w:rPr>
              <w:t>1.51%      (3.05%)</w:t>
            </w:r>
          </w:p>
        </w:tc>
        <w:tc>
          <w:tcPr>
            <w:tcW w:w="2016" w:type="dxa"/>
            <w:tcBorders>
              <w:top w:val="nil"/>
              <w:bottom w:val="nil"/>
            </w:tcBorders>
          </w:tcPr>
          <w:p w:rsidR="006E6692" w:rsidRPr="00AF2F01" w:rsidRDefault="006E6692" w:rsidP="006E6692">
            <w:pPr>
              <w:spacing w:before="60" w:after="60"/>
              <w:jc w:val="left"/>
              <w:rPr>
                <w:rFonts w:cs="Times New Roman"/>
              </w:rPr>
            </w:pPr>
            <w:r w:rsidRPr="00AF2F01">
              <w:rPr>
                <w:rFonts w:cs="Times New Roman"/>
              </w:rPr>
              <w:t>Coupon Frequency</w:t>
            </w:r>
          </w:p>
        </w:tc>
        <w:tc>
          <w:tcPr>
            <w:tcW w:w="1728" w:type="dxa"/>
            <w:tcBorders>
              <w:top w:val="nil"/>
              <w:bottom w:val="nil"/>
            </w:tcBorders>
          </w:tcPr>
          <w:p w:rsidR="006E6692" w:rsidRPr="00AF2F01" w:rsidRDefault="006E6692" w:rsidP="006E6692">
            <w:pPr>
              <w:tabs>
                <w:tab w:val="decimal" w:pos="653"/>
              </w:tabs>
              <w:spacing w:before="60" w:after="60"/>
              <w:jc w:val="left"/>
              <w:rPr>
                <w:rFonts w:cs="Times New Roman"/>
              </w:rPr>
            </w:pPr>
            <w:r w:rsidRPr="00AF2F01">
              <w:rPr>
                <w:rFonts w:cs="Times New Roman"/>
              </w:rPr>
              <w:t>5.06%      (6.05%)</w:t>
            </w:r>
          </w:p>
        </w:tc>
      </w:tr>
      <w:tr w:rsidR="006E6692" w:rsidRPr="00B966DB" w:rsidTr="006E6692">
        <w:trPr>
          <w:jc w:val="center"/>
        </w:trPr>
        <w:tc>
          <w:tcPr>
            <w:tcW w:w="2448" w:type="dxa"/>
            <w:tcBorders>
              <w:top w:val="nil"/>
              <w:bottom w:val="nil"/>
            </w:tcBorders>
          </w:tcPr>
          <w:p w:rsidR="006E6692" w:rsidRPr="00AF2F01" w:rsidRDefault="006E6692" w:rsidP="006E6692">
            <w:pPr>
              <w:spacing w:before="60" w:after="60"/>
              <w:jc w:val="left"/>
              <w:rPr>
                <w:rFonts w:cs="Times New Roman"/>
                <w:color w:val="000000" w:themeColor="text1"/>
              </w:rPr>
            </w:pPr>
            <w:r w:rsidRPr="00AF2F01">
              <w:rPr>
                <w:rFonts w:cs="Times New Roman"/>
                <w:color w:val="000000" w:themeColor="text1"/>
              </w:rPr>
              <w:t>Urban</w:t>
            </w:r>
          </w:p>
        </w:tc>
        <w:tc>
          <w:tcPr>
            <w:tcW w:w="1728" w:type="dxa"/>
            <w:tcBorders>
              <w:top w:val="nil"/>
              <w:bottom w:val="nil"/>
            </w:tcBorders>
          </w:tcPr>
          <w:p w:rsidR="006E6692" w:rsidRPr="00AF2F01" w:rsidRDefault="006E6692" w:rsidP="006E6692">
            <w:pPr>
              <w:tabs>
                <w:tab w:val="decimal" w:pos="599"/>
              </w:tabs>
              <w:spacing w:before="60" w:after="60"/>
              <w:jc w:val="left"/>
              <w:rPr>
                <w:rFonts w:cs="Times New Roman"/>
              </w:rPr>
            </w:pPr>
            <w:r w:rsidRPr="00AF2F01">
              <w:rPr>
                <w:rFonts w:cs="Times New Roman"/>
              </w:rPr>
              <w:t>-1.51%      (1.01%)</w:t>
            </w:r>
          </w:p>
        </w:tc>
        <w:tc>
          <w:tcPr>
            <w:tcW w:w="2016" w:type="dxa"/>
            <w:tcBorders>
              <w:top w:val="nil"/>
              <w:bottom w:val="nil"/>
            </w:tcBorders>
          </w:tcPr>
          <w:p w:rsidR="006E6692" w:rsidRPr="00AF2F01" w:rsidRDefault="006E6692" w:rsidP="006E6692">
            <w:pPr>
              <w:spacing w:before="60" w:after="60"/>
              <w:jc w:val="left"/>
              <w:rPr>
                <w:rFonts w:cs="Times New Roman"/>
              </w:rPr>
            </w:pPr>
            <w:r w:rsidRPr="00AF2F01">
              <w:rPr>
                <w:rFonts w:cs="Times New Roman"/>
              </w:rPr>
              <w:t>Unit Price Paid</w:t>
            </w:r>
          </w:p>
        </w:tc>
        <w:tc>
          <w:tcPr>
            <w:tcW w:w="1728" w:type="dxa"/>
            <w:tcBorders>
              <w:top w:val="nil"/>
              <w:bottom w:val="nil"/>
            </w:tcBorders>
          </w:tcPr>
          <w:p w:rsidR="006E6692" w:rsidRPr="00AF2F01" w:rsidRDefault="006E6692" w:rsidP="006E6692">
            <w:pPr>
              <w:tabs>
                <w:tab w:val="decimal" w:pos="653"/>
              </w:tabs>
              <w:spacing w:before="60" w:after="60"/>
              <w:jc w:val="left"/>
              <w:rPr>
                <w:rFonts w:cs="Times New Roman"/>
              </w:rPr>
            </w:pPr>
            <w:r w:rsidRPr="00AF2F01">
              <w:rPr>
                <w:rFonts w:cs="Times New Roman"/>
              </w:rPr>
              <w:t>4.79%</w:t>
            </w:r>
            <w:r w:rsidRPr="00AF2F01">
              <w:rPr>
                <w:rFonts w:cs="Times New Roman"/>
                <w:vertAlign w:val="superscript"/>
              </w:rPr>
              <w:t xml:space="preserve"> </w:t>
            </w:r>
            <w:r w:rsidRPr="00AF2F01">
              <w:rPr>
                <w:rFonts w:cs="Times New Roman"/>
              </w:rPr>
              <w:t xml:space="preserve">       (6.06%)</w:t>
            </w:r>
          </w:p>
        </w:tc>
      </w:tr>
      <w:tr w:rsidR="006E6692" w:rsidRPr="00B966DB" w:rsidTr="006E6692">
        <w:trPr>
          <w:jc w:val="center"/>
        </w:trPr>
        <w:tc>
          <w:tcPr>
            <w:tcW w:w="2448" w:type="dxa"/>
            <w:tcBorders>
              <w:top w:val="nil"/>
              <w:bottom w:val="double" w:sz="4" w:space="0" w:color="auto"/>
            </w:tcBorders>
          </w:tcPr>
          <w:p w:rsidR="006E6692" w:rsidRPr="00AF2F01" w:rsidRDefault="006E6692" w:rsidP="006E6692">
            <w:pPr>
              <w:spacing w:before="60" w:after="60"/>
              <w:jc w:val="left"/>
              <w:rPr>
                <w:rFonts w:cs="Times New Roman"/>
                <w:color w:val="000000" w:themeColor="text1"/>
              </w:rPr>
            </w:pPr>
            <w:r w:rsidRPr="00AF2F01">
              <w:rPr>
                <w:rFonts w:cs="Times New Roman"/>
                <w:color w:val="000000" w:themeColor="text1"/>
              </w:rPr>
              <w:t>Urban Clusters</w:t>
            </w:r>
          </w:p>
        </w:tc>
        <w:tc>
          <w:tcPr>
            <w:tcW w:w="1728" w:type="dxa"/>
            <w:tcBorders>
              <w:top w:val="nil"/>
              <w:bottom w:val="double" w:sz="4" w:space="0" w:color="auto"/>
            </w:tcBorders>
          </w:tcPr>
          <w:p w:rsidR="006E6692" w:rsidRPr="00AF2F01" w:rsidRDefault="006E6692" w:rsidP="006E6692">
            <w:pPr>
              <w:tabs>
                <w:tab w:val="decimal" w:pos="599"/>
              </w:tabs>
              <w:spacing w:before="60" w:after="60"/>
              <w:jc w:val="left"/>
              <w:rPr>
                <w:rFonts w:cs="Times New Roman"/>
              </w:rPr>
            </w:pPr>
            <w:r w:rsidRPr="00AF2F01">
              <w:rPr>
                <w:rFonts w:cs="Times New Roman"/>
              </w:rPr>
              <w:t>-1.71%      (1.88%)</w:t>
            </w:r>
          </w:p>
        </w:tc>
        <w:tc>
          <w:tcPr>
            <w:tcW w:w="2016" w:type="dxa"/>
            <w:tcBorders>
              <w:top w:val="nil"/>
              <w:bottom w:val="double" w:sz="4" w:space="0" w:color="auto"/>
            </w:tcBorders>
          </w:tcPr>
          <w:p w:rsidR="006E6692" w:rsidRPr="00AF2F01" w:rsidRDefault="006E6692" w:rsidP="006E6692">
            <w:pPr>
              <w:tabs>
                <w:tab w:val="decimal" w:pos="599"/>
              </w:tabs>
              <w:spacing w:before="60" w:after="60"/>
              <w:jc w:val="left"/>
              <w:rPr>
                <w:rFonts w:cs="Times New Roman"/>
              </w:rPr>
            </w:pPr>
          </w:p>
        </w:tc>
        <w:tc>
          <w:tcPr>
            <w:tcW w:w="1728" w:type="dxa"/>
            <w:tcBorders>
              <w:top w:val="nil"/>
              <w:bottom w:val="double" w:sz="4" w:space="0" w:color="auto"/>
            </w:tcBorders>
          </w:tcPr>
          <w:p w:rsidR="006E6692" w:rsidRPr="00AF2F01" w:rsidRDefault="006E6692" w:rsidP="006E6692">
            <w:pPr>
              <w:tabs>
                <w:tab w:val="decimal" w:pos="599"/>
              </w:tabs>
              <w:spacing w:before="60" w:after="60"/>
              <w:jc w:val="left"/>
              <w:rPr>
                <w:rFonts w:cs="Times New Roman"/>
              </w:rPr>
            </w:pPr>
          </w:p>
        </w:tc>
      </w:tr>
    </w:tbl>
    <w:p w:rsidR="006E6692" w:rsidRPr="00B966DB" w:rsidRDefault="006E6692" w:rsidP="006E6692">
      <w:pPr>
        <w:spacing w:before="60" w:line="240" w:lineRule="auto"/>
        <w:ind w:left="540" w:right="566"/>
        <w:rPr>
          <w:rFonts w:cs="Times New Roman"/>
          <w:sz w:val="20"/>
          <w:szCs w:val="20"/>
        </w:rPr>
      </w:pPr>
      <w:r w:rsidRPr="00B966DB">
        <w:rPr>
          <w:rFonts w:cs="Times New Roman"/>
          <w:sz w:val="20"/>
          <w:szCs w:val="20"/>
        </w:rPr>
        <w:t>The table reports the coefficie</w:t>
      </w:r>
      <w:r>
        <w:rPr>
          <w:rFonts w:cs="Times New Roman"/>
          <w:sz w:val="20"/>
          <w:szCs w:val="20"/>
        </w:rPr>
        <w:t xml:space="preserve">nts for the control variables from estimating Equation </w:t>
      </w:r>
      <w:r w:rsidRPr="00B966DB">
        <w:rPr>
          <w:rFonts w:cs="Times New Roman"/>
          <w:sz w:val="20"/>
          <w:szCs w:val="20"/>
        </w:rPr>
        <w:t xml:space="preserve">2. </w:t>
      </w:r>
      <w:r>
        <w:rPr>
          <w:rFonts w:cs="Times New Roman"/>
          <w:sz w:val="20"/>
          <w:szCs w:val="20"/>
        </w:rPr>
        <w:t>T</w:t>
      </w:r>
      <w:r w:rsidRPr="00B966DB">
        <w:rPr>
          <w:rFonts w:cs="Times New Roman"/>
          <w:sz w:val="20"/>
          <w:szCs w:val="20"/>
        </w:rPr>
        <w:t>he unit of analysis</w:t>
      </w:r>
      <w:r>
        <w:rPr>
          <w:rFonts w:cs="Times New Roman"/>
          <w:sz w:val="20"/>
          <w:szCs w:val="20"/>
        </w:rPr>
        <w:t xml:space="preserve"> is</w:t>
      </w:r>
      <w:r w:rsidRPr="00B966DB">
        <w:rPr>
          <w:rFonts w:cs="Times New Roman"/>
          <w:sz w:val="20"/>
          <w:szCs w:val="20"/>
        </w:rPr>
        <w:t xml:space="preserve"> a new </w:t>
      </w:r>
      <w:r>
        <w:rPr>
          <w:rFonts w:cs="Times New Roman"/>
          <w:sz w:val="20"/>
          <w:szCs w:val="20"/>
        </w:rPr>
        <w:t>product</w:t>
      </w:r>
      <w:r w:rsidRPr="00B966DB">
        <w:rPr>
          <w:rFonts w:cs="Times New Roman"/>
          <w:sz w:val="20"/>
          <w:szCs w:val="20"/>
        </w:rPr>
        <w:t xml:space="preserve"> and the sample size is 2,388. </w:t>
      </w:r>
      <w:r>
        <w:rPr>
          <w:rFonts w:cs="Times New Roman"/>
          <w:sz w:val="20"/>
          <w:szCs w:val="20"/>
        </w:rPr>
        <w:t xml:space="preserve">The coefficients of interest are reported in the table above. </w:t>
      </w:r>
      <w:r w:rsidRPr="00B966DB">
        <w:rPr>
          <w:rFonts w:cs="Times New Roman"/>
          <w:sz w:val="20"/>
          <w:szCs w:val="20"/>
        </w:rPr>
        <w:t>Standard errors are in parentheses.</w:t>
      </w:r>
    </w:p>
    <w:p w:rsidR="006E6692" w:rsidRDefault="006E6692" w:rsidP="006E6692">
      <w:pPr>
        <w:spacing w:line="240" w:lineRule="auto"/>
      </w:pPr>
    </w:p>
    <w:p w:rsidR="006E6692" w:rsidRDefault="006E6692" w:rsidP="006E6692">
      <w:r>
        <w:t>The coefficients estimated for the control variables reported above reveal that if new products are purchased by households in zip codes living closer to the retailer’s stores and further from a competitor’s store then the product is more likely to survive.  Notice that this does not require that there are systematic differences in tendencies of customers living close to the firm’s stores versus close to the competitor’s stores.  It is sufficient that there is random variation, and that some new products match the tendencies of customers living closer to the firm’s stores (than the competitors’ stores).</w:t>
      </w:r>
    </w:p>
    <w:p w:rsidR="00070EC7" w:rsidRDefault="00070EC7">
      <w:pPr>
        <w:rPr>
          <w:b/>
        </w:rPr>
      </w:pPr>
      <w:r>
        <w:rPr>
          <w:b/>
        </w:rPr>
        <w:br w:type="page"/>
      </w:r>
    </w:p>
    <w:p w:rsidR="00070EC7" w:rsidRDefault="00070EC7" w:rsidP="00070EC7">
      <w:pPr>
        <w:spacing w:after="120"/>
        <w:jc w:val="center"/>
      </w:pPr>
      <w:r w:rsidRPr="00C83AE4">
        <w:rPr>
          <w:b/>
        </w:rPr>
        <w:lastRenderedPageBreak/>
        <w:t xml:space="preserve">Variation in </w:t>
      </w:r>
      <w:r w:rsidRPr="00817359">
        <w:rPr>
          <w:b/>
          <w:i/>
        </w:rPr>
        <w:t>Average Success Rate</w:t>
      </w:r>
      <w:r w:rsidRPr="00C83AE4">
        <w:rPr>
          <w:b/>
        </w:rPr>
        <w:t xml:space="preserve"> Explained by Control Variables</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1584"/>
      </w:tblGrid>
      <w:tr w:rsidR="00070EC7" w:rsidTr="00FA3C3C">
        <w:trPr>
          <w:jc w:val="center"/>
        </w:trPr>
        <w:tc>
          <w:tcPr>
            <w:tcW w:w="4032" w:type="dxa"/>
            <w:tcBorders>
              <w:top w:val="double" w:sz="4" w:space="0" w:color="auto"/>
              <w:bottom w:val="single" w:sz="4" w:space="0" w:color="auto"/>
            </w:tcBorders>
          </w:tcPr>
          <w:p w:rsidR="00070EC7" w:rsidRDefault="00070EC7" w:rsidP="00FA3C3C">
            <w:pPr>
              <w:spacing w:before="60" w:after="60"/>
            </w:pPr>
          </w:p>
        </w:tc>
        <w:tc>
          <w:tcPr>
            <w:tcW w:w="1584" w:type="dxa"/>
            <w:tcBorders>
              <w:top w:val="double" w:sz="4" w:space="0" w:color="auto"/>
              <w:bottom w:val="single" w:sz="4" w:space="0" w:color="auto"/>
            </w:tcBorders>
          </w:tcPr>
          <w:p w:rsidR="00070EC7" w:rsidRDefault="00070EC7" w:rsidP="00FA3C3C">
            <w:pPr>
              <w:spacing w:before="60" w:after="60"/>
            </w:pPr>
            <w:r>
              <w:rPr>
                <w:b/>
              </w:rPr>
              <w:t>% of Variance Explained</w:t>
            </w:r>
          </w:p>
        </w:tc>
      </w:tr>
      <w:tr w:rsidR="00070EC7" w:rsidTr="00FA3C3C">
        <w:trPr>
          <w:trHeight w:val="432"/>
          <w:jc w:val="center"/>
        </w:trPr>
        <w:tc>
          <w:tcPr>
            <w:tcW w:w="4032" w:type="dxa"/>
            <w:tcBorders>
              <w:top w:val="single" w:sz="4" w:space="0" w:color="auto"/>
              <w:bottom w:val="nil"/>
            </w:tcBorders>
          </w:tcPr>
          <w:p w:rsidR="00070EC7" w:rsidRDefault="00070EC7" w:rsidP="00FA3C3C">
            <w:pPr>
              <w:spacing w:before="60" w:after="60"/>
              <w:jc w:val="left"/>
            </w:pPr>
            <w:r>
              <w:t>Age, Income, Home Value, House Type</w:t>
            </w:r>
          </w:p>
        </w:tc>
        <w:tc>
          <w:tcPr>
            <w:tcW w:w="1584" w:type="dxa"/>
            <w:tcBorders>
              <w:top w:val="single" w:sz="4" w:space="0" w:color="auto"/>
              <w:bottom w:val="nil"/>
            </w:tcBorders>
          </w:tcPr>
          <w:p w:rsidR="00070EC7" w:rsidRDefault="00070EC7" w:rsidP="00FA3C3C">
            <w:pPr>
              <w:spacing w:before="60" w:after="60"/>
            </w:pPr>
            <w:r>
              <w:t>24.92%</w:t>
            </w:r>
          </w:p>
        </w:tc>
      </w:tr>
      <w:tr w:rsidR="00070EC7" w:rsidTr="00FA3C3C">
        <w:trPr>
          <w:trHeight w:val="432"/>
          <w:jc w:val="center"/>
        </w:trPr>
        <w:tc>
          <w:tcPr>
            <w:tcW w:w="4032" w:type="dxa"/>
            <w:tcBorders>
              <w:top w:val="nil"/>
              <w:bottom w:val="nil"/>
            </w:tcBorders>
          </w:tcPr>
          <w:p w:rsidR="00070EC7" w:rsidRDefault="00070EC7" w:rsidP="00FA3C3C">
            <w:pPr>
              <w:spacing w:before="60" w:after="60"/>
              <w:jc w:val="left"/>
            </w:pPr>
            <w:r>
              <w:t>Distance to Competitors</w:t>
            </w:r>
          </w:p>
        </w:tc>
        <w:tc>
          <w:tcPr>
            <w:tcW w:w="1584" w:type="dxa"/>
            <w:tcBorders>
              <w:top w:val="nil"/>
              <w:bottom w:val="nil"/>
            </w:tcBorders>
          </w:tcPr>
          <w:p w:rsidR="00070EC7" w:rsidRDefault="00070EC7" w:rsidP="00FA3C3C">
            <w:pPr>
              <w:spacing w:before="60" w:after="60"/>
            </w:pPr>
            <w:r>
              <w:t>20.05%</w:t>
            </w:r>
          </w:p>
        </w:tc>
      </w:tr>
      <w:tr w:rsidR="00070EC7" w:rsidTr="00FA3C3C">
        <w:trPr>
          <w:trHeight w:val="432"/>
          <w:jc w:val="center"/>
        </w:trPr>
        <w:tc>
          <w:tcPr>
            <w:tcW w:w="4032" w:type="dxa"/>
            <w:tcBorders>
              <w:top w:val="nil"/>
            </w:tcBorders>
          </w:tcPr>
          <w:p w:rsidR="00070EC7" w:rsidRDefault="00070EC7" w:rsidP="00FA3C3C">
            <w:pPr>
              <w:spacing w:before="60" w:after="60"/>
              <w:jc w:val="left"/>
            </w:pPr>
            <w:r>
              <w:t>Housing Density</w:t>
            </w:r>
          </w:p>
        </w:tc>
        <w:tc>
          <w:tcPr>
            <w:tcW w:w="1584" w:type="dxa"/>
            <w:tcBorders>
              <w:top w:val="nil"/>
            </w:tcBorders>
          </w:tcPr>
          <w:p w:rsidR="00070EC7" w:rsidRDefault="00070EC7" w:rsidP="00FA3C3C">
            <w:pPr>
              <w:spacing w:before="60" w:after="60"/>
            </w:pPr>
            <w:r>
              <w:t>18.95%</w:t>
            </w:r>
          </w:p>
        </w:tc>
      </w:tr>
      <w:tr w:rsidR="00070EC7" w:rsidTr="00FA3C3C">
        <w:trPr>
          <w:trHeight w:val="432"/>
          <w:jc w:val="center"/>
        </w:trPr>
        <w:tc>
          <w:tcPr>
            <w:tcW w:w="4032" w:type="dxa"/>
            <w:tcBorders>
              <w:top w:val="nil"/>
            </w:tcBorders>
          </w:tcPr>
          <w:p w:rsidR="00070EC7" w:rsidRDefault="00070EC7" w:rsidP="00FA3C3C">
            <w:pPr>
              <w:spacing w:before="60" w:after="60"/>
              <w:jc w:val="left"/>
            </w:pPr>
            <w:r>
              <w:t>Education</w:t>
            </w:r>
          </w:p>
        </w:tc>
        <w:tc>
          <w:tcPr>
            <w:tcW w:w="1584" w:type="dxa"/>
            <w:tcBorders>
              <w:top w:val="nil"/>
            </w:tcBorders>
          </w:tcPr>
          <w:p w:rsidR="00070EC7" w:rsidRDefault="00070EC7" w:rsidP="00FA3C3C">
            <w:pPr>
              <w:spacing w:before="60" w:after="60"/>
            </w:pPr>
            <w:r>
              <w:t>2.99%</w:t>
            </w:r>
          </w:p>
        </w:tc>
      </w:tr>
      <w:tr w:rsidR="00070EC7" w:rsidTr="00FA3C3C">
        <w:trPr>
          <w:trHeight w:val="432"/>
          <w:jc w:val="center"/>
        </w:trPr>
        <w:tc>
          <w:tcPr>
            <w:tcW w:w="4032" w:type="dxa"/>
            <w:tcBorders>
              <w:top w:val="nil"/>
            </w:tcBorders>
          </w:tcPr>
          <w:p w:rsidR="00070EC7" w:rsidRDefault="00070EC7" w:rsidP="00FA3C3C">
            <w:pPr>
              <w:spacing w:before="60" w:after="60"/>
              <w:jc w:val="left"/>
            </w:pPr>
            <w:r>
              <w:t>Ethnicity</w:t>
            </w:r>
          </w:p>
        </w:tc>
        <w:tc>
          <w:tcPr>
            <w:tcW w:w="1584" w:type="dxa"/>
            <w:tcBorders>
              <w:top w:val="nil"/>
            </w:tcBorders>
          </w:tcPr>
          <w:p w:rsidR="00070EC7" w:rsidRDefault="00070EC7" w:rsidP="00FA3C3C">
            <w:pPr>
              <w:spacing w:before="60" w:after="60"/>
            </w:pPr>
            <w:r>
              <w:t>34.28%</w:t>
            </w:r>
          </w:p>
        </w:tc>
      </w:tr>
      <w:tr w:rsidR="00070EC7" w:rsidTr="00FA3C3C">
        <w:trPr>
          <w:trHeight w:val="432"/>
          <w:jc w:val="center"/>
        </w:trPr>
        <w:tc>
          <w:tcPr>
            <w:tcW w:w="4032" w:type="dxa"/>
            <w:tcBorders>
              <w:top w:val="nil"/>
            </w:tcBorders>
          </w:tcPr>
          <w:p w:rsidR="00070EC7" w:rsidRDefault="00070EC7" w:rsidP="00FA3C3C">
            <w:pPr>
              <w:spacing w:before="60" w:after="60"/>
              <w:jc w:val="left"/>
            </w:pPr>
            <w:r>
              <w:t>Coupon Use and Price Paid</w:t>
            </w:r>
          </w:p>
        </w:tc>
        <w:tc>
          <w:tcPr>
            <w:tcW w:w="1584" w:type="dxa"/>
            <w:tcBorders>
              <w:top w:val="nil"/>
            </w:tcBorders>
          </w:tcPr>
          <w:p w:rsidR="00070EC7" w:rsidRDefault="00070EC7" w:rsidP="00FA3C3C">
            <w:pPr>
              <w:spacing w:before="60" w:after="60"/>
            </w:pPr>
            <w:r>
              <w:t>14.69%</w:t>
            </w:r>
          </w:p>
        </w:tc>
      </w:tr>
      <w:tr w:rsidR="00070EC7" w:rsidTr="00FA3C3C">
        <w:trPr>
          <w:trHeight w:val="432"/>
          <w:jc w:val="center"/>
        </w:trPr>
        <w:tc>
          <w:tcPr>
            <w:tcW w:w="4032" w:type="dxa"/>
          </w:tcPr>
          <w:p w:rsidR="00070EC7" w:rsidRDefault="00070EC7" w:rsidP="00FA3C3C">
            <w:pPr>
              <w:spacing w:before="60" w:after="60"/>
              <w:jc w:val="left"/>
            </w:pPr>
            <w:r>
              <w:t>All Control Variables</w:t>
            </w:r>
          </w:p>
        </w:tc>
        <w:tc>
          <w:tcPr>
            <w:tcW w:w="1584" w:type="dxa"/>
          </w:tcPr>
          <w:p w:rsidR="00070EC7" w:rsidRDefault="00070EC7" w:rsidP="00FA3C3C">
            <w:pPr>
              <w:spacing w:before="60" w:after="60"/>
            </w:pPr>
            <w:r>
              <w:t>45.20%</w:t>
            </w:r>
          </w:p>
        </w:tc>
      </w:tr>
    </w:tbl>
    <w:p w:rsidR="00070EC7" w:rsidRPr="00D71496" w:rsidRDefault="00070EC7" w:rsidP="00070EC7">
      <w:pPr>
        <w:autoSpaceDE w:val="0"/>
        <w:autoSpaceDN w:val="0"/>
        <w:adjustRightInd w:val="0"/>
        <w:spacing w:before="60" w:line="240" w:lineRule="auto"/>
        <w:ind w:left="720" w:right="720"/>
        <w:rPr>
          <w:rFonts w:ascii="Calibri" w:hAnsi="Calibri" w:cs="Calibri"/>
        </w:rPr>
      </w:pPr>
      <w:r w:rsidRPr="0088154C">
        <w:rPr>
          <w:sz w:val="20"/>
          <w:szCs w:val="20"/>
        </w:rPr>
        <w:t xml:space="preserve">The table reports the reports the </w:t>
      </w:r>
      <w:r>
        <w:rPr>
          <w:sz w:val="20"/>
          <w:szCs w:val="20"/>
        </w:rPr>
        <w:t xml:space="preserve">percentage of variance explained in an OLS model where the dependent variable is the </w:t>
      </w:r>
      <w:r w:rsidRPr="0088154C">
        <w:rPr>
          <w:i/>
          <w:sz w:val="20"/>
          <w:szCs w:val="20"/>
        </w:rPr>
        <w:t>Average Success Rate</w:t>
      </w:r>
      <w:r w:rsidRPr="0088154C">
        <w:rPr>
          <w:sz w:val="20"/>
          <w:szCs w:val="20"/>
        </w:rPr>
        <w:t xml:space="preserve"> of new product purchases in </w:t>
      </w:r>
      <w:r>
        <w:rPr>
          <w:sz w:val="20"/>
          <w:szCs w:val="20"/>
        </w:rPr>
        <w:t>a</w:t>
      </w:r>
      <w:r w:rsidRPr="0088154C">
        <w:rPr>
          <w:sz w:val="20"/>
          <w:szCs w:val="20"/>
        </w:rPr>
        <w:t xml:space="preserve"> zip code. </w:t>
      </w:r>
      <w:r>
        <w:rPr>
          <w:sz w:val="20"/>
          <w:szCs w:val="20"/>
        </w:rPr>
        <w:t xml:space="preserve">The OLS model is estimated separately using each group of control variables. </w:t>
      </w:r>
      <w:r w:rsidRPr="0088154C">
        <w:rPr>
          <w:sz w:val="20"/>
          <w:szCs w:val="20"/>
        </w:rPr>
        <w:t xml:space="preserve">The unit of analysis is a zip code. The sample size </w:t>
      </w:r>
      <w:r>
        <w:rPr>
          <w:sz w:val="20"/>
          <w:szCs w:val="20"/>
        </w:rPr>
        <w:t xml:space="preserve">in all models </w:t>
      </w:r>
      <w:r w:rsidRPr="0088154C">
        <w:rPr>
          <w:sz w:val="20"/>
          <w:szCs w:val="20"/>
        </w:rPr>
        <w:t xml:space="preserve">is 4,689 zip codes. </w:t>
      </w:r>
    </w:p>
    <w:p w:rsidR="00213747" w:rsidRDefault="00213747">
      <w:pPr>
        <w:rPr>
          <w:b/>
        </w:rPr>
      </w:pPr>
      <w:r>
        <w:rPr>
          <w:b/>
        </w:rPr>
        <w:br w:type="page"/>
      </w:r>
    </w:p>
    <w:p w:rsidR="00213747" w:rsidRPr="00597BB6" w:rsidRDefault="00213747" w:rsidP="00213747">
      <w:pPr>
        <w:keepNext/>
        <w:spacing w:after="120"/>
        <w:ind w:left="360"/>
        <w:jc w:val="center"/>
        <w:rPr>
          <w:b/>
        </w:rPr>
      </w:pPr>
      <w:r>
        <w:rPr>
          <w:b/>
        </w:rPr>
        <w:lastRenderedPageBreak/>
        <w:t xml:space="preserve">Coefficients from Regressing </w:t>
      </w:r>
      <w:r>
        <w:rPr>
          <w:b/>
          <w:i/>
        </w:rPr>
        <w:t xml:space="preserve">Average Success Rate </w:t>
      </w:r>
      <w:r>
        <w:rPr>
          <w:b/>
        </w:rPr>
        <w:t>on the Control Variables                                                                      By Harbinger Group</w:t>
      </w:r>
    </w:p>
    <w:tbl>
      <w:tblPr>
        <w:tblStyle w:val="TableGrid"/>
        <w:tblW w:w="7632"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296"/>
        <w:gridCol w:w="1296"/>
        <w:gridCol w:w="1296"/>
        <w:gridCol w:w="1296"/>
      </w:tblGrid>
      <w:tr w:rsidR="00213747" w:rsidTr="00FA3C3C">
        <w:trPr>
          <w:jc w:val="center"/>
        </w:trPr>
        <w:tc>
          <w:tcPr>
            <w:tcW w:w="2448" w:type="dxa"/>
            <w:tcBorders>
              <w:top w:val="double" w:sz="4" w:space="0" w:color="auto"/>
              <w:bottom w:val="single" w:sz="4" w:space="0" w:color="auto"/>
            </w:tcBorders>
          </w:tcPr>
          <w:p w:rsidR="00213747" w:rsidRDefault="00213747" w:rsidP="00FA3C3C">
            <w:pPr>
              <w:spacing w:before="60" w:after="60"/>
            </w:pPr>
          </w:p>
        </w:tc>
        <w:tc>
          <w:tcPr>
            <w:tcW w:w="1296" w:type="dxa"/>
            <w:tcBorders>
              <w:top w:val="double" w:sz="4" w:space="0" w:color="auto"/>
              <w:bottom w:val="single" w:sz="4" w:space="0" w:color="auto"/>
            </w:tcBorders>
          </w:tcPr>
          <w:p w:rsidR="00213747" w:rsidRDefault="00213747" w:rsidP="00FA3C3C">
            <w:pPr>
              <w:spacing w:before="60" w:after="60"/>
            </w:pPr>
            <w:r>
              <w:rPr>
                <w:b/>
              </w:rPr>
              <w:t>Group 1</w:t>
            </w:r>
          </w:p>
        </w:tc>
        <w:tc>
          <w:tcPr>
            <w:tcW w:w="1296" w:type="dxa"/>
            <w:tcBorders>
              <w:top w:val="double" w:sz="4" w:space="0" w:color="auto"/>
              <w:bottom w:val="single" w:sz="4" w:space="0" w:color="auto"/>
            </w:tcBorders>
          </w:tcPr>
          <w:p w:rsidR="00213747" w:rsidRDefault="00213747" w:rsidP="00FA3C3C">
            <w:pPr>
              <w:spacing w:before="60" w:after="60"/>
            </w:pPr>
            <w:r>
              <w:rPr>
                <w:b/>
              </w:rPr>
              <w:t>Group 2</w:t>
            </w:r>
          </w:p>
        </w:tc>
        <w:tc>
          <w:tcPr>
            <w:tcW w:w="1296" w:type="dxa"/>
            <w:tcBorders>
              <w:top w:val="double" w:sz="4" w:space="0" w:color="auto"/>
              <w:bottom w:val="single" w:sz="4" w:space="0" w:color="auto"/>
            </w:tcBorders>
          </w:tcPr>
          <w:p w:rsidR="00213747" w:rsidRDefault="00213747" w:rsidP="00FA3C3C">
            <w:pPr>
              <w:spacing w:before="60" w:after="60"/>
            </w:pPr>
            <w:r>
              <w:rPr>
                <w:b/>
              </w:rPr>
              <w:t>Group 3</w:t>
            </w:r>
          </w:p>
        </w:tc>
        <w:tc>
          <w:tcPr>
            <w:tcW w:w="1296" w:type="dxa"/>
            <w:tcBorders>
              <w:top w:val="double" w:sz="4" w:space="0" w:color="auto"/>
              <w:bottom w:val="single" w:sz="4" w:space="0" w:color="auto"/>
            </w:tcBorders>
          </w:tcPr>
          <w:p w:rsidR="00213747" w:rsidRDefault="00213747" w:rsidP="00FA3C3C">
            <w:pPr>
              <w:spacing w:before="60" w:after="60"/>
            </w:pPr>
            <w:r>
              <w:rPr>
                <w:b/>
              </w:rPr>
              <w:t>Group 4</w:t>
            </w:r>
          </w:p>
        </w:tc>
      </w:tr>
      <w:tr w:rsidR="00213747" w:rsidTr="00FA3C3C">
        <w:trPr>
          <w:trHeight w:val="432"/>
          <w:jc w:val="center"/>
        </w:trPr>
        <w:tc>
          <w:tcPr>
            <w:tcW w:w="2448" w:type="dxa"/>
            <w:tcBorders>
              <w:top w:val="single" w:sz="4" w:space="0" w:color="auto"/>
              <w:bottom w:val="nil"/>
            </w:tcBorders>
            <w:vAlign w:val="center"/>
          </w:tcPr>
          <w:p w:rsidR="00213747" w:rsidRDefault="00213747" w:rsidP="00FA3C3C">
            <w:pPr>
              <w:jc w:val="left"/>
              <w:rPr>
                <w:rFonts w:ascii="Calibri" w:hAnsi="Calibri"/>
                <w:color w:val="000000"/>
              </w:rPr>
            </w:pPr>
            <w:r>
              <w:rPr>
                <w:rFonts w:ascii="Calibri" w:hAnsi="Calibri"/>
                <w:color w:val="000000"/>
              </w:rPr>
              <w:t>Age</w:t>
            </w:r>
          </w:p>
        </w:tc>
        <w:tc>
          <w:tcPr>
            <w:tcW w:w="1296" w:type="dxa"/>
            <w:tcBorders>
              <w:top w:val="single" w:sz="4" w:space="0" w:color="auto"/>
              <w:bottom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0.027%</w:t>
            </w:r>
          </w:p>
        </w:tc>
        <w:tc>
          <w:tcPr>
            <w:tcW w:w="1296" w:type="dxa"/>
            <w:tcBorders>
              <w:top w:val="single" w:sz="4" w:space="0" w:color="auto"/>
              <w:bottom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-0.003%</w:t>
            </w:r>
          </w:p>
        </w:tc>
        <w:tc>
          <w:tcPr>
            <w:tcW w:w="1296" w:type="dxa"/>
            <w:tcBorders>
              <w:top w:val="single" w:sz="4" w:space="0" w:color="auto"/>
              <w:bottom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-0.014%</w:t>
            </w:r>
          </w:p>
        </w:tc>
        <w:tc>
          <w:tcPr>
            <w:tcW w:w="1296" w:type="dxa"/>
            <w:tcBorders>
              <w:top w:val="single" w:sz="4" w:space="0" w:color="auto"/>
              <w:bottom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-0.059%</w:t>
            </w:r>
          </w:p>
        </w:tc>
      </w:tr>
      <w:tr w:rsidR="00213747" w:rsidTr="00FA3C3C">
        <w:trPr>
          <w:trHeight w:val="432"/>
          <w:jc w:val="center"/>
        </w:trPr>
        <w:tc>
          <w:tcPr>
            <w:tcW w:w="2448" w:type="dxa"/>
            <w:tcBorders>
              <w:top w:val="nil"/>
              <w:bottom w:val="nil"/>
            </w:tcBorders>
            <w:vAlign w:val="center"/>
          </w:tcPr>
          <w:p w:rsidR="00213747" w:rsidRDefault="00213747" w:rsidP="00FA3C3C">
            <w:pPr>
              <w:jc w:val="left"/>
              <w:rPr>
                <w:rFonts w:ascii="Calibri" w:hAnsi="Calibri"/>
                <w:color w:val="000000"/>
              </w:rPr>
            </w:pPr>
            <w:r>
              <w:rPr>
                <w:rFonts w:ascii="Calibri" w:hAnsi="Calibri"/>
                <w:color w:val="000000"/>
              </w:rPr>
              <w:t>Home Value $10,000s</w:t>
            </w:r>
          </w:p>
        </w:tc>
        <w:tc>
          <w:tcPr>
            <w:tcW w:w="1296" w:type="dxa"/>
            <w:tcBorders>
              <w:top w:val="nil"/>
              <w:bottom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0.013%</w:t>
            </w:r>
          </w:p>
        </w:tc>
        <w:tc>
          <w:tcPr>
            <w:tcW w:w="1296" w:type="dxa"/>
            <w:tcBorders>
              <w:top w:val="nil"/>
              <w:bottom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0.002%</w:t>
            </w:r>
          </w:p>
        </w:tc>
        <w:tc>
          <w:tcPr>
            <w:tcW w:w="1296" w:type="dxa"/>
            <w:tcBorders>
              <w:top w:val="nil"/>
              <w:bottom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-0.001%</w:t>
            </w:r>
          </w:p>
        </w:tc>
        <w:tc>
          <w:tcPr>
            <w:tcW w:w="1296" w:type="dxa"/>
            <w:tcBorders>
              <w:top w:val="nil"/>
              <w:bottom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0.003%</w:t>
            </w:r>
          </w:p>
        </w:tc>
      </w:tr>
      <w:tr w:rsidR="00213747" w:rsidTr="00FA3C3C">
        <w:trPr>
          <w:trHeight w:val="432"/>
          <w:jc w:val="center"/>
        </w:trPr>
        <w:tc>
          <w:tcPr>
            <w:tcW w:w="2448" w:type="dxa"/>
            <w:tcBorders>
              <w:top w:val="nil"/>
            </w:tcBorders>
            <w:vAlign w:val="center"/>
          </w:tcPr>
          <w:p w:rsidR="00213747" w:rsidRDefault="00213747" w:rsidP="00FA3C3C">
            <w:pPr>
              <w:jc w:val="left"/>
              <w:rPr>
                <w:rFonts w:ascii="Calibri" w:hAnsi="Calibri"/>
                <w:color w:val="000000"/>
              </w:rPr>
            </w:pPr>
            <w:r>
              <w:rPr>
                <w:rFonts w:ascii="Calibri" w:hAnsi="Calibri"/>
                <w:color w:val="000000"/>
              </w:rPr>
              <w:t>Income $10,000s</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-0.026%</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0.003%</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0.001%</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-0.011%</w:t>
            </w:r>
          </w:p>
        </w:tc>
      </w:tr>
      <w:tr w:rsidR="00213747" w:rsidTr="00FA3C3C">
        <w:trPr>
          <w:trHeight w:val="432"/>
          <w:jc w:val="center"/>
        </w:trPr>
        <w:tc>
          <w:tcPr>
            <w:tcW w:w="2448" w:type="dxa"/>
            <w:tcBorders>
              <w:top w:val="nil"/>
            </w:tcBorders>
            <w:vAlign w:val="center"/>
          </w:tcPr>
          <w:p w:rsidR="00213747" w:rsidRDefault="00213747" w:rsidP="00FA3C3C">
            <w:pPr>
              <w:jc w:val="left"/>
              <w:rPr>
                <w:rFonts w:ascii="Calibri" w:hAnsi="Calibri"/>
                <w:color w:val="000000"/>
              </w:rPr>
            </w:pPr>
            <w:r>
              <w:rPr>
                <w:rFonts w:ascii="Calibri" w:hAnsi="Calibri"/>
                <w:color w:val="000000"/>
              </w:rPr>
              <w:t>Single Family</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1.589%</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0.531%</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-0.325%</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3.865%</w:t>
            </w:r>
          </w:p>
        </w:tc>
      </w:tr>
      <w:tr w:rsidR="00213747" w:rsidTr="00FA3C3C">
        <w:trPr>
          <w:trHeight w:val="432"/>
          <w:jc w:val="center"/>
        </w:trPr>
        <w:tc>
          <w:tcPr>
            <w:tcW w:w="2448" w:type="dxa"/>
            <w:tcBorders>
              <w:top w:val="nil"/>
            </w:tcBorders>
            <w:vAlign w:val="center"/>
          </w:tcPr>
          <w:p w:rsidR="00213747" w:rsidRDefault="00213747" w:rsidP="00FA3C3C">
            <w:pPr>
              <w:jc w:val="left"/>
              <w:rPr>
                <w:rFonts w:ascii="Calibri" w:hAnsi="Calibri"/>
                <w:color w:val="000000"/>
              </w:rPr>
            </w:pPr>
            <w:r>
              <w:rPr>
                <w:rFonts w:ascii="Calibri" w:hAnsi="Calibri"/>
                <w:color w:val="000000"/>
              </w:rPr>
              <w:t>Multi-family</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2.185%</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0.545%</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-0.248%</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3.286%</w:t>
            </w:r>
          </w:p>
        </w:tc>
      </w:tr>
      <w:tr w:rsidR="00213747" w:rsidTr="00FA3C3C">
        <w:trPr>
          <w:trHeight w:val="432"/>
          <w:jc w:val="center"/>
        </w:trPr>
        <w:tc>
          <w:tcPr>
            <w:tcW w:w="2448" w:type="dxa"/>
            <w:tcBorders>
              <w:top w:val="nil"/>
            </w:tcBorders>
            <w:vAlign w:val="center"/>
          </w:tcPr>
          <w:p w:rsidR="00213747" w:rsidRDefault="00213747" w:rsidP="00FA3C3C">
            <w:pPr>
              <w:jc w:val="left"/>
              <w:rPr>
                <w:rFonts w:ascii="Calibri" w:hAnsi="Calibri"/>
                <w:color w:val="000000"/>
              </w:rPr>
            </w:pPr>
            <w:r>
              <w:rPr>
                <w:rFonts w:ascii="Calibri" w:hAnsi="Calibri"/>
                <w:color w:val="000000"/>
              </w:rPr>
              <w:t>Distance</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0.013%</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0.002%</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0.003%</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-0.018%</w:t>
            </w:r>
          </w:p>
        </w:tc>
      </w:tr>
      <w:tr w:rsidR="00213747" w:rsidTr="00FA3C3C">
        <w:trPr>
          <w:trHeight w:val="432"/>
          <w:jc w:val="center"/>
        </w:trPr>
        <w:tc>
          <w:tcPr>
            <w:tcW w:w="2448" w:type="dxa"/>
            <w:tcBorders>
              <w:top w:val="nil"/>
            </w:tcBorders>
            <w:vAlign w:val="center"/>
          </w:tcPr>
          <w:p w:rsidR="00213747" w:rsidRDefault="00213747" w:rsidP="00FA3C3C">
            <w:pPr>
              <w:jc w:val="left"/>
              <w:rPr>
                <w:rFonts w:ascii="Calibri" w:hAnsi="Calibri"/>
                <w:color w:val="000000"/>
              </w:rPr>
            </w:pPr>
            <w:r>
              <w:rPr>
                <w:rFonts w:ascii="Calibri" w:hAnsi="Calibri"/>
                <w:color w:val="000000"/>
              </w:rPr>
              <w:t>Comp. Distance</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-0.012%</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0.002%</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-0.002%</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-0.031%</w:t>
            </w:r>
          </w:p>
        </w:tc>
      </w:tr>
      <w:tr w:rsidR="00213747" w:rsidTr="00FA3C3C">
        <w:trPr>
          <w:trHeight w:val="432"/>
          <w:jc w:val="center"/>
        </w:trPr>
        <w:tc>
          <w:tcPr>
            <w:tcW w:w="2448" w:type="dxa"/>
            <w:tcBorders>
              <w:top w:val="nil"/>
            </w:tcBorders>
            <w:vAlign w:val="center"/>
          </w:tcPr>
          <w:p w:rsidR="00213747" w:rsidRDefault="00213747" w:rsidP="00FA3C3C">
            <w:pPr>
              <w:jc w:val="left"/>
              <w:rPr>
                <w:rFonts w:ascii="Calibri" w:hAnsi="Calibri"/>
                <w:color w:val="000000"/>
              </w:rPr>
            </w:pPr>
            <w:r>
              <w:rPr>
                <w:rFonts w:ascii="Calibri" w:hAnsi="Calibri"/>
                <w:color w:val="000000"/>
              </w:rPr>
              <w:t>Nbr Households 1,000’s</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-0.006%</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-0.001%</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0.002%</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0.043%</w:t>
            </w:r>
          </w:p>
        </w:tc>
      </w:tr>
      <w:tr w:rsidR="00213747" w:rsidTr="00FA3C3C">
        <w:trPr>
          <w:trHeight w:val="432"/>
          <w:jc w:val="center"/>
        </w:trPr>
        <w:tc>
          <w:tcPr>
            <w:tcW w:w="2448" w:type="dxa"/>
            <w:tcBorders>
              <w:top w:val="nil"/>
            </w:tcBorders>
            <w:vAlign w:val="center"/>
          </w:tcPr>
          <w:p w:rsidR="00213747" w:rsidRDefault="00213747" w:rsidP="00FA3C3C">
            <w:pPr>
              <w:jc w:val="left"/>
              <w:rPr>
                <w:rFonts w:ascii="Calibri" w:hAnsi="Calibri"/>
                <w:color w:val="000000"/>
              </w:rPr>
            </w:pPr>
            <w:r>
              <w:rPr>
                <w:rFonts w:ascii="Calibri" w:hAnsi="Calibri"/>
                <w:color w:val="000000"/>
              </w:rPr>
              <w:t>Urban</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-0.615%</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-0.077%</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-0.012%</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0.344%</w:t>
            </w:r>
          </w:p>
        </w:tc>
      </w:tr>
      <w:tr w:rsidR="00213747" w:rsidTr="00FA3C3C">
        <w:trPr>
          <w:trHeight w:val="432"/>
          <w:jc w:val="center"/>
        </w:trPr>
        <w:tc>
          <w:tcPr>
            <w:tcW w:w="2448" w:type="dxa"/>
            <w:tcBorders>
              <w:top w:val="nil"/>
            </w:tcBorders>
            <w:vAlign w:val="center"/>
          </w:tcPr>
          <w:p w:rsidR="00213747" w:rsidRDefault="00213747" w:rsidP="00FA3C3C">
            <w:pPr>
              <w:jc w:val="left"/>
              <w:rPr>
                <w:rFonts w:ascii="Calibri" w:hAnsi="Calibri"/>
                <w:color w:val="000000"/>
              </w:rPr>
            </w:pPr>
            <w:r>
              <w:rPr>
                <w:rFonts w:ascii="Calibri" w:hAnsi="Calibri"/>
                <w:color w:val="000000"/>
              </w:rPr>
              <w:t>Urban Clusters</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-0.407%</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-0.167%</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0.039%</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0.063%</w:t>
            </w:r>
          </w:p>
        </w:tc>
      </w:tr>
      <w:tr w:rsidR="00213747" w:rsidTr="00FA3C3C">
        <w:trPr>
          <w:trHeight w:val="432"/>
          <w:jc w:val="center"/>
        </w:trPr>
        <w:tc>
          <w:tcPr>
            <w:tcW w:w="2448" w:type="dxa"/>
            <w:tcBorders>
              <w:top w:val="nil"/>
            </w:tcBorders>
            <w:vAlign w:val="center"/>
          </w:tcPr>
          <w:p w:rsidR="00213747" w:rsidRDefault="00213747" w:rsidP="00FA3C3C">
            <w:pPr>
              <w:jc w:val="left"/>
              <w:rPr>
                <w:rFonts w:ascii="Calibri" w:hAnsi="Calibri"/>
                <w:color w:val="000000"/>
              </w:rPr>
            </w:pPr>
            <w:r>
              <w:rPr>
                <w:rFonts w:ascii="Calibri" w:hAnsi="Calibri"/>
                <w:color w:val="000000"/>
              </w:rPr>
              <w:t>High School</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1.505%</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0.048%</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-0.122%</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-0.021%</w:t>
            </w:r>
          </w:p>
        </w:tc>
      </w:tr>
      <w:tr w:rsidR="00213747" w:rsidTr="00FA3C3C">
        <w:trPr>
          <w:trHeight w:val="432"/>
          <w:jc w:val="center"/>
        </w:trPr>
        <w:tc>
          <w:tcPr>
            <w:tcW w:w="2448" w:type="dxa"/>
            <w:tcBorders>
              <w:top w:val="nil"/>
            </w:tcBorders>
            <w:vAlign w:val="center"/>
          </w:tcPr>
          <w:p w:rsidR="00213747" w:rsidRDefault="00213747" w:rsidP="00FA3C3C">
            <w:pPr>
              <w:jc w:val="left"/>
              <w:rPr>
                <w:rFonts w:ascii="Calibri" w:hAnsi="Calibri"/>
                <w:color w:val="000000"/>
              </w:rPr>
            </w:pPr>
            <w:r>
              <w:rPr>
                <w:rFonts w:ascii="Calibri" w:hAnsi="Calibri"/>
                <w:color w:val="000000"/>
              </w:rPr>
              <w:t>Bachelors</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0.174%</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-0.103%</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0.059%</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-0.397%</w:t>
            </w:r>
          </w:p>
        </w:tc>
      </w:tr>
      <w:tr w:rsidR="00213747" w:rsidTr="00FA3C3C">
        <w:trPr>
          <w:trHeight w:val="432"/>
          <w:jc w:val="center"/>
        </w:trPr>
        <w:tc>
          <w:tcPr>
            <w:tcW w:w="2448" w:type="dxa"/>
            <w:tcBorders>
              <w:top w:val="nil"/>
            </w:tcBorders>
            <w:vAlign w:val="center"/>
          </w:tcPr>
          <w:p w:rsidR="00213747" w:rsidRDefault="00213747" w:rsidP="00FA3C3C">
            <w:pPr>
              <w:jc w:val="left"/>
              <w:rPr>
                <w:rFonts w:ascii="Calibri" w:hAnsi="Calibri"/>
                <w:color w:val="000000"/>
              </w:rPr>
            </w:pPr>
            <w:r>
              <w:rPr>
                <w:rFonts w:ascii="Calibri" w:hAnsi="Calibri"/>
                <w:color w:val="000000"/>
              </w:rPr>
              <w:t>White</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-2.199%</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0.355%</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0.618%</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2.243%</w:t>
            </w:r>
          </w:p>
        </w:tc>
      </w:tr>
      <w:tr w:rsidR="00213747" w:rsidTr="00FA3C3C">
        <w:trPr>
          <w:trHeight w:val="432"/>
          <w:jc w:val="center"/>
        </w:trPr>
        <w:tc>
          <w:tcPr>
            <w:tcW w:w="2448" w:type="dxa"/>
            <w:tcBorders>
              <w:top w:val="nil"/>
            </w:tcBorders>
            <w:vAlign w:val="center"/>
          </w:tcPr>
          <w:p w:rsidR="00213747" w:rsidRDefault="00213747" w:rsidP="00FA3C3C">
            <w:pPr>
              <w:jc w:val="left"/>
              <w:rPr>
                <w:rFonts w:ascii="Calibri" w:hAnsi="Calibri"/>
                <w:color w:val="000000"/>
              </w:rPr>
            </w:pPr>
            <w:r>
              <w:rPr>
                <w:rFonts w:ascii="Calibri" w:hAnsi="Calibri"/>
                <w:color w:val="000000"/>
              </w:rPr>
              <w:t>African American</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-1.343%</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0.617%</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0.308%</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1.238%</w:t>
            </w:r>
          </w:p>
        </w:tc>
      </w:tr>
      <w:tr w:rsidR="00213747" w:rsidTr="00FA3C3C">
        <w:trPr>
          <w:trHeight w:val="432"/>
          <w:jc w:val="center"/>
        </w:trPr>
        <w:tc>
          <w:tcPr>
            <w:tcW w:w="2448" w:type="dxa"/>
            <w:tcBorders>
              <w:top w:val="nil"/>
            </w:tcBorders>
            <w:vAlign w:val="center"/>
          </w:tcPr>
          <w:p w:rsidR="00213747" w:rsidRDefault="00213747" w:rsidP="00FA3C3C">
            <w:pPr>
              <w:jc w:val="left"/>
              <w:rPr>
                <w:rFonts w:ascii="Calibri" w:hAnsi="Calibri"/>
                <w:color w:val="000000"/>
              </w:rPr>
            </w:pPr>
            <w:r>
              <w:rPr>
                <w:rFonts w:ascii="Calibri" w:hAnsi="Calibri"/>
                <w:color w:val="000000"/>
              </w:rPr>
              <w:t>Asian</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0.776%</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0.970%</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0.973%</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1.685%</w:t>
            </w:r>
          </w:p>
        </w:tc>
      </w:tr>
      <w:tr w:rsidR="00213747" w:rsidTr="00FA3C3C">
        <w:trPr>
          <w:trHeight w:val="432"/>
          <w:jc w:val="center"/>
        </w:trPr>
        <w:tc>
          <w:tcPr>
            <w:tcW w:w="2448" w:type="dxa"/>
            <w:tcBorders>
              <w:top w:val="nil"/>
            </w:tcBorders>
            <w:vAlign w:val="center"/>
          </w:tcPr>
          <w:p w:rsidR="00213747" w:rsidRDefault="00213747" w:rsidP="00FA3C3C">
            <w:pPr>
              <w:jc w:val="left"/>
              <w:rPr>
                <w:rFonts w:ascii="Calibri" w:hAnsi="Calibri"/>
                <w:color w:val="000000"/>
              </w:rPr>
            </w:pPr>
            <w:r>
              <w:rPr>
                <w:rFonts w:ascii="Calibri" w:hAnsi="Calibri"/>
                <w:color w:val="000000"/>
              </w:rPr>
              <w:t>Hispanic</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2.159%</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0.930%</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0.437%</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0.376%</w:t>
            </w:r>
          </w:p>
        </w:tc>
      </w:tr>
      <w:tr w:rsidR="00213747" w:rsidTr="00FA3C3C">
        <w:trPr>
          <w:trHeight w:val="432"/>
          <w:jc w:val="center"/>
        </w:trPr>
        <w:tc>
          <w:tcPr>
            <w:tcW w:w="2448" w:type="dxa"/>
            <w:tcBorders>
              <w:top w:val="nil"/>
            </w:tcBorders>
            <w:vAlign w:val="center"/>
          </w:tcPr>
          <w:p w:rsidR="00213747" w:rsidRDefault="00213747" w:rsidP="00FA3C3C">
            <w:pPr>
              <w:jc w:val="left"/>
              <w:rPr>
                <w:rFonts w:ascii="Calibri" w:hAnsi="Calibri"/>
                <w:color w:val="000000"/>
              </w:rPr>
            </w:pPr>
            <w:r>
              <w:rPr>
                <w:rFonts w:ascii="Calibri" w:hAnsi="Calibri"/>
                <w:color w:val="000000"/>
              </w:rPr>
              <w:t>Coupon Discount</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4.582%</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-1.401%</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0.903%</w:t>
            </w:r>
          </w:p>
        </w:tc>
        <w:tc>
          <w:tcPr>
            <w:tcW w:w="1296" w:type="dxa"/>
            <w:tcBorders>
              <w:top w:val="nil"/>
            </w:tcBorders>
            <w:vAlign w:val="center"/>
          </w:tcPr>
          <w:p w:rsidR="00213747" w:rsidRDefault="00213747" w:rsidP="00FA3C3C">
            <w:pPr>
              <w:tabs>
                <w:tab w:val="decimal" w:pos="324"/>
              </w:tabs>
              <w:jc w:val="left"/>
              <w:rPr>
                <w:rFonts w:ascii="Calibri" w:hAnsi="Calibri"/>
                <w:color w:val="000000"/>
              </w:rPr>
            </w:pPr>
            <w:r>
              <w:rPr>
                <w:rFonts w:ascii="Calibri" w:hAnsi="Calibri"/>
                <w:color w:val="000000"/>
              </w:rPr>
              <w:t>-2.553%</w:t>
            </w:r>
          </w:p>
        </w:tc>
      </w:tr>
      <w:tr w:rsidR="00213747" w:rsidTr="00FA3C3C">
        <w:trPr>
          <w:trHeight w:val="432"/>
          <w:jc w:val="center"/>
        </w:trPr>
        <w:tc>
          <w:tcPr>
            <w:tcW w:w="2448" w:type="dxa"/>
            <w:vAlign w:val="center"/>
          </w:tcPr>
          <w:p w:rsidR="00213747" w:rsidRDefault="00213747" w:rsidP="00FA3C3C">
            <w:pPr>
              <w:jc w:val="left"/>
              <w:rPr>
                <w:rFonts w:ascii="Calibri" w:hAnsi="Calibri"/>
                <w:color w:val="000000"/>
              </w:rPr>
            </w:pPr>
            <w:r>
              <w:rPr>
                <w:rFonts w:ascii="Calibri" w:hAnsi="Calibri"/>
                <w:color w:val="000000"/>
              </w:rPr>
              <w:t>Coupon Frequency</w:t>
            </w:r>
          </w:p>
        </w:tc>
        <w:tc>
          <w:tcPr>
            <w:tcW w:w="1296" w:type="dxa"/>
            <w:vAlign w:val="center"/>
          </w:tcPr>
          <w:p w:rsidR="00213747" w:rsidRDefault="00213747" w:rsidP="00FA3C3C">
            <w:pPr>
              <w:tabs>
                <w:tab w:val="decimal" w:pos="324"/>
              </w:tabs>
              <w:jc w:val="left"/>
              <w:rPr>
                <w:rFonts w:ascii="Calibri" w:hAnsi="Calibri"/>
                <w:color w:val="000000"/>
              </w:rPr>
            </w:pPr>
            <w:r>
              <w:rPr>
                <w:rFonts w:ascii="Calibri" w:hAnsi="Calibri"/>
                <w:color w:val="000000"/>
              </w:rPr>
              <w:t>-3.687%</w:t>
            </w:r>
          </w:p>
        </w:tc>
        <w:tc>
          <w:tcPr>
            <w:tcW w:w="1296" w:type="dxa"/>
            <w:vAlign w:val="center"/>
          </w:tcPr>
          <w:p w:rsidR="00213747" w:rsidRDefault="00213747" w:rsidP="00FA3C3C">
            <w:pPr>
              <w:tabs>
                <w:tab w:val="decimal" w:pos="324"/>
              </w:tabs>
              <w:jc w:val="left"/>
              <w:rPr>
                <w:rFonts w:ascii="Calibri" w:hAnsi="Calibri"/>
                <w:color w:val="000000"/>
              </w:rPr>
            </w:pPr>
            <w:r>
              <w:rPr>
                <w:rFonts w:ascii="Calibri" w:hAnsi="Calibri"/>
                <w:color w:val="000000"/>
              </w:rPr>
              <w:t>0.396%</w:t>
            </w:r>
          </w:p>
        </w:tc>
        <w:tc>
          <w:tcPr>
            <w:tcW w:w="1296" w:type="dxa"/>
            <w:vAlign w:val="center"/>
          </w:tcPr>
          <w:p w:rsidR="00213747" w:rsidRDefault="00213747" w:rsidP="00FA3C3C">
            <w:pPr>
              <w:tabs>
                <w:tab w:val="decimal" w:pos="324"/>
              </w:tabs>
              <w:jc w:val="left"/>
              <w:rPr>
                <w:rFonts w:ascii="Calibri" w:hAnsi="Calibri"/>
                <w:color w:val="000000"/>
              </w:rPr>
            </w:pPr>
            <w:r>
              <w:rPr>
                <w:rFonts w:ascii="Calibri" w:hAnsi="Calibri"/>
                <w:color w:val="000000"/>
              </w:rPr>
              <w:t>-0.558%</w:t>
            </w:r>
          </w:p>
        </w:tc>
        <w:tc>
          <w:tcPr>
            <w:tcW w:w="1296" w:type="dxa"/>
            <w:vAlign w:val="center"/>
          </w:tcPr>
          <w:p w:rsidR="00213747" w:rsidRDefault="00213747" w:rsidP="00FA3C3C">
            <w:pPr>
              <w:tabs>
                <w:tab w:val="decimal" w:pos="324"/>
              </w:tabs>
              <w:jc w:val="left"/>
              <w:rPr>
                <w:rFonts w:ascii="Calibri" w:hAnsi="Calibri"/>
                <w:color w:val="000000"/>
              </w:rPr>
            </w:pPr>
            <w:r>
              <w:rPr>
                <w:rFonts w:ascii="Calibri" w:hAnsi="Calibri"/>
                <w:color w:val="000000"/>
              </w:rPr>
              <w:t>-1.779%</w:t>
            </w:r>
          </w:p>
        </w:tc>
      </w:tr>
      <w:tr w:rsidR="00213747" w:rsidTr="00FA3C3C">
        <w:trPr>
          <w:trHeight w:val="432"/>
          <w:jc w:val="center"/>
        </w:trPr>
        <w:tc>
          <w:tcPr>
            <w:tcW w:w="2448" w:type="dxa"/>
            <w:vAlign w:val="center"/>
          </w:tcPr>
          <w:p w:rsidR="00213747" w:rsidRDefault="00213747" w:rsidP="00FA3C3C">
            <w:pPr>
              <w:jc w:val="left"/>
              <w:rPr>
                <w:rFonts w:ascii="Calibri" w:hAnsi="Calibri"/>
                <w:color w:val="000000"/>
              </w:rPr>
            </w:pPr>
            <w:r>
              <w:rPr>
                <w:rFonts w:ascii="Calibri" w:hAnsi="Calibri"/>
                <w:color w:val="000000"/>
              </w:rPr>
              <w:t>Unit Price Paid</w:t>
            </w:r>
          </w:p>
        </w:tc>
        <w:tc>
          <w:tcPr>
            <w:tcW w:w="1296" w:type="dxa"/>
          </w:tcPr>
          <w:p w:rsidR="00213747" w:rsidRDefault="00213747" w:rsidP="00FA3C3C">
            <w:pPr>
              <w:tabs>
                <w:tab w:val="decimal" w:pos="324"/>
              </w:tabs>
              <w:spacing w:before="60" w:after="60"/>
              <w:jc w:val="left"/>
            </w:pPr>
            <w:r>
              <w:t>0.005%</w:t>
            </w:r>
          </w:p>
        </w:tc>
        <w:tc>
          <w:tcPr>
            <w:tcW w:w="1296" w:type="dxa"/>
          </w:tcPr>
          <w:p w:rsidR="00213747" w:rsidRDefault="00213747" w:rsidP="00FA3C3C">
            <w:pPr>
              <w:tabs>
                <w:tab w:val="decimal" w:pos="324"/>
              </w:tabs>
              <w:spacing w:before="60" w:after="60"/>
              <w:jc w:val="left"/>
            </w:pPr>
            <w:r>
              <w:t>-0.089%</w:t>
            </w:r>
          </w:p>
        </w:tc>
        <w:tc>
          <w:tcPr>
            <w:tcW w:w="1296" w:type="dxa"/>
          </w:tcPr>
          <w:p w:rsidR="00213747" w:rsidRDefault="00213747" w:rsidP="00FA3C3C">
            <w:pPr>
              <w:tabs>
                <w:tab w:val="decimal" w:pos="324"/>
              </w:tabs>
              <w:spacing w:before="60" w:after="60"/>
              <w:jc w:val="left"/>
            </w:pPr>
            <w:r>
              <w:t>-0.123%</w:t>
            </w:r>
          </w:p>
        </w:tc>
        <w:tc>
          <w:tcPr>
            <w:tcW w:w="1296" w:type="dxa"/>
          </w:tcPr>
          <w:p w:rsidR="00213747" w:rsidRDefault="00213747" w:rsidP="00FA3C3C">
            <w:pPr>
              <w:tabs>
                <w:tab w:val="decimal" w:pos="324"/>
              </w:tabs>
              <w:spacing w:before="60" w:after="60"/>
              <w:jc w:val="left"/>
            </w:pPr>
            <w:r>
              <w:t>-0.209%</w:t>
            </w:r>
          </w:p>
        </w:tc>
      </w:tr>
      <w:tr w:rsidR="00213747" w:rsidTr="00FA3C3C">
        <w:trPr>
          <w:trHeight w:val="432"/>
          <w:jc w:val="center"/>
        </w:trPr>
        <w:tc>
          <w:tcPr>
            <w:tcW w:w="2448" w:type="dxa"/>
            <w:vAlign w:val="center"/>
          </w:tcPr>
          <w:p w:rsidR="00213747" w:rsidRDefault="00213747" w:rsidP="00FA3C3C">
            <w:pPr>
              <w:jc w:val="left"/>
              <w:rPr>
                <w:rFonts w:ascii="Calibri" w:hAnsi="Calibri"/>
                <w:color w:val="000000"/>
              </w:rPr>
            </w:pPr>
            <w:r>
              <w:rPr>
                <w:rFonts w:ascii="Calibri" w:hAnsi="Calibri"/>
                <w:color w:val="000000"/>
              </w:rPr>
              <w:t>Sample size</w:t>
            </w:r>
          </w:p>
        </w:tc>
        <w:tc>
          <w:tcPr>
            <w:tcW w:w="1296" w:type="dxa"/>
          </w:tcPr>
          <w:p w:rsidR="00213747" w:rsidRDefault="00213747" w:rsidP="00FA3C3C">
            <w:pPr>
              <w:spacing w:before="60" w:after="60"/>
            </w:pPr>
            <w:r>
              <w:t>1,172</w:t>
            </w:r>
          </w:p>
        </w:tc>
        <w:tc>
          <w:tcPr>
            <w:tcW w:w="1296" w:type="dxa"/>
          </w:tcPr>
          <w:p w:rsidR="00213747" w:rsidRDefault="00213747" w:rsidP="00FA3C3C">
            <w:pPr>
              <w:spacing w:before="60" w:after="60"/>
            </w:pPr>
            <w:r>
              <w:t>1,173</w:t>
            </w:r>
          </w:p>
        </w:tc>
        <w:tc>
          <w:tcPr>
            <w:tcW w:w="1296" w:type="dxa"/>
          </w:tcPr>
          <w:p w:rsidR="00213747" w:rsidRDefault="00213747" w:rsidP="00FA3C3C">
            <w:pPr>
              <w:spacing w:before="60" w:after="60"/>
            </w:pPr>
            <w:r>
              <w:t>1,171</w:t>
            </w:r>
          </w:p>
        </w:tc>
        <w:tc>
          <w:tcPr>
            <w:tcW w:w="1296" w:type="dxa"/>
          </w:tcPr>
          <w:p w:rsidR="00213747" w:rsidRDefault="00213747" w:rsidP="00FA3C3C">
            <w:pPr>
              <w:spacing w:before="60" w:after="60"/>
            </w:pPr>
            <w:r>
              <w:t>1,173</w:t>
            </w:r>
          </w:p>
        </w:tc>
      </w:tr>
    </w:tbl>
    <w:p w:rsidR="00213747" w:rsidRPr="00B966DB" w:rsidRDefault="00213747" w:rsidP="00213747">
      <w:pPr>
        <w:spacing w:before="60" w:line="240" w:lineRule="auto"/>
        <w:ind w:left="907" w:right="907"/>
        <w:rPr>
          <w:rFonts w:cs="Times New Roman"/>
          <w:sz w:val="20"/>
          <w:szCs w:val="20"/>
        </w:rPr>
      </w:pPr>
      <w:r w:rsidRPr="00B966DB">
        <w:rPr>
          <w:rFonts w:cs="Times New Roman"/>
          <w:sz w:val="20"/>
          <w:szCs w:val="20"/>
        </w:rPr>
        <w:t xml:space="preserve">The table reports the </w:t>
      </w:r>
      <w:r>
        <w:rPr>
          <w:rFonts w:cs="Times New Roman"/>
          <w:sz w:val="20"/>
          <w:szCs w:val="20"/>
        </w:rPr>
        <w:t xml:space="preserve">OLS </w:t>
      </w:r>
      <w:r w:rsidRPr="00B966DB">
        <w:rPr>
          <w:rFonts w:cs="Times New Roman"/>
          <w:sz w:val="20"/>
          <w:szCs w:val="20"/>
        </w:rPr>
        <w:t>coefficie</w:t>
      </w:r>
      <w:r>
        <w:rPr>
          <w:rFonts w:cs="Times New Roman"/>
          <w:sz w:val="20"/>
          <w:szCs w:val="20"/>
        </w:rPr>
        <w:t xml:space="preserve">nts from regressing </w:t>
      </w:r>
      <w:r>
        <w:rPr>
          <w:rFonts w:cs="Times New Roman"/>
          <w:i/>
          <w:sz w:val="20"/>
          <w:szCs w:val="20"/>
        </w:rPr>
        <w:t>Average Success Rate</w:t>
      </w:r>
      <w:r>
        <w:rPr>
          <w:rFonts w:cs="Times New Roman"/>
          <w:sz w:val="20"/>
          <w:szCs w:val="20"/>
        </w:rPr>
        <w:t xml:space="preserve"> on the control variables (separately by harbinger group zip code group)</w:t>
      </w:r>
      <w:r w:rsidRPr="00B966DB">
        <w:rPr>
          <w:rFonts w:cs="Times New Roman"/>
          <w:sz w:val="20"/>
          <w:szCs w:val="20"/>
        </w:rPr>
        <w:t xml:space="preserve">. </w:t>
      </w:r>
      <w:r>
        <w:rPr>
          <w:rFonts w:cs="Times New Roman"/>
          <w:sz w:val="20"/>
          <w:szCs w:val="20"/>
        </w:rPr>
        <w:t>T</w:t>
      </w:r>
      <w:r w:rsidRPr="00B966DB">
        <w:rPr>
          <w:rFonts w:cs="Times New Roman"/>
          <w:sz w:val="20"/>
          <w:szCs w:val="20"/>
        </w:rPr>
        <w:t>he unit of analysis</w:t>
      </w:r>
      <w:r>
        <w:rPr>
          <w:rFonts w:cs="Times New Roman"/>
          <w:sz w:val="20"/>
          <w:szCs w:val="20"/>
        </w:rPr>
        <w:t xml:space="preserve"> is</w:t>
      </w:r>
      <w:r w:rsidRPr="00B966DB">
        <w:rPr>
          <w:rFonts w:cs="Times New Roman"/>
          <w:sz w:val="20"/>
          <w:szCs w:val="20"/>
        </w:rPr>
        <w:t xml:space="preserve"> a </w:t>
      </w:r>
      <w:r>
        <w:rPr>
          <w:rFonts w:cs="Times New Roman"/>
          <w:sz w:val="20"/>
          <w:szCs w:val="20"/>
        </w:rPr>
        <w:t>zip code</w:t>
      </w:r>
      <w:r w:rsidRPr="00B966DB">
        <w:rPr>
          <w:rFonts w:cs="Times New Roman"/>
          <w:sz w:val="20"/>
          <w:szCs w:val="20"/>
        </w:rPr>
        <w:t xml:space="preserve">. </w:t>
      </w:r>
    </w:p>
    <w:p w:rsidR="00213747" w:rsidRDefault="00213747" w:rsidP="00213747">
      <w:pPr>
        <w:rPr>
          <w:b/>
        </w:rPr>
      </w:pPr>
      <w:r>
        <w:rPr>
          <w:b/>
        </w:rPr>
        <w:br w:type="page"/>
      </w:r>
    </w:p>
    <w:p w:rsidR="0058081B" w:rsidRDefault="0058081B" w:rsidP="0058081B">
      <w:pPr>
        <w:jc w:val="center"/>
      </w:pPr>
      <w:r>
        <w:rPr>
          <w:b/>
        </w:rPr>
        <w:lastRenderedPageBreak/>
        <w:t>Alternative Controls for Income</w:t>
      </w:r>
    </w:p>
    <w:p w:rsidR="0015171A" w:rsidRDefault="005C7F8E" w:rsidP="0058081B">
      <w:r>
        <w:t xml:space="preserve">In this analysis we </w:t>
      </w:r>
      <w:r w:rsidR="0058081B">
        <w:t>investigate an alternative approach for controlling for differences in average incomes across zip codes.  Under this approach</w:t>
      </w:r>
      <w:r w:rsidR="00FA3C3C">
        <w:t>,</w:t>
      </w:r>
      <w:r w:rsidR="0058081B">
        <w:t xml:space="preserve"> we group the zip codes into quartiles using the average income variable.  We then calculate the number of orders from each income quartile and add these counts as control variables in the models. </w:t>
      </w:r>
      <w:r w:rsidR="0015171A" w:rsidRPr="0015171A">
        <w:t>This is analogous to the approach we used to identify the harbinger effect.</w:t>
      </w:r>
    </w:p>
    <w:p w:rsidR="0058081B" w:rsidRDefault="0058081B" w:rsidP="0058081B">
      <w:r>
        <w:t>To ensure the variables controlling for income are not confounded with the variables measuring the harbinger effect, we use the following approach:</w:t>
      </w:r>
    </w:p>
    <w:p w:rsidR="0058081B" w:rsidRDefault="0058081B" w:rsidP="0058081B">
      <w:pPr>
        <w:pStyle w:val="ListParagraph"/>
        <w:numPr>
          <w:ilvl w:val="0"/>
          <w:numId w:val="3"/>
        </w:numPr>
      </w:pPr>
      <w:r>
        <w:t>I</w:t>
      </w:r>
      <w:r w:rsidRPr="00623659">
        <w:t xml:space="preserve">n </w:t>
      </w:r>
      <w:r w:rsidR="009732DD">
        <w:t>Equation</w:t>
      </w:r>
      <w:r w:rsidRPr="00623659">
        <w:t xml:space="preserve"> 2</w:t>
      </w:r>
      <w:r>
        <w:t xml:space="preserve"> the harbinger effect is estimated using the number of orders contributed by each harbinger group (measured by new product success in the classification set). In this model we control for income effects using the % of sales contributed by each income group.</w:t>
      </w:r>
    </w:p>
    <w:p w:rsidR="0058081B" w:rsidRDefault="0058081B" w:rsidP="0058081B">
      <w:pPr>
        <w:pStyle w:val="ListParagraph"/>
        <w:numPr>
          <w:ilvl w:val="0"/>
          <w:numId w:val="3"/>
        </w:numPr>
      </w:pPr>
      <w:r>
        <w:t>I</w:t>
      </w:r>
      <w:r w:rsidRPr="00623659">
        <w:t xml:space="preserve">n </w:t>
      </w:r>
      <w:r w:rsidR="009732DD">
        <w:t>Equation</w:t>
      </w:r>
      <w:r w:rsidRPr="00623659">
        <w:t xml:space="preserve"> </w:t>
      </w:r>
      <w:r>
        <w:t>3 the harbinger effect is estimated using the % of sales contributed by each harbinger group.  In this model we control for income effects using the number of orders contributed by each income group.</w:t>
      </w:r>
    </w:p>
    <w:p w:rsidR="0058081B" w:rsidRDefault="0058081B" w:rsidP="0058081B">
      <w:r>
        <w:t>When estimating these models</w:t>
      </w:r>
      <w:r w:rsidR="00FA3C3C">
        <w:t>,</w:t>
      </w:r>
      <w:r>
        <w:t xml:space="preserve"> we omit the income variable from the standard list of control variables. </w:t>
      </w:r>
    </w:p>
    <w:p w:rsidR="0058081B" w:rsidRDefault="0058081B" w:rsidP="0058081B"/>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1728"/>
      </w:tblGrid>
      <w:tr w:rsidR="0058081B" w:rsidRPr="00B966DB" w:rsidTr="00C93975">
        <w:trPr>
          <w:jc w:val="center"/>
        </w:trPr>
        <w:tc>
          <w:tcPr>
            <w:tcW w:w="2736" w:type="dxa"/>
            <w:tcBorders>
              <w:top w:val="double" w:sz="4" w:space="0" w:color="auto"/>
              <w:bottom w:val="single" w:sz="8" w:space="0" w:color="auto"/>
            </w:tcBorders>
          </w:tcPr>
          <w:p w:rsidR="0058081B" w:rsidRPr="00D2430C" w:rsidRDefault="0058081B" w:rsidP="00C51425">
            <w:pPr>
              <w:keepNext/>
              <w:spacing w:before="80" w:after="80"/>
              <w:rPr>
                <w:rFonts w:cs="Times New Roman"/>
                <w:b/>
              </w:rPr>
            </w:pPr>
          </w:p>
        </w:tc>
        <w:tc>
          <w:tcPr>
            <w:tcW w:w="2736" w:type="dxa"/>
            <w:tcBorders>
              <w:top w:val="double" w:sz="4" w:space="0" w:color="auto"/>
              <w:bottom w:val="single" w:sz="8" w:space="0" w:color="auto"/>
            </w:tcBorders>
            <w:vAlign w:val="center"/>
          </w:tcPr>
          <w:p w:rsidR="0058081B" w:rsidRPr="00D2430C" w:rsidRDefault="0058081B" w:rsidP="00C51425">
            <w:pPr>
              <w:keepNext/>
              <w:spacing w:before="80" w:after="80"/>
              <w:rPr>
                <w:rFonts w:cs="Times New Roman"/>
                <w:b/>
              </w:rPr>
            </w:pPr>
          </w:p>
        </w:tc>
        <w:tc>
          <w:tcPr>
            <w:tcW w:w="1728" w:type="dxa"/>
            <w:tcBorders>
              <w:top w:val="double" w:sz="4" w:space="0" w:color="auto"/>
              <w:bottom w:val="single" w:sz="8" w:space="0" w:color="auto"/>
            </w:tcBorders>
            <w:vAlign w:val="center"/>
          </w:tcPr>
          <w:p w:rsidR="0058081B" w:rsidRPr="00D2430C" w:rsidRDefault="00213747" w:rsidP="00C51425">
            <w:pPr>
              <w:keepNext/>
              <w:spacing w:before="80" w:after="80"/>
              <w:rPr>
                <w:rFonts w:cs="Times New Roman"/>
                <w:b/>
              </w:rPr>
            </w:pPr>
            <w:r>
              <w:rPr>
                <w:rFonts w:cs="Times New Roman"/>
                <w:b/>
              </w:rPr>
              <w:t>Equation</w:t>
            </w:r>
            <w:r w:rsidR="0058081B">
              <w:rPr>
                <w:rFonts w:cs="Times New Roman"/>
                <w:b/>
              </w:rPr>
              <w:t xml:space="preserve"> 2</w:t>
            </w:r>
          </w:p>
        </w:tc>
      </w:tr>
      <w:tr w:rsidR="0058081B" w:rsidRPr="00B966DB" w:rsidTr="00C93975">
        <w:trPr>
          <w:jc w:val="center"/>
        </w:trPr>
        <w:tc>
          <w:tcPr>
            <w:tcW w:w="2736" w:type="dxa"/>
            <w:vMerge w:val="restart"/>
            <w:tcBorders>
              <w:top w:val="nil"/>
            </w:tcBorders>
            <w:shd w:val="clear" w:color="auto" w:fill="D9D9D9" w:themeFill="background1" w:themeFillShade="D9"/>
          </w:tcPr>
          <w:p w:rsidR="0058081B" w:rsidRDefault="0058081B" w:rsidP="00C51425">
            <w:pPr>
              <w:spacing w:before="80" w:after="80"/>
              <w:jc w:val="left"/>
              <w:rPr>
                <w:rFonts w:cs="Times New Roman"/>
              </w:rPr>
            </w:pPr>
            <w:r>
              <w:rPr>
                <w:rFonts w:cs="Times New Roman"/>
              </w:rPr>
              <w:t>Purchases by                 Harbinger Group                 (in Classification Set)</w:t>
            </w:r>
          </w:p>
        </w:tc>
        <w:tc>
          <w:tcPr>
            <w:tcW w:w="2736" w:type="dxa"/>
            <w:tcBorders>
              <w:top w:val="nil"/>
              <w:bottom w:val="nil"/>
            </w:tcBorders>
            <w:shd w:val="clear" w:color="auto" w:fill="D9D9D9" w:themeFill="background1" w:themeFillShade="D9"/>
          </w:tcPr>
          <w:p w:rsidR="0058081B" w:rsidRPr="00D2430C" w:rsidRDefault="0058081B" w:rsidP="00C51425">
            <w:pPr>
              <w:spacing w:before="80" w:after="80"/>
              <w:jc w:val="left"/>
              <w:rPr>
                <w:rFonts w:cs="Times New Roman"/>
              </w:rPr>
            </w:pPr>
            <w:r>
              <w:rPr>
                <w:rFonts w:cs="Times New Roman"/>
              </w:rPr>
              <w:t>Log Orders Group 1</w:t>
            </w:r>
          </w:p>
        </w:tc>
        <w:tc>
          <w:tcPr>
            <w:tcW w:w="1728" w:type="dxa"/>
            <w:tcBorders>
              <w:top w:val="nil"/>
              <w:bottom w:val="nil"/>
            </w:tcBorders>
            <w:shd w:val="clear" w:color="auto" w:fill="D9D9D9" w:themeFill="background1" w:themeFillShade="D9"/>
          </w:tcPr>
          <w:p w:rsidR="0058081B" w:rsidRPr="00D2430C" w:rsidRDefault="0058081B" w:rsidP="00C51425">
            <w:pPr>
              <w:tabs>
                <w:tab w:val="decimal" w:pos="653"/>
              </w:tabs>
              <w:spacing w:before="80" w:after="80"/>
              <w:jc w:val="left"/>
              <w:rPr>
                <w:rFonts w:cs="Times New Roman"/>
              </w:rPr>
            </w:pPr>
            <w:r>
              <w:rPr>
                <w:rFonts w:cs="Times New Roman"/>
              </w:rPr>
              <w:t>161.08</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16.25</w:t>
            </w:r>
            <w:r w:rsidRPr="00D2430C">
              <w:rPr>
                <w:rFonts w:cs="Times New Roman"/>
              </w:rPr>
              <w:t>%)</w:t>
            </w:r>
          </w:p>
        </w:tc>
      </w:tr>
      <w:tr w:rsidR="0058081B" w:rsidRPr="00B966DB" w:rsidTr="00C93975">
        <w:trPr>
          <w:jc w:val="center"/>
        </w:trPr>
        <w:tc>
          <w:tcPr>
            <w:tcW w:w="2736" w:type="dxa"/>
            <w:vMerge/>
            <w:tcBorders>
              <w:bottom w:val="nil"/>
            </w:tcBorders>
            <w:shd w:val="clear" w:color="auto" w:fill="D9D9D9" w:themeFill="background1" w:themeFillShade="D9"/>
          </w:tcPr>
          <w:p w:rsidR="0058081B" w:rsidRPr="00D2430C" w:rsidRDefault="0058081B" w:rsidP="00C51425">
            <w:pPr>
              <w:spacing w:before="80" w:after="80"/>
              <w:rPr>
                <w:rFonts w:cs="Times New Roman"/>
              </w:rPr>
            </w:pPr>
          </w:p>
        </w:tc>
        <w:tc>
          <w:tcPr>
            <w:tcW w:w="2736" w:type="dxa"/>
            <w:tcBorders>
              <w:top w:val="nil"/>
              <w:bottom w:val="nil"/>
            </w:tcBorders>
            <w:shd w:val="clear" w:color="auto" w:fill="D9D9D9" w:themeFill="background1" w:themeFillShade="D9"/>
          </w:tcPr>
          <w:p w:rsidR="0058081B" w:rsidRPr="00D2430C" w:rsidRDefault="0058081B" w:rsidP="00C51425">
            <w:pPr>
              <w:spacing w:before="80" w:after="80"/>
              <w:jc w:val="left"/>
              <w:rPr>
                <w:rFonts w:cs="Times New Roman"/>
              </w:rPr>
            </w:pPr>
            <w:r>
              <w:rPr>
                <w:rFonts w:cs="Times New Roman"/>
              </w:rPr>
              <w:t>Log Orders Group 2</w:t>
            </w:r>
          </w:p>
        </w:tc>
        <w:tc>
          <w:tcPr>
            <w:tcW w:w="1728" w:type="dxa"/>
            <w:tcBorders>
              <w:top w:val="nil"/>
              <w:bottom w:val="nil"/>
            </w:tcBorders>
            <w:shd w:val="clear" w:color="auto" w:fill="D9D9D9" w:themeFill="background1" w:themeFillShade="D9"/>
          </w:tcPr>
          <w:p w:rsidR="0058081B" w:rsidRPr="00D2430C" w:rsidRDefault="0058081B" w:rsidP="00C51425">
            <w:pPr>
              <w:tabs>
                <w:tab w:val="decimal" w:pos="653"/>
              </w:tabs>
              <w:spacing w:before="80" w:after="80"/>
              <w:jc w:val="left"/>
              <w:rPr>
                <w:rFonts w:cs="Times New Roman"/>
              </w:rPr>
            </w:pPr>
            <w:r>
              <w:rPr>
                <w:rFonts w:cs="Times New Roman"/>
              </w:rPr>
              <w:t>-16.75</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19.11</w:t>
            </w:r>
            <w:r w:rsidRPr="00D2430C">
              <w:rPr>
                <w:rFonts w:cs="Times New Roman"/>
              </w:rPr>
              <w:t>%)</w:t>
            </w:r>
          </w:p>
        </w:tc>
      </w:tr>
      <w:tr w:rsidR="0058081B" w:rsidRPr="00B966DB" w:rsidTr="00C93975">
        <w:trPr>
          <w:jc w:val="center"/>
        </w:trPr>
        <w:tc>
          <w:tcPr>
            <w:tcW w:w="2736" w:type="dxa"/>
            <w:tcBorders>
              <w:top w:val="nil"/>
              <w:bottom w:val="nil"/>
            </w:tcBorders>
            <w:shd w:val="clear" w:color="auto" w:fill="D9D9D9" w:themeFill="background1" w:themeFillShade="D9"/>
          </w:tcPr>
          <w:p w:rsidR="0058081B" w:rsidRPr="00D2430C" w:rsidRDefault="0058081B" w:rsidP="00C51425">
            <w:pPr>
              <w:spacing w:before="80" w:after="80"/>
              <w:rPr>
                <w:rFonts w:cs="Times New Roman"/>
              </w:rPr>
            </w:pPr>
          </w:p>
        </w:tc>
        <w:tc>
          <w:tcPr>
            <w:tcW w:w="2736" w:type="dxa"/>
            <w:tcBorders>
              <w:top w:val="nil"/>
              <w:bottom w:val="nil"/>
            </w:tcBorders>
            <w:shd w:val="clear" w:color="auto" w:fill="D9D9D9" w:themeFill="background1" w:themeFillShade="D9"/>
          </w:tcPr>
          <w:p w:rsidR="0058081B" w:rsidRDefault="0058081B" w:rsidP="00C51425">
            <w:pPr>
              <w:spacing w:before="80" w:after="80"/>
              <w:jc w:val="left"/>
              <w:rPr>
                <w:rFonts w:cs="Times New Roman"/>
              </w:rPr>
            </w:pPr>
            <w:r>
              <w:rPr>
                <w:rFonts w:cs="Times New Roman"/>
              </w:rPr>
              <w:t>Log Orders Group 3</w:t>
            </w:r>
          </w:p>
        </w:tc>
        <w:tc>
          <w:tcPr>
            <w:tcW w:w="1728" w:type="dxa"/>
            <w:tcBorders>
              <w:top w:val="nil"/>
              <w:bottom w:val="nil"/>
            </w:tcBorders>
            <w:shd w:val="clear" w:color="auto" w:fill="D9D9D9" w:themeFill="background1" w:themeFillShade="D9"/>
          </w:tcPr>
          <w:p w:rsidR="0058081B" w:rsidRPr="00D2430C" w:rsidRDefault="0058081B" w:rsidP="00C51425">
            <w:pPr>
              <w:tabs>
                <w:tab w:val="decimal" w:pos="653"/>
              </w:tabs>
              <w:spacing w:before="80" w:after="80"/>
              <w:jc w:val="left"/>
              <w:rPr>
                <w:rFonts w:cs="Times New Roman"/>
              </w:rPr>
            </w:pPr>
            <w:r w:rsidRPr="00D2430C">
              <w:rPr>
                <w:rFonts w:cs="Times New Roman"/>
              </w:rPr>
              <w:t>-</w:t>
            </w:r>
            <w:r>
              <w:rPr>
                <w:rFonts w:cs="Times New Roman"/>
              </w:rPr>
              <w:t>32.51</w:t>
            </w:r>
            <w:r w:rsidRPr="00D2430C">
              <w:rPr>
                <w:rFonts w:cs="Times New Roman"/>
              </w:rPr>
              <w:t>%     (</w:t>
            </w:r>
            <w:r>
              <w:rPr>
                <w:rFonts w:cs="Times New Roman"/>
              </w:rPr>
              <w:t>19.90</w:t>
            </w:r>
            <w:r w:rsidRPr="00D2430C">
              <w:rPr>
                <w:rFonts w:cs="Times New Roman"/>
              </w:rPr>
              <w:t>%)</w:t>
            </w:r>
          </w:p>
        </w:tc>
      </w:tr>
      <w:tr w:rsidR="0058081B" w:rsidRPr="00B966DB" w:rsidTr="00C93975">
        <w:trPr>
          <w:jc w:val="center"/>
        </w:trPr>
        <w:tc>
          <w:tcPr>
            <w:tcW w:w="2736" w:type="dxa"/>
            <w:tcBorders>
              <w:top w:val="nil"/>
              <w:bottom w:val="nil"/>
            </w:tcBorders>
            <w:shd w:val="clear" w:color="auto" w:fill="D9D9D9" w:themeFill="background1" w:themeFillShade="D9"/>
          </w:tcPr>
          <w:p w:rsidR="0058081B" w:rsidRPr="00D2430C" w:rsidRDefault="0058081B" w:rsidP="00C51425">
            <w:pPr>
              <w:spacing w:before="80" w:after="80"/>
              <w:rPr>
                <w:rFonts w:cs="Times New Roman"/>
              </w:rPr>
            </w:pPr>
          </w:p>
        </w:tc>
        <w:tc>
          <w:tcPr>
            <w:tcW w:w="2736" w:type="dxa"/>
            <w:tcBorders>
              <w:top w:val="nil"/>
              <w:bottom w:val="nil"/>
            </w:tcBorders>
            <w:shd w:val="clear" w:color="auto" w:fill="D9D9D9" w:themeFill="background1" w:themeFillShade="D9"/>
          </w:tcPr>
          <w:p w:rsidR="0058081B" w:rsidRDefault="0058081B" w:rsidP="00C51425">
            <w:pPr>
              <w:spacing w:before="80" w:after="80"/>
              <w:jc w:val="left"/>
              <w:rPr>
                <w:rFonts w:cs="Times New Roman"/>
              </w:rPr>
            </w:pPr>
            <w:r>
              <w:rPr>
                <w:rFonts w:cs="Times New Roman"/>
              </w:rPr>
              <w:t>Log Orders Group 4</w:t>
            </w:r>
          </w:p>
        </w:tc>
        <w:tc>
          <w:tcPr>
            <w:tcW w:w="1728" w:type="dxa"/>
            <w:tcBorders>
              <w:top w:val="nil"/>
              <w:bottom w:val="nil"/>
            </w:tcBorders>
            <w:shd w:val="clear" w:color="auto" w:fill="D9D9D9" w:themeFill="background1" w:themeFillShade="D9"/>
          </w:tcPr>
          <w:p w:rsidR="0058081B" w:rsidRPr="00D2430C" w:rsidRDefault="0058081B" w:rsidP="00C51425">
            <w:pPr>
              <w:tabs>
                <w:tab w:val="decimal" w:pos="653"/>
              </w:tabs>
              <w:spacing w:before="80" w:after="80"/>
              <w:jc w:val="left"/>
              <w:rPr>
                <w:rFonts w:cs="Times New Roman"/>
              </w:rPr>
            </w:pPr>
            <w:r>
              <w:rPr>
                <w:rFonts w:cs="Times New Roman"/>
              </w:rPr>
              <w:t>-105.61</w:t>
            </w:r>
            <w:r w:rsidRPr="00D2430C">
              <w:rPr>
                <w:rFonts w:cs="Times New Roman"/>
              </w:rPr>
              <w:t>%</w:t>
            </w:r>
            <w:r w:rsidRPr="00D2430C">
              <w:rPr>
                <w:rFonts w:cs="Times New Roman"/>
                <w:vertAlign w:val="superscript"/>
              </w:rPr>
              <w:t>**</w:t>
            </w:r>
            <w:r w:rsidRPr="00D2430C">
              <w:rPr>
                <w:rFonts w:cs="Times New Roman"/>
              </w:rPr>
              <w:t xml:space="preserve">     (</w:t>
            </w:r>
            <w:r>
              <w:rPr>
                <w:rFonts w:cs="Times New Roman"/>
              </w:rPr>
              <w:t>14.95</w:t>
            </w:r>
            <w:r w:rsidRPr="00D2430C">
              <w:rPr>
                <w:rFonts w:cs="Times New Roman"/>
              </w:rPr>
              <w:t>%)</w:t>
            </w:r>
          </w:p>
        </w:tc>
      </w:tr>
      <w:tr w:rsidR="0058081B" w:rsidRPr="00B966DB" w:rsidTr="00C93975">
        <w:trPr>
          <w:jc w:val="center"/>
        </w:trPr>
        <w:tc>
          <w:tcPr>
            <w:tcW w:w="2736" w:type="dxa"/>
            <w:tcBorders>
              <w:top w:val="nil"/>
              <w:bottom w:val="nil"/>
            </w:tcBorders>
          </w:tcPr>
          <w:p w:rsidR="0058081B" w:rsidRDefault="0058081B" w:rsidP="00C51425">
            <w:pPr>
              <w:spacing w:before="80" w:after="80"/>
              <w:jc w:val="left"/>
              <w:rPr>
                <w:rFonts w:cs="Times New Roman"/>
              </w:rPr>
            </w:pPr>
            <w:r>
              <w:rPr>
                <w:rFonts w:cs="Times New Roman"/>
              </w:rPr>
              <w:t>Purchases by                      Income Group</w:t>
            </w:r>
          </w:p>
        </w:tc>
        <w:tc>
          <w:tcPr>
            <w:tcW w:w="2736" w:type="dxa"/>
            <w:tcBorders>
              <w:top w:val="nil"/>
              <w:bottom w:val="nil"/>
            </w:tcBorders>
          </w:tcPr>
          <w:p w:rsidR="0058081B" w:rsidRPr="00D2430C" w:rsidRDefault="0058081B" w:rsidP="00C51425">
            <w:pPr>
              <w:spacing w:before="80" w:after="80"/>
              <w:jc w:val="left"/>
              <w:rPr>
                <w:rFonts w:cs="Times New Roman"/>
              </w:rPr>
            </w:pPr>
            <w:r w:rsidRPr="00D2430C">
              <w:rPr>
                <w:rFonts w:cs="Times New Roman"/>
              </w:rPr>
              <w:t>%</w:t>
            </w:r>
            <w:r>
              <w:rPr>
                <w:rFonts w:cs="Times New Roman"/>
              </w:rPr>
              <w:t xml:space="preserve"> Income</w:t>
            </w:r>
            <w:r w:rsidRPr="00D2430C">
              <w:rPr>
                <w:rFonts w:cs="Times New Roman"/>
              </w:rPr>
              <w:t xml:space="preserve"> Group 2</w:t>
            </w:r>
          </w:p>
        </w:tc>
        <w:tc>
          <w:tcPr>
            <w:tcW w:w="1728" w:type="dxa"/>
            <w:tcBorders>
              <w:top w:val="nil"/>
              <w:bottom w:val="nil"/>
            </w:tcBorders>
          </w:tcPr>
          <w:p w:rsidR="0058081B" w:rsidRPr="00D2430C" w:rsidRDefault="0058081B" w:rsidP="00C51425">
            <w:pPr>
              <w:tabs>
                <w:tab w:val="decimal" w:pos="653"/>
              </w:tabs>
              <w:spacing w:before="80" w:after="80"/>
              <w:jc w:val="left"/>
              <w:rPr>
                <w:rFonts w:cs="Times New Roman"/>
              </w:rPr>
            </w:pPr>
            <w:r>
              <w:rPr>
                <w:rFonts w:cs="Times New Roman"/>
              </w:rPr>
              <w:t>-99.14</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65.15</w:t>
            </w:r>
            <w:r w:rsidRPr="00D2430C">
              <w:rPr>
                <w:rFonts w:cs="Times New Roman"/>
              </w:rPr>
              <w:t>%)</w:t>
            </w:r>
          </w:p>
        </w:tc>
      </w:tr>
      <w:tr w:rsidR="0058081B" w:rsidRPr="00B966DB" w:rsidTr="00C93975">
        <w:trPr>
          <w:jc w:val="center"/>
        </w:trPr>
        <w:tc>
          <w:tcPr>
            <w:tcW w:w="2736" w:type="dxa"/>
            <w:tcBorders>
              <w:top w:val="nil"/>
              <w:bottom w:val="nil"/>
            </w:tcBorders>
          </w:tcPr>
          <w:p w:rsidR="0058081B" w:rsidRDefault="0058081B" w:rsidP="00C51425">
            <w:pPr>
              <w:spacing w:before="80" w:after="80"/>
              <w:rPr>
                <w:rFonts w:cs="Times New Roman"/>
              </w:rPr>
            </w:pPr>
          </w:p>
        </w:tc>
        <w:tc>
          <w:tcPr>
            <w:tcW w:w="2736" w:type="dxa"/>
            <w:tcBorders>
              <w:top w:val="nil"/>
              <w:bottom w:val="nil"/>
            </w:tcBorders>
          </w:tcPr>
          <w:p w:rsidR="0058081B" w:rsidRPr="00D2430C" w:rsidRDefault="0058081B" w:rsidP="00C51425">
            <w:pPr>
              <w:spacing w:before="80" w:after="80"/>
              <w:jc w:val="left"/>
              <w:rPr>
                <w:rFonts w:cs="Times New Roman"/>
              </w:rPr>
            </w:pPr>
            <w:r w:rsidRPr="00D2430C">
              <w:rPr>
                <w:rFonts w:cs="Times New Roman"/>
              </w:rPr>
              <w:t xml:space="preserve">% </w:t>
            </w:r>
            <w:r>
              <w:rPr>
                <w:rFonts w:cs="Times New Roman"/>
              </w:rPr>
              <w:t xml:space="preserve">Income </w:t>
            </w:r>
            <w:r w:rsidRPr="00D2430C">
              <w:rPr>
                <w:rFonts w:cs="Times New Roman"/>
              </w:rPr>
              <w:t>Group 3</w:t>
            </w:r>
          </w:p>
        </w:tc>
        <w:tc>
          <w:tcPr>
            <w:tcW w:w="1728" w:type="dxa"/>
            <w:tcBorders>
              <w:top w:val="nil"/>
              <w:bottom w:val="nil"/>
            </w:tcBorders>
          </w:tcPr>
          <w:p w:rsidR="0058081B" w:rsidRPr="00D2430C" w:rsidRDefault="0058081B" w:rsidP="00C51425">
            <w:pPr>
              <w:tabs>
                <w:tab w:val="decimal" w:pos="653"/>
              </w:tabs>
              <w:spacing w:before="80" w:after="80"/>
              <w:jc w:val="left"/>
              <w:rPr>
                <w:rFonts w:cs="Times New Roman"/>
              </w:rPr>
            </w:pPr>
            <w:r>
              <w:rPr>
                <w:rFonts w:cs="Times New Roman"/>
              </w:rPr>
              <w:t>-86.49</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70.04</w:t>
            </w:r>
            <w:r w:rsidRPr="00D2430C">
              <w:rPr>
                <w:rFonts w:cs="Times New Roman"/>
              </w:rPr>
              <w:t>%)</w:t>
            </w:r>
          </w:p>
        </w:tc>
      </w:tr>
      <w:tr w:rsidR="0058081B" w:rsidRPr="00B966DB" w:rsidTr="00C93975">
        <w:trPr>
          <w:jc w:val="center"/>
        </w:trPr>
        <w:tc>
          <w:tcPr>
            <w:tcW w:w="2736" w:type="dxa"/>
            <w:tcBorders>
              <w:top w:val="nil"/>
              <w:bottom w:val="nil"/>
            </w:tcBorders>
          </w:tcPr>
          <w:p w:rsidR="0058081B" w:rsidRDefault="0058081B" w:rsidP="00C51425">
            <w:pPr>
              <w:spacing w:before="80" w:after="80"/>
              <w:rPr>
                <w:rFonts w:cs="Times New Roman"/>
              </w:rPr>
            </w:pPr>
          </w:p>
        </w:tc>
        <w:tc>
          <w:tcPr>
            <w:tcW w:w="2736" w:type="dxa"/>
            <w:tcBorders>
              <w:top w:val="nil"/>
              <w:bottom w:val="nil"/>
            </w:tcBorders>
          </w:tcPr>
          <w:p w:rsidR="0058081B" w:rsidRPr="00D2430C" w:rsidRDefault="0058081B" w:rsidP="00C51425">
            <w:pPr>
              <w:spacing w:before="80" w:after="80"/>
              <w:jc w:val="left"/>
              <w:rPr>
                <w:rFonts w:cs="Times New Roman"/>
              </w:rPr>
            </w:pPr>
            <w:r w:rsidRPr="00D2430C">
              <w:rPr>
                <w:rFonts w:cs="Times New Roman"/>
              </w:rPr>
              <w:t xml:space="preserve">% </w:t>
            </w:r>
            <w:r>
              <w:rPr>
                <w:rFonts w:cs="Times New Roman"/>
              </w:rPr>
              <w:t xml:space="preserve">(Lowest) Income </w:t>
            </w:r>
            <w:r w:rsidRPr="00D2430C">
              <w:rPr>
                <w:rFonts w:cs="Times New Roman"/>
              </w:rPr>
              <w:t xml:space="preserve">Group 4 </w:t>
            </w:r>
          </w:p>
        </w:tc>
        <w:tc>
          <w:tcPr>
            <w:tcW w:w="1728" w:type="dxa"/>
            <w:tcBorders>
              <w:top w:val="nil"/>
              <w:bottom w:val="nil"/>
            </w:tcBorders>
          </w:tcPr>
          <w:p w:rsidR="0058081B" w:rsidRPr="00D2430C" w:rsidRDefault="0058081B" w:rsidP="00C51425">
            <w:pPr>
              <w:tabs>
                <w:tab w:val="decimal" w:pos="653"/>
              </w:tabs>
              <w:spacing w:before="80" w:after="80"/>
              <w:jc w:val="left"/>
              <w:rPr>
                <w:rFonts w:cs="Times New Roman"/>
              </w:rPr>
            </w:pPr>
            <w:r>
              <w:rPr>
                <w:rFonts w:cs="Times New Roman"/>
              </w:rPr>
              <w:t>-68.77</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81.01</w:t>
            </w:r>
            <w:r w:rsidRPr="00D2430C">
              <w:rPr>
                <w:rFonts w:cs="Times New Roman"/>
              </w:rPr>
              <w:t>%)</w:t>
            </w:r>
          </w:p>
        </w:tc>
      </w:tr>
      <w:tr w:rsidR="0058081B" w:rsidRPr="00B966DB" w:rsidTr="00C93975">
        <w:trPr>
          <w:jc w:val="center"/>
        </w:trPr>
        <w:tc>
          <w:tcPr>
            <w:tcW w:w="2736" w:type="dxa"/>
            <w:tcBorders>
              <w:top w:val="nil"/>
            </w:tcBorders>
          </w:tcPr>
          <w:p w:rsidR="0058081B" w:rsidRPr="00D2430C" w:rsidRDefault="0058081B" w:rsidP="00C51425">
            <w:pPr>
              <w:spacing w:before="80" w:after="80"/>
              <w:rPr>
                <w:rFonts w:cs="Times New Roman"/>
              </w:rPr>
            </w:pPr>
          </w:p>
        </w:tc>
        <w:tc>
          <w:tcPr>
            <w:tcW w:w="2736" w:type="dxa"/>
            <w:tcBorders>
              <w:top w:val="nil"/>
            </w:tcBorders>
          </w:tcPr>
          <w:p w:rsidR="0058081B" w:rsidRPr="00D2430C" w:rsidRDefault="0058081B" w:rsidP="00C51425">
            <w:pPr>
              <w:spacing w:before="80" w:after="80"/>
              <w:jc w:val="left"/>
              <w:rPr>
                <w:rFonts w:cs="Times New Roman"/>
                <w:vertAlign w:val="superscript"/>
              </w:rPr>
            </w:pPr>
            <w:r w:rsidRPr="00D2430C">
              <w:rPr>
                <w:rFonts w:cs="Times New Roman"/>
              </w:rPr>
              <w:t>R</w:t>
            </w:r>
            <w:r w:rsidRPr="00D2430C">
              <w:rPr>
                <w:rFonts w:cs="Times New Roman"/>
                <w:vertAlign w:val="superscript"/>
              </w:rPr>
              <w:t>2</w:t>
            </w:r>
          </w:p>
        </w:tc>
        <w:tc>
          <w:tcPr>
            <w:tcW w:w="1728" w:type="dxa"/>
            <w:tcBorders>
              <w:top w:val="nil"/>
            </w:tcBorders>
            <w:vAlign w:val="center"/>
          </w:tcPr>
          <w:p w:rsidR="0058081B" w:rsidRPr="00D2430C" w:rsidRDefault="0058081B" w:rsidP="00C51425">
            <w:pPr>
              <w:keepNext/>
              <w:spacing w:before="80" w:after="80"/>
              <w:rPr>
                <w:rFonts w:cs="Times New Roman"/>
              </w:rPr>
            </w:pPr>
            <w:r w:rsidRPr="00D2430C">
              <w:rPr>
                <w:rFonts w:cs="Times New Roman"/>
              </w:rPr>
              <w:t>0.</w:t>
            </w:r>
            <w:r>
              <w:rPr>
                <w:rFonts w:cs="Times New Roman"/>
              </w:rPr>
              <w:t>2197</w:t>
            </w:r>
          </w:p>
        </w:tc>
      </w:tr>
    </w:tbl>
    <w:p w:rsidR="0058081B" w:rsidRDefault="0058081B" w:rsidP="0058081B">
      <w:pPr>
        <w:spacing w:before="60" w:line="240" w:lineRule="auto"/>
        <w:ind w:right="180"/>
        <w:rPr>
          <w:rFonts w:cs="Times New Roman"/>
          <w:sz w:val="20"/>
          <w:szCs w:val="20"/>
        </w:rPr>
      </w:pPr>
      <w:r w:rsidRPr="00623659">
        <w:rPr>
          <w:rFonts w:cs="Times New Roman"/>
          <w:sz w:val="20"/>
          <w:szCs w:val="20"/>
        </w:rPr>
        <w:t xml:space="preserve">The table reports the coefficients from estimating Equation 2 with the addition of controls for income groups. The unit of analysis is a new item and the sample size is 2,388. </w:t>
      </w:r>
      <w:r w:rsidR="00354EB2">
        <w:rPr>
          <w:rFonts w:cs="Times New Roman"/>
          <w:sz w:val="20"/>
          <w:szCs w:val="20"/>
        </w:rPr>
        <w:t xml:space="preserve">Fixed effects at the 3-digit zip code together with coefficients for the control variables (except income) are estimated but omitted from the table. </w:t>
      </w:r>
      <w:r w:rsidRPr="00623659">
        <w:rPr>
          <w:rFonts w:cs="Times New Roman"/>
          <w:sz w:val="20"/>
          <w:szCs w:val="20"/>
        </w:rPr>
        <w:t>Standard errors are in parentheses.</w:t>
      </w:r>
    </w:p>
    <w:p w:rsidR="0058081B" w:rsidRPr="00623659" w:rsidRDefault="0058081B" w:rsidP="0058081B">
      <w:pPr>
        <w:spacing w:before="60" w:line="240" w:lineRule="auto"/>
        <w:ind w:right="180"/>
        <w:rPr>
          <w:rFonts w:cs="Times New Roman"/>
          <w:sz w:val="20"/>
          <w:szCs w:val="20"/>
        </w:rPr>
      </w:pP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1728"/>
      </w:tblGrid>
      <w:tr w:rsidR="0058081B" w:rsidRPr="00B966DB" w:rsidTr="00C93975">
        <w:trPr>
          <w:jc w:val="center"/>
        </w:trPr>
        <w:tc>
          <w:tcPr>
            <w:tcW w:w="2736" w:type="dxa"/>
            <w:tcBorders>
              <w:top w:val="double" w:sz="4" w:space="0" w:color="auto"/>
              <w:bottom w:val="single" w:sz="8" w:space="0" w:color="auto"/>
            </w:tcBorders>
          </w:tcPr>
          <w:p w:rsidR="0058081B" w:rsidRPr="00D2430C" w:rsidRDefault="0058081B" w:rsidP="00C93975">
            <w:pPr>
              <w:keepNext/>
              <w:spacing w:after="120"/>
              <w:rPr>
                <w:rFonts w:cs="Times New Roman"/>
                <w:b/>
              </w:rPr>
            </w:pPr>
          </w:p>
        </w:tc>
        <w:tc>
          <w:tcPr>
            <w:tcW w:w="2736" w:type="dxa"/>
            <w:tcBorders>
              <w:top w:val="double" w:sz="4" w:space="0" w:color="auto"/>
              <w:bottom w:val="single" w:sz="8" w:space="0" w:color="auto"/>
            </w:tcBorders>
            <w:vAlign w:val="center"/>
          </w:tcPr>
          <w:p w:rsidR="0058081B" w:rsidRPr="00D2430C" w:rsidRDefault="0058081B" w:rsidP="00C93975">
            <w:pPr>
              <w:keepNext/>
              <w:spacing w:before="120" w:after="120"/>
              <w:rPr>
                <w:rFonts w:cs="Times New Roman"/>
                <w:b/>
              </w:rPr>
            </w:pPr>
          </w:p>
        </w:tc>
        <w:tc>
          <w:tcPr>
            <w:tcW w:w="1728" w:type="dxa"/>
            <w:tcBorders>
              <w:top w:val="double" w:sz="4" w:space="0" w:color="auto"/>
              <w:bottom w:val="single" w:sz="8" w:space="0" w:color="auto"/>
            </w:tcBorders>
            <w:vAlign w:val="center"/>
          </w:tcPr>
          <w:p w:rsidR="0058081B" w:rsidRPr="00D2430C" w:rsidRDefault="00213747" w:rsidP="00213747">
            <w:pPr>
              <w:keepNext/>
              <w:spacing w:before="120" w:after="120"/>
              <w:rPr>
                <w:rFonts w:cs="Times New Roman"/>
                <w:b/>
              </w:rPr>
            </w:pPr>
            <w:r>
              <w:rPr>
                <w:rFonts w:cs="Times New Roman"/>
                <w:b/>
              </w:rPr>
              <w:t>Equation</w:t>
            </w:r>
            <w:r w:rsidR="0058081B">
              <w:rPr>
                <w:rFonts w:cs="Times New Roman"/>
                <w:b/>
              </w:rPr>
              <w:t xml:space="preserve"> 3</w:t>
            </w:r>
          </w:p>
        </w:tc>
      </w:tr>
      <w:tr w:rsidR="0058081B" w:rsidRPr="00B966DB" w:rsidTr="00C93975">
        <w:trPr>
          <w:jc w:val="center"/>
        </w:trPr>
        <w:tc>
          <w:tcPr>
            <w:tcW w:w="2736" w:type="dxa"/>
            <w:vMerge w:val="restart"/>
            <w:tcBorders>
              <w:top w:val="nil"/>
            </w:tcBorders>
            <w:shd w:val="clear" w:color="auto" w:fill="D9D9D9" w:themeFill="background1" w:themeFillShade="D9"/>
          </w:tcPr>
          <w:p w:rsidR="0058081B" w:rsidRDefault="0058081B" w:rsidP="00C93975">
            <w:pPr>
              <w:spacing w:before="120" w:after="120"/>
              <w:jc w:val="left"/>
              <w:rPr>
                <w:rFonts w:cs="Times New Roman"/>
              </w:rPr>
            </w:pPr>
            <w:r>
              <w:rPr>
                <w:rFonts w:cs="Times New Roman"/>
              </w:rPr>
              <w:t>Purchases by                 Harbinger Group                 (in Classification Set)</w:t>
            </w:r>
          </w:p>
        </w:tc>
        <w:tc>
          <w:tcPr>
            <w:tcW w:w="2736" w:type="dxa"/>
            <w:tcBorders>
              <w:top w:val="nil"/>
              <w:bottom w:val="nil"/>
            </w:tcBorders>
            <w:shd w:val="clear" w:color="auto" w:fill="D9D9D9" w:themeFill="background1" w:themeFillShade="D9"/>
          </w:tcPr>
          <w:p w:rsidR="0058081B" w:rsidRPr="00D2430C" w:rsidRDefault="0058081B" w:rsidP="00C93975">
            <w:pPr>
              <w:spacing w:before="120" w:after="120"/>
              <w:jc w:val="left"/>
              <w:rPr>
                <w:rFonts w:cs="Times New Roman"/>
              </w:rPr>
            </w:pPr>
            <w:r w:rsidRPr="00D2430C">
              <w:rPr>
                <w:rFonts w:cs="Times New Roman"/>
              </w:rPr>
              <w:t>% Group 2</w:t>
            </w:r>
          </w:p>
        </w:tc>
        <w:tc>
          <w:tcPr>
            <w:tcW w:w="1728" w:type="dxa"/>
            <w:tcBorders>
              <w:top w:val="nil"/>
              <w:bottom w:val="nil"/>
            </w:tcBorders>
            <w:shd w:val="clear" w:color="auto" w:fill="D9D9D9" w:themeFill="background1" w:themeFillShade="D9"/>
          </w:tcPr>
          <w:p w:rsidR="0058081B" w:rsidRPr="00D2430C" w:rsidRDefault="0058081B" w:rsidP="00C93975">
            <w:pPr>
              <w:tabs>
                <w:tab w:val="decimal" w:pos="653"/>
              </w:tabs>
              <w:spacing w:before="120" w:after="120"/>
              <w:jc w:val="left"/>
              <w:rPr>
                <w:rFonts w:cs="Times New Roman"/>
              </w:rPr>
            </w:pPr>
            <w:r>
              <w:rPr>
                <w:rFonts w:cs="Times New Roman"/>
              </w:rPr>
              <w:t>-158.85</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50.82</w:t>
            </w:r>
            <w:r w:rsidRPr="00D2430C">
              <w:rPr>
                <w:rFonts w:cs="Times New Roman"/>
              </w:rPr>
              <w:t>%)</w:t>
            </w:r>
          </w:p>
        </w:tc>
      </w:tr>
      <w:tr w:rsidR="0058081B" w:rsidRPr="00B966DB" w:rsidTr="00C93975">
        <w:trPr>
          <w:jc w:val="center"/>
        </w:trPr>
        <w:tc>
          <w:tcPr>
            <w:tcW w:w="2736" w:type="dxa"/>
            <w:vMerge/>
            <w:tcBorders>
              <w:bottom w:val="nil"/>
            </w:tcBorders>
            <w:shd w:val="clear" w:color="auto" w:fill="D9D9D9" w:themeFill="background1" w:themeFillShade="D9"/>
          </w:tcPr>
          <w:p w:rsidR="0058081B" w:rsidRPr="00D2430C" w:rsidRDefault="0058081B" w:rsidP="00C93975">
            <w:pPr>
              <w:spacing w:after="120"/>
              <w:rPr>
                <w:rFonts w:cs="Times New Roman"/>
              </w:rPr>
            </w:pPr>
          </w:p>
        </w:tc>
        <w:tc>
          <w:tcPr>
            <w:tcW w:w="2736" w:type="dxa"/>
            <w:tcBorders>
              <w:top w:val="nil"/>
              <w:bottom w:val="nil"/>
            </w:tcBorders>
            <w:shd w:val="clear" w:color="auto" w:fill="D9D9D9" w:themeFill="background1" w:themeFillShade="D9"/>
          </w:tcPr>
          <w:p w:rsidR="0058081B" w:rsidRPr="00D2430C" w:rsidRDefault="0058081B" w:rsidP="00C93975">
            <w:pPr>
              <w:spacing w:before="120" w:after="120"/>
              <w:jc w:val="left"/>
              <w:rPr>
                <w:rFonts w:cs="Times New Roman"/>
              </w:rPr>
            </w:pPr>
            <w:r w:rsidRPr="00D2430C">
              <w:rPr>
                <w:rFonts w:cs="Times New Roman"/>
              </w:rPr>
              <w:t>% Group 3</w:t>
            </w:r>
          </w:p>
        </w:tc>
        <w:tc>
          <w:tcPr>
            <w:tcW w:w="1728" w:type="dxa"/>
            <w:tcBorders>
              <w:top w:val="nil"/>
              <w:bottom w:val="nil"/>
            </w:tcBorders>
            <w:shd w:val="clear" w:color="auto" w:fill="D9D9D9" w:themeFill="background1" w:themeFillShade="D9"/>
          </w:tcPr>
          <w:p w:rsidR="0058081B" w:rsidRPr="00D2430C" w:rsidRDefault="0058081B" w:rsidP="00C93975">
            <w:pPr>
              <w:tabs>
                <w:tab w:val="decimal" w:pos="653"/>
              </w:tabs>
              <w:spacing w:before="120" w:after="120"/>
              <w:jc w:val="left"/>
              <w:rPr>
                <w:rFonts w:cs="Times New Roman"/>
              </w:rPr>
            </w:pPr>
            <w:r>
              <w:rPr>
                <w:rFonts w:cs="Times New Roman"/>
              </w:rPr>
              <w:t>-268.52</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50.24</w:t>
            </w:r>
            <w:r w:rsidRPr="00D2430C">
              <w:rPr>
                <w:rFonts w:cs="Times New Roman"/>
              </w:rPr>
              <w:t>%)</w:t>
            </w:r>
          </w:p>
        </w:tc>
      </w:tr>
      <w:tr w:rsidR="0058081B" w:rsidRPr="00B966DB" w:rsidTr="00C93975">
        <w:trPr>
          <w:jc w:val="center"/>
        </w:trPr>
        <w:tc>
          <w:tcPr>
            <w:tcW w:w="2736" w:type="dxa"/>
            <w:tcBorders>
              <w:top w:val="nil"/>
              <w:bottom w:val="nil"/>
            </w:tcBorders>
            <w:shd w:val="clear" w:color="auto" w:fill="D9D9D9" w:themeFill="background1" w:themeFillShade="D9"/>
          </w:tcPr>
          <w:p w:rsidR="0058081B" w:rsidRPr="00D2430C" w:rsidRDefault="0058081B" w:rsidP="00C93975">
            <w:pPr>
              <w:spacing w:after="120"/>
              <w:rPr>
                <w:rFonts w:cs="Times New Roman"/>
              </w:rPr>
            </w:pPr>
          </w:p>
        </w:tc>
        <w:tc>
          <w:tcPr>
            <w:tcW w:w="2736" w:type="dxa"/>
            <w:tcBorders>
              <w:top w:val="nil"/>
              <w:bottom w:val="nil"/>
            </w:tcBorders>
            <w:shd w:val="clear" w:color="auto" w:fill="D9D9D9" w:themeFill="background1" w:themeFillShade="D9"/>
          </w:tcPr>
          <w:p w:rsidR="0058081B" w:rsidRPr="00D2430C" w:rsidRDefault="0058081B" w:rsidP="00C93975">
            <w:pPr>
              <w:spacing w:before="120" w:after="120"/>
              <w:jc w:val="left"/>
              <w:rPr>
                <w:rFonts w:cs="Times New Roman"/>
              </w:rPr>
            </w:pPr>
            <w:r w:rsidRPr="00D2430C">
              <w:rPr>
                <w:rFonts w:cs="Times New Roman"/>
              </w:rPr>
              <w:t xml:space="preserve">% Group 4 </w:t>
            </w:r>
          </w:p>
        </w:tc>
        <w:tc>
          <w:tcPr>
            <w:tcW w:w="1728" w:type="dxa"/>
            <w:tcBorders>
              <w:top w:val="nil"/>
              <w:bottom w:val="nil"/>
            </w:tcBorders>
            <w:shd w:val="clear" w:color="auto" w:fill="D9D9D9" w:themeFill="background1" w:themeFillShade="D9"/>
          </w:tcPr>
          <w:p w:rsidR="0058081B" w:rsidRPr="00D2430C" w:rsidRDefault="0058081B" w:rsidP="00C93975">
            <w:pPr>
              <w:tabs>
                <w:tab w:val="decimal" w:pos="653"/>
              </w:tabs>
              <w:spacing w:before="120" w:after="120"/>
              <w:jc w:val="left"/>
              <w:rPr>
                <w:rFonts w:cs="Times New Roman"/>
              </w:rPr>
            </w:pPr>
            <w:r w:rsidRPr="00D2430C">
              <w:rPr>
                <w:rFonts w:cs="Times New Roman"/>
              </w:rPr>
              <w:t>-</w:t>
            </w:r>
            <w:r>
              <w:rPr>
                <w:rFonts w:cs="Times New Roman"/>
              </w:rPr>
              <w:t>636.67</w:t>
            </w:r>
            <w:r w:rsidRPr="00D2430C">
              <w:rPr>
                <w:rFonts w:cs="Times New Roman"/>
              </w:rPr>
              <w:t>%</w:t>
            </w:r>
            <w:r w:rsidRPr="00D2430C">
              <w:rPr>
                <w:rFonts w:cs="Times New Roman"/>
                <w:vertAlign w:val="superscript"/>
              </w:rPr>
              <w:t>**</w:t>
            </w:r>
            <w:r w:rsidRPr="00D2430C">
              <w:rPr>
                <w:rFonts w:cs="Times New Roman"/>
              </w:rPr>
              <w:t xml:space="preserve">     (</w:t>
            </w:r>
            <w:r>
              <w:rPr>
                <w:rFonts w:cs="Times New Roman"/>
              </w:rPr>
              <w:t>56.15</w:t>
            </w:r>
            <w:r w:rsidRPr="00D2430C">
              <w:rPr>
                <w:rFonts w:cs="Times New Roman"/>
              </w:rPr>
              <w:t>%)</w:t>
            </w:r>
          </w:p>
        </w:tc>
      </w:tr>
      <w:tr w:rsidR="0058081B" w:rsidRPr="00B966DB" w:rsidTr="00C93975">
        <w:trPr>
          <w:jc w:val="center"/>
        </w:trPr>
        <w:tc>
          <w:tcPr>
            <w:tcW w:w="2736" w:type="dxa"/>
            <w:tcBorders>
              <w:top w:val="nil"/>
              <w:bottom w:val="nil"/>
            </w:tcBorders>
          </w:tcPr>
          <w:p w:rsidR="0058081B" w:rsidRDefault="0058081B" w:rsidP="00C93975">
            <w:pPr>
              <w:spacing w:before="120" w:after="120"/>
              <w:jc w:val="left"/>
              <w:rPr>
                <w:rFonts w:cs="Times New Roman"/>
              </w:rPr>
            </w:pPr>
            <w:r>
              <w:rPr>
                <w:rFonts w:cs="Times New Roman"/>
              </w:rPr>
              <w:t>Purchases by                      Income Group</w:t>
            </w:r>
          </w:p>
        </w:tc>
        <w:tc>
          <w:tcPr>
            <w:tcW w:w="2736" w:type="dxa"/>
            <w:tcBorders>
              <w:top w:val="nil"/>
              <w:bottom w:val="nil"/>
            </w:tcBorders>
          </w:tcPr>
          <w:p w:rsidR="0058081B" w:rsidRPr="00D2430C" w:rsidRDefault="0058081B" w:rsidP="00C93975">
            <w:pPr>
              <w:spacing w:before="120" w:after="120"/>
              <w:jc w:val="left"/>
              <w:rPr>
                <w:rFonts w:cs="Times New Roman"/>
              </w:rPr>
            </w:pPr>
            <w:r>
              <w:rPr>
                <w:rFonts w:cs="Times New Roman"/>
              </w:rPr>
              <w:t>(Highest) Income Group 1</w:t>
            </w:r>
          </w:p>
        </w:tc>
        <w:tc>
          <w:tcPr>
            <w:tcW w:w="1728" w:type="dxa"/>
            <w:tcBorders>
              <w:top w:val="nil"/>
              <w:bottom w:val="nil"/>
            </w:tcBorders>
          </w:tcPr>
          <w:p w:rsidR="0058081B" w:rsidRPr="00D2430C" w:rsidRDefault="0058081B" w:rsidP="00C93975">
            <w:pPr>
              <w:tabs>
                <w:tab w:val="decimal" w:pos="653"/>
              </w:tabs>
              <w:spacing w:before="120" w:after="120"/>
              <w:jc w:val="left"/>
              <w:rPr>
                <w:rFonts w:cs="Times New Roman"/>
              </w:rPr>
            </w:pPr>
            <w:r>
              <w:rPr>
                <w:rFonts w:cs="Times New Roman"/>
              </w:rPr>
              <w:t>30.32</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24.57</w:t>
            </w:r>
            <w:r w:rsidRPr="00D2430C">
              <w:rPr>
                <w:rFonts w:cs="Times New Roman"/>
              </w:rPr>
              <w:t>%)</w:t>
            </w:r>
          </w:p>
        </w:tc>
      </w:tr>
      <w:tr w:rsidR="0058081B" w:rsidRPr="00B966DB" w:rsidTr="00C93975">
        <w:trPr>
          <w:jc w:val="center"/>
        </w:trPr>
        <w:tc>
          <w:tcPr>
            <w:tcW w:w="2736" w:type="dxa"/>
            <w:tcBorders>
              <w:top w:val="nil"/>
              <w:bottom w:val="nil"/>
            </w:tcBorders>
          </w:tcPr>
          <w:p w:rsidR="0058081B" w:rsidRDefault="0058081B" w:rsidP="00C93975">
            <w:pPr>
              <w:spacing w:after="120"/>
              <w:rPr>
                <w:rFonts w:cs="Times New Roman"/>
              </w:rPr>
            </w:pPr>
          </w:p>
        </w:tc>
        <w:tc>
          <w:tcPr>
            <w:tcW w:w="2736" w:type="dxa"/>
            <w:tcBorders>
              <w:top w:val="nil"/>
              <w:bottom w:val="nil"/>
            </w:tcBorders>
          </w:tcPr>
          <w:p w:rsidR="0058081B" w:rsidRPr="00D2430C" w:rsidRDefault="0058081B" w:rsidP="00C93975">
            <w:pPr>
              <w:spacing w:before="120" w:after="120"/>
              <w:jc w:val="left"/>
              <w:rPr>
                <w:rFonts w:cs="Times New Roman"/>
              </w:rPr>
            </w:pPr>
            <w:r>
              <w:rPr>
                <w:rFonts w:cs="Times New Roman"/>
              </w:rPr>
              <w:t>Income Group 2</w:t>
            </w:r>
          </w:p>
        </w:tc>
        <w:tc>
          <w:tcPr>
            <w:tcW w:w="1728" w:type="dxa"/>
            <w:tcBorders>
              <w:top w:val="nil"/>
              <w:bottom w:val="nil"/>
            </w:tcBorders>
          </w:tcPr>
          <w:p w:rsidR="0058081B" w:rsidRPr="00D2430C" w:rsidRDefault="0058081B" w:rsidP="00C93975">
            <w:pPr>
              <w:tabs>
                <w:tab w:val="decimal" w:pos="653"/>
              </w:tabs>
              <w:spacing w:before="120" w:after="120"/>
              <w:jc w:val="left"/>
              <w:rPr>
                <w:rFonts w:cs="Times New Roman"/>
              </w:rPr>
            </w:pPr>
            <w:r>
              <w:rPr>
                <w:rFonts w:cs="Times New Roman"/>
              </w:rPr>
              <w:t>-22.38</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20.95</w:t>
            </w:r>
            <w:r w:rsidRPr="00D2430C">
              <w:rPr>
                <w:rFonts w:cs="Times New Roman"/>
              </w:rPr>
              <w:t>%)</w:t>
            </w:r>
          </w:p>
        </w:tc>
      </w:tr>
      <w:tr w:rsidR="0058081B" w:rsidRPr="00B966DB" w:rsidTr="00C93975">
        <w:trPr>
          <w:jc w:val="center"/>
        </w:trPr>
        <w:tc>
          <w:tcPr>
            <w:tcW w:w="2736" w:type="dxa"/>
            <w:tcBorders>
              <w:top w:val="nil"/>
              <w:bottom w:val="nil"/>
            </w:tcBorders>
          </w:tcPr>
          <w:p w:rsidR="0058081B" w:rsidRDefault="0058081B" w:rsidP="00C93975">
            <w:pPr>
              <w:spacing w:after="120"/>
              <w:rPr>
                <w:rFonts w:cs="Times New Roman"/>
              </w:rPr>
            </w:pPr>
          </w:p>
        </w:tc>
        <w:tc>
          <w:tcPr>
            <w:tcW w:w="2736" w:type="dxa"/>
            <w:tcBorders>
              <w:top w:val="nil"/>
              <w:bottom w:val="nil"/>
            </w:tcBorders>
          </w:tcPr>
          <w:p w:rsidR="0058081B" w:rsidRDefault="0058081B" w:rsidP="00C93975">
            <w:pPr>
              <w:spacing w:before="120" w:after="120"/>
              <w:jc w:val="left"/>
              <w:rPr>
                <w:rFonts w:cs="Times New Roman"/>
              </w:rPr>
            </w:pPr>
            <w:r>
              <w:rPr>
                <w:rFonts w:cs="Times New Roman"/>
              </w:rPr>
              <w:t>Income Group 3</w:t>
            </w:r>
          </w:p>
        </w:tc>
        <w:tc>
          <w:tcPr>
            <w:tcW w:w="1728" w:type="dxa"/>
            <w:tcBorders>
              <w:top w:val="nil"/>
              <w:bottom w:val="nil"/>
            </w:tcBorders>
          </w:tcPr>
          <w:p w:rsidR="0058081B" w:rsidRPr="00D2430C" w:rsidRDefault="0058081B" w:rsidP="00C93975">
            <w:pPr>
              <w:tabs>
                <w:tab w:val="decimal" w:pos="653"/>
              </w:tabs>
              <w:spacing w:before="120" w:after="120"/>
              <w:jc w:val="left"/>
              <w:rPr>
                <w:rFonts w:cs="Times New Roman"/>
              </w:rPr>
            </w:pPr>
            <w:r>
              <w:rPr>
                <w:rFonts w:cs="Times New Roman"/>
              </w:rPr>
              <w:t>-9.58</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21.16</w:t>
            </w:r>
            <w:r w:rsidRPr="00D2430C">
              <w:rPr>
                <w:rFonts w:cs="Times New Roman"/>
              </w:rPr>
              <w:t>%)</w:t>
            </w:r>
          </w:p>
        </w:tc>
      </w:tr>
      <w:tr w:rsidR="0058081B" w:rsidRPr="00B966DB" w:rsidTr="00C93975">
        <w:trPr>
          <w:jc w:val="center"/>
        </w:trPr>
        <w:tc>
          <w:tcPr>
            <w:tcW w:w="2736" w:type="dxa"/>
            <w:tcBorders>
              <w:top w:val="nil"/>
              <w:bottom w:val="nil"/>
            </w:tcBorders>
          </w:tcPr>
          <w:p w:rsidR="0058081B" w:rsidRDefault="0058081B" w:rsidP="00C93975">
            <w:pPr>
              <w:spacing w:after="120"/>
              <w:rPr>
                <w:rFonts w:cs="Times New Roman"/>
              </w:rPr>
            </w:pPr>
          </w:p>
        </w:tc>
        <w:tc>
          <w:tcPr>
            <w:tcW w:w="2736" w:type="dxa"/>
            <w:tcBorders>
              <w:top w:val="nil"/>
              <w:bottom w:val="nil"/>
            </w:tcBorders>
          </w:tcPr>
          <w:p w:rsidR="0058081B" w:rsidRDefault="0058081B" w:rsidP="00C93975">
            <w:pPr>
              <w:spacing w:before="120" w:after="120"/>
              <w:jc w:val="left"/>
              <w:rPr>
                <w:rFonts w:cs="Times New Roman"/>
              </w:rPr>
            </w:pPr>
            <w:r>
              <w:rPr>
                <w:rFonts w:cs="Times New Roman"/>
              </w:rPr>
              <w:t>(Lowest) Income Group 4</w:t>
            </w:r>
          </w:p>
        </w:tc>
        <w:tc>
          <w:tcPr>
            <w:tcW w:w="1728" w:type="dxa"/>
            <w:tcBorders>
              <w:top w:val="nil"/>
              <w:bottom w:val="nil"/>
            </w:tcBorders>
          </w:tcPr>
          <w:p w:rsidR="0058081B" w:rsidRPr="00D2430C" w:rsidRDefault="0058081B" w:rsidP="00C93975">
            <w:pPr>
              <w:tabs>
                <w:tab w:val="decimal" w:pos="653"/>
              </w:tabs>
              <w:spacing w:before="120" w:after="120"/>
              <w:jc w:val="left"/>
              <w:rPr>
                <w:rFonts w:cs="Times New Roman"/>
              </w:rPr>
            </w:pPr>
            <w:r>
              <w:rPr>
                <w:rFonts w:cs="Times New Roman"/>
              </w:rPr>
              <w:t>6.18</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22.14</w:t>
            </w:r>
            <w:r w:rsidRPr="00D2430C">
              <w:rPr>
                <w:rFonts w:cs="Times New Roman"/>
              </w:rPr>
              <w:t>%)</w:t>
            </w:r>
          </w:p>
        </w:tc>
      </w:tr>
      <w:tr w:rsidR="0058081B" w:rsidRPr="00B966DB" w:rsidTr="00C93975">
        <w:trPr>
          <w:jc w:val="center"/>
        </w:trPr>
        <w:tc>
          <w:tcPr>
            <w:tcW w:w="2736" w:type="dxa"/>
            <w:tcBorders>
              <w:top w:val="nil"/>
            </w:tcBorders>
          </w:tcPr>
          <w:p w:rsidR="0058081B" w:rsidRPr="00D2430C" w:rsidRDefault="0058081B" w:rsidP="00C93975">
            <w:pPr>
              <w:spacing w:after="120"/>
              <w:rPr>
                <w:rFonts w:cs="Times New Roman"/>
              </w:rPr>
            </w:pPr>
          </w:p>
        </w:tc>
        <w:tc>
          <w:tcPr>
            <w:tcW w:w="2736" w:type="dxa"/>
            <w:tcBorders>
              <w:top w:val="nil"/>
            </w:tcBorders>
          </w:tcPr>
          <w:p w:rsidR="0058081B" w:rsidRPr="00D2430C" w:rsidRDefault="0058081B" w:rsidP="00C93975">
            <w:pPr>
              <w:spacing w:before="120" w:after="120"/>
              <w:jc w:val="left"/>
              <w:rPr>
                <w:rFonts w:cs="Times New Roman"/>
                <w:vertAlign w:val="superscript"/>
              </w:rPr>
            </w:pPr>
            <w:r w:rsidRPr="00D2430C">
              <w:rPr>
                <w:rFonts w:cs="Times New Roman"/>
              </w:rPr>
              <w:t>R</w:t>
            </w:r>
            <w:r w:rsidRPr="00D2430C">
              <w:rPr>
                <w:rFonts w:cs="Times New Roman"/>
                <w:vertAlign w:val="superscript"/>
              </w:rPr>
              <w:t>2</w:t>
            </w:r>
          </w:p>
        </w:tc>
        <w:tc>
          <w:tcPr>
            <w:tcW w:w="1728" w:type="dxa"/>
            <w:tcBorders>
              <w:top w:val="nil"/>
            </w:tcBorders>
            <w:vAlign w:val="center"/>
          </w:tcPr>
          <w:p w:rsidR="0058081B" w:rsidRPr="00D2430C" w:rsidRDefault="0058081B" w:rsidP="00C93975">
            <w:pPr>
              <w:keepNext/>
              <w:spacing w:before="120" w:after="120"/>
              <w:rPr>
                <w:rFonts w:cs="Times New Roman"/>
              </w:rPr>
            </w:pPr>
            <w:r w:rsidRPr="00D2430C">
              <w:rPr>
                <w:rFonts w:cs="Times New Roman"/>
              </w:rPr>
              <w:t>0.</w:t>
            </w:r>
            <w:r>
              <w:rPr>
                <w:rFonts w:cs="Times New Roman"/>
              </w:rPr>
              <w:t>2255</w:t>
            </w:r>
          </w:p>
        </w:tc>
      </w:tr>
    </w:tbl>
    <w:p w:rsidR="0058081B" w:rsidRPr="00B966DB" w:rsidRDefault="0058081B" w:rsidP="0058081B">
      <w:pPr>
        <w:spacing w:before="60" w:line="240" w:lineRule="auto"/>
        <w:ind w:left="180" w:right="180"/>
        <w:rPr>
          <w:rFonts w:cs="Times New Roman"/>
          <w:sz w:val="20"/>
          <w:szCs w:val="20"/>
        </w:rPr>
      </w:pPr>
      <w:r w:rsidRPr="00B966DB">
        <w:rPr>
          <w:rFonts w:cs="Times New Roman"/>
          <w:sz w:val="20"/>
          <w:szCs w:val="20"/>
        </w:rPr>
        <w:t>The table reports the coefficie</w:t>
      </w:r>
      <w:r>
        <w:rPr>
          <w:rFonts w:cs="Times New Roman"/>
          <w:sz w:val="20"/>
          <w:szCs w:val="20"/>
        </w:rPr>
        <w:t>nts from estimating Equation 3 with the addition of controls for income groups. T</w:t>
      </w:r>
      <w:r w:rsidRPr="00B966DB">
        <w:rPr>
          <w:rFonts w:cs="Times New Roman"/>
          <w:sz w:val="20"/>
          <w:szCs w:val="20"/>
        </w:rPr>
        <w:t>he unit of analysis</w:t>
      </w:r>
      <w:r>
        <w:rPr>
          <w:rFonts w:cs="Times New Roman"/>
          <w:sz w:val="20"/>
          <w:szCs w:val="20"/>
        </w:rPr>
        <w:t xml:space="preserve"> is</w:t>
      </w:r>
      <w:r w:rsidRPr="00B966DB">
        <w:rPr>
          <w:rFonts w:cs="Times New Roman"/>
          <w:sz w:val="20"/>
          <w:szCs w:val="20"/>
        </w:rPr>
        <w:t xml:space="preserve"> a new item and the sample size is 2,388.</w:t>
      </w:r>
      <w:r w:rsidR="00354EB2">
        <w:rPr>
          <w:rFonts w:cs="Times New Roman"/>
          <w:sz w:val="20"/>
          <w:szCs w:val="20"/>
        </w:rPr>
        <w:t xml:space="preserve"> Fixed effects at the 3-digit zip code together with coefficients for the control variables (except income) are estimated but omitted from the table. </w:t>
      </w:r>
      <w:r w:rsidRPr="00B966DB">
        <w:rPr>
          <w:rFonts w:cs="Times New Roman"/>
          <w:sz w:val="20"/>
          <w:szCs w:val="20"/>
        </w:rPr>
        <w:t>Standard errors are in parentheses.</w:t>
      </w:r>
    </w:p>
    <w:p w:rsidR="0058081B" w:rsidRDefault="0058081B" w:rsidP="0058081B">
      <w:pPr>
        <w:spacing w:before="60" w:line="240" w:lineRule="auto"/>
        <w:ind w:left="720" w:right="746"/>
        <w:rPr>
          <w:rFonts w:cs="Times New Roman"/>
          <w:sz w:val="20"/>
          <w:szCs w:val="20"/>
        </w:rPr>
      </w:pPr>
    </w:p>
    <w:p w:rsidR="00146224" w:rsidRDefault="0058081B" w:rsidP="0015171A">
      <w:r>
        <w:t xml:space="preserve">The findings are robust to using this alternative approach to control for income differences. Moreover, the coefficients on the income variables are not statistically significant. </w:t>
      </w:r>
      <w:r w:rsidR="0015171A">
        <w:t>These results confirm that variation in the income of households that purchased the new product in its first 90 days does not help to explain variation in new product success.</w:t>
      </w:r>
    </w:p>
    <w:p w:rsidR="00146224" w:rsidRDefault="00146224" w:rsidP="0015171A">
      <w:r>
        <w:br w:type="page"/>
      </w:r>
    </w:p>
    <w:p w:rsidR="00146224" w:rsidRPr="00953D8F" w:rsidRDefault="00146224" w:rsidP="00146224">
      <w:pPr>
        <w:jc w:val="center"/>
        <w:rPr>
          <w:b/>
        </w:rPr>
      </w:pPr>
      <w:r>
        <w:rPr>
          <w:b/>
        </w:rPr>
        <w:lastRenderedPageBreak/>
        <w:t>Including Controls for Average Price Paid and Number of Stores</w:t>
      </w:r>
    </w:p>
    <w:p w:rsidR="00146224" w:rsidRDefault="00146224" w:rsidP="00146224">
      <w:r>
        <w:t xml:space="preserve">In our analysis we include variables measuring the </w:t>
      </w:r>
      <w:r w:rsidR="005C7F8E">
        <w:t>a</w:t>
      </w:r>
      <w:r>
        <w:t>verage price paid for each new product and the number of stores each new product wa</w:t>
      </w:r>
      <w:r w:rsidRPr="0015171A">
        <w:t>s sold in.</w:t>
      </w:r>
      <w:r w:rsidR="0015171A" w:rsidRPr="0015171A">
        <w:rPr>
          <w:rStyle w:val="FootnoteReference"/>
          <w:rFonts w:cs="Times New Roman"/>
          <w:color w:val="000000" w:themeColor="text1"/>
        </w:rPr>
        <w:footnoteReference w:id="1"/>
      </w:r>
      <w:r w:rsidRPr="0015171A">
        <w:t xml:space="preserve">  These</w:t>
      </w:r>
      <w:r>
        <w:t xml:space="preserve"> measures are also constructed using transactions in the first 90 days after each new product was introduced. We re-estimate Equations 1, 2, and 3 with the addition of these two control variables. The findings are robust to the addition of these additional controls.</w:t>
      </w:r>
    </w:p>
    <w:p w:rsidR="00146224" w:rsidRDefault="00146224" w:rsidP="00146224"/>
    <w:tbl>
      <w:tblPr>
        <w:tblStyle w:val="TableGrid"/>
        <w:tblW w:w="7488"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1728"/>
        <w:gridCol w:w="1728"/>
        <w:gridCol w:w="1728"/>
      </w:tblGrid>
      <w:tr w:rsidR="00213747" w:rsidRPr="00B966DB" w:rsidTr="0021763B">
        <w:trPr>
          <w:jc w:val="center"/>
        </w:trPr>
        <w:tc>
          <w:tcPr>
            <w:tcW w:w="2304"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rPr>
            </w:pPr>
          </w:p>
        </w:tc>
        <w:tc>
          <w:tcPr>
            <w:tcW w:w="1728"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rPr>
            </w:pPr>
            <w:r>
              <w:rPr>
                <w:rFonts w:cs="Times New Roman"/>
                <w:b/>
              </w:rPr>
              <w:t>Equation</w:t>
            </w:r>
            <w:r w:rsidRPr="00D2430C">
              <w:rPr>
                <w:rFonts w:cs="Times New Roman"/>
                <w:b/>
              </w:rPr>
              <w:t xml:space="preserve"> 1</w:t>
            </w:r>
          </w:p>
        </w:tc>
        <w:tc>
          <w:tcPr>
            <w:tcW w:w="1728"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vertAlign w:val="superscript"/>
              </w:rPr>
            </w:pPr>
            <w:r>
              <w:rPr>
                <w:rFonts w:cs="Times New Roman"/>
                <w:b/>
              </w:rPr>
              <w:t>Equation</w:t>
            </w:r>
            <w:r w:rsidRPr="00D2430C">
              <w:rPr>
                <w:rFonts w:cs="Times New Roman"/>
                <w:b/>
              </w:rPr>
              <w:t xml:space="preserve"> 2</w:t>
            </w:r>
          </w:p>
        </w:tc>
        <w:tc>
          <w:tcPr>
            <w:tcW w:w="1728"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rPr>
            </w:pPr>
            <w:r>
              <w:rPr>
                <w:rFonts w:cs="Times New Roman"/>
                <w:b/>
              </w:rPr>
              <w:t>Equation</w:t>
            </w:r>
            <w:r w:rsidRPr="00D2430C">
              <w:rPr>
                <w:rFonts w:cs="Times New Roman"/>
                <w:b/>
              </w:rPr>
              <w:t xml:space="preserve"> </w:t>
            </w:r>
            <w:r>
              <w:rPr>
                <w:rFonts w:cs="Times New Roman"/>
                <w:b/>
              </w:rPr>
              <w:t>3</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Pr>
                <w:rFonts w:cs="Times New Roman"/>
              </w:rPr>
              <w:t>Log Total Orders</w:t>
            </w:r>
          </w:p>
        </w:tc>
        <w:tc>
          <w:tcPr>
            <w:tcW w:w="1728" w:type="dxa"/>
            <w:tcBorders>
              <w:top w:val="nil"/>
              <w:bottom w:val="nil"/>
            </w:tcBorders>
          </w:tcPr>
          <w:p w:rsidR="00146224" w:rsidRPr="00D2430C" w:rsidRDefault="00146224" w:rsidP="00146224">
            <w:pPr>
              <w:tabs>
                <w:tab w:val="decimal" w:pos="599"/>
              </w:tabs>
              <w:spacing w:before="120" w:after="120"/>
              <w:jc w:val="left"/>
              <w:rPr>
                <w:rFonts w:cs="Times New Roman"/>
              </w:rPr>
            </w:pPr>
            <w:r>
              <w:rPr>
                <w:rFonts w:cs="Times New Roman"/>
              </w:rPr>
              <w:t>14.71</w:t>
            </w:r>
            <w:r w:rsidRPr="00D2430C">
              <w:rPr>
                <w:rFonts w:cs="Times New Roman"/>
              </w:rPr>
              <w:t>%</w:t>
            </w:r>
            <w:r w:rsidRPr="00D2430C">
              <w:rPr>
                <w:rFonts w:cs="Times New Roman"/>
                <w:vertAlign w:val="superscript"/>
              </w:rPr>
              <w:t>**</w:t>
            </w:r>
            <w:r w:rsidRPr="00D2430C">
              <w:rPr>
                <w:rFonts w:cs="Times New Roman"/>
              </w:rPr>
              <w:t xml:space="preserve">     (</w:t>
            </w:r>
            <w:r>
              <w:rPr>
                <w:rFonts w:cs="Times New Roman"/>
              </w:rPr>
              <w:t>2.03</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146224">
            <w:pPr>
              <w:tabs>
                <w:tab w:val="decimal" w:pos="653"/>
              </w:tabs>
              <w:spacing w:before="120" w:after="120"/>
              <w:jc w:val="left"/>
              <w:rPr>
                <w:rFonts w:cs="Times New Roman"/>
              </w:rPr>
            </w:pPr>
            <w:r>
              <w:rPr>
                <w:rFonts w:cs="Times New Roman"/>
              </w:rPr>
              <w:t>6.84</w:t>
            </w:r>
            <w:r w:rsidRPr="00D2430C">
              <w:rPr>
                <w:rFonts w:cs="Times New Roman"/>
              </w:rPr>
              <w:t>%</w:t>
            </w:r>
            <w:r w:rsidRPr="00D2430C">
              <w:rPr>
                <w:rFonts w:cs="Times New Roman"/>
                <w:vertAlign w:val="superscript"/>
              </w:rPr>
              <w:t>*</w:t>
            </w:r>
            <w:r>
              <w:rPr>
                <w:rFonts w:cs="Times New Roman"/>
                <w:vertAlign w:val="superscript"/>
              </w:rPr>
              <w:t>*</w:t>
            </w:r>
            <w:r w:rsidRPr="00D2430C">
              <w:rPr>
                <w:rFonts w:cs="Times New Roman"/>
              </w:rPr>
              <w:t xml:space="preserve">     (</w:t>
            </w:r>
            <w:r>
              <w:rPr>
                <w:rFonts w:cs="Times New Roman"/>
              </w:rPr>
              <w:t>2.06</w:t>
            </w:r>
            <w:r w:rsidRPr="00D2430C">
              <w:rPr>
                <w:rFonts w:cs="Times New Roman"/>
              </w:rPr>
              <w:t>%)</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Pr>
                <w:rFonts w:cs="Times New Roman"/>
              </w:rPr>
              <w:t>Log Orders Group 1</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146224">
            <w:pPr>
              <w:tabs>
                <w:tab w:val="decimal" w:pos="599"/>
              </w:tabs>
              <w:spacing w:before="120" w:after="120"/>
              <w:jc w:val="left"/>
              <w:rPr>
                <w:rFonts w:cs="Times New Roman"/>
              </w:rPr>
            </w:pPr>
            <w:r>
              <w:rPr>
                <w:rFonts w:cs="Times New Roman"/>
              </w:rPr>
              <w:t>173.72</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15.93</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Pr>
                <w:rFonts w:cs="Times New Roman"/>
              </w:rPr>
              <w:t>Log Orders Group 2</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146224">
            <w:pPr>
              <w:tabs>
                <w:tab w:val="decimal" w:pos="599"/>
              </w:tabs>
              <w:spacing w:before="120" w:after="120"/>
              <w:jc w:val="left"/>
              <w:rPr>
                <w:rFonts w:cs="Times New Roman"/>
              </w:rPr>
            </w:pPr>
            <w:r>
              <w:rPr>
                <w:rFonts w:cs="Times New Roman"/>
              </w:rPr>
              <w:t>-21.85</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19.08</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Default="00146224" w:rsidP="0021763B">
            <w:pPr>
              <w:spacing w:before="120" w:after="120"/>
              <w:jc w:val="left"/>
              <w:rPr>
                <w:rFonts w:cs="Times New Roman"/>
              </w:rPr>
            </w:pPr>
            <w:r>
              <w:rPr>
                <w:rFonts w:cs="Times New Roman"/>
              </w:rPr>
              <w:t>Log Orders Group 3</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146224">
            <w:pPr>
              <w:tabs>
                <w:tab w:val="decimal" w:pos="599"/>
              </w:tabs>
              <w:spacing w:before="120" w:after="120"/>
              <w:jc w:val="left"/>
              <w:rPr>
                <w:rFonts w:cs="Times New Roman"/>
              </w:rPr>
            </w:pPr>
            <w:r>
              <w:rPr>
                <w:rFonts w:cs="Times New Roman"/>
              </w:rPr>
              <w:t>-40.61</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19.74</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Default="00146224" w:rsidP="0021763B">
            <w:pPr>
              <w:spacing w:before="120" w:after="120"/>
              <w:jc w:val="left"/>
              <w:rPr>
                <w:rFonts w:cs="Times New Roman"/>
              </w:rPr>
            </w:pPr>
            <w:r>
              <w:rPr>
                <w:rFonts w:cs="Times New Roman"/>
              </w:rPr>
              <w:t>Log Orders Group 4</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146224">
            <w:pPr>
              <w:tabs>
                <w:tab w:val="decimal" w:pos="599"/>
              </w:tabs>
              <w:spacing w:before="120" w:after="120"/>
              <w:jc w:val="left"/>
              <w:rPr>
                <w:rFonts w:cs="Times New Roman"/>
              </w:rPr>
            </w:pPr>
            <w:r>
              <w:rPr>
                <w:rFonts w:cs="Times New Roman"/>
              </w:rPr>
              <w:t>-101.92</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14.97</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sidRPr="00D2430C">
              <w:rPr>
                <w:rFonts w:cs="Times New Roman"/>
              </w:rPr>
              <w:t>% Group 2</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146224">
            <w:pPr>
              <w:tabs>
                <w:tab w:val="decimal" w:pos="653"/>
              </w:tabs>
              <w:spacing w:before="120" w:after="120"/>
              <w:jc w:val="left"/>
              <w:rPr>
                <w:rFonts w:cs="Times New Roman"/>
              </w:rPr>
            </w:pPr>
            <w:r>
              <w:rPr>
                <w:rFonts w:cs="Times New Roman"/>
              </w:rPr>
              <w:t>-169.48</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50.71</w:t>
            </w:r>
            <w:r w:rsidRPr="00D2430C">
              <w:rPr>
                <w:rFonts w:cs="Times New Roman"/>
              </w:rPr>
              <w:t>%)</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sidRPr="00D2430C">
              <w:rPr>
                <w:rFonts w:cs="Times New Roman"/>
              </w:rPr>
              <w:t>% Group 3</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146224">
            <w:pPr>
              <w:tabs>
                <w:tab w:val="decimal" w:pos="653"/>
              </w:tabs>
              <w:spacing w:before="120" w:after="120"/>
              <w:jc w:val="left"/>
              <w:rPr>
                <w:rFonts w:cs="Times New Roman"/>
              </w:rPr>
            </w:pPr>
            <w:r>
              <w:rPr>
                <w:rFonts w:cs="Times New Roman"/>
              </w:rPr>
              <w:t>-292.75</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49.01</w:t>
            </w:r>
            <w:r w:rsidRPr="00D2430C">
              <w:rPr>
                <w:rFonts w:cs="Times New Roman"/>
              </w:rPr>
              <w:t>%)</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sidRPr="00D2430C">
              <w:rPr>
                <w:rFonts w:cs="Times New Roman"/>
              </w:rPr>
              <w:t xml:space="preserve">% Group 4 </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146224">
            <w:pPr>
              <w:tabs>
                <w:tab w:val="decimal" w:pos="653"/>
              </w:tabs>
              <w:spacing w:before="120" w:after="120"/>
              <w:jc w:val="left"/>
              <w:rPr>
                <w:rFonts w:cs="Times New Roman"/>
              </w:rPr>
            </w:pPr>
            <w:r w:rsidRPr="00D2430C">
              <w:rPr>
                <w:rFonts w:cs="Times New Roman"/>
              </w:rPr>
              <w:t>-</w:t>
            </w:r>
            <w:r>
              <w:rPr>
                <w:rFonts w:cs="Times New Roman"/>
              </w:rPr>
              <w:t>656.90</w:t>
            </w:r>
            <w:r w:rsidRPr="00D2430C">
              <w:rPr>
                <w:rFonts w:cs="Times New Roman"/>
              </w:rPr>
              <w:t>%</w:t>
            </w:r>
            <w:r w:rsidRPr="00D2430C">
              <w:rPr>
                <w:rFonts w:cs="Times New Roman"/>
                <w:vertAlign w:val="superscript"/>
              </w:rPr>
              <w:t>**</w:t>
            </w:r>
            <w:r w:rsidRPr="00D2430C">
              <w:rPr>
                <w:rFonts w:cs="Times New Roman"/>
              </w:rPr>
              <w:t xml:space="preserve">     (</w:t>
            </w:r>
            <w:r>
              <w:rPr>
                <w:rFonts w:cs="Times New Roman"/>
              </w:rPr>
              <w:t>54.44</w:t>
            </w:r>
            <w:r w:rsidRPr="00D2430C">
              <w:rPr>
                <w:rFonts w:cs="Times New Roman"/>
              </w:rPr>
              <w:t>%)</w:t>
            </w:r>
          </w:p>
        </w:tc>
      </w:tr>
      <w:tr w:rsidR="00146224" w:rsidRPr="00B966DB" w:rsidTr="0021763B">
        <w:trPr>
          <w:jc w:val="center"/>
        </w:trPr>
        <w:tc>
          <w:tcPr>
            <w:tcW w:w="2304" w:type="dxa"/>
            <w:tcBorders>
              <w:top w:val="nil"/>
            </w:tcBorders>
          </w:tcPr>
          <w:p w:rsidR="00146224" w:rsidRPr="00D2430C" w:rsidRDefault="00146224" w:rsidP="0021763B">
            <w:pPr>
              <w:spacing w:before="120" w:after="120"/>
              <w:jc w:val="left"/>
              <w:rPr>
                <w:rFonts w:cs="Times New Roman"/>
                <w:vertAlign w:val="superscript"/>
              </w:rPr>
            </w:pPr>
            <w:r w:rsidRPr="00D2430C">
              <w:rPr>
                <w:rFonts w:cs="Times New Roman"/>
              </w:rPr>
              <w:t>R</w:t>
            </w:r>
            <w:r w:rsidRPr="00D2430C">
              <w:rPr>
                <w:rFonts w:cs="Times New Roman"/>
                <w:vertAlign w:val="superscript"/>
              </w:rPr>
              <w:t>2</w:t>
            </w:r>
          </w:p>
        </w:tc>
        <w:tc>
          <w:tcPr>
            <w:tcW w:w="1728" w:type="dxa"/>
            <w:tcBorders>
              <w:top w:val="nil"/>
            </w:tcBorders>
          </w:tcPr>
          <w:p w:rsidR="00146224" w:rsidRPr="00D2430C" w:rsidRDefault="00146224" w:rsidP="00146224">
            <w:pPr>
              <w:spacing w:before="120" w:after="120"/>
              <w:rPr>
                <w:rFonts w:cs="Times New Roman"/>
              </w:rPr>
            </w:pPr>
            <w:r w:rsidRPr="00D2430C">
              <w:rPr>
                <w:rFonts w:cs="Times New Roman"/>
              </w:rPr>
              <w:t>0.</w:t>
            </w:r>
            <w:r>
              <w:rPr>
                <w:rFonts w:cs="Times New Roman"/>
              </w:rPr>
              <w:t>1728</w:t>
            </w:r>
          </w:p>
        </w:tc>
        <w:tc>
          <w:tcPr>
            <w:tcW w:w="1728" w:type="dxa"/>
            <w:tcBorders>
              <w:top w:val="nil"/>
            </w:tcBorders>
            <w:vAlign w:val="center"/>
          </w:tcPr>
          <w:p w:rsidR="00146224" w:rsidRPr="00D2430C" w:rsidRDefault="00146224" w:rsidP="00146224">
            <w:pPr>
              <w:keepNext/>
              <w:spacing w:before="120" w:after="120"/>
              <w:rPr>
                <w:rFonts w:cs="Times New Roman"/>
              </w:rPr>
            </w:pPr>
            <w:r w:rsidRPr="00D2430C">
              <w:rPr>
                <w:rFonts w:cs="Times New Roman"/>
              </w:rPr>
              <w:t>0.</w:t>
            </w:r>
            <w:r>
              <w:rPr>
                <w:rFonts w:cs="Times New Roman"/>
              </w:rPr>
              <w:t>2218</w:t>
            </w:r>
          </w:p>
        </w:tc>
        <w:tc>
          <w:tcPr>
            <w:tcW w:w="1728" w:type="dxa"/>
            <w:tcBorders>
              <w:top w:val="nil"/>
            </w:tcBorders>
            <w:vAlign w:val="center"/>
          </w:tcPr>
          <w:p w:rsidR="00146224" w:rsidRPr="00D2430C" w:rsidRDefault="00146224" w:rsidP="00146224">
            <w:pPr>
              <w:keepNext/>
              <w:spacing w:before="120" w:after="120"/>
              <w:rPr>
                <w:rFonts w:cs="Times New Roman"/>
              </w:rPr>
            </w:pPr>
            <w:r w:rsidRPr="00D2430C">
              <w:rPr>
                <w:rFonts w:cs="Times New Roman"/>
              </w:rPr>
              <w:t>0.</w:t>
            </w:r>
            <w:r>
              <w:rPr>
                <w:rFonts w:cs="Times New Roman"/>
              </w:rPr>
              <w:t>2262</w:t>
            </w:r>
          </w:p>
        </w:tc>
      </w:tr>
    </w:tbl>
    <w:p w:rsidR="00146224" w:rsidRPr="00B966DB" w:rsidRDefault="00146224" w:rsidP="00146224">
      <w:pPr>
        <w:spacing w:before="60" w:line="240" w:lineRule="auto"/>
        <w:ind w:left="720" w:right="746"/>
        <w:rPr>
          <w:rFonts w:cs="Times New Roman"/>
          <w:sz w:val="20"/>
          <w:szCs w:val="20"/>
        </w:rPr>
      </w:pPr>
      <w:r w:rsidRPr="00B966DB">
        <w:rPr>
          <w:rFonts w:cs="Times New Roman"/>
          <w:sz w:val="20"/>
          <w:szCs w:val="20"/>
        </w:rPr>
        <w:t>The table reports the coefficie</w:t>
      </w:r>
      <w:r>
        <w:rPr>
          <w:rFonts w:cs="Times New Roman"/>
          <w:sz w:val="20"/>
          <w:szCs w:val="20"/>
        </w:rPr>
        <w:t xml:space="preserve">nts of interest from estimating Equations 1, </w:t>
      </w:r>
      <w:r w:rsidRPr="00B966DB">
        <w:rPr>
          <w:rFonts w:cs="Times New Roman"/>
          <w:sz w:val="20"/>
          <w:szCs w:val="20"/>
        </w:rPr>
        <w:t>2</w:t>
      </w:r>
      <w:r>
        <w:rPr>
          <w:rFonts w:cs="Times New Roman"/>
          <w:sz w:val="20"/>
          <w:szCs w:val="20"/>
        </w:rPr>
        <w:t xml:space="preserve"> and 3</w:t>
      </w:r>
      <w:r w:rsidRPr="00B966DB">
        <w:rPr>
          <w:rFonts w:cs="Times New Roman"/>
          <w:sz w:val="20"/>
          <w:szCs w:val="20"/>
        </w:rPr>
        <w:t xml:space="preserve">. </w:t>
      </w:r>
      <w:r>
        <w:rPr>
          <w:rFonts w:cs="Times New Roman"/>
          <w:sz w:val="20"/>
          <w:szCs w:val="20"/>
        </w:rPr>
        <w:t xml:space="preserve">Fixed effects at the 3-digit zip code together with coefficients for the control variables are estimated but omitted from the table. The </w:t>
      </w:r>
      <w:r w:rsidRPr="00B966DB">
        <w:rPr>
          <w:rFonts w:cs="Times New Roman"/>
          <w:sz w:val="20"/>
          <w:szCs w:val="20"/>
        </w:rPr>
        <w:t>unit of analysis</w:t>
      </w:r>
      <w:r>
        <w:rPr>
          <w:rFonts w:cs="Times New Roman"/>
          <w:sz w:val="20"/>
          <w:szCs w:val="20"/>
        </w:rPr>
        <w:t xml:space="preserve"> is</w:t>
      </w:r>
      <w:r w:rsidRPr="00B966DB">
        <w:rPr>
          <w:rFonts w:cs="Times New Roman"/>
          <w:sz w:val="20"/>
          <w:szCs w:val="20"/>
        </w:rPr>
        <w:t xml:space="preserve"> a new item and the sample size in all models is 2,</w:t>
      </w:r>
      <w:r>
        <w:rPr>
          <w:rFonts w:cs="Times New Roman"/>
          <w:sz w:val="20"/>
          <w:szCs w:val="20"/>
        </w:rPr>
        <w:t>388</w:t>
      </w:r>
      <w:r w:rsidRPr="00B966DB">
        <w:rPr>
          <w:rFonts w:cs="Times New Roman"/>
          <w:sz w:val="20"/>
          <w:szCs w:val="20"/>
        </w:rPr>
        <w:t>. Standard errors are in parentheses.</w:t>
      </w:r>
    </w:p>
    <w:p w:rsidR="00C83AE4" w:rsidRDefault="00C83AE4">
      <w:r>
        <w:br w:type="page"/>
      </w:r>
    </w:p>
    <w:p w:rsidR="005D0FEF" w:rsidRDefault="005D0FEF" w:rsidP="005D0FEF">
      <w:pPr>
        <w:spacing w:after="120"/>
        <w:ind w:left="360"/>
        <w:jc w:val="center"/>
        <w:rPr>
          <w:b/>
        </w:rPr>
      </w:pPr>
      <w:r>
        <w:rPr>
          <w:b/>
        </w:rPr>
        <w:lastRenderedPageBreak/>
        <w:t>Varying the Threshold Used to Define New Product Survival</w:t>
      </w:r>
    </w:p>
    <w:p w:rsidR="005D0FEF" w:rsidRDefault="0015171A" w:rsidP="0015171A">
      <w:r w:rsidRPr="0015171A">
        <w:t xml:space="preserve">Classifying new products as successful using an 18 month survival period is somewhat arbitrary. We investigated the robustness of our analysis by labelling new products in the holdout set as successful using alternative survival thresholds. In particular, we measured success using 12 month, 15 month and 21 month survival windows. </w:t>
      </w:r>
    </w:p>
    <w:p w:rsidR="005D0FEF" w:rsidRPr="00A45615" w:rsidRDefault="00213747" w:rsidP="005D0FEF">
      <w:pPr>
        <w:spacing w:after="120"/>
        <w:ind w:left="360"/>
        <w:jc w:val="center"/>
        <w:rPr>
          <w:b/>
        </w:rPr>
      </w:pPr>
      <w:r>
        <w:rPr>
          <w:b/>
        </w:rPr>
        <w:t>Equation</w:t>
      </w:r>
      <w:r w:rsidR="005D0FEF" w:rsidRPr="00A45615">
        <w:rPr>
          <w:b/>
        </w:rPr>
        <w:t xml:space="preserve"> </w:t>
      </w:r>
      <w:r w:rsidR="005D0FEF">
        <w:rPr>
          <w:b/>
        </w:rPr>
        <w:t xml:space="preserve">2 </w:t>
      </w:r>
    </w:p>
    <w:tbl>
      <w:tblPr>
        <w:tblStyle w:val="TableGrid"/>
        <w:tblW w:w="7488"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1728"/>
        <w:gridCol w:w="1728"/>
        <w:gridCol w:w="1728"/>
      </w:tblGrid>
      <w:tr w:rsidR="005D0FEF" w:rsidRPr="00D2430C" w:rsidTr="00794AF2">
        <w:trPr>
          <w:jc w:val="center"/>
        </w:trPr>
        <w:tc>
          <w:tcPr>
            <w:tcW w:w="2304" w:type="dxa"/>
            <w:tcBorders>
              <w:top w:val="double" w:sz="4" w:space="0" w:color="auto"/>
              <w:bottom w:val="single" w:sz="8" w:space="0" w:color="auto"/>
            </w:tcBorders>
            <w:vAlign w:val="center"/>
          </w:tcPr>
          <w:p w:rsidR="005D0FEF" w:rsidRPr="00D2430C" w:rsidRDefault="005D0FEF" w:rsidP="00794AF2">
            <w:pPr>
              <w:keepNext/>
              <w:spacing w:before="60" w:after="60"/>
              <w:rPr>
                <w:rFonts w:cs="Times New Roman"/>
                <w:b/>
              </w:rPr>
            </w:pPr>
          </w:p>
        </w:tc>
        <w:tc>
          <w:tcPr>
            <w:tcW w:w="1728" w:type="dxa"/>
            <w:tcBorders>
              <w:top w:val="double" w:sz="4" w:space="0" w:color="auto"/>
              <w:bottom w:val="single" w:sz="8" w:space="0" w:color="auto"/>
            </w:tcBorders>
            <w:vAlign w:val="center"/>
          </w:tcPr>
          <w:p w:rsidR="005D0FEF" w:rsidRPr="00D2430C" w:rsidRDefault="005D0FEF" w:rsidP="00794AF2">
            <w:pPr>
              <w:keepNext/>
              <w:spacing w:before="60" w:after="60"/>
              <w:rPr>
                <w:rFonts w:cs="Times New Roman"/>
                <w:b/>
              </w:rPr>
            </w:pPr>
            <w:r>
              <w:rPr>
                <w:rFonts w:cs="Times New Roman"/>
                <w:b/>
              </w:rPr>
              <w:t>12 Month Survival</w:t>
            </w:r>
          </w:p>
        </w:tc>
        <w:tc>
          <w:tcPr>
            <w:tcW w:w="1728" w:type="dxa"/>
            <w:tcBorders>
              <w:top w:val="double" w:sz="4" w:space="0" w:color="auto"/>
              <w:bottom w:val="single" w:sz="8" w:space="0" w:color="auto"/>
            </w:tcBorders>
            <w:vAlign w:val="center"/>
          </w:tcPr>
          <w:p w:rsidR="005D0FEF" w:rsidRPr="00D2430C" w:rsidRDefault="005D0FEF" w:rsidP="00794AF2">
            <w:pPr>
              <w:keepNext/>
              <w:spacing w:before="60" w:after="60"/>
              <w:rPr>
                <w:rFonts w:cs="Times New Roman"/>
                <w:b/>
                <w:vertAlign w:val="superscript"/>
              </w:rPr>
            </w:pPr>
            <w:r>
              <w:rPr>
                <w:rFonts w:cs="Times New Roman"/>
                <w:b/>
              </w:rPr>
              <w:t>15 Month Survival</w:t>
            </w:r>
          </w:p>
        </w:tc>
        <w:tc>
          <w:tcPr>
            <w:tcW w:w="1728" w:type="dxa"/>
            <w:tcBorders>
              <w:top w:val="double" w:sz="4" w:space="0" w:color="auto"/>
              <w:bottom w:val="single" w:sz="8" w:space="0" w:color="auto"/>
            </w:tcBorders>
            <w:vAlign w:val="center"/>
          </w:tcPr>
          <w:p w:rsidR="005D0FEF" w:rsidRPr="00D2430C" w:rsidRDefault="005D0FEF" w:rsidP="00794AF2">
            <w:pPr>
              <w:keepNext/>
              <w:spacing w:before="60" w:after="60"/>
              <w:rPr>
                <w:rFonts w:cs="Times New Roman"/>
                <w:b/>
              </w:rPr>
            </w:pPr>
            <w:r>
              <w:rPr>
                <w:rFonts w:cs="Times New Roman"/>
                <w:b/>
              </w:rPr>
              <w:t>21 Month Survival</w:t>
            </w:r>
          </w:p>
        </w:tc>
      </w:tr>
      <w:tr w:rsidR="005D0FEF" w:rsidRPr="00D2430C" w:rsidTr="00794AF2">
        <w:trPr>
          <w:jc w:val="center"/>
        </w:trPr>
        <w:tc>
          <w:tcPr>
            <w:tcW w:w="2304" w:type="dxa"/>
            <w:tcBorders>
              <w:top w:val="nil"/>
              <w:bottom w:val="nil"/>
            </w:tcBorders>
          </w:tcPr>
          <w:p w:rsidR="005D0FEF" w:rsidRPr="00D2430C" w:rsidRDefault="005D0FEF" w:rsidP="00794AF2">
            <w:pPr>
              <w:spacing w:before="60" w:after="60"/>
              <w:jc w:val="left"/>
              <w:rPr>
                <w:rFonts w:cs="Times New Roman"/>
              </w:rPr>
            </w:pPr>
            <w:r>
              <w:rPr>
                <w:rFonts w:cs="Times New Roman"/>
              </w:rPr>
              <w:t>Log Orders Group 1</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136.30</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(14.28</w:t>
            </w:r>
            <w:r w:rsidRPr="00D2430C">
              <w:rPr>
                <w:rFonts w:cs="Times New Roman"/>
              </w:rPr>
              <w:t>%)</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155.11</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(15.02</w:t>
            </w:r>
            <w:r w:rsidRPr="00D2430C">
              <w:rPr>
                <w:rFonts w:cs="Times New Roman"/>
              </w:rPr>
              <w:t>%)</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168.38</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(15.66</w:t>
            </w:r>
            <w:r w:rsidRPr="00D2430C">
              <w:rPr>
                <w:rFonts w:cs="Times New Roman"/>
              </w:rPr>
              <w:t>%)</w:t>
            </w:r>
          </w:p>
        </w:tc>
      </w:tr>
      <w:tr w:rsidR="005D0FEF" w:rsidRPr="00D2430C" w:rsidTr="00794AF2">
        <w:trPr>
          <w:jc w:val="center"/>
        </w:trPr>
        <w:tc>
          <w:tcPr>
            <w:tcW w:w="2304" w:type="dxa"/>
            <w:tcBorders>
              <w:top w:val="nil"/>
              <w:bottom w:val="nil"/>
            </w:tcBorders>
          </w:tcPr>
          <w:p w:rsidR="005D0FEF" w:rsidRPr="00D2430C" w:rsidRDefault="005D0FEF" w:rsidP="00794AF2">
            <w:pPr>
              <w:spacing w:before="60" w:after="60"/>
              <w:jc w:val="left"/>
              <w:rPr>
                <w:rFonts w:cs="Times New Roman"/>
              </w:rPr>
            </w:pPr>
            <w:r>
              <w:rPr>
                <w:rFonts w:cs="Times New Roman"/>
              </w:rPr>
              <w:t>Log Orders Group 2</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-14.64</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17.35</w:t>
            </w:r>
            <w:r w:rsidRPr="00D2430C">
              <w:rPr>
                <w:rFonts w:cs="Times New Roman"/>
              </w:rPr>
              <w:t>%)</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-13.79</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18.25</w:t>
            </w:r>
            <w:r w:rsidRPr="00D2430C">
              <w:rPr>
                <w:rFonts w:cs="Times New Roman"/>
              </w:rPr>
              <w:t>%)</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-16.59</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19.02</w:t>
            </w:r>
            <w:r w:rsidRPr="00D2430C">
              <w:rPr>
                <w:rFonts w:cs="Times New Roman"/>
              </w:rPr>
              <w:t>%)</w:t>
            </w:r>
          </w:p>
        </w:tc>
      </w:tr>
      <w:tr w:rsidR="005D0FEF" w:rsidRPr="00D2430C" w:rsidTr="00794AF2">
        <w:trPr>
          <w:jc w:val="center"/>
        </w:trPr>
        <w:tc>
          <w:tcPr>
            <w:tcW w:w="2304" w:type="dxa"/>
            <w:tcBorders>
              <w:top w:val="nil"/>
              <w:bottom w:val="nil"/>
            </w:tcBorders>
          </w:tcPr>
          <w:p w:rsidR="005D0FEF" w:rsidRDefault="005D0FEF" w:rsidP="00794AF2">
            <w:pPr>
              <w:spacing w:before="60" w:after="60"/>
              <w:jc w:val="left"/>
              <w:rPr>
                <w:rFonts w:cs="Times New Roman"/>
              </w:rPr>
            </w:pPr>
            <w:r>
              <w:rPr>
                <w:rFonts w:cs="Times New Roman"/>
              </w:rPr>
              <w:t>Log Orders Group 3</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-25.48</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17.97</w:t>
            </w:r>
            <w:r w:rsidRPr="00D2430C">
              <w:rPr>
                <w:rFonts w:cs="Times New Roman"/>
              </w:rPr>
              <w:t>%)</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-32.82</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18.90</w:t>
            </w:r>
            <w:r w:rsidRPr="00D2430C">
              <w:rPr>
                <w:rFonts w:cs="Times New Roman"/>
              </w:rPr>
              <w:t>%)</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-36.83</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19.70</w:t>
            </w:r>
            <w:r w:rsidRPr="00D2430C">
              <w:rPr>
                <w:rFonts w:cs="Times New Roman"/>
              </w:rPr>
              <w:t>%)</w:t>
            </w:r>
          </w:p>
        </w:tc>
      </w:tr>
      <w:tr w:rsidR="005D0FEF" w:rsidRPr="00D2430C" w:rsidTr="00794AF2">
        <w:trPr>
          <w:jc w:val="center"/>
        </w:trPr>
        <w:tc>
          <w:tcPr>
            <w:tcW w:w="2304" w:type="dxa"/>
            <w:tcBorders>
              <w:top w:val="nil"/>
              <w:bottom w:val="nil"/>
            </w:tcBorders>
          </w:tcPr>
          <w:p w:rsidR="005D0FEF" w:rsidRDefault="005D0FEF" w:rsidP="00794AF2">
            <w:pPr>
              <w:spacing w:before="60" w:after="60"/>
              <w:jc w:val="left"/>
              <w:rPr>
                <w:rFonts w:cs="Times New Roman"/>
              </w:rPr>
            </w:pPr>
            <w:r>
              <w:rPr>
                <w:rFonts w:cs="Times New Roman"/>
              </w:rPr>
              <w:t>Log Orders Group 4</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-93.34</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13.49</w:t>
            </w:r>
            <w:r w:rsidRPr="00D2430C">
              <w:rPr>
                <w:rFonts w:cs="Times New Roman"/>
              </w:rPr>
              <w:t>%)</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-104.57</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14.20</w:t>
            </w:r>
            <w:r w:rsidRPr="00D2430C">
              <w:rPr>
                <w:rFonts w:cs="Times New Roman"/>
              </w:rPr>
              <w:t>%)</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-109.09</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14.79</w:t>
            </w:r>
            <w:r w:rsidRPr="00D2430C">
              <w:rPr>
                <w:rFonts w:cs="Times New Roman"/>
              </w:rPr>
              <w:t>%)</w:t>
            </w:r>
          </w:p>
        </w:tc>
      </w:tr>
      <w:tr w:rsidR="005D0FEF" w:rsidRPr="00D2430C" w:rsidTr="00794AF2">
        <w:trPr>
          <w:jc w:val="center"/>
        </w:trPr>
        <w:tc>
          <w:tcPr>
            <w:tcW w:w="2304" w:type="dxa"/>
            <w:tcBorders>
              <w:top w:val="nil"/>
            </w:tcBorders>
          </w:tcPr>
          <w:p w:rsidR="005D0FEF" w:rsidRPr="00D2430C" w:rsidRDefault="005D0FEF" w:rsidP="00794AF2">
            <w:pPr>
              <w:spacing w:before="60" w:after="60"/>
              <w:jc w:val="left"/>
              <w:rPr>
                <w:rFonts w:cs="Times New Roman"/>
                <w:vertAlign w:val="superscript"/>
              </w:rPr>
            </w:pPr>
            <w:r w:rsidRPr="00D2430C">
              <w:rPr>
                <w:rFonts w:cs="Times New Roman"/>
              </w:rPr>
              <w:t>R</w:t>
            </w:r>
            <w:r w:rsidRPr="00D2430C">
              <w:rPr>
                <w:rFonts w:cs="Times New Roman"/>
                <w:vertAlign w:val="superscript"/>
              </w:rPr>
              <w:t>2</w:t>
            </w:r>
          </w:p>
        </w:tc>
        <w:tc>
          <w:tcPr>
            <w:tcW w:w="1728" w:type="dxa"/>
            <w:tcBorders>
              <w:top w:val="nil"/>
            </w:tcBorders>
          </w:tcPr>
          <w:p w:rsidR="005D0FEF" w:rsidRPr="00D2430C" w:rsidRDefault="005D0FEF" w:rsidP="00794AF2">
            <w:pPr>
              <w:spacing w:before="60" w:after="60"/>
              <w:rPr>
                <w:rFonts w:cs="Times New Roman"/>
              </w:rPr>
            </w:pPr>
            <w:r w:rsidRPr="00D2430C">
              <w:rPr>
                <w:rFonts w:cs="Times New Roman"/>
              </w:rPr>
              <w:t>0.</w:t>
            </w:r>
            <w:r>
              <w:rPr>
                <w:rFonts w:cs="Times New Roman"/>
              </w:rPr>
              <w:t>2179</w:t>
            </w:r>
          </w:p>
        </w:tc>
        <w:tc>
          <w:tcPr>
            <w:tcW w:w="1728" w:type="dxa"/>
            <w:tcBorders>
              <w:top w:val="nil"/>
            </w:tcBorders>
            <w:vAlign w:val="center"/>
          </w:tcPr>
          <w:p w:rsidR="005D0FEF" w:rsidRPr="00D2430C" w:rsidRDefault="005D0FEF" w:rsidP="00794AF2">
            <w:pPr>
              <w:keepNext/>
              <w:spacing w:before="60" w:after="60"/>
              <w:rPr>
                <w:rFonts w:cs="Times New Roman"/>
              </w:rPr>
            </w:pPr>
            <w:r w:rsidRPr="00D2430C">
              <w:rPr>
                <w:rFonts w:cs="Times New Roman"/>
              </w:rPr>
              <w:t>0.</w:t>
            </w:r>
            <w:r>
              <w:rPr>
                <w:rFonts w:cs="Times New Roman"/>
              </w:rPr>
              <w:t>2123</w:t>
            </w:r>
          </w:p>
        </w:tc>
        <w:tc>
          <w:tcPr>
            <w:tcW w:w="1728" w:type="dxa"/>
            <w:tcBorders>
              <w:top w:val="nil"/>
            </w:tcBorders>
            <w:vAlign w:val="center"/>
          </w:tcPr>
          <w:p w:rsidR="005D0FEF" w:rsidRPr="00D2430C" w:rsidRDefault="005D0FEF" w:rsidP="00794AF2">
            <w:pPr>
              <w:keepNext/>
              <w:spacing w:before="60" w:after="60"/>
              <w:rPr>
                <w:rFonts w:cs="Times New Roman"/>
              </w:rPr>
            </w:pPr>
            <w:r w:rsidRPr="00D2430C">
              <w:rPr>
                <w:rFonts w:cs="Times New Roman"/>
              </w:rPr>
              <w:t>0.</w:t>
            </w:r>
            <w:r>
              <w:rPr>
                <w:rFonts w:cs="Times New Roman"/>
              </w:rPr>
              <w:t>2188</w:t>
            </w:r>
          </w:p>
        </w:tc>
      </w:tr>
    </w:tbl>
    <w:p w:rsidR="005D0FEF" w:rsidRDefault="005D0FEF" w:rsidP="0015171A">
      <w:pPr>
        <w:spacing w:before="60" w:line="240" w:lineRule="auto"/>
        <w:ind w:left="720" w:right="749"/>
        <w:rPr>
          <w:rFonts w:cs="Times New Roman"/>
          <w:sz w:val="20"/>
          <w:szCs w:val="20"/>
        </w:rPr>
      </w:pPr>
      <w:r w:rsidRPr="00B966DB">
        <w:rPr>
          <w:rFonts w:cs="Times New Roman"/>
          <w:sz w:val="20"/>
          <w:szCs w:val="20"/>
        </w:rPr>
        <w:t>The table reports the coefficie</w:t>
      </w:r>
      <w:r>
        <w:rPr>
          <w:rFonts w:cs="Times New Roman"/>
          <w:sz w:val="20"/>
          <w:szCs w:val="20"/>
        </w:rPr>
        <w:t>nts of interest from estimating Equation 2</w:t>
      </w:r>
      <w:r w:rsidRPr="00B966DB">
        <w:rPr>
          <w:rFonts w:cs="Times New Roman"/>
          <w:sz w:val="20"/>
          <w:szCs w:val="20"/>
        </w:rPr>
        <w:t xml:space="preserve">. </w:t>
      </w:r>
      <w:r>
        <w:rPr>
          <w:rFonts w:cs="Times New Roman"/>
          <w:sz w:val="20"/>
          <w:szCs w:val="20"/>
        </w:rPr>
        <w:t>Coefficients for the control variables are omitted from this table. T</w:t>
      </w:r>
      <w:r w:rsidRPr="00B966DB">
        <w:rPr>
          <w:rFonts w:cs="Times New Roman"/>
          <w:sz w:val="20"/>
          <w:szCs w:val="20"/>
        </w:rPr>
        <w:t>he unit of analysis</w:t>
      </w:r>
      <w:r>
        <w:rPr>
          <w:rFonts w:cs="Times New Roman"/>
          <w:sz w:val="20"/>
          <w:szCs w:val="20"/>
        </w:rPr>
        <w:t xml:space="preserve"> is</w:t>
      </w:r>
      <w:r w:rsidRPr="00B966DB">
        <w:rPr>
          <w:rFonts w:cs="Times New Roman"/>
          <w:sz w:val="20"/>
          <w:szCs w:val="20"/>
        </w:rPr>
        <w:t xml:space="preserve"> a new item and the sample size in all models is 2,388. Standard errors are in parentheses.</w:t>
      </w:r>
    </w:p>
    <w:p w:rsidR="005D0FEF" w:rsidRDefault="005D0FEF" w:rsidP="005D0FEF">
      <w:pPr>
        <w:ind w:left="360"/>
      </w:pPr>
    </w:p>
    <w:p w:rsidR="005D0FEF" w:rsidRPr="00A45615" w:rsidRDefault="00213747" w:rsidP="005D0FEF">
      <w:pPr>
        <w:spacing w:after="120"/>
        <w:ind w:left="360"/>
        <w:jc w:val="center"/>
        <w:rPr>
          <w:b/>
        </w:rPr>
      </w:pPr>
      <w:r>
        <w:rPr>
          <w:b/>
        </w:rPr>
        <w:t>Equation</w:t>
      </w:r>
      <w:r w:rsidR="005D0FEF" w:rsidRPr="00A45615">
        <w:rPr>
          <w:b/>
        </w:rPr>
        <w:t xml:space="preserve"> 3</w:t>
      </w:r>
      <w:r w:rsidR="005D0FEF">
        <w:rPr>
          <w:b/>
        </w:rPr>
        <w:t xml:space="preserve"> </w:t>
      </w:r>
    </w:p>
    <w:tbl>
      <w:tblPr>
        <w:tblStyle w:val="TableGrid"/>
        <w:tblW w:w="7488"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1728"/>
        <w:gridCol w:w="1728"/>
        <w:gridCol w:w="1728"/>
      </w:tblGrid>
      <w:tr w:rsidR="005D0FEF" w:rsidRPr="00D2430C" w:rsidTr="00794AF2">
        <w:trPr>
          <w:jc w:val="center"/>
        </w:trPr>
        <w:tc>
          <w:tcPr>
            <w:tcW w:w="2304" w:type="dxa"/>
            <w:tcBorders>
              <w:top w:val="double" w:sz="4" w:space="0" w:color="auto"/>
              <w:bottom w:val="single" w:sz="8" w:space="0" w:color="auto"/>
            </w:tcBorders>
            <w:vAlign w:val="center"/>
          </w:tcPr>
          <w:p w:rsidR="005D0FEF" w:rsidRPr="00D2430C" w:rsidRDefault="005D0FEF" w:rsidP="00794AF2">
            <w:pPr>
              <w:keepNext/>
              <w:spacing w:before="60" w:after="60"/>
              <w:rPr>
                <w:rFonts w:cs="Times New Roman"/>
                <w:b/>
              </w:rPr>
            </w:pPr>
          </w:p>
        </w:tc>
        <w:tc>
          <w:tcPr>
            <w:tcW w:w="1728" w:type="dxa"/>
            <w:tcBorders>
              <w:top w:val="double" w:sz="4" w:space="0" w:color="auto"/>
              <w:bottom w:val="single" w:sz="8" w:space="0" w:color="auto"/>
            </w:tcBorders>
            <w:vAlign w:val="center"/>
          </w:tcPr>
          <w:p w:rsidR="005D0FEF" w:rsidRPr="00D2430C" w:rsidRDefault="005D0FEF" w:rsidP="00794AF2">
            <w:pPr>
              <w:keepNext/>
              <w:spacing w:before="60" w:after="60"/>
              <w:rPr>
                <w:rFonts w:cs="Times New Roman"/>
                <w:b/>
              </w:rPr>
            </w:pPr>
            <w:r>
              <w:rPr>
                <w:rFonts w:cs="Times New Roman"/>
                <w:b/>
              </w:rPr>
              <w:t>12 Month Survival</w:t>
            </w:r>
          </w:p>
        </w:tc>
        <w:tc>
          <w:tcPr>
            <w:tcW w:w="1728" w:type="dxa"/>
            <w:tcBorders>
              <w:top w:val="double" w:sz="4" w:space="0" w:color="auto"/>
              <w:bottom w:val="single" w:sz="8" w:space="0" w:color="auto"/>
            </w:tcBorders>
            <w:vAlign w:val="center"/>
          </w:tcPr>
          <w:p w:rsidR="005D0FEF" w:rsidRPr="00D2430C" w:rsidRDefault="005D0FEF" w:rsidP="00794AF2">
            <w:pPr>
              <w:keepNext/>
              <w:spacing w:before="60" w:after="60"/>
              <w:rPr>
                <w:rFonts w:cs="Times New Roman"/>
                <w:b/>
                <w:vertAlign w:val="superscript"/>
              </w:rPr>
            </w:pPr>
            <w:r>
              <w:rPr>
                <w:rFonts w:cs="Times New Roman"/>
                <w:b/>
              </w:rPr>
              <w:t>15 Month Survival</w:t>
            </w:r>
          </w:p>
        </w:tc>
        <w:tc>
          <w:tcPr>
            <w:tcW w:w="1728" w:type="dxa"/>
            <w:tcBorders>
              <w:top w:val="double" w:sz="4" w:space="0" w:color="auto"/>
              <w:bottom w:val="single" w:sz="8" w:space="0" w:color="auto"/>
            </w:tcBorders>
            <w:vAlign w:val="center"/>
          </w:tcPr>
          <w:p w:rsidR="005D0FEF" w:rsidRPr="00D2430C" w:rsidRDefault="005D0FEF" w:rsidP="00794AF2">
            <w:pPr>
              <w:keepNext/>
              <w:spacing w:before="60" w:after="60"/>
              <w:rPr>
                <w:rFonts w:cs="Times New Roman"/>
                <w:b/>
              </w:rPr>
            </w:pPr>
            <w:r>
              <w:rPr>
                <w:rFonts w:cs="Times New Roman"/>
                <w:b/>
              </w:rPr>
              <w:t>21 Month Survival</w:t>
            </w:r>
          </w:p>
        </w:tc>
      </w:tr>
      <w:tr w:rsidR="005D0FEF" w:rsidRPr="00D2430C" w:rsidTr="00794AF2">
        <w:trPr>
          <w:jc w:val="center"/>
        </w:trPr>
        <w:tc>
          <w:tcPr>
            <w:tcW w:w="2304" w:type="dxa"/>
            <w:tcBorders>
              <w:top w:val="nil"/>
              <w:bottom w:val="nil"/>
            </w:tcBorders>
          </w:tcPr>
          <w:p w:rsidR="005D0FEF" w:rsidRPr="00D2430C" w:rsidRDefault="005D0FEF" w:rsidP="00794AF2">
            <w:pPr>
              <w:spacing w:before="60" w:after="60"/>
              <w:jc w:val="left"/>
              <w:rPr>
                <w:rFonts w:cs="Times New Roman"/>
              </w:rPr>
            </w:pPr>
            <w:r>
              <w:rPr>
                <w:rFonts w:cs="Times New Roman"/>
              </w:rPr>
              <w:t>Log Total Orders</w:t>
            </w: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Pr>
                <w:rFonts w:cs="Times New Roman"/>
              </w:rPr>
              <w:t>1.52</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1.46%</w:t>
            </w:r>
            <w:r w:rsidRPr="00D2430C">
              <w:rPr>
                <w:rFonts w:cs="Times New Roman"/>
              </w:rPr>
              <w:t>)</w:t>
            </w: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Pr>
                <w:rFonts w:cs="Times New Roman"/>
              </w:rPr>
              <w:t>2.38</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1.53%</w:t>
            </w:r>
            <w:r w:rsidRPr="00D2430C">
              <w:rPr>
                <w:rFonts w:cs="Times New Roman"/>
              </w:rPr>
              <w:t>)</w:t>
            </w: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Pr>
                <w:rFonts w:cs="Times New Roman"/>
              </w:rPr>
              <w:t>4.30</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1.60%</w:t>
            </w:r>
            <w:r w:rsidRPr="00D2430C">
              <w:rPr>
                <w:rFonts w:cs="Times New Roman"/>
              </w:rPr>
              <w:t>)</w:t>
            </w:r>
          </w:p>
        </w:tc>
      </w:tr>
      <w:tr w:rsidR="005D0FEF" w:rsidRPr="00D2430C" w:rsidTr="00794AF2">
        <w:trPr>
          <w:jc w:val="center"/>
        </w:trPr>
        <w:tc>
          <w:tcPr>
            <w:tcW w:w="2304" w:type="dxa"/>
            <w:tcBorders>
              <w:top w:val="nil"/>
              <w:bottom w:val="nil"/>
            </w:tcBorders>
          </w:tcPr>
          <w:p w:rsidR="005D0FEF" w:rsidRPr="00D2430C" w:rsidRDefault="005D0FEF" w:rsidP="00794AF2">
            <w:pPr>
              <w:spacing w:before="60" w:after="60"/>
              <w:jc w:val="left"/>
              <w:rPr>
                <w:rFonts w:cs="Times New Roman"/>
              </w:rPr>
            </w:pPr>
            <w:r w:rsidRPr="00D2430C">
              <w:rPr>
                <w:rFonts w:cs="Times New Roman"/>
              </w:rPr>
              <w:t>% Group 2</w:t>
            </w: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Pr>
                <w:rFonts w:cs="Times New Roman"/>
              </w:rPr>
              <w:t>-114.94</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46.22%</w:t>
            </w:r>
            <w:r w:rsidRPr="00D2430C">
              <w:rPr>
                <w:rFonts w:cs="Times New Roman"/>
              </w:rPr>
              <w:t>)</w:t>
            </w: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Pr>
                <w:rFonts w:cs="Times New Roman"/>
              </w:rPr>
              <w:t>-155.30</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48.61%</w:t>
            </w:r>
            <w:r w:rsidRPr="00D2430C">
              <w:rPr>
                <w:rFonts w:cs="Times New Roman"/>
              </w:rPr>
              <w:t>)</w:t>
            </w: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Pr>
                <w:rFonts w:cs="Times New Roman"/>
              </w:rPr>
              <w:t>-165.09</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50.70%</w:t>
            </w:r>
            <w:r w:rsidRPr="00D2430C">
              <w:rPr>
                <w:rFonts w:cs="Times New Roman"/>
              </w:rPr>
              <w:t>)</w:t>
            </w:r>
          </w:p>
        </w:tc>
      </w:tr>
      <w:tr w:rsidR="005D0FEF" w:rsidRPr="00D2430C" w:rsidTr="00794AF2">
        <w:trPr>
          <w:jc w:val="center"/>
        </w:trPr>
        <w:tc>
          <w:tcPr>
            <w:tcW w:w="2304" w:type="dxa"/>
            <w:tcBorders>
              <w:top w:val="nil"/>
              <w:bottom w:val="nil"/>
            </w:tcBorders>
          </w:tcPr>
          <w:p w:rsidR="005D0FEF" w:rsidRPr="00D2430C" w:rsidRDefault="005D0FEF" w:rsidP="00794AF2">
            <w:pPr>
              <w:spacing w:before="60" w:after="60"/>
              <w:jc w:val="left"/>
              <w:rPr>
                <w:rFonts w:cs="Times New Roman"/>
              </w:rPr>
            </w:pPr>
            <w:r w:rsidRPr="00D2430C">
              <w:rPr>
                <w:rFonts w:cs="Times New Roman"/>
              </w:rPr>
              <w:t>% Group 3</w:t>
            </w: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Pr>
                <w:rFonts w:cs="Times New Roman"/>
              </w:rPr>
              <w:t>-211.48%</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44.60</w:t>
            </w:r>
            <w:r w:rsidRPr="00D2430C">
              <w:rPr>
                <w:rFonts w:cs="Times New Roman"/>
              </w:rPr>
              <w:t>%)</w:t>
            </w: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Pr>
                <w:rFonts w:cs="Times New Roman"/>
              </w:rPr>
              <w:t>-266.70%</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46.90</w:t>
            </w:r>
            <w:r w:rsidRPr="00D2430C">
              <w:rPr>
                <w:rFonts w:cs="Times New Roman"/>
              </w:rPr>
              <w:t>%)</w:t>
            </w: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Pr>
                <w:rFonts w:cs="Times New Roman"/>
              </w:rPr>
              <w:t>-287.58%</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48.91</w:t>
            </w:r>
            <w:r w:rsidRPr="00D2430C">
              <w:rPr>
                <w:rFonts w:cs="Times New Roman"/>
              </w:rPr>
              <w:t>%)</w:t>
            </w:r>
          </w:p>
        </w:tc>
      </w:tr>
      <w:tr w:rsidR="005D0FEF" w:rsidRPr="00D2430C" w:rsidTr="00794AF2">
        <w:trPr>
          <w:jc w:val="center"/>
        </w:trPr>
        <w:tc>
          <w:tcPr>
            <w:tcW w:w="2304" w:type="dxa"/>
            <w:tcBorders>
              <w:top w:val="nil"/>
              <w:bottom w:val="nil"/>
            </w:tcBorders>
          </w:tcPr>
          <w:p w:rsidR="005D0FEF" w:rsidRPr="00D2430C" w:rsidRDefault="005D0FEF" w:rsidP="00794AF2">
            <w:pPr>
              <w:spacing w:before="60" w:after="60"/>
              <w:jc w:val="left"/>
              <w:rPr>
                <w:rFonts w:cs="Times New Roman"/>
              </w:rPr>
            </w:pPr>
            <w:r w:rsidRPr="00D2430C">
              <w:rPr>
                <w:rFonts w:cs="Times New Roman"/>
              </w:rPr>
              <w:t xml:space="preserve">% Group 4 </w:t>
            </w: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sidRPr="00D2430C">
              <w:rPr>
                <w:rFonts w:cs="Times New Roman"/>
              </w:rPr>
              <w:t>-</w:t>
            </w:r>
            <w:r>
              <w:rPr>
                <w:rFonts w:cs="Times New Roman"/>
              </w:rPr>
              <w:t>549.37</w:t>
            </w:r>
            <w:r w:rsidRPr="00D2430C">
              <w:rPr>
                <w:rFonts w:cs="Times New Roman"/>
              </w:rPr>
              <w:t>%</w:t>
            </w:r>
            <w:r>
              <w:rPr>
                <w:rFonts w:cs="Times New Roman"/>
                <w:vertAlign w:val="superscript"/>
              </w:rPr>
              <w:t>**</w:t>
            </w:r>
            <w:r w:rsidRPr="00D2430C">
              <w:rPr>
                <w:rFonts w:cs="Times New Roman"/>
              </w:rPr>
              <w:t xml:space="preserve">     (</w:t>
            </w:r>
            <w:r>
              <w:rPr>
                <w:rFonts w:cs="Times New Roman"/>
              </w:rPr>
              <w:t>49.24</w:t>
            </w:r>
            <w:r w:rsidRPr="00D2430C">
              <w:rPr>
                <w:rFonts w:cs="Times New Roman"/>
              </w:rPr>
              <w:t>%)</w:t>
            </w: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sidRPr="00D2430C">
              <w:rPr>
                <w:rFonts w:cs="Times New Roman"/>
              </w:rPr>
              <w:t>-</w:t>
            </w:r>
            <w:r>
              <w:rPr>
                <w:rFonts w:cs="Times New Roman"/>
              </w:rPr>
              <w:t>625.57</w:t>
            </w:r>
            <w:r w:rsidRPr="00D2430C">
              <w:rPr>
                <w:rFonts w:cs="Times New Roman"/>
              </w:rPr>
              <w:t>%</w:t>
            </w:r>
            <w:r>
              <w:rPr>
                <w:rFonts w:cs="Times New Roman"/>
                <w:vertAlign w:val="superscript"/>
              </w:rPr>
              <w:t>**</w:t>
            </w:r>
            <w:r w:rsidRPr="00D2430C">
              <w:rPr>
                <w:rFonts w:cs="Times New Roman"/>
              </w:rPr>
              <w:t xml:space="preserve">     (</w:t>
            </w:r>
            <w:r>
              <w:rPr>
                <w:rFonts w:cs="Times New Roman"/>
              </w:rPr>
              <w:t>51.78</w:t>
            </w:r>
            <w:r w:rsidRPr="00D2430C">
              <w:rPr>
                <w:rFonts w:cs="Times New Roman"/>
              </w:rPr>
              <w:t>%)</w:t>
            </w: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sidRPr="00D2430C">
              <w:rPr>
                <w:rFonts w:cs="Times New Roman"/>
              </w:rPr>
              <w:t>-</w:t>
            </w:r>
            <w:r>
              <w:rPr>
                <w:rFonts w:cs="Times New Roman"/>
              </w:rPr>
              <w:t>661.21</w:t>
            </w:r>
            <w:r w:rsidRPr="00D2430C">
              <w:rPr>
                <w:rFonts w:cs="Times New Roman"/>
              </w:rPr>
              <w:t>%</w:t>
            </w:r>
            <w:r>
              <w:rPr>
                <w:rFonts w:cs="Times New Roman"/>
                <w:vertAlign w:val="superscript"/>
              </w:rPr>
              <w:t>**</w:t>
            </w:r>
            <w:r w:rsidRPr="00D2430C">
              <w:rPr>
                <w:rFonts w:cs="Times New Roman"/>
              </w:rPr>
              <w:t xml:space="preserve">     (</w:t>
            </w:r>
            <w:r>
              <w:rPr>
                <w:rFonts w:cs="Times New Roman"/>
              </w:rPr>
              <w:t>54.01</w:t>
            </w:r>
            <w:r w:rsidRPr="00D2430C">
              <w:rPr>
                <w:rFonts w:cs="Times New Roman"/>
              </w:rPr>
              <w:t>%)</w:t>
            </w:r>
          </w:p>
        </w:tc>
      </w:tr>
      <w:tr w:rsidR="005D0FEF" w:rsidRPr="00D2430C" w:rsidTr="00794AF2">
        <w:trPr>
          <w:jc w:val="center"/>
        </w:trPr>
        <w:tc>
          <w:tcPr>
            <w:tcW w:w="2304" w:type="dxa"/>
            <w:tcBorders>
              <w:top w:val="nil"/>
            </w:tcBorders>
          </w:tcPr>
          <w:p w:rsidR="005D0FEF" w:rsidRPr="00D2430C" w:rsidRDefault="005D0FEF" w:rsidP="00794AF2">
            <w:pPr>
              <w:spacing w:before="60" w:after="60"/>
              <w:jc w:val="left"/>
              <w:rPr>
                <w:rFonts w:cs="Times New Roman"/>
                <w:vertAlign w:val="superscript"/>
              </w:rPr>
            </w:pPr>
            <w:r w:rsidRPr="00D2430C">
              <w:rPr>
                <w:rFonts w:cs="Times New Roman"/>
              </w:rPr>
              <w:t>R</w:t>
            </w:r>
            <w:r w:rsidRPr="00D2430C">
              <w:rPr>
                <w:rFonts w:cs="Times New Roman"/>
                <w:vertAlign w:val="superscript"/>
              </w:rPr>
              <w:t>2</w:t>
            </w:r>
          </w:p>
        </w:tc>
        <w:tc>
          <w:tcPr>
            <w:tcW w:w="1728" w:type="dxa"/>
            <w:tcBorders>
              <w:top w:val="nil"/>
            </w:tcBorders>
          </w:tcPr>
          <w:p w:rsidR="005D0FEF" w:rsidRPr="00D2430C" w:rsidRDefault="005D0FEF" w:rsidP="00794AF2">
            <w:pPr>
              <w:spacing w:before="60" w:after="60"/>
              <w:rPr>
                <w:rFonts w:cs="Times New Roman"/>
              </w:rPr>
            </w:pPr>
            <w:r w:rsidRPr="00D2430C">
              <w:rPr>
                <w:rFonts w:cs="Times New Roman"/>
              </w:rPr>
              <w:t>0.</w:t>
            </w:r>
            <w:r>
              <w:rPr>
                <w:rFonts w:cs="Times New Roman"/>
              </w:rPr>
              <w:t>2239</w:t>
            </w:r>
          </w:p>
        </w:tc>
        <w:tc>
          <w:tcPr>
            <w:tcW w:w="1728" w:type="dxa"/>
            <w:tcBorders>
              <w:top w:val="nil"/>
            </w:tcBorders>
            <w:vAlign w:val="center"/>
          </w:tcPr>
          <w:p w:rsidR="005D0FEF" w:rsidRPr="00D2430C" w:rsidRDefault="005D0FEF" w:rsidP="00794AF2">
            <w:pPr>
              <w:keepNext/>
              <w:spacing w:before="60" w:after="60"/>
              <w:rPr>
                <w:rFonts w:cs="Times New Roman"/>
              </w:rPr>
            </w:pPr>
            <w:r w:rsidRPr="00D2430C">
              <w:rPr>
                <w:rFonts w:cs="Times New Roman"/>
              </w:rPr>
              <w:t>0.</w:t>
            </w:r>
            <w:r>
              <w:rPr>
                <w:rFonts w:cs="Times New Roman"/>
              </w:rPr>
              <w:t>2193</w:t>
            </w:r>
          </w:p>
        </w:tc>
        <w:tc>
          <w:tcPr>
            <w:tcW w:w="1728" w:type="dxa"/>
            <w:tcBorders>
              <w:top w:val="nil"/>
            </w:tcBorders>
            <w:vAlign w:val="center"/>
          </w:tcPr>
          <w:p w:rsidR="005D0FEF" w:rsidRPr="00D2430C" w:rsidRDefault="005D0FEF" w:rsidP="00794AF2">
            <w:pPr>
              <w:keepNext/>
              <w:spacing w:before="60" w:after="60"/>
              <w:rPr>
                <w:rFonts w:cs="Times New Roman"/>
              </w:rPr>
            </w:pPr>
            <w:r w:rsidRPr="00D2430C">
              <w:rPr>
                <w:rFonts w:cs="Times New Roman"/>
              </w:rPr>
              <w:t>0.</w:t>
            </w:r>
            <w:r>
              <w:rPr>
                <w:rFonts w:cs="Times New Roman"/>
              </w:rPr>
              <w:t>2246</w:t>
            </w:r>
          </w:p>
        </w:tc>
      </w:tr>
    </w:tbl>
    <w:p w:rsidR="005D0FEF" w:rsidRDefault="005D0FEF" w:rsidP="0015171A">
      <w:pPr>
        <w:spacing w:before="60" w:line="240" w:lineRule="auto"/>
        <w:ind w:left="720" w:right="749"/>
        <w:rPr>
          <w:rFonts w:cs="Times New Roman"/>
          <w:sz w:val="20"/>
          <w:szCs w:val="20"/>
        </w:rPr>
      </w:pPr>
      <w:r w:rsidRPr="00B966DB">
        <w:rPr>
          <w:rFonts w:cs="Times New Roman"/>
          <w:sz w:val="20"/>
          <w:szCs w:val="20"/>
        </w:rPr>
        <w:t>The table reports the coefficie</w:t>
      </w:r>
      <w:r>
        <w:rPr>
          <w:rFonts w:cs="Times New Roman"/>
          <w:sz w:val="20"/>
          <w:szCs w:val="20"/>
        </w:rPr>
        <w:t>nts of interest from estimating Equation 3</w:t>
      </w:r>
      <w:r w:rsidRPr="00B966DB">
        <w:rPr>
          <w:rFonts w:cs="Times New Roman"/>
          <w:sz w:val="20"/>
          <w:szCs w:val="20"/>
        </w:rPr>
        <w:t xml:space="preserve">. </w:t>
      </w:r>
      <w:r>
        <w:rPr>
          <w:rFonts w:cs="Times New Roman"/>
          <w:sz w:val="20"/>
          <w:szCs w:val="20"/>
        </w:rPr>
        <w:t>Coefficients for the control variables are omitted from this table. T</w:t>
      </w:r>
      <w:r w:rsidRPr="00B966DB">
        <w:rPr>
          <w:rFonts w:cs="Times New Roman"/>
          <w:sz w:val="20"/>
          <w:szCs w:val="20"/>
        </w:rPr>
        <w:t>he unit of analysis</w:t>
      </w:r>
      <w:r>
        <w:rPr>
          <w:rFonts w:cs="Times New Roman"/>
          <w:sz w:val="20"/>
          <w:szCs w:val="20"/>
        </w:rPr>
        <w:t xml:space="preserve"> is</w:t>
      </w:r>
      <w:r w:rsidRPr="00B966DB">
        <w:rPr>
          <w:rFonts w:cs="Times New Roman"/>
          <w:sz w:val="20"/>
          <w:szCs w:val="20"/>
        </w:rPr>
        <w:t xml:space="preserve"> a new item and the sample size in all models is 2,388. Standard errors are in parentheses.</w:t>
      </w:r>
    </w:p>
    <w:p w:rsidR="005D0FEF" w:rsidRDefault="005D0FEF">
      <w:pPr>
        <w:rPr>
          <w:b/>
        </w:rPr>
      </w:pPr>
      <w:r>
        <w:rPr>
          <w:b/>
        </w:rPr>
        <w:br w:type="page"/>
      </w:r>
    </w:p>
    <w:p w:rsidR="00146224" w:rsidRPr="00953D8F" w:rsidRDefault="00146224" w:rsidP="00146224">
      <w:pPr>
        <w:jc w:val="center"/>
        <w:rPr>
          <w:b/>
        </w:rPr>
      </w:pPr>
      <w:r w:rsidRPr="00953D8F">
        <w:rPr>
          <w:b/>
        </w:rPr>
        <w:lastRenderedPageBreak/>
        <w:t>Number of Stores</w:t>
      </w:r>
      <w:r>
        <w:rPr>
          <w:b/>
        </w:rPr>
        <w:t xml:space="preserve"> New Items are Sold In</w:t>
      </w:r>
    </w:p>
    <w:p w:rsidR="00146224" w:rsidRDefault="00146224" w:rsidP="0015171A">
      <w:r>
        <w:t xml:space="preserve">In our analysis we focus on items sold in at least 25% of the retailer’s stores in the first 90 days after the item was introduced. </w:t>
      </w:r>
      <w:r w:rsidR="0015171A" w:rsidRPr="0015171A">
        <w:t xml:space="preserve">This restriction was designed to ensure that the item was not just a regional item (such as Red Sox hats) and that it had graduated beyond initial market testing. </w:t>
      </w:r>
      <w:r>
        <w:t xml:space="preserve"> As a robustness check we repeated the analysis using the following thresholds:</w:t>
      </w:r>
    </w:p>
    <w:p w:rsidR="00146224" w:rsidRDefault="00146224" w:rsidP="00146224">
      <w:pPr>
        <w:pStyle w:val="ListParagraph"/>
        <w:numPr>
          <w:ilvl w:val="0"/>
          <w:numId w:val="4"/>
        </w:numPr>
      </w:pPr>
      <w:r>
        <w:t xml:space="preserve">50% of stores </w:t>
      </w:r>
    </w:p>
    <w:p w:rsidR="00146224" w:rsidRDefault="00146224" w:rsidP="00146224">
      <w:pPr>
        <w:pStyle w:val="ListParagraph"/>
        <w:numPr>
          <w:ilvl w:val="0"/>
          <w:numId w:val="4"/>
        </w:numPr>
      </w:pPr>
      <w:r>
        <w:t xml:space="preserve">75% of stores </w:t>
      </w:r>
    </w:p>
    <w:p w:rsidR="00146224" w:rsidRDefault="00146224" w:rsidP="00146224">
      <w:pPr>
        <w:pStyle w:val="ListParagraph"/>
        <w:numPr>
          <w:ilvl w:val="0"/>
          <w:numId w:val="4"/>
        </w:numPr>
      </w:pPr>
      <w:r>
        <w:t xml:space="preserve">95% of stores </w:t>
      </w:r>
    </w:p>
    <w:p w:rsidR="005D0FEF" w:rsidRDefault="005D0FEF" w:rsidP="00146224">
      <w:pPr>
        <w:pStyle w:val="ListParagraph"/>
        <w:numPr>
          <w:ilvl w:val="0"/>
          <w:numId w:val="4"/>
        </w:numPr>
      </w:pPr>
      <w:r>
        <w:t>100% of stores</w:t>
      </w:r>
    </w:p>
    <w:p w:rsidR="00146224" w:rsidRDefault="00146224" w:rsidP="00146224">
      <w:r>
        <w:t>The results confirm that the findings are robust to varying this restriction.</w:t>
      </w:r>
    </w:p>
    <w:p w:rsidR="00146224" w:rsidRPr="007F1949" w:rsidRDefault="00146224" w:rsidP="00146224">
      <w:pPr>
        <w:spacing w:after="120"/>
        <w:jc w:val="center"/>
        <w:rPr>
          <w:b/>
        </w:rPr>
      </w:pPr>
      <w:r>
        <w:rPr>
          <w:b/>
        </w:rPr>
        <w:t>Sold in at Least 50% of Stores</w:t>
      </w:r>
    </w:p>
    <w:tbl>
      <w:tblPr>
        <w:tblStyle w:val="TableGrid"/>
        <w:tblW w:w="7488"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1728"/>
        <w:gridCol w:w="1728"/>
        <w:gridCol w:w="1728"/>
      </w:tblGrid>
      <w:tr w:rsidR="00213747" w:rsidRPr="00B966DB" w:rsidTr="0021763B">
        <w:trPr>
          <w:jc w:val="center"/>
        </w:trPr>
        <w:tc>
          <w:tcPr>
            <w:tcW w:w="2304"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rPr>
            </w:pPr>
          </w:p>
        </w:tc>
        <w:tc>
          <w:tcPr>
            <w:tcW w:w="1728"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rPr>
            </w:pPr>
            <w:r>
              <w:rPr>
                <w:rFonts w:cs="Times New Roman"/>
                <w:b/>
              </w:rPr>
              <w:t>Equation</w:t>
            </w:r>
            <w:r w:rsidRPr="00D2430C">
              <w:rPr>
                <w:rFonts w:cs="Times New Roman"/>
                <w:b/>
              </w:rPr>
              <w:t xml:space="preserve"> 1</w:t>
            </w:r>
          </w:p>
        </w:tc>
        <w:tc>
          <w:tcPr>
            <w:tcW w:w="1728"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vertAlign w:val="superscript"/>
              </w:rPr>
            </w:pPr>
            <w:r>
              <w:rPr>
                <w:rFonts w:cs="Times New Roman"/>
                <w:b/>
              </w:rPr>
              <w:t>Equation</w:t>
            </w:r>
            <w:r w:rsidRPr="00D2430C">
              <w:rPr>
                <w:rFonts w:cs="Times New Roman"/>
                <w:b/>
              </w:rPr>
              <w:t xml:space="preserve"> 2</w:t>
            </w:r>
          </w:p>
        </w:tc>
        <w:tc>
          <w:tcPr>
            <w:tcW w:w="1728"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rPr>
            </w:pPr>
            <w:r>
              <w:rPr>
                <w:rFonts w:cs="Times New Roman"/>
                <w:b/>
              </w:rPr>
              <w:t>Equation</w:t>
            </w:r>
            <w:r w:rsidRPr="00D2430C">
              <w:rPr>
                <w:rFonts w:cs="Times New Roman"/>
                <w:b/>
              </w:rPr>
              <w:t xml:space="preserve"> </w:t>
            </w:r>
            <w:r>
              <w:rPr>
                <w:rFonts w:cs="Times New Roman"/>
                <w:b/>
              </w:rPr>
              <w:t>3</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Pr>
                <w:rFonts w:cs="Times New Roman"/>
              </w:rPr>
              <w:t>Log Total Orders</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r>
              <w:rPr>
                <w:rFonts w:cs="Times New Roman"/>
              </w:rPr>
              <w:t>11.97</w:t>
            </w:r>
            <w:r w:rsidRPr="00D2430C">
              <w:rPr>
                <w:rFonts w:cs="Times New Roman"/>
              </w:rPr>
              <w:t>%</w:t>
            </w:r>
            <w:r w:rsidRPr="00D2430C">
              <w:rPr>
                <w:rFonts w:cs="Times New Roman"/>
                <w:vertAlign w:val="superscript"/>
              </w:rPr>
              <w:t>**</w:t>
            </w:r>
            <w:r w:rsidRPr="00D2430C">
              <w:rPr>
                <w:rFonts w:cs="Times New Roman"/>
              </w:rPr>
              <w:t xml:space="preserve">     (</w:t>
            </w:r>
            <w:r>
              <w:rPr>
                <w:rFonts w:cs="Times New Roman"/>
              </w:rPr>
              <w:t>1.82</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653"/>
              </w:tabs>
              <w:spacing w:before="120" w:after="120"/>
              <w:jc w:val="left"/>
              <w:rPr>
                <w:rFonts w:cs="Times New Roman"/>
              </w:rPr>
            </w:pPr>
            <w:r>
              <w:rPr>
                <w:rFonts w:cs="Times New Roman"/>
              </w:rPr>
              <w:t>4.90</w:t>
            </w:r>
            <w:r w:rsidRPr="00D2430C">
              <w:rPr>
                <w:rFonts w:cs="Times New Roman"/>
              </w:rPr>
              <w:t>%</w:t>
            </w:r>
            <w:r w:rsidRPr="00D2430C">
              <w:rPr>
                <w:rFonts w:cs="Times New Roman"/>
                <w:vertAlign w:val="superscript"/>
              </w:rPr>
              <w:t>*</w:t>
            </w:r>
            <w:r w:rsidRPr="00D2430C">
              <w:rPr>
                <w:rFonts w:cs="Times New Roman"/>
              </w:rPr>
              <w:t xml:space="preserve">     (</w:t>
            </w:r>
            <w:r>
              <w:rPr>
                <w:rFonts w:cs="Times New Roman"/>
              </w:rPr>
              <w:t>1.92</w:t>
            </w:r>
            <w:r w:rsidRPr="00D2430C">
              <w:rPr>
                <w:rFonts w:cs="Times New Roman"/>
              </w:rPr>
              <w:t>%)</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Pr>
                <w:rFonts w:cs="Times New Roman"/>
              </w:rPr>
              <w:t>Log Orders Group 1</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r>
              <w:rPr>
                <w:rFonts w:cs="Times New Roman"/>
              </w:rPr>
              <w:t>168.78</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20.95</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Pr>
                <w:rFonts w:cs="Times New Roman"/>
              </w:rPr>
              <w:t>Log Orders Group 2</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r>
              <w:rPr>
                <w:rFonts w:cs="Times New Roman"/>
              </w:rPr>
              <w:t>21.31</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26.49</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Default="00146224" w:rsidP="0021763B">
            <w:pPr>
              <w:spacing w:before="120" w:after="120"/>
              <w:jc w:val="left"/>
              <w:rPr>
                <w:rFonts w:cs="Times New Roman"/>
              </w:rPr>
            </w:pPr>
            <w:r>
              <w:rPr>
                <w:rFonts w:cs="Times New Roman"/>
              </w:rPr>
              <w:t>Log Orders Group 3</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r>
              <w:rPr>
                <w:rFonts w:cs="Times New Roman"/>
              </w:rPr>
              <w:t>-29.01</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26.53</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Default="00146224" w:rsidP="0021763B">
            <w:pPr>
              <w:spacing w:before="120" w:after="120"/>
              <w:jc w:val="left"/>
              <w:rPr>
                <w:rFonts w:cs="Times New Roman"/>
              </w:rPr>
            </w:pPr>
            <w:r>
              <w:rPr>
                <w:rFonts w:cs="Times New Roman"/>
              </w:rPr>
              <w:t>Log Orders Group 4</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r>
              <w:rPr>
                <w:rFonts w:cs="Times New Roman"/>
              </w:rPr>
              <w:t>-155.79</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20.39</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sidRPr="00D2430C">
              <w:rPr>
                <w:rFonts w:cs="Times New Roman"/>
              </w:rPr>
              <w:t>% Group 2</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653"/>
              </w:tabs>
              <w:spacing w:before="120" w:after="120"/>
              <w:jc w:val="left"/>
              <w:rPr>
                <w:rFonts w:cs="Times New Roman"/>
              </w:rPr>
            </w:pPr>
            <w:r>
              <w:rPr>
                <w:rFonts w:cs="Times New Roman"/>
              </w:rPr>
              <w:t>-56.86</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66.01</w:t>
            </w:r>
            <w:r w:rsidRPr="00D2430C">
              <w:rPr>
                <w:rFonts w:cs="Times New Roman"/>
              </w:rPr>
              <w:t>%)</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sidRPr="00D2430C">
              <w:rPr>
                <w:rFonts w:cs="Times New Roman"/>
              </w:rPr>
              <w:t>% Group 3</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653"/>
              </w:tabs>
              <w:spacing w:before="120" w:after="120"/>
              <w:jc w:val="left"/>
              <w:rPr>
                <w:rFonts w:cs="Times New Roman"/>
              </w:rPr>
            </w:pPr>
            <w:r>
              <w:rPr>
                <w:rFonts w:cs="Times New Roman"/>
              </w:rPr>
              <w:t>-240.16</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64.42</w:t>
            </w:r>
            <w:r w:rsidRPr="00D2430C">
              <w:rPr>
                <w:rFonts w:cs="Times New Roman"/>
              </w:rPr>
              <w:t>%)</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sidRPr="00D2430C">
              <w:rPr>
                <w:rFonts w:cs="Times New Roman"/>
              </w:rPr>
              <w:t xml:space="preserve">% Group 4 </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653"/>
              </w:tabs>
              <w:spacing w:before="120" w:after="120"/>
              <w:jc w:val="left"/>
              <w:rPr>
                <w:rFonts w:cs="Times New Roman"/>
              </w:rPr>
            </w:pPr>
            <w:r w:rsidRPr="00D2430C">
              <w:rPr>
                <w:rFonts w:cs="Times New Roman"/>
              </w:rPr>
              <w:t>-</w:t>
            </w:r>
            <w:r>
              <w:rPr>
                <w:rFonts w:cs="Times New Roman"/>
              </w:rPr>
              <w:t>707.51</w:t>
            </w:r>
            <w:r w:rsidRPr="00D2430C">
              <w:rPr>
                <w:rFonts w:cs="Times New Roman"/>
              </w:rPr>
              <w:t>%</w:t>
            </w:r>
            <w:r w:rsidRPr="00D2430C">
              <w:rPr>
                <w:rFonts w:cs="Times New Roman"/>
                <w:vertAlign w:val="superscript"/>
              </w:rPr>
              <w:t>**</w:t>
            </w:r>
            <w:r w:rsidRPr="00D2430C">
              <w:rPr>
                <w:rFonts w:cs="Times New Roman"/>
              </w:rPr>
              <w:t xml:space="preserve">     (</w:t>
            </w:r>
            <w:r>
              <w:rPr>
                <w:rFonts w:cs="Times New Roman"/>
              </w:rPr>
              <w:t>74.01</w:t>
            </w:r>
            <w:r w:rsidRPr="00D2430C">
              <w:rPr>
                <w:rFonts w:cs="Times New Roman"/>
              </w:rPr>
              <w:t>%)</w:t>
            </w:r>
          </w:p>
        </w:tc>
      </w:tr>
      <w:tr w:rsidR="00146224" w:rsidRPr="00B966DB" w:rsidTr="0021763B">
        <w:trPr>
          <w:jc w:val="center"/>
        </w:trPr>
        <w:tc>
          <w:tcPr>
            <w:tcW w:w="2304" w:type="dxa"/>
            <w:tcBorders>
              <w:top w:val="nil"/>
            </w:tcBorders>
          </w:tcPr>
          <w:p w:rsidR="00146224" w:rsidRPr="00D2430C" w:rsidRDefault="00146224" w:rsidP="0021763B">
            <w:pPr>
              <w:spacing w:before="120" w:after="120"/>
              <w:jc w:val="left"/>
              <w:rPr>
                <w:rFonts w:cs="Times New Roman"/>
                <w:vertAlign w:val="superscript"/>
              </w:rPr>
            </w:pPr>
            <w:r w:rsidRPr="00D2430C">
              <w:rPr>
                <w:rFonts w:cs="Times New Roman"/>
              </w:rPr>
              <w:t>R</w:t>
            </w:r>
            <w:r w:rsidRPr="00D2430C">
              <w:rPr>
                <w:rFonts w:cs="Times New Roman"/>
                <w:vertAlign w:val="superscript"/>
              </w:rPr>
              <w:t>2</w:t>
            </w:r>
          </w:p>
        </w:tc>
        <w:tc>
          <w:tcPr>
            <w:tcW w:w="1728" w:type="dxa"/>
            <w:tcBorders>
              <w:top w:val="nil"/>
            </w:tcBorders>
          </w:tcPr>
          <w:p w:rsidR="00146224" w:rsidRPr="00D2430C" w:rsidRDefault="00146224" w:rsidP="0021763B">
            <w:pPr>
              <w:spacing w:before="120" w:after="120"/>
              <w:rPr>
                <w:rFonts w:cs="Times New Roman"/>
              </w:rPr>
            </w:pPr>
            <w:r w:rsidRPr="00D2430C">
              <w:rPr>
                <w:rFonts w:cs="Times New Roman"/>
              </w:rPr>
              <w:t>0.</w:t>
            </w:r>
            <w:r>
              <w:rPr>
                <w:rFonts w:cs="Times New Roman"/>
              </w:rPr>
              <w:t>2116</w:t>
            </w:r>
          </w:p>
        </w:tc>
        <w:tc>
          <w:tcPr>
            <w:tcW w:w="1728" w:type="dxa"/>
            <w:tcBorders>
              <w:top w:val="nil"/>
            </w:tcBorders>
            <w:vAlign w:val="center"/>
          </w:tcPr>
          <w:p w:rsidR="00146224" w:rsidRPr="00D2430C" w:rsidRDefault="00146224" w:rsidP="0021763B">
            <w:pPr>
              <w:keepNext/>
              <w:spacing w:before="120" w:after="120"/>
              <w:rPr>
                <w:rFonts w:cs="Times New Roman"/>
              </w:rPr>
            </w:pPr>
            <w:r w:rsidRPr="00D2430C">
              <w:rPr>
                <w:rFonts w:cs="Times New Roman"/>
              </w:rPr>
              <w:t>0.</w:t>
            </w:r>
            <w:r>
              <w:rPr>
                <w:rFonts w:cs="Times New Roman"/>
              </w:rPr>
              <w:t>2525</w:t>
            </w:r>
          </w:p>
        </w:tc>
        <w:tc>
          <w:tcPr>
            <w:tcW w:w="1728" w:type="dxa"/>
            <w:tcBorders>
              <w:top w:val="nil"/>
            </w:tcBorders>
            <w:vAlign w:val="center"/>
          </w:tcPr>
          <w:p w:rsidR="00146224" w:rsidRPr="00D2430C" w:rsidRDefault="00146224" w:rsidP="0021763B">
            <w:pPr>
              <w:keepNext/>
              <w:spacing w:before="120" w:after="120"/>
              <w:rPr>
                <w:rFonts w:cs="Times New Roman"/>
              </w:rPr>
            </w:pPr>
            <w:r w:rsidRPr="00D2430C">
              <w:rPr>
                <w:rFonts w:cs="Times New Roman"/>
              </w:rPr>
              <w:t>0.</w:t>
            </w:r>
            <w:r>
              <w:rPr>
                <w:rFonts w:cs="Times New Roman"/>
              </w:rPr>
              <w:t>2529</w:t>
            </w:r>
          </w:p>
        </w:tc>
      </w:tr>
    </w:tbl>
    <w:p w:rsidR="00146224" w:rsidRPr="00B966DB" w:rsidRDefault="00146224" w:rsidP="0015171A">
      <w:pPr>
        <w:spacing w:before="60" w:line="240" w:lineRule="auto"/>
        <w:ind w:left="720" w:right="749"/>
        <w:rPr>
          <w:rFonts w:cs="Times New Roman"/>
          <w:sz w:val="20"/>
          <w:szCs w:val="20"/>
        </w:rPr>
      </w:pPr>
      <w:r w:rsidRPr="00B966DB">
        <w:rPr>
          <w:rFonts w:cs="Times New Roman"/>
          <w:sz w:val="20"/>
          <w:szCs w:val="20"/>
        </w:rPr>
        <w:t>The table reports the coefficie</w:t>
      </w:r>
      <w:r>
        <w:rPr>
          <w:rFonts w:cs="Times New Roman"/>
          <w:sz w:val="20"/>
          <w:szCs w:val="20"/>
        </w:rPr>
        <w:t xml:space="preserve">nts of interest from estimating Equations </w:t>
      </w:r>
      <w:r w:rsidR="00213747">
        <w:rPr>
          <w:rFonts w:cs="Times New Roman"/>
          <w:sz w:val="20"/>
          <w:szCs w:val="20"/>
        </w:rPr>
        <w:t>1, 2 and 3</w:t>
      </w:r>
      <w:r w:rsidRPr="00B966DB">
        <w:rPr>
          <w:rFonts w:cs="Times New Roman"/>
          <w:sz w:val="20"/>
          <w:szCs w:val="20"/>
        </w:rPr>
        <w:t xml:space="preserve">. </w:t>
      </w:r>
      <w:r>
        <w:rPr>
          <w:rFonts w:cs="Times New Roman"/>
          <w:sz w:val="20"/>
          <w:szCs w:val="20"/>
        </w:rPr>
        <w:t xml:space="preserve">Fixed effects at the 3-digit zip code together with coefficients for the control variables are estimated but omitted from the table. The </w:t>
      </w:r>
      <w:r w:rsidRPr="00B966DB">
        <w:rPr>
          <w:rFonts w:cs="Times New Roman"/>
          <w:sz w:val="20"/>
          <w:szCs w:val="20"/>
        </w:rPr>
        <w:t>unit of analysis</w:t>
      </w:r>
      <w:r>
        <w:rPr>
          <w:rFonts w:cs="Times New Roman"/>
          <w:sz w:val="20"/>
          <w:szCs w:val="20"/>
        </w:rPr>
        <w:t xml:space="preserve"> is</w:t>
      </w:r>
      <w:r w:rsidRPr="00B966DB">
        <w:rPr>
          <w:rFonts w:cs="Times New Roman"/>
          <w:sz w:val="20"/>
          <w:szCs w:val="20"/>
        </w:rPr>
        <w:t xml:space="preserve"> a new item and the sample size in all models is 2,</w:t>
      </w:r>
      <w:r>
        <w:rPr>
          <w:rFonts w:cs="Times New Roman"/>
          <w:sz w:val="20"/>
          <w:szCs w:val="20"/>
        </w:rPr>
        <w:t>036</w:t>
      </w:r>
      <w:r w:rsidRPr="00B966DB">
        <w:rPr>
          <w:rFonts w:cs="Times New Roman"/>
          <w:sz w:val="20"/>
          <w:szCs w:val="20"/>
        </w:rPr>
        <w:t>. Standard errors are in parentheses.</w:t>
      </w:r>
    </w:p>
    <w:p w:rsidR="00146224" w:rsidRDefault="00146224" w:rsidP="00146224">
      <w:r>
        <w:br w:type="page"/>
      </w:r>
    </w:p>
    <w:p w:rsidR="00146224" w:rsidRPr="007F1949" w:rsidRDefault="00146224" w:rsidP="00146224">
      <w:pPr>
        <w:spacing w:after="120"/>
        <w:jc w:val="center"/>
        <w:rPr>
          <w:b/>
        </w:rPr>
      </w:pPr>
      <w:r>
        <w:rPr>
          <w:b/>
        </w:rPr>
        <w:lastRenderedPageBreak/>
        <w:t>Sold in at Least 75% of Stores</w:t>
      </w:r>
    </w:p>
    <w:tbl>
      <w:tblPr>
        <w:tblStyle w:val="TableGrid"/>
        <w:tblW w:w="7488"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1728"/>
        <w:gridCol w:w="1728"/>
        <w:gridCol w:w="1728"/>
      </w:tblGrid>
      <w:tr w:rsidR="00213747" w:rsidRPr="00B966DB" w:rsidTr="0021763B">
        <w:trPr>
          <w:jc w:val="center"/>
        </w:trPr>
        <w:tc>
          <w:tcPr>
            <w:tcW w:w="2304"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rPr>
            </w:pPr>
          </w:p>
        </w:tc>
        <w:tc>
          <w:tcPr>
            <w:tcW w:w="1728"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rPr>
            </w:pPr>
            <w:r>
              <w:rPr>
                <w:rFonts w:cs="Times New Roman"/>
                <w:b/>
              </w:rPr>
              <w:t>Equation</w:t>
            </w:r>
            <w:r w:rsidRPr="00D2430C">
              <w:rPr>
                <w:rFonts w:cs="Times New Roman"/>
                <w:b/>
              </w:rPr>
              <w:t xml:space="preserve"> 1</w:t>
            </w:r>
          </w:p>
        </w:tc>
        <w:tc>
          <w:tcPr>
            <w:tcW w:w="1728"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vertAlign w:val="superscript"/>
              </w:rPr>
            </w:pPr>
            <w:r>
              <w:rPr>
                <w:rFonts w:cs="Times New Roman"/>
                <w:b/>
              </w:rPr>
              <w:t>Equation</w:t>
            </w:r>
            <w:r w:rsidRPr="00D2430C">
              <w:rPr>
                <w:rFonts w:cs="Times New Roman"/>
                <w:b/>
              </w:rPr>
              <w:t xml:space="preserve"> 2</w:t>
            </w:r>
          </w:p>
        </w:tc>
        <w:tc>
          <w:tcPr>
            <w:tcW w:w="1728"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rPr>
            </w:pPr>
            <w:r>
              <w:rPr>
                <w:rFonts w:cs="Times New Roman"/>
                <w:b/>
              </w:rPr>
              <w:t>Equation</w:t>
            </w:r>
            <w:r w:rsidRPr="00D2430C">
              <w:rPr>
                <w:rFonts w:cs="Times New Roman"/>
                <w:b/>
              </w:rPr>
              <w:t xml:space="preserve"> </w:t>
            </w:r>
            <w:r>
              <w:rPr>
                <w:rFonts w:cs="Times New Roman"/>
                <w:b/>
              </w:rPr>
              <w:t>3</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Pr>
                <w:rFonts w:cs="Times New Roman"/>
              </w:rPr>
              <w:t>Log Total Orders</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r>
              <w:rPr>
                <w:rFonts w:cs="Times New Roman"/>
              </w:rPr>
              <w:t>6.63</w:t>
            </w:r>
            <w:r w:rsidRPr="00D2430C">
              <w:rPr>
                <w:rFonts w:cs="Times New Roman"/>
              </w:rPr>
              <w:t>%</w:t>
            </w:r>
            <w:r w:rsidRPr="00D2430C">
              <w:rPr>
                <w:rFonts w:cs="Times New Roman"/>
                <w:vertAlign w:val="superscript"/>
              </w:rPr>
              <w:t>**</w:t>
            </w:r>
            <w:r w:rsidRPr="00D2430C">
              <w:rPr>
                <w:rFonts w:cs="Times New Roman"/>
              </w:rPr>
              <w:t xml:space="preserve">     (</w:t>
            </w:r>
            <w:r>
              <w:rPr>
                <w:rFonts w:cs="Times New Roman"/>
              </w:rPr>
              <w:t>2.38</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653"/>
              </w:tabs>
              <w:spacing w:before="120" w:after="120"/>
              <w:jc w:val="left"/>
              <w:rPr>
                <w:rFonts w:cs="Times New Roman"/>
              </w:rPr>
            </w:pPr>
            <w:r>
              <w:rPr>
                <w:rFonts w:cs="Times New Roman"/>
              </w:rPr>
              <w:t>0.45</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2.40</w:t>
            </w:r>
            <w:r w:rsidRPr="00D2430C">
              <w:rPr>
                <w:rFonts w:cs="Times New Roman"/>
              </w:rPr>
              <w:t>%)</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Pr>
                <w:rFonts w:cs="Times New Roman"/>
              </w:rPr>
              <w:t>Log Orders Group 1</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r>
              <w:rPr>
                <w:rFonts w:cs="Times New Roman"/>
              </w:rPr>
              <w:t>192.85</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26.06</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Pr>
                <w:rFonts w:cs="Times New Roman"/>
              </w:rPr>
              <w:t>Log Orders Group 2</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r>
              <w:rPr>
                <w:rFonts w:cs="Times New Roman"/>
              </w:rPr>
              <w:t>54.20</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33.87</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Default="00146224" w:rsidP="0021763B">
            <w:pPr>
              <w:spacing w:before="120" w:after="120"/>
              <w:jc w:val="left"/>
              <w:rPr>
                <w:rFonts w:cs="Times New Roman"/>
              </w:rPr>
            </w:pPr>
            <w:r>
              <w:rPr>
                <w:rFonts w:cs="Times New Roman"/>
              </w:rPr>
              <w:t>Log Orders Group 3</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r>
              <w:rPr>
                <w:rFonts w:cs="Times New Roman"/>
              </w:rPr>
              <w:t>-50.13</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33.78</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Default="00146224" w:rsidP="0021763B">
            <w:pPr>
              <w:spacing w:before="120" w:after="120"/>
              <w:jc w:val="left"/>
              <w:rPr>
                <w:rFonts w:cs="Times New Roman"/>
              </w:rPr>
            </w:pPr>
            <w:r>
              <w:rPr>
                <w:rFonts w:cs="Times New Roman"/>
              </w:rPr>
              <w:t>Log Orders Group 4</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r>
              <w:rPr>
                <w:rFonts w:cs="Times New Roman"/>
              </w:rPr>
              <w:t>-195.98</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27.43</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sidRPr="00D2430C">
              <w:rPr>
                <w:rFonts w:cs="Times New Roman"/>
              </w:rPr>
              <w:t>% Group 2</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653"/>
              </w:tabs>
              <w:spacing w:before="120" w:after="120"/>
              <w:jc w:val="left"/>
              <w:rPr>
                <w:rFonts w:cs="Times New Roman"/>
              </w:rPr>
            </w:pPr>
            <w:r>
              <w:rPr>
                <w:rFonts w:cs="Times New Roman"/>
              </w:rPr>
              <w:t>-78.21</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80.21</w:t>
            </w:r>
            <w:r w:rsidRPr="00D2430C">
              <w:rPr>
                <w:rFonts w:cs="Times New Roman"/>
              </w:rPr>
              <w:t>)</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sidRPr="00D2430C">
              <w:rPr>
                <w:rFonts w:cs="Times New Roman"/>
              </w:rPr>
              <w:t>% Group 3</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653"/>
              </w:tabs>
              <w:spacing w:before="120" w:after="120"/>
              <w:jc w:val="left"/>
              <w:rPr>
                <w:rFonts w:cs="Times New Roman"/>
              </w:rPr>
            </w:pPr>
            <w:r>
              <w:rPr>
                <w:rFonts w:cs="Times New Roman"/>
              </w:rPr>
              <w:t>-321.37</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83.67</w:t>
            </w:r>
            <w:r w:rsidRPr="00D2430C">
              <w:rPr>
                <w:rFonts w:cs="Times New Roman"/>
              </w:rPr>
              <w:t>%)</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sidRPr="00D2430C">
              <w:rPr>
                <w:rFonts w:cs="Times New Roman"/>
              </w:rPr>
              <w:t xml:space="preserve">% Group 4 </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653"/>
              </w:tabs>
              <w:spacing w:before="120" w:after="120"/>
              <w:jc w:val="left"/>
              <w:rPr>
                <w:rFonts w:cs="Times New Roman"/>
              </w:rPr>
            </w:pPr>
            <w:r w:rsidRPr="00D2430C">
              <w:rPr>
                <w:rFonts w:cs="Times New Roman"/>
              </w:rPr>
              <w:t>-</w:t>
            </w:r>
            <w:r>
              <w:rPr>
                <w:rFonts w:cs="Times New Roman"/>
              </w:rPr>
              <w:t>833.09</w:t>
            </w:r>
            <w:r w:rsidRPr="00D2430C">
              <w:rPr>
                <w:rFonts w:cs="Times New Roman"/>
              </w:rPr>
              <w:t>%</w:t>
            </w:r>
            <w:r w:rsidRPr="00D2430C">
              <w:rPr>
                <w:rFonts w:cs="Times New Roman"/>
                <w:vertAlign w:val="superscript"/>
              </w:rPr>
              <w:t>**</w:t>
            </w:r>
            <w:r w:rsidRPr="00D2430C">
              <w:rPr>
                <w:rFonts w:cs="Times New Roman"/>
              </w:rPr>
              <w:t xml:space="preserve">     (</w:t>
            </w:r>
            <w:r>
              <w:rPr>
                <w:rFonts w:cs="Times New Roman"/>
              </w:rPr>
              <w:t>92.59</w:t>
            </w:r>
            <w:r w:rsidRPr="00D2430C">
              <w:rPr>
                <w:rFonts w:cs="Times New Roman"/>
              </w:rPr>
              <w:t>%)</w:t>
            </w:r>
          </w:p>
        </w:tc>
      </w:tr>
      <w:tr w:rsidR="00146224" w:rsidRPr="00B966DB" w:rsidTr="0021763B">
        <w:trPr>
          <w:jc w:val="center"/>
        </w:trPr>
        <w:tc>
          <w:tcPr>
            <w:tcW w:w="2304" w:type="dxa"/>
            <w:tcBorders>
              <w:top w:val="nil"/>
            </w:tcBorders>
          </w:tcPr>
          <w:p w:rsidR="00146224" w:rsidRPr="00D2430C" w:rsidRDefault="00146224" w:rsidP="0021763B">
            <w:pPr>
              <w:spacing w:before="120" w:after="120"/>
              <w:jc w:val="left"/>
              <w:rPr>
                <w:rFonts w:cs="Times New Roman"/>
                <w:vertAlign w:val="superscript"/>
              </w:rPr>
            </w:pPr>
            <w:r w:rsidRPr="00D2430C">
              <w:rPr>
                <w:rFonts w:cs="Times New Roman"/>
              </w:rPr>
              <w:t>R</w:t>
            </w:r>
            <w:r w:rsidRPr="00D2430C">
              <w:rPr>
                <w:rFonts w:cs="Times New Roman"/>
                <w:vertAlign w:val="superscript"/>
              </w:rPr>
              <w:t>2</w:t>
            </w:r>
          </w:p>
        </w:tc>
        <w:tc>
          <w:tcPr>
            <w:tcW w:w="1728" w:type="dxa"/>
            <w:tcBorders>
              <w:top w:val="nil"/>
            </w:tcBorders>
          </w:tcPr>
          <w:p w:rsidR="00146224" w:rsidRPr="00D2430C" w:rsidRDefault="00146224" w:rsidP="0021763B">
            <w:pPr>
              <w:spacing w:before="120" w:after="120"/>
              <w:rPr>
                <w:rFonts w:cs="Times New Roman"/>
              </w:rPr>
            </w:pPr>
            <w:r w:rsidRPr="00D2430C">
              <w:rPr>
                <w:rFonts w:cs="Times New Roman"/>
              </w:rPr>
              <w:t>0.</w:t>
            </w:r>
            <w:r>
              <w:rPr>
                <w:rFonts w:cs="Times New Roman"/>
              </w:rPr>
              <w:t>2397</w:t>
            </w:r>
          </w:p>
        </w:tc>
        <w:tc>
          <w:tcPr>
            <w:tcW w:w="1728" w:type="dxa"/>
            <w:tcBorders>
              <w:top w:val="nil"/>
            </w:tcBorders>
            <w:vAlign w:val="center"/>
          </w:tcPr>
          <w:p w:rsidR="00146224" w:rsidRPr="00D2430C" w:rsidRDefault="00146224" w:rsidP="0021763B">
            <w:pPr>
              <w:keepNext/>
              <w:spacing w:before="120" w:after="120"/>
              <w:rPr>
                <w:rFonts w:cs="Times New Roman"/>
              </w:rPr>
            </w:pPr>
            <w:r w:rsidRPr="00D2430C">
              <w:rPr>
                <w:rFonts w:cs="Times New Roman"/>
              </w:rPr>
              <w:t>0.</w:t>
            </w:r>
            <w:r>
              <w:rPr>
                <w:rFonts w:cs="Times New Roman"/>
              </w:rPr>
              <w:t>2832</w:t>
            </w:r>
          </w:p>
        </w:tc>
        <w:tc>
          <w:tcPr>
            <w:tcW w:w="1728" w:type="dxa"/>
            <w:tcBorders>
              <w:top w:val="nil"/>
            </w:tcBorders>
            <w:vAlign w:val="center"/>
          </w:tcPr>
          <w:p w:rsidR="00146224" w:rsidRPr="00D2430C" w:rsidRDefault="00146224" w:rsidP="0021763B">
            <w:pPr>
              <w:keepNext/>
              <w:spacing w:before="120" w:after="120"/>
              <w:rPr>
                <w:rFonts w:cs="Times New Roman"/>
              </w:rPr>
            </w:pPr>
            <w:r w:rsidRPr="00D2430C">
              <w:rPr>
                <w:rFonts w:cs="Times New Roman"/>
              </w:rPr>
              <w:t>0.</w:t>
            </w:r>
            <w:r>
              <w:rPr>
                <w:rFonts w:cs="Times New Roman"/>
              </w:rPr>
              <w:t>2821</w:t>
            </w:r>
          </w:p>
        </w:tc>
      </w:tr>
    </w:tbl>
    <w:p w:rsidR="00146224" w:rsidRPr="00B966DB" w:rsidRDefault="00146224" w:rsidP="00146224">
      <w:pPr>
        <w:spacing w:before="60" w:line="240" w:lineRule="auto"/>
        <w:ind w:left="720" w:right="746"/>
        <w:rPr>
          <w:rFonts w:cs="Times New Roman"/>
          <w:sz w:val="20"/>
          <w:szCs w:val="20"/>
        </w:rPr>
      </w:pPr>
      <w:r w:rsidRPr="00B966DB">
        <w:rPr>
          <w:rFonts w:cs="Times New Roman"/>
          <w:sz w:val="20"/>
          <w:szCs w:val="20"/>
        </w:rPr>
        <w:t>The table reports the coefficie</w:t>
      </w:r>
      <w:r>
        <w:rPr>
          <w:rFonts w:cs="Times New Roman"/>
          <w:sz w:val="20"/>
          <w:szCs w:val="20"/>
        </w:rPr>
        <w:t xml:space="preserve">nts of interest from estimating Equations </w:t>
      </w:r>
      <w:r w:rsidR="00213747">
        <w:rPr>
          <w:rFonts w:cs="Times New Roman"/>
          <w:sz w:val="20"/>
          <w:szCs w:val="20"/>
        </w:rPr>
        <w:t>1, 2 and 3</w:t>
      </w:r>
      <w:r w:rsidRPr="00B966DB">
        <w:rPr>
          <w:rFonts w:cs="Times New Roman"/>
          <w:sz w:val="20"/>
          <w:szCs w:val="20"/>
        </w:rPr>
        <w:t xml:space="preserve">. </w:t>
      </w:r>
      <w:r>
        <w:rPr>
          <w:rFonts w:cs="Times New Roman"/>
          <w:sz w:val="20"/>
          <w:szCs w:val="20"/>
        </w:rPr>
        <w:t xml:space="preserve">Fixed effects at the 3-digit zip code together with coefficients for the control variables are estimated but omitted from the table. The </w:t>
      </w:r>
      <w:r w:rsidRPr="00B966DB">
        <w:rPr>
          <w:rFonts w:cs="Times New Roman"/>
          <w:sz w:val="20"/>
          <w:szCs w:val="20"/>
        </w:rPr>
        <w:t>unit of analysis</w:t>
      </w:r>
      <w:r>
        <w:rPr>
          <w:rFonts w:cs="Times New Roman"/>
          <w:sz w:val="20"/>
          <w:szCs w:val="20"/>
        </w:rPr>
        <w:t xml:space="preserve"> is</w:t>
      </w:r>
      <w:r w:rsidRPr="00B966DB">
        <w:rPr>
          <w:rFonts w:cs="Times New Roman"/>
          <w:sz w:val="20"/>
          <w:szCs w:val="20"/>
        </w:rPr>
        <w:t xml:space="preserve"> a new item and the sample size in all models is </w:t>
      </w:r>
      <w:r>
        <w:rPr>
          <w:rFonts w:cs="Times New Roman"/>
          <w:sz w:val="20"/>
          <w:szCs w:val="20"/>
        </w:rPr>
        <w:t>1,630</w:t>
      </w:r>
      <w:r w:rsidRPr="00B966DB">
        <w:rPr>
          <w:rFonts w:cs="Times New Roman"/>
          <w:sz w:val="20"/>
          <w:szCs w:val="20"/>
        </w:rPr>
        <w:t>. Standard errors are in parentheses.</w:t>
      </w:r>
    </w:p>
    <w:p w:rsidR="00146224" w:rsidRPr="007F1949" w:rsidRDefault="00146224" w:rsidP="00146224">
      <w:pPr>
        <w:spacing w:after="120"/>
        <w:jc w:val="center"/>
        <w:rPr>
          <w:b/>
        </w:rPr>
      </w:pPr>
      <w:r>
        <w:br w:type="page"/>
      </w:r>
      <w:r>
        <w:rPr>
          <w:b/>
        </w:rPr>
        <w:lastRenderedPageBreak/>
        <w:t>Sold in at Least 95% of Stores</w:t>
      </w:r>
    </w:p>
    <w:tbl>
      <w:tblPr>
        <w:tblStyle w:val="TableGrid"/>
        <w:tblW w:w="7488"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1728"/>
        <w:gridCol w:w="1728"/>
        <w:gridCol w:w="1728"/>
      </w:tblGrid>
      <w:tr w:rsidR="00213747" w:rsidRPr="00B966DB" w:rsidTr="0021763B">
        <w:trPr>
          <w:jc w:val="center"/>
        </w:trPr>
        <w:tc>
          <w:tcPr>
            <w:tcW w:w="2304"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rPr>
            </w:pPr>
          </w:p>
        </w:tc>
        <w:tc>
          <w:tcPr>
            <w:tcW w:w="1728"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rPr>
            </w:pPr>
            <w:r>
              <w:rPr>
                <w:rFonts w:cs="Times New Roman"/>
                <w:b/>
              </w:rPr>
              <w:t>Equation</w:t>
            </w:r>
            <w:r w:rsidRPr="00D2430C">
              <w:rPr>
                <w:rFonts w:cs="Times New Roman"/>
                <w:b/>
              </w:rPr>
              <w:t xml:space="preserve"> 1</w:t>
            </w:r>
          </w:p>
        </w:tc>
        <w:tc>
          <w:tcPr>
            <w:tcW w:w="1728"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vertAlign w:val="superscript"/>
              </w:rPr>
            </w:pPr>
            <w:r>
              <w:rPr>
                <w:rFonts w:cs="Times New Roman"/>
                <w:b/>
              </w:rPr>
              <w:t>Equation</w:t>
            </w:r>
            <w:r w:rsidRPr="00D2430C">
              <w:rPr>
                <w:rFonts w:cs="Times New Roman"/>
                <w:b/>
              </w:rPr>
              <w:t xml:space="preserve"> 2</w:t>
            </w:r>
          </w:p>
        </w:tc>
        <w:tc>
          <w:tcPr>
            <w:tcW w:w="1728"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rPr>
            </w:pPr>
            <w:r>
              <w:rPr>
                <w:rFonts w:cs="Times New Roman"/>
                <w:b/>
              </w:rPr>
              <w:t>Equation</w:t>
            </w:r>
            <w:r w:rsidRPr="00D2430C">
              <w:rPr>
                <w:rFonts w:cs="Times New Roman"/>
                <w:b/>
              </w:rPr>
              <w:t xml:space="preserve"> </w:t>
            </w:r>
            <w:r>
              <w:rPr>
                <w:rFonts w:cs="Times New Roman"/>
                <w:b/>
              </w:rPr>
              <w:t>3</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Pr>
                <w:rFonts w:cs="Times New Roman"/>
              </w:rPr>
              <w:t>Log Total Orders</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r>
              <w:rPr>
                <w:rFonts w:cs="Times New Roman"/>
              </w:rPr>
              <w:t>10.53</w:t>
            </w:r>
            <w:r w:rsidRPr="00D2430C">
              <w:rPr>
                <w:rFonts w:cs="Times New Roman"/>
              </w:rPr>
              <w:t>%</w:t>
            </w:r>
            <w:r w:rsidRPr="00D2430C">
              <w:rPr>
                <w:rFonts w:cs="Times New Roman"/>
                <w:vertAlign w:val="superscript"/>
              </w:rPr>
              <w:t>**</w:t>
            </w:r>
            <w:r w:rsidRPr="00D2430C">
              <w:rPr>
                <w:rFonts w:cs="Times New Roman"/>
              </w:rPr>
              <w:t xml:space="preserve">     (</w:t>
            </w:r>
            <w:r>
              <w:rPr>
                <w:rFonts w:cs="Times New Roman"/>
              </w:rPr>
              <w:t>3.97</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653"/>
              </w:tabs>
              <w:spacing w:before="120" w:after="120"/>
              <w:jc w:val="left"/>
              <w:rPr>
                <w:rFonts w:cs="Times New Roman"/>
              </w:rPr>
            </w:pPr>
            <w:r>
              <w:rPr>
                <w:rFonts w:cs="Times New Roman"/>
              </w:rPr>
              <w:t>6.13</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4.02</w:t>
            </w:r>
            <w:r w:rsidRPr="00D2430C">
              <w:rPr>
                <w:rFonts w:cs="Times New Roman"/>
              </w:rPr>
              <w:t>%)</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Pr>
                <w:rFonts w:cs="Times New Roman"/>
              </w:rPr>
              <w:t>Log Orders Group 1</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r>
              <w:rPr>
                <w:rFonts w:cs="Times New Roman"/>
              </w:rPr>
              <w:t>173.47</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(42.62</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Pr>
                <w:rFonts w:cs="Times New Roman"/>
              </w:rPr>
              <w:t>Log Orders Group 2</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r>
              <w:rPr>
                <w:rFonts w:cs="Times New Roman"/>
              </w:rPr>
              <w:t>79.55</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57.74</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Default="00146224" w:rsidP="0021763B">
            <w:pPr>
              <w:spacing w:before="120" w:after="120"/>
              <w:jc w:val="left"/>
              <w:rPr>
                <w:rFonts w:cs="Times New Roman"/>
              </w:rPr>
            </w:pPr>
            <w:r>
              <w:rPr>
                <w:rFonts w:cs="Times New Roman"/>
              </w:rPr>
              <w:t>Log Orders Group 3</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r>
              <w:rPr>
                <w:rFonts w:cs="Times New Roman"/>
              </w:rPr>
              <w:t>-132.62</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57.75</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Default="00146224" w:rsidP="0021763B">
            <w:pPr>
              <w:spacing w:before="120" w:after="120"/>
              <w:jc w:val="left"/>
              <w:rPr>
                <w:rFonts w:cs="Times New Roman"/>
              </w:rPr>
            </w:pPr>
            <w:r>
              <w:rPr>
                <w:rFonts w:cs="Times New Roman"/>
              </w:rPr>
              <w:t>Log Orders Group 4</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r>
              <w:rPr>
                <w:rFonts w:cs="Times New Roman"/>
              </w:rPr>
              <w:t>-113.53</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48.38</w:t>
            </w:r>
            <w:r w:rsidRPr="00D2430C">
              <w:rPr>
                <w:rFonts w:cs="Times New Roman"/>
              </w:rPr>
              <w:t>%)</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sidRPr="00D2430C">
              <w:rPr>
                <w:rFonts w:cs="Times New Roman"/>
              </w:rPr>
              <w:t>% Group 2</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653"/>
              </w:tabs>
              <w:spacing w:before="120" w:after="120"/>
              <w:jc w:val="left"/>
              <w:rPr>
                <w:rFonts w:cs="Times New Roman"/>
              </w:rPr>
            </w:pPr>
            <w:r>
              <w:rPr>
                <w:rFonts w:cs="Times New Roman"/>
              </w:rPr>
              <w:t>37.07</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128.17%</w:t>
            </w:r>
            <w:r w:rsidRPr="00D2430C">
              <w:rPr>
                <w:rFonts w:cs="Times New Roman"/>
              </w:rPr>
              <w:t>)</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sidRPr="00D2430C">
              <w:rPr>
                <w:rFonts w:cs="Times New Roman"/>
              </w:rPr>
              <w:t>% Group 3</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653"/>
              </w:tabs>
              <w:spacing w:before="120" w:after="120"/>
              <w:jc w:val="left"/>
              <w:rPr>
                <w:rFonts w:cs="Times New Roman"/>
              </w:rPr>
            </w:pPr>
            <w:r>
              <w:rPr>
                <w:rFonts w:cs="Times New Roman"/>
              </w:rPr>
              <w:t>-392.49</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138.66</w:t>
            </w:r>
            <w:r w:rsidRPr="00D2430C">
              <w:rPr>
                <w:rFonts w:cs="Times New Roman"/>
              </w:rPr>
              <w:t>%)</w:t>
            </w:r>
          </w:p>
        </w:tc>
      </w:tr>
      <w:tr w:rsidR="00146224" w:rsidRPr="00B966DB" w:rsidTr="0021763B">
        <w:trPr>
          <w:jc w:val="center"/>
        </w:trPr>
        <w:tc>
          <w:tcPr>
            <w:tcW w:w="2304" w:type="dxa"/>
            <w:tcBorders>
              <w:top w:val="nil"/>
              <w:bottom w:val="nil"/>
            </w:tcBorders>
          </w:tcPr>
          <w:p w:rsidR="00146224" w:rsidRPr="00D2430C" w:rsidRDefault="00146224" w:rsidP="0021763B">
            <w:pPr>
              <w:spacing w:before="120" w:after="120"/>
              <w:jc w:val="left"/>
              <w:rPr>
                <w:rFonts w:cs="Times New Roman"/>
              </w:rPr>
            </w:pPr>
            <w:r w:rsidRPr="00D2430C">
              <w:rPr>
                <w:rFonts w:cs="Times New Roman"/>
              </w:rPr>
              <w:t xml:space="preserve">% Group 4 </w:t>
            </w: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599"/>
              </w:tabs>
              <w:spacing w:before="120" w:after="120"/>
              <w:jc w:val="left"/>
              <w:rPr>
                <w:rFonts w:cs="Times New Roman"/>
              </w:rPr>
            </w:pPr>
          </w:p>
        </w:tc>
        <w:tc>
          <w:tcPr>
            <w:tcW w:w="1728" w:type="dxa"/>
            <w:tcBorders>
              <w:top w:val="nil"/>
              <w:bottom w:val="nil"/>
            </w:tcBorders>
          </w:tcPr>
          <w:p w:rsidR="00146224" w:rsidRPr="00D2430C" w:rsidRDefault="00146224" w:rsidP="0021763B">
            <w:pPr>
              <w:tabs>
                <w:tab w:val="decimal" w:pos="653"/>
              </w:tabs>
              <w:spacing w:before="120" w:after="120"/>
              <w:jc w:val="left"/>
              <w:rPr>
                <w:rFonts w:cs="Times New Roman"/>
              </w:rPr>
            </w:pPr>
            <w:r w:rsidRPr="00D2430C">
              <w:rPr>
                <w:rFonts w:cs="Times New Roman"/>
              </w:rPr>
              <w:t>-</w:t>
            </w:r>
            <w:r>
              <w:rPr>
                <w:rFonts w:cs="Times New Roman"/>
              </w:rPr>
              <w:t>571.06</w:t>
            </w:r>
            <w:r w:rsidRPr="00D2430C">
              <w:rPr>
                <w:rFonts w:cs="Times New Roman"/>
              </w:rPr>
              <w:t>%</w:t>
            </w:r>
            <w:r w:rsidRPr="00D2430C">
              <w:rPr>
                <w:rFonts w:cs="Times New Roman"/>
                <w:vertAlign w:val="superscript"/>
              </w:rPr>
              <w:t>**</w:t>
            </w:r>
            <w:r w:rsidRPr="00D2430C">
              <w:rPr>
                <w:rFonts w:cs="Times New Roman"/>
              </w:rPr>
              <w:t xml:space="preserve">     (</w:t>
            </w:r>
            <w:r>
              <w:rPr>
                <w:rFonts w:cs="Times New Roman"/>
              </w:rPr>
              <w:t>135.65</w:t>
            </w:r>
            <w:r w:rsidRPr="00D2430C">
              <w:rPr>
                <w:rFonts w:cs="Times New Roman"/>
              </w:rPr>
              <w:t>%)</w:t>
            </w:r>
          </w:p>
        </w:tc>
      </w:tr>
      <w:tr w:rsidR="00146224" w:rsidRPr="00B966DB" w:rsidTr="0021763B">
        <w:trPr>
          <w:jc w:val="center"/>
        </w:trPr>
        <w:tc>
          <w:tcPr>
            <w:tcW w:w="2304" w:type="dxa"/>
            <w:tcBorders>
              <w:top w:val="nil"/>
            </w:tcBorders>
          </w:tcPr>
          <w:p w:rsidR="00146224" w:rsidRPr="00D2430C" w:rsidRDefault="00146224" w:rsidP="0021763B">
            <w:pPr>
              <w:spacing w:before="120" w:after="120"/>
              <w:jc w:val="left"/>
              <w:rPr>
                <w:rFonts w:cs="Times New Roman"/>
                <w:vertAlign w:val="superscript"/>
              </w:rPr>
            </w:pPr>
            <w:r w:rsidRPr="00D2430C">
              <w:rPr>
                <w:rFonts w:cs="Times New Roman"/>
              </w:rPr>
              <w:t>R</w:t>
            </w:r>
            <w:r w:rsidRPr="00D2430C">
              <w:rPr>
                <w:rFonts w:cs="Times New Roman"/>
                <w:vertAlign w:val="superscript"/>
              </w:rPr>
              <w:t>2</w:t>
            </w:r>
          </w:p>
        </w:tc>
        <w:tc>
          <w:tcPr>
            <w:tcW w:w="1728" w:type="dxa"/>
            <w:tcBorders>
              <w:top w:val="nil"/>
            </w:tcBorders>
          </w:tcPr>
          <w:p w:rsidR="00146224" w:rsidRPr="00D2430C" w:rsidRDefault="00146224" w:rsidP="0021763B">
            <w:pPr>
              <w:spacing w:before="120" w:after="120"/>
              <w:rPr>
                <w:rFonts w:cs="Times New Roman"/>
              </w:rPr>
            </w:pPr>
            <w:r w:rsidRPr="00D2430C">
              <w:rPr>
                <w:rFonts w:cs="Times New Roman"/>
              </w:rPr>
              <w:t>0.</w:t>
            </w:r>
            <w:r>
              <w:rPr>
                <w:rFonts w:cs="Times New Roman"/>
              </w:rPr>
              <w:t>2319</w:t>
            </w:r>
          </w:p>
        </w:tc>
        <w:tc>
          <w:tcPr>
            <w:tcW w:w="1728" w:type="dxa"/>
            <w:tcBorders>
              <w:top w:val="nil"/>
            </w:tcBorders>
            <w:vAlign w:val="center"/>
          </w:tcPr>
          <w:p w:rsidR="00146224" w:rsidRPr="00D2430C" w:rsidRDefault="00146224" w:rsidP="0021763B">
            <w:pPr>
              <w:keepNext/>
              <w:spacing w:before="120" w:after="120"/>
              <w:rPr>
                <w:rFonts w:cs="Times New Roman"/>
              </w:rPr>
            </w:pPr>
            <w:r w:rsidRPr="00D2430C">
              <w:rPr>
                <w:rFonts w:cs="Times New Roman"/>
              </w:rPr>
              <w:t>0.</w:t>
            </w:r>
            <w:r>
              <w:rPr>
                <w:rFonts w:cs="Times New Roman"/>
              </w:rPr>
              <w:t>2536</w:t>
            </w:r>
          </w:p>
        </w:tc>
        <w:tc>
          <w:tcPr>
            <w:tcW w:w="1728" w:type="dxa"/>
            <w:tcBorders>
              <w:top w:val="nil"/>
            </w:tcBorders>
            <w:vAlign w:val="center"/>
          </w:tcPr>
          <w:p w:rsidR="00146224" w:rsidRPr="00D2430C" w:rsidRDefault="00146224" w:rsidP="0021763B">
            <w:pPr>
              <w:keepNext/>
              <w:spacing w:before="120" w:after="120"/>
              <w:rPr>
                <w:rFonts w:cs="Times New Roman"/>
              </w:rPr>
            </w:pPr>
            <w:r w:rsidRPr="00D2430C">
              <w:rPr>
                <w:rFonts w:cs="Times New Roman"/>
              </w:rPr>
              <w:t>0.</w:t>
            </w:r>
            <w:r>
              <w:rPr>
                <w:rFonts w:cs="Times New Roman"/>
              </w:rPr>
              <w:t>2534</w:t>
            </w:r>
          </w:p>
        </w:tc>
      </w:tr>
    </w:tbl>
    <w:p w:rsidR="005D0FEF" w:rsidRDefault="00146224" w:rsidP="005D0FEF">
      <w:pPr>
        <w:spacing w:line="240" w:lineRule="auto"/>
        <w:ind w:left="720" w:right="720"/>
      </w:pPr>
      <w:r w:rsidRPr="00B966DB">
        <w:rPr>
          <w:rFonts w:cs="Times New Roman"/>
          <w:sz w:val="20"/>
          <w:szCs w:val="20"/>
        </w:rPr>
        <w:t>The table reports the coefficie</w:t>
      </w:r>
      <w:r>
        <w:rPr>
          <w:rFonts w:cs="Times New Roman"/>
          <w:sz w:val="20"/>
          <w:szCs w:val="20"/>
        </w:rPr>
        <w:t xml:space="preserve">nts of interest from estimating Equations </w:t>
      </w:r>
      <w:r w:rsidR="00213747">
        <w:rPr>
          <w:rFonts w:cs="Times New Roman"/>
          <w:sz w:val="20"/>
          <w:szCs w:val="20"/>
        </w:rPr>
        <w:t>1, 2 and 3</w:t>
      </w:r>
      <w:r w:rsidRPr="00B966DB">
        <w:rPr>
          <w:rFonts w:cs="Times New Roman"/>
          <w:sz w:val="20"/>
          <w:szCs w:val="20"/>
        </w:rPr>
        <w:t xml:space="preserve">. </w:t>
      </w:r>
      <w:r>
        <w:rPr>
          <w:rFonts w:cs="Times New Roman"/>
          <w:sz w:val="20"/>
          <w:szCs w:val="20"/>
        </w:rPr>
        <w:t>Fixed effects at the 3-digit zip code together with coefficients for the control variables are estimated but omitted from the table. T</w:t>
      </w:r>
      <w:r w:rsidRPr="00B966DB">
        <w:rPr>
          <w:rFonts w:cs="Times New Roman"/>
          <w:sz w:val="20"/>
          <w:szCs w:val="20"/>
        </w:rPr>
        <w:t>he unit of analysis</w:t>
      </w:r>
      <w:r>
        <w:rPr>
          <w:rFonts w:cs="Times New Roman"/>
          <w:sz w:val="20"/>
          <w:szCs w:val="20"/>
        </w:rPr>
        <w:t xml:space="preserve"> is</w:t>
      </w:r>
      <w:r w:rsidRPr="00B966DB">
        <w:rPr>
          <w:rFonts w:cs="Times New Roman"/>
          <w:sz w:val="20"/>
          <w:szCs w:val="20"/>
        </w:rPr>
        <w:t xml:space="preserve"> a new item and the sample size in all models is </w:t>
      </w:r>
      <w:r>
        <w:rPr>
          <w:rFonts w:cs="Times New Roman"/>
          <w:sz w:val="20"/>
          <w:szCs w:val="20"/>
        </w:rPr>
        <w:t>917</w:t>
      </w:r>
      <w:r w:rsidRPr="00B966DB">
        <w:rPr>
          <w:rFonts w:cs="Times New Roman"/>
          <w:sz w:val="20"/>
          <w:szCs w:val="20"/>
        </w:rPr>
        <w:t>. Standard errors are in parentheses.</w:t>
      </w:r>
      <w:r w:rsidR="005D0FEF">
        <w:br w:type="page"/>
      </w:r>
    </w:p>
    <w:p w:rsidR="005D0FEF" w:rsidRDefault="005D0FEF" w:rsidP="005D0FEF">
      <w:pPr>
        <w:spacing w:before="60" w:after="120" w:line="240" w:lineRule="auto"/>
        <w:ind w:left="720" w:right="749"/>
        <w:jc w:val="center"/>
      </w:pPr>
      <w:r>
        <w:rPr>
          <w:b/>
        </w:rPr>
        <w:lastRenderedPageBreak/>
        <w:t>Sold in 100% of Stores</w:t>
      </w:r>
    </w:p>
    <w:tbl>
      <w:tblPr>
        <w:tblStyle w:val="TableGrid"/>
        <w:tblW w:w="7488"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1728"/>
        <w:gridCol w:w="1728"/>
        <w:gridCol w:w="1728"/>
      </w:tblGrid>
      <w:tr w:rsidR="00213747" w:rsidRPr="00B966DB" w:rsidTr="00794AF2">
        <w:trPr>
          <w:jc w:val="center"/>
        </w:trPr>
        <w:tc>
          <w:tcPr>
            <w:tcW w:w="2304" w:type="dxa"/>
            <w:tcBorders>
              <w:top w:val="double" w:sz="4" w:space="0" w:color="auto"/>
              <w:bottom w:val="single" w:sz="8" w:space="0" w:color="auto"/>
            </w:tcBorders>
            <w:vAlign w:val="center"/>
          </w:tcPr>
          <w:p w:rsidR="00213747" w:rsidRPr="00D2430C" w:rsidRDefault="00213747" w:rsidP="00213747">
            <w:pPr>
              <w:keepNext/>
              <w:spacing w:before="60" w:after="60"/>
              <w:rPr>
                <w:rFonts w:cs="Times New Roman"/>
                <w:b/>
              </w:rPr>
            </w:pPr>
          </w:p>
        </w:tc>
        <w:tc>
          <w:tcPr>
            <w:tcW w:w="1728"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rPr>
            </w:pPr>
            <w:r>
              <w:rPr>
                <w:rFonts w:cs="Times New Roman"/>
                <w:b/>
              </w:rPr>
              <w:t>Equation</w:t>
            </w:r>
            <w:r w:rsidRPr="00D2430C">
              <w:rPr>
                <w:rFonts w:cs="Times New Roman"/>
                <w:b/>
              </w:rPr>
              <w:t xml:space="preserve"> 1</w:t>
            </w:r>
          </w:p>
        </w:tc>
        <w:tc>
          <w:tcPr>
            <w:tcW w:w="1728"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vertAlign w:val="superscript"/>
              </w:rPr>
            </w:pPr>
            <w:r>
              <w:rPr>
                <w:rFonts w:cs="Times New Roman"/>
                <w:b/>
              </w:rPr>
              <w:t>Equation</w:t>
            </w:r>
            <w:r w:rsidRPr="00D2430C">
              <w:rPr>
                <w:rFonts w:cs="Times New Roman"/>
                <w:b/>
              </w:rPr>
              <w:t xml:space="preserve"> 2</w:t>
            </w:r>
          </w:p>
        </w:tc>
        <w:tc>
          <w:tcPr>
            <w:tcW w:w="1728" w:type="dxa"/>
            <w:tcBorders>
              <w:top w:val="double" w:sz="4" w:space="0" w:color="auto"/>
              <w:bottom w:val="single" w:sz="8" w:space="0" w:color="auto"/>
            </w:tcBorders>
            <w:vAlign w:val="center"/>
          </w:tcPr>
          <w:p w:rsidR="00213747" w:rsidRPr="00D2430C" w:rsidRDefault="00213747" w:rsidP="00213747">
            <w:pPr>
              <w:keepNext/>
              <w:spacing w:before="120" w:after="120"/>
              <w:rPr>
                <w:rFonts w:cs="Times New Roman"/>
                <w:b/>
              </w:rPr>
            </w:pPr>
            <w:r>
              <w:rPr>
                <w:rFonts w:cs="Times New Roman"/>
                <w:b/>
              </w:rPr>
              <w:t>Equation</w:t>
            </w:r>
            <w:r w:rsidRPr="00D2430C">
              <w:rPr>
                <w:rFonts w:cs="Times New Roman"/>
                <w:b/>
              </w:rPr>
              <w:t xml:space="preserve"> </w:t>
            </w:r>
            <w:r>
              <w:rPr>
                <w:rFonts w:cs="Times New Roman"/>
                <w:b/>
              </w:rPr>
              <w:t>3</w:t>
            </w:r>
          </w:p>
        </w:tc>
      </w:tr>
      <w:tr w:rsidR="005D0FEF" w:rsidRPr="00B966DB" w:rsidTr="00794AF2">
        <w:trPr>
          <w:jc w:val="center"/>
        </w:trPr>
        <w:tc>
          <w:tcPr>
            <w:tcW w:w="2304" w:type="dxa"/>
            <w:tcBorders>
              <w:top w:val="nil"/>
              <w:bottom w:val="nil"/>
            </w:tcBorders>
          </w:tcPr>
          <w:p w:rsidR="005D0FEF" w:rsidRPr="00D2430C" w:rsidRDefault="005D0FEF" w:rsidP="00794AF2">
            <w:pPr>
              <w:spacing w:before="60" w:after="60"/>
              <w:jc w:val="left"/>
              <w:rPr>
                <w:rFonts w:cs="Times New Roman"/>
              </w:rPr>
            </w:pPr>
            <w:r>
              <w:rPr>
                <w:rFonts w:cs="Times New Roman"/>
              </w:rPr>
              <w:t>Log Total Orders</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9.50</w:t>
            </w:r>
            <w:r w:rsidRPr="00D2430C">
              <w:rPr>
                <w:rFonts w:cs="Times New Roman"/>
              </w:rPr>
              <w:t>%</w:t>
            </w:r>
            <w:r>
              <w:rPr>
                <w:rFonts w:cs="Times New Roman"/>
              </w:rPr>
              <w:t xml:space="preserve">  </w:t>
            </w:r>
            <w:r w:rsidRPr="00D2430C">
              <w:rPr>
                <w:rFonts w:cs="Times New Roman"/>
              </w:rPr>
              <w:t xml:space="preserve">     (</w:t>
            </w:r>
            <w:r>
              <w:rPr>
                <w:rFonts w:cs="Times New Roman"/>
              </w:rPr>
              <w:t>7.73</w:t>
            </w:r>
            <w:r w:rsidRPr="00D2430C">
              <w:rPr>
                <w:rFonts w:cs="Times New Roman"/>
              </w:rPr>
              <w:t>%)</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Pr>
                <w:rFonts w:cs="Times New Roman"/>
              </w:rPr>
              <w:t>9.21</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7.84</w:t>
            </w:r>
            <w:r w:rsidRPr="00D2430C">
              <w:rPr>
                <w:rFonts w:cs="Times New Roman"/>
              </w:rPr>
              <w:t>%)</w:t>
            </w:r>
          </w:p>
        </w:tc>
      </w:tr>
      <w:tr w:rsidR="005D0FEF" w:rsidRPr="00B966DB" w:rsidTr="00794AF2">
        <w:trPr>
          <w:jc w:val="center"/>
        </w:trPr>
        <w:tc>
          <w:tcPr>
            <w:tcW w:w="2304" w:type="dxa"/>
            <w:tcBorders>
              <w:top w:val="nil"/>
              <w:bottom w:val="nil"/>
            </w:tcBorders>
          </w:tcPr>
          <w:p w:rsidR="005D0FEF" w:rsidRPr="00D2430C" w:rsidRDefault="005D0FEF" w:rsidP="00794AF2">
            <w:pPr>
              <w:spacing w:before="60" w:after="60"/>
              <w:jc w:val="left"/>
              <w:rPr>
                <w:rFonts w:cs="Times New Roman"/>
              </w:rPr>
            </w:pPr>
            <w:r>
              <w:rPr>
                <w:rFonts w:cs="Times New Roman"/>
              </w:rPr>
              <w:t>Log Orders Group 1</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-4.38</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(78.38</w:t>
            </w:r>
            <w:r w:rsidRPr="00D2430C">
              <w:rPr>
                <w:rFonts w:cs="Times New Roman"/>
              </w:rPr>
              <w:t>%)</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p>
        </w:tc>
      </w:tr>
      <w:tr w:rsidR="005D0FEF" w:rsidRPr="00B966DB" w:rsidTr="00794AF2">
        <w:trPr>
          <w:jc w:val="center"/>
        </w:trPr>
        <w:tc>
          <w:tcPr>
            <w:tcW w:w="2304" w:type="dxa"/>
            <w:tcBorders>
              <w:top w:val="nil"/>
              <w:bottom w:val="nil"/>
            </w:tcBorders>
          </w:tcPr>
          <w:p w:rsidR="005D0FEF" w:rsidRPr="00D2430C" w:rsidRDefault="005D0FEF" w:rsidP="00794AF2">
            <w:pPr>
              <w:spacing w:before="60" w:after="60"/>
              <w:jc w:val="left"/>
              <w:rPr>
                <w:rFonts w:cs="Times New Roman"/>
              </w:rPr>
            </w:pPr>
            <w:r>
              <w:rPr>
                <w:rFonts w:cs="Times New Roman"/>
              </w:rPr>
              <w:t>Log Orders Group 2</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151.60</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113.93</w:t>
            </w:r>
            <w:r w:rsidRPr="00D2430C">
              <w:rPr>
                <w:rFonts w:cs="Times New Roman"/>
              </w:rPr>
              <w:t>%)</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p>
        </w:tc>
      </w:tr>
      <w:tr w:rsidR="005D0FEF" w:rsidRPr="00B966DB" w:rsidTr="00794AF2">
        <w:trPr>
          <w:jc w:val="center"/>
        </w:trPr>
        <w:tc>
          <w:tcPr>
            <w:tcW w:w="2304" w:type="dxa"/>
            <w:tcBorders>
              <w:top w:val="nil"/>
              <w:bottom w:val="nil"/>
            </w:tcBorders>
          </w:tcPr>
          <w:p w:rsidR="005D0FEF" w:rsidRDefault="005D0FEF" w:rsidP="00794AF2">
            <w:pPr>
              <w:spacing w:before="60" w:after="60"/>
              <w:jc w:val="left"/>
              <w:rPr>
                <w:rFonts w:cs="Times New Roman"/>
              </w:rPr>
            </w:pPr>
            <w:r>
              <w:rPr>
                <w:rFonts w:cs="Times New Roman"/>
              </w:rPr>
              <w:t>Log Orders Group 3</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46.73</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121.17</w:t>
            </w:r>
            <w:r w:rsidRPr="00D2430C">
              <w:rPr>
                <w:rFonts w:cs="Times New Roman"/>
              </w:rPr>
              <w:t>%)</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p>
        </w:tc>
      </w:tr>
      <w:tr w:rsidR="005D0FEF" w:rsidRPr="00B966DB" w:rsidTr="00794AF2">
        <w:trPr>
          <w:jc w:val="center"/>
        </w:trPr>
        <w:tc>
          <w:tcPr>
            <w:tcW w:w="2304" w:type="dxa"/>
            <w:tcBorders>
              <w:top w:val="nil"/>
              <w:bottom w:val="nil"/>
            </w:tcBorders>
          </w:tcPr>
          <w:p w:rsidR="005D0FEF" w:rsidRDefault="005D0FEF" w:rsidP="00794AF2">
            <w:pPr>
              <w:spacing w:before="60" w:after="60"/>
              <w:jc w:val="left"/>
              <w:rPr>
                <w:rFonts w:cs="Times New Roman"/>
              </w:rPr>
            </w:pPr>
            <w:r>
              <w:rPr>
                <w:rFonts w:cs="Times New Roman"/>
              </w:rPr>
              <w:t>Log Orders Group 4</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r>
              <w:rPr>
                <w:rFonts w:cs="Times New Roman"/>
              </w:rPr>
              <w:t>-184.90</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85.74</w:t>
            </w:r>
            <w:r w:rsidRPr="00D2430C">
              <w:rPr>
                <w:rFonts w:cs="Times New Roman"/>
              </w:rPr>
              <w:t>%)</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p>
        </w:tc>
      </w:tr>
      <w:tr w:rsidR="005D0FEF" w:rsidRPr="00B966DB" w:rsidTr="00794AF2">
        <w:trPr>
          <w:jc w:val="center"/>
        </w:trPr>
        <w:tc>
          <w:tcPr>
            <w:tcW w:w="2304" w:type="dxa"/>
            <w:tcBorders>
              <w:top w:val="nil"/>
              <w:bottom w:val="nil"/>
            </w:tcBorders>
          </w:tcPr>
          <w:p w:rsidR="005D0FEF" w:rsidRPr="00D2430C" w:rsidRDefault="005D0FEF" w:rsidP="00794AF2">
            <w:pPr>
              <w:spacing w:before="60" w:after="60"/>
              <w:jc w:val="left"/>
              <w:rPr>
                <w:rFonts w:cs="Times New Roman"/>
              </w:rPr>
            </w:pPr>
            <w:r w:rsidRPr="00D2430C">
              <w:rPr>
                <w:rFonts w:cs="Times New Roman"/>
              </w:rPr>
              <w:t>% Group 2</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Pr>
                <w:rFonts w:cs="Times New Roman"/>
              </w:rPr>
              <w:t>240.40</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247.71%</w:t>
            </w:r>
            <w:r w:rsidRPr="00D2430C">
              <w:rPr>
                <w:rFonts w:cs="Times New Roman"/>
              </w:rPr>
              <w:t>)</w:t>
            </w:r>
          </w:p>
        </w:tc>
      </w:tr>
      <w:tr w:rsidR="005D0FEF" w:rsidRPr="00B966DB" w:rsidTr="00794AF2">
        <w:trPr>
          <w:jc w:val="center"/>
        </w:trPr>
        <w:tc>
          <w:tcPr>
            <w:tcW w:w="2304" w:type="dxa"/>
            <w:tcBorders>
              <w:top w:val="nil"/>
              <w:bottom w:val="nil"/>
            </w:tcBorders>
          </w:tcPr>
          <w:p w:rsidR="005D0FEF" w:rsidRPr="00D2430C" w:rsidRDefault="005D0FEF" w:rsidP="00794AF2">
            <w:pPr>
              <w:spacing w:before="60" w:after="60"/>
              <w:jc w:val="left"/>
              <w:rPr>
                <w:rFonts w:cs="Times New Roman"/>
              </w:rPr>
            </w:pPr>
            <w:r w:rsidRPr="00D2430C">
              <w:rPr>
                <w:rFonts w:cs="Times New Roman"/>
              </w:rPr>
              <w:t>% Group 3</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Pr>
                <w:rFonts w:cs="Times New Roman"/>
              </w:rPr>
              <w:t>125.11%</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252.75</w:t>
            </w:r>
            <w:r w:rsidRPr="00D2430C">
              <w:rPr>
                <w:rFonts w:cs="Times New Roman"/>
              </w:rPr>
              <w:t>%)</w:t>
            </w:r>
          </w:p>
        </w:tc>
      </w:tr>
      <w:tr w:rsidR="005D0FEF" w:rsidRPr="00B966DB" w:rsidTr="00794AF2">
        <w:trPr>
          <w:jc w:val="center"/>
        </w:trPr>
        <w:tc>
          <w:tcPr>
            <w:tcW w:w="2304" w:type="dxa"/>
            <w:tcBorders>
              <w:top w:val="nil"/>
              <w:bottom w:val="nil"/>
            </w:tcBorders>
          </w:tcPr>
          <w:p w:rsidR="005D0FEF" w:rsidRPr="00D2430C" w:rsidRDefault="005D0FEF" w:rsidP="00794AF2">
            <w:pPr>
              <w:spacing w:before="60" w:after="60"/>
              <w:jc w:val="left"/>
              <w:rPr>
                <w:rFonts w:cs="Times New Roman"/>
              </w:rPr>
            </w:pPr>
            <w:r w:rsidRPr="00D2430C">
              <w:rPr>
                <w:rFonts w:cs="Times New Roman"/>
              </w:rPr>
              <w:t xml:space="preserve">% Group 4 </w:t>
            </w: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p>
        </w:tc>
        <w:tc>
          <w:tcPr>
            <w:tcW w:w="1728" w:type="dxa"/>
            <w:tcBorders>
              <w:top w:val="nil"/>
              <w:bottom w:val="nil"/>
            </w:tcBorders>
          </w:tcPr>
          <w:p w:rsidR="005D0FEF" w:rsidRPr="00D2430C" w:rsidRDefault="005D0FEF" w:rsidP="00794AF2">
            <w:pPr>
              <w:tabs>
                <w:tab w:val="decimal" w:pos="599"/>
              </w:tabs>
              <w:spacing w:before="60" w:after="60"/>
              <w:jc w:val="left"/>
              <w:rPr>
                <w:rFonts w:cs="Times New Roman"/>
              </w:rPr>
            </w:pPr>
          </w:p>
        </w:tc>
        <w:tc>
          <w:tcPr>
            <w:tcW w:w="1728" w:type="dxa"/>
            <w:tcBorders>
              <w:top w:val="nil"/>
              <w:bottom w:val="nil"/>
            </w:tcBorders>
          </w:tcPr>
          <w:p w:rsidR="005D0FEF" w:rsidRPr="00D2430C" w:rsidRDefault="005D0FEF" w:rsidP="00794AF2">
            <w:pPr>
              <w:tabs>
                <w:tab w:val="decimal" w:pos="653"/>
              </w:tabs>
              <w:spacing w:before="60" w:after="60"/>
              <w:jc w:val="left"/>
              <w:rPr>
                <w:rFonts w:cs="Times New Roman"/>
              </w:rPr>
            </w:pPr>
            <w:r w:rsidRPr="00D2430C">
              <w:rPr>
                <w:rFonts w:cs="Times New Roman"/>
              </w:rPr>
              <w:t>-</w:t>
            </w:r>
            <w:r>
              <w:rPr>
                <w:rFonts w:cs="Times New Roman"/>
              </w:rPr>
              <w:t>499.77</w:t>
            </w:r>
            <w:r w:rsidRPr="00D2430C">
              <w:rPr>
                <w:rFonts w:cs="Times New Roman"/>
              </w:rPr>
              <w:t>%</w:t>
            </w:r>
            <w:r>
              <w:rPr>
                <w:rFonts w:cs="Times New Roman"/>
                <w:vertAlign w:val="superscript"/>
              </w:rPr>
              <w:t>†</w:t>
            </w:r>
            <w:r w:rsidRPr="00D2430C">
              <w:rPr>
                <w:rFonts w:cs="Times New Roman"/>
              </w:rPr>
              <w:t xml:space="preserve">     (</w:t>
            </w:r>
            <w:r>
              <w:rPr>
                <w:rFonts w:cs="Times New Roman"/>
              </w:rPr>
              <w:t>261.99</w:t>
            </w:r>
            <w:r w:rsidRPr="00D2430C">
              <w:rPr>
                <w:rFonts w:cs="Times New Roman"/>
              </w:rPr>
              <w:t>%)</w:t>
            </w:r>
          </w:p>
        </w:tc>
      </w:tr>
      <w:tr w:rsidR="005D0FEF" w:rsidRPr="00B966DB" w:rsidTr="00794AF2">
        <w:trPr>
          <w:jc w:val="center"/>
        </w:trPr>
        <w:tc>
          <w:tcPr>
            <w:tcW w:w="2304" w:type="dxa"/>
            <w:tcBorders>
              <w:top w:val="nil"/>
            </w:tcBorders>
          </w:tcPr>
          <w:p w:rsidR="005D0FEF" w:rsidRPr="00D2430C" w:rsidRDefault="005D0FEF" w:rsidP="00794AF2">
            <w:pPr>
              <w:spacing w:before="60" w:after="60"/>
              <w:jc w:val="left"/>
              <w:rPr>
                <w:rFonts w:cs="Times New Roman"/>
                <w:vertAlign w:val="superscript"/>
              </w:rPr>
            </w:pPr>
            <w:r w:rsidRPr="00D2430C">
              <w:rPr>
                <w:rFonts w:cs="Times New Roman"/>
              </w:rPr>
              <w:t>R</w:t>
            </w:r>
            <w:r w:rsidRPr="00D2430C">
              <w:rPr>
                <w:rFonts w:cs="Times New Roman"/>
                <w:vertAlign w:val="superscript"/>
              </w:rPr>
              <w:t>2</w:t>
            </w:r>
          </w:p>
        </w:tc>
        <w:tc>
          <w:tcPr>
            <w:tcW w:w="1728" w:type="dxa"/>
            <w:tcBorders>
              <w:top w:val="nil"/>
            </w:tcBorders>
          </w:tcPr>
          <w:p w:rsidR="005D0FEF" w:rsidRPr="00D2430C" w:rsidRDefault="005D0FEF" w:rsidP="00794AF2">
            <w:pPr>
              <w:spacing w:before="60" w:after="60"/>
              <w:rPr>
                <w:rFonts w:cs="Times New Roman"/>
              </w:rPr>
            </w:pPr>
            <w:r w:rsidRPr="00D2430C">
              <w:rPr>
                <w:rFonts w:cs="Times New Roman"/>
              </w:rPr>
              <w:t>0.</w:t>
            </w:r>
            <w:r>
              <w:rPr>
                <w:rFonts w:cs="Times New Roman"/>
              </w:rPr>
              <w:t>2415</w:t>
            </w:r>
          </w:p>
        </w:tc>
        <w:tc>
          <w:tcPr>
            <w:tcW w:w="1728" w:type="dxa"/>
            <w:tcBorders>
              <w:top w:val="nil"/>
            </w:tcBorders>
            <w:vAlign w:val="center"/>
          </w:tcPr>
          <w:p w:rsidR="005D0FEF" w:rsidRPr="00D2430C" w:rsidRDefault="005D0FEF" w:rsidP="00794AF2">
            <w:pPr>
              <w:keepNext/>
              <w:spacing w:before="60" w:after="60"/>
              <w:rPr>
                <w:rFonts w:cs="Times New Roman"/>
              </w:rPr>
            </w:pPr>
            <w:r w:rsidRPr="00D2430C">
              <w:rPr>
                <w:rFonts w:cs="Times New Roman"/>
              </w:rPr>
              <w:t>0.</w:t>
            </w:r>
            <w:r>
              <w:rPr>
                <w:rFonts w:cs="Times New Roman"/>
              </w:rPr>
              <w:t>2556</w:t>
            </w:r>
          </w:p>
        </w:tc>
        <w:tc>
          <w:tcPr>
            <w:tcW w:w="1728" w:type="dxa"/>
            <w:tcBorders>
              <w:top w:val="nil"/>
            </w:tcBorders>
            <w:vAlign w:val="center"/>
          </w:tcPr>
          <w:p w:rsidR="005D0FEF" w:rsidRPr="00D2430C" w:rsidRDefault="005D0FEF" w:rsidP="00794AF2">
            <w:pPr>
              <w:keepNext/>
              <w:spacing w:before="60" w:after="60"/>
              <w:rPr>
                <w:rFonts w:cs="Times New Roman"/>
              </w:rPr>
            </w:pPr>
            <w:r w:rsidRPr="00D2430C">
              <w:rPr>
                <w:rFonts w:cs="Times New Roman"/>
              </w:rPr>
              <w:t>0.</w:t>
            </w:r>
            <w:r>
              <w:rPr>
                <w:rFonts w:cs="Times New Roman"/>
              </w:rPr>
              <w:t>2534</w:t>
            </w:r>
          </w:p>
        </w:tc>
      </w:tr>
    </w:tbl>
    <w:p w:rsidR="005D0FEF" w:rsidRDefault="005D0FEF" w:rsidP="005D0FEF">
      <w:pPr>
        <w:spacing w:before="60" w:line="240" w:lineRule="auto"/>
        <w:ind w:left="720" w:right="749"/>
        <w:rPr>
          <w:rFonts w:cs="Times New Roman"/>
          <w:sz w:val="20"/>
          <w:szCs w:val="20"/>
        </w:rPr>
      </w:pPr>
      <w:r w:rsidRPr="00B966DB">
        <w:rPr>
          <w:rFonts w:cs="Times New Roman"/>
          <w:sz w:val="20"/>
          <w:szCs w:val="20"/>
        </w:rPr>
        <w:t>The table reports the coefficie</w:t>
      </w:r>
      <w:r>
        <w:rPr>
          <w:rFonts w:cs="Times New Roman"/>
          <w:sz w:val="20"/>
          <w:szCs w:val="20"/>
        </w:rPr>
        <w:t>nts of interest from estimating Equations 1, 2 and 3</w:t>
      </w:r>
      <w:r w:rsidRPr="00B966DB">
        <w:rPr>
          <w:rFonts w:cs="Times New Roman"/>
          <w:sz w:val="20"/>
          <w:szCs w:val="20"/>
        </w:rPr>
        <w:t xml:space="preserve">. </w:t>
      </w:r>
      <w:r>
        <w:rPr>
          <w:rFonts w:cs="Times New Roman"/>
          <w:sz w:val="20"/>
          <w:szCs w:val="20"/>
        </w:rPr>
        <w:t>Coefficients for the control variables are omitted from this table. T</w:t>
      </w:r>
      <w:r w:rsidRPr="00B966DB">
        <w:rPr>
          <w:rFonts w:cs="Times New Roman"/>
          <w:sz w:val="20"/>
          <w:szCs w:val="20"/>
        </w:rPr>
        <w:t>he unit of analysis</w:t>
      </w:r>
      <w:r>
        <w:rPr>
          <w:rFonts w:cs="Times New Roman"/>
          <w:sz w:val="20"/>
          <w:szCs w:val="20"/>
        </w:rPr>
        <w:t xml:space="preserve"> is</w:t>
      </w:r>
      <w:r w:rsidRPr="00B966DB">
        <w:rPr>
          <w:rFonts w:cs="Times New Roman"/>
          <w:sz w:val="20"/>
          <w:szCs w:val="20"/>
        </w:rPr>
        <w:t xml:space="preserve"> a new item and the sample size in all models is </w:t>
      </w:r>
      <w:r>
        <w:rPr>
          <w:rFonts w:cs="Times New Roman"/>
          <w:sz w:val="20"/>
          <w:szCs w:val="20"/>
        </w:rPr>
        <w:t>334</w:t>
      </w:r>
      <w:r w:rsidRPr="00B966DB">
        <w:rPr>
          <w:rFonts w:cs="Times New Roman"/>
          <w:sz w:val="20"/>
          <w:szCs w:val="20"/>
        </w:rPr>
        <w:t>. Standard errors are in parentheses.</w:t>
      </w:r>
    </w:p>
    <w:p w:rsidR="0058081B" w:rsidRDefault="0058081B"/>
    <w:p w:rsidR="005D0FEF" w:rsidRDefault="005D0FEF">
      <w:pPr>
        <w:rPr>
          <w:b/>
        </w:rPr>
      </w:pPr>
      <w:r>
        <w:rPr>
          <w:b/>
        </w:rPr>
        <w:br w:type="page"/>
      </w:r>
    </w:p>
    <w:p w:rsidR="00130E33" w:rsidRDefault="00130E33" w:rsidP="00130E33">
      <w:pPr>
        <w:jc w:val="center"/>
        <w:rPr>
          <w:b/>
        </w:rPr>
      </w:pPr>
      <w:r>
        <w:rPr>
          <w:b/>
        </w:rPr>
        <w:lastRenderedPageBreak/>
        <w:t>Logistic Regression Models</w:t>
      </w:r>
    </w:p>
    <w:p w:rsidR="00130E33" w:rsidRDefault="003947F3" w:rsidP="003947F3">
      <w:r w:rsidRPr="003947F3">
        <w:t xml:space="preserve">In our estimation we used a linear probability model because the coefficients from this model are directly interpretable.  The outcome variable is a binary variable and so we can also use logistic regression. In the </w:t>
      </w:r>
      <w:r>
        <w:t>tables below</w:t>
      </w:r>
      <w:r w:rsidRPr="003947F3">
        <w:t xml:space="preserve"> we report the coefficients and estimated odds ratios when re-estimating the three models using logistic regression.</w:t>
      </w:r>
    </w:p>
    <w:p w:rsidR="00130E33" w:rsidRDefault="00130E33" w:rsidP="00130E33"/>
    <w:tbl>
      <w:tblPr>
        <w:tblStyle w:val="TableGrid"/>
        <w:tblW w:w="7776"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728"/>
        <w:gridCol w:w="1728"/>
        <w:gridCol w:w="1728"/>
      </w:tblGrid>
      <w:tr w:rsidR="00130E33" w:rsidRPr="00B966DB" w:rsidTr="00794AF2">
        <w:trPr>
          <w:jc w:val="center"/>
        </w:trPr>
        <w:tc>
          <w:tcPr>
            <w:tcW w:w="2592" w:type="dxa"/>
            <w:tcBorders>
              <w:top w:val="double" w:sz="4" w:space="0" w:color="auto"/>
              <w:bottom w:val="single" w:sz="8" w:space="0" w:color="auto"/>
            </w:tcBorders>
            <w:vAlign w:val="center"/>
          </w:tcPr>
          <w:p w:rsidR="00130E33" w:rsidRPr="00D2430C" w:rsidRDefault="00130E33" w:rsidP="00794AF2">
            <w:pPr>
              <w:keepNext/>
              <w:spacing w:before="120" w:after="120"/>
              <w:rPr>
                <w:rFonts w:cs="Times New Roman"/>
                <w:b/>
              </w:rPr>
            </w:pPr>
          </w:p>
        </w:tc>
        <w:tc>
          <w:tcPr>
            <w:tcW w:w="1728" w:type="dxa"/>
            <w:tcBorders>
              <w:top w:val="double" w:sz="4" w:space="0" w:color="auto"/>
              <w:bottom w:val="single" w:sz="8" w:space="0" w:color="auto"/>
            </w:tcBorders>
            <w:vAlign w:val="center"/>
          </w:tcPr>
          <w:p w:rsidR="00130E33" w:rsidRPr="00D2430C" w:rsidRDefault="00130E33" w:rsidP="00213747">
            <w:pPr>
              <w:keepNext/>
              <w:spacing w:before="120" w:after="120"/>
              <w:rPr>
                <w:rFonts w:cs="Times New Roman"/>
                <w:b/>
              </w:rPr>
            </w:pPr>
            <w:r>
              <w:rPr>
                <w:rFonts w:cs="Times New Roman"/>
                <w:b/>
              </w:rPr>
              <w:t>Equation</w:t>
            </w:r>
            <w:r w:rsidRPr="00D2430C">
              <w:rPr>
                <w:rFonts w:cs="Times New Roman"/>
                <w:b/>
              </w:rPr>
              <w:t xml:space="preserve"> </w:t>
            </w:r>
            <w:r>
              <w:rPr>
                <w:rFonts w:cs="Times New Roman"/>
                <w:b/>
              </w:rPr>
              <w:t>1</w:t>
            </w:r>
          </w:p>
        </w:tc>
        <w:tc>
          <w:tcPr>
            <w:tcW w:w="1728" w:type="dxa"/>
            <w:tcBorders>
              <w:top w:val="double" w:sz="4" w:space="0" w:color="auto"/>
              <w:bottom w:val="single" w:sz="8" w:space="0" w:color="auto"/>
            </w:tcBorders>
            <w:vAlign w:val="center"/>
          </w:tcPr>
          <w:p w:rsidR="00130E33" w:rsidRPr="00D2430C" w:rsidRDefault="00130E33" w:rsidP="00213747">
            <w:pPr>
              <w:keepNext/>
              <w:spacing w:before="120" w:after="120"/>
              <w:rPr>
                <w:rFonts w:cs="Times New Roman"/>
                <w:b/>
                <w:vertAlign w:val="superscript"/>
              </w:rPr>
            </w:pPr>
            <w:r>
              <w:rPr>
                <w:rFonts w:cs="Times New Roman"/>
                <w:b/>
              </w:rPr>
              <w:t>Equation</w:t>
            </w:r>
            <w:r w:rsidRPr="00D2430C">
              <w:rPr>
                <w:rFonts w:cs="Times New Roman"/>
                <w:b/>
              </w:rPr>
              <w:t xml:space="preserve"> </w:t>
            </w:r>
            <w:r>
              <w:rPr>
                <w:rFonts w:cs="Times New Roman"/>
                <w:b/>
              </w:rPr>
              <w:t>2</w:t>
            </w:r>
          </w:p>
        </w:tc>
        <w:tc>
          <w:tcPr>
            <w:tcW w:w="1728" w:type="dxa"/>
            <w:tcBorders>
              <w:top w:val="double" w:sz="4" w:space="0" w:color="auto"/>
              <w:bottom w:val="single" w:sz="8" w:space="0" w:color="auto"/>
            </w:tcBorders>
            <w:vAlign w:val="center"/>
          </w:tcPr>
          <w:p w:rsidR="00130E33" w:rsidRPr="00D2430C" w:rsidRDefault="00130E33" w:rsidP="00213747">
            <w:pPr>
              <w:keepNext/>
              <w:spacing w:before="120" w:after="120"/>
              <w:rPr>
                <w:rFonts w:cs="Times New Roman"/>
                <w:b/>
              </w:rPr>
            </w:pPr>
            <w:r>
              <w:rPr>
                <w:rFonts w:cs="Times New Roman"/>
                <w:b/>
              </w:rPr>
              <w:t>Equation 3</w:t>
            </w:r>
          </w:p>
        </w:tc>
      </w:tr>
      <w:tr w:rsidR="00130E33" w:rsidRPr="00B966DB" w:rsidTr="00794AF2">
        <w:trPr>
          <w:jc w:val="center"/>
        </w:trPr>
        <w:tc>
          <w:tcPr>
            <w:tcW w:w="2592" w:type="dxa"/>
            <w:tcBorders>
              <w:top w:val="nil"/>
              <w:bottom w:val="nil"/>
            </w:tcBorders>
          </w:tcPr>
          <w:p w:rsidR="00130E33" w:rsidRPr="00D2430C" w:rsidRDefault="00130E33" w:rsidP="00794AF2">
            <w:pPr>
              <w:spacing w:before="120" w:after="120"/>
              <w:jc w:val="left"/>
              <w:rPr>
                <w:rFonts w:cs="Times New Roman"/>
              </w:rPr>
            </w:pPr>
            <w:r>
              <w:rPr>
                <w:rFonts w:cs="Times New Roman"/>
              </w:rPr>
              <w:t>Log Total Orders</w:t>
            </w: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r>
              <w:rPr>
                <w:rFonts w:cs="Times New Roman"/>
              </w:rPr>
              <w:t>0.6633</w:t>
            </w:r>
            <w:r w:rsidRPr="00D2430C">
              <w:rPr>
                <w:rFonts w:cs="Times New Roman"/>
                <w:vertAlign w:val="superscript"/>
              </w:rPr>
              <w:t>**</w:t>
            </w:r>
            <w:r w:rsidRPr="00D2430C">
              <w:rPr>
                <w:rFonts w:cs="Times New Roman"/>
              </w:rPr>
              <w:t xml:space="preserve">     (</w:t>
            </w:r>
            <w:r>
              <w:rPr>
                <w:rFonts w:cs="Times New Roman"/>
              </w:rPr>
              <w:t>0.0873</w:t>
            </w:r>
            <w:r w:rsidRPr="00D2430C">
              <w:rPr>
                <w:rFonts w:cs="Times New Roman"/>
              </w:rPr>
              <w:t>)</w:t>
            </w: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p>
        </w:tc>
        <w:tc>
          <w:tcPr>
            <w:tcW w:w="1728" w:type="dxa"/>
            <w:tcBorders>
              <w:top w:val="nil"/>
              <w:bottom w:val="nil"/>
            </w:tcBorders>
          </w:tcPr>
          <w:p w:rsidR="00130E33" w:rsidRPr="00D2430C" w:rsidRDefault="00130E33" w:rsidP="00794AF2">
            <w:pPr>
              <w:tabs>
                <w:tab w:val="decimal" w:pos="594"/>
              </w:tabs>
              <w:spacing w:before="120" w:after="120"/>
              <w:jc w:val="left"/>
              <w:rPr>
                <w:rFonts w:cs="Times New Roman"/>
              </w:rPr>
            </w:pPr>
            <w:r>
              <w:rPr>
                <w:rFonts w:cs="Times New Roman"/>
              </w:rPr>
              <w:t>0.2730</w:t>
            </w:r>
            <w:r w:rsidRPr="00D2430C">
              <w:rPr>
                <w:rFonts w:cs="Times New Roman"/>
                <w:vertAlign w:val="superscript"/>
              </w:rPr>
              <w:t>**</w:t>
            </w:r>
            <w:r w:rsidRPr="00D2430C">
              <w:rPr>
                <w:rFonts w:cs="Times New Roman"/>
              </w:rPr>
              <w:t xml:space="preserve">     (</w:t>
            </w:r>
            <w:r>
              <w:rPr>
                <w:rFonts w:cs="Times New Roman"/>
              </w:rPr>
              <w:t>0.0977</w:t>
            </w:r>
            <w:r w:rsidRPr="00D2430C">
              <w:rPr>
                <w:rFonts w:cs="Times New Roman"/>
              </w:rPr>
              <w:t>)</w:t>
            </w:r>
          </w:p>
        </w:tc>
      </w:tr>
      <w:tr w:rsidR="00130E33" w:rsidRPr="00B966DB" w:rsidTr="00794AF2">
        <w:trPr>
          <w:jc w:val="center"/>
        </w:trPr>
        <w:tc>
          <w:tcPr>
            <w:tcW w:w="2592" w:type="dxa"/>
            <w:tcBorders>
              <w:top w:val="nil"/>
              <w:bottom w:val="nil"/>
            </w:tcBorders>
          </w:tcPr>
          <w:p w:rsidR="00130E33" w:rsidRPr="00D2430C" w:rsidRDefault="00130E33" w:rsidP="00794AF2">
            <w:pPr>
              <w:spacing w:before="120" w:after="120"/>
              <w:jc w:val="left"/>
              <w:rPr>
                <w:rFonts w:cs="Times New Roman"/>
              </w:rPr>
            </w:pPr>
            <w:r>
              <w:rPr>
                <w:rFonts w:cs="Times New Roman"/>
              </w:rPr>
              <w:t>Log Orders Group 1</w:t>
            </w: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r>
              <w:rPr>
                <w:rFonts w:cs="Times New Roman"/>
              </w:rPr>
              <w:t>8.3827</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0.9981</w:t>
            </w:r>
            <w:r w:rsidRPr="00D2430C">
              <w:rPr>
                <w:rFonts w:cs="Times New Roman"/>
              </w:rPr>
              <w:t>)</w:t>
            </w:r>
          </w:p>
        </w:tc>
        <w:tc>
          <w:tcPr>
            <w:tcW w:w="1728" w:type="dxa"/>
            <w:tcBorders>
              <w:top w:val="nil"/>
              <w:bottom w:val="nil"/>
            </w:tcBorders>
          </w:tcPr>
          <w:p w:rsidR="00130E33" w:rsidRPr="00D2430C" w:rsidRDefault="00130E33" w:rsidP="00794AF2">
            <w:pPr>
              <w:tabs>
                <w:tab w:val="decimal" w:pos="594"/>
              </w:tabs>
              <w:spacing w:before="120" w:after="120"/>
              <w:jc w:val="left"/>
              <w:rPr>
                <w:rFonts w:cs="Times New Roman"/>
              </w:rPr>
            </w:pPr>
          </w:p>
        </w:tc>
      </w:tr>
      <w:tr w:rsidR="00130E33" w:rsidRPr="00B966DB" w:rsidTr="00794AF2">
        <w:trPr>
          <w:jc w:val="center"/>
        </w:trPr>
        <w:tc>
          <w:tcPr>
            <w:tcW w:w="2592" w:type="dxa"/>
            <w:tcBorders>
              <w:top w:val="nil"/>
              <w:bottom w:val="nil"/>
            </w:tcBorders>
          </w:tcPr>
          <w:p w:rsidR="00130E33" w:rsidRPr="00D2430C" w:rsidRDefault="00130E33" w:rsidP="00794AF2">
            <w:pPr>
              <w:spacing w:before="120" w:after="120"/>
              <w:jc w:val="left"/>
              <w:rPr>
                <w:rFonts w:cs="Times New Roman"/>
              </w:rPr>
            </w:pPr>
            <w:r>
              <w:rPr>
                <w:rFonts w:cs="Times New Roman"/>
              </w:rPr>
              <w:t>Log Orders Group 2</w:t>
            </w: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r>
              <w:rPr>
                <w:rFonts w:cs="Times New Roman"/>
              </w:rPr>
              <w:t>0.2850</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1.1076</w:t>
            </w:r>
            <w:r w:rsidRPr="00D2430C">
              <w:rPr>
                <w:rFonts w:cs="Times New Roman"/>
              </w:rPr>
              <w:t>)</w:t>
            </w:r>
          </w:p>
        </w:tc>
        <w:tc>
          <w:tcPr>
            <w:tcW w:w="1728" w:type="dxa"/>
            <w:tcBorders>
              <w:top w:val="nil"/>
              <w:bottom w:val="nil"/>
            </w:tcBorders>
          </w:tcPr>
          <w:p w:rsidR="00130E33" w:rsidRPr="00D2430C" w:rsidRDefault="00130E33" w:rsidP="00794AF2">
            <w:pPr>
              <w:tabs>
                <w:tab w:val="decimal" w:pos="594"/>
              </w:tabs>
              <w:spacing w:before="120" w:after="120"/>
              <w:jc w:val="left"/>
              <w:rPr>
                <w:rFonts w:cs="Times New Roman"/>
              </w:rPr>
            </w:pPr>
          </w:p>
        </w:tc>
      </w:tr>
      <w:tr w:rsidR="00130E33" w:rsidRPr="00B966DB" w:rsidTr="00794AF2">
        <w:trPr>
          <w:jc w:val="center"/>
        </w:trPr>
        <w:tc>
          <w:tcPr>
            <w:tcW w:w="2592" w:type="dxa"/>
            <w:tcBorders>
              <w:top w:val="nil"/>
              <w:bottom w:val="nil"/>
            </w:tcBorders>
          </w:tcPr>
          <w:p w:rsidR="00130E33" w:rsidRDefault="00130E33" w:rsidP="00794AF2">
            <w:pPr>
              <w:spacing w:before="120" w:after="120"/>
              <w:jc w:val="left"/>
              <w:rPr>
                <w:rFonts w:cs="Times New Roman"/>
              </w:rPr>
            </w:pPr>
            <w:r>
              <w:rPr>
                <w:rFonts w:cs="Times New Roman"/>
              </w:rPr>
              <w:t>Log Orders Group 3</w:t>
            </w: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r>
              <w:rPr>
                <w:rFonts w:cs="Times New Roman"/>
              </w:rPr>
              <w:t>-1.6198</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1.1611</w:t>
            </w:r>
            <w:r w:rsidRPr="00D2430C">
              <w:rPr>
                <w:rFonts w:cs="Times New Roman"/>
              </w:rPr>
              <w:t>)</w:t>
            </w:r>
          </w:p>
        </w:tc>
        <w:tc>
          <w:tcPr>
            <w:tcW w:w="1728" w:type="dxa"/>
            <w:tcBorders>
              <w:top w:val="nil"/>
              <w:bottom w:val="nil"/>
            </w:tcBorders>
          </w:tcPr>
          <w:p w:rsidR="00130E33" w:rsidRPr="00D2430C" w:rsidRDefault="00130E33" w:rsidP="00794AF2">
            <w:pPr>
              <w:tabs>
                <w:tab w:val="decimal" w:pos="594"/>
              </w:tabs>
              <w:spacing w:before="120" w:after="120"/>
              <w:jc w:val="left"/>
              <w:rPr>
                <w:rFonts w:cs="Times New Roman"/>
              </w:rPr>
            </w:pPr>
          </w:p>
        </w:tc>
      </w:tr>
      <w:tr w:rsidR="00130E33" w:rsidRPr="00B966DB" w:rsidTr="00794AF2">
        <w:trPr>
          <w:jc w:val="center"/>
        </w:trPr>
        <w:tc>
          <w:tcPr>
            <w:tcW w:w="2592" w:type="dxa"/>
            <w:tcBorders>
              <w:top w:val="nil"/>
              <w:bottom w:val="nil"/>
            </w:tcBorders>
          </w:tcPr>
          <w:p w:rsidR="00130E33" w:rsidRDefault="00130E33" w:rsidP="00794AF2">
            <w:pPr>
              <w:spacing w:before="120" w:after="120"/>
              <w:jc w:val="left"/>
              <w:rPr>
                <w:rFonts w:cs="Times New Roman"/>
              </w:rPr>
            </w:pPr>
            <w:r>
              <w:rPr>
                <w:rFonts w:cs="Times New Roman"/>
              </w:rPr>
              <w:t>Log Orders Group 4</w:t>
            </w: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r>
              <w:rPr>
                <w:rFonts w:cs="Times New Roman"/>
              </w:rPr>
              <w:t>-6.7199</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0.9334</w:t>
            </w:r>
            <w:r w:rsidRPr="00D2430C">
              <w:rPr>
                <w:rFonts w:cs="Times New Roman"/>
              </w:rPr>
              <w:t>)</w:t>
            </w:r>
          </w:p>
        </w:tc>
        <w:tc>
          <w:tcPr>
            <w:tcW w:w="1728" w:type="dxa"/>
            <w:tcBorders>
              <w:top w:val="nil"/>
              <w:bottom w:val="nil"/>
            </w:tcBorders>
          </w:tcPr>
          <w:p w:rsidR="00130E33" w:rsidRPr="00D2430C" w:rsidRDefault="00130E33" w:rsidP="00794AF2">
            <w:pPr>
              <w:tabs>
                <w:tab w:val="decimal" w:pos="594"/>
              </w:tabs>
              <w:spacing w:before="120" w:after="120"/>
              <w:jc w:val="left"/>
              <w:rPr>
                <w:rFonts w:cs="Times New Roman"/>
              </w:rPr>
            </w:pPr>
          </w:p>
        </w:tc>
      </w:tr>
      <w:tr w:rsidR="00130E33" w:rsidRPr="00B966DB" w:rsidTr="00794AF2">
        <w:trPr>
          <w:jc w:val="center"/>
        </w:trPr>
        <w:tc>
          <w:tcPr>
            <w:tcW w:w="2592" w:type="dxa"/>
            <w:tcBorders>
              <w:top w:val="nil"/>
              <w:bottom w:val="nil"/>
            </w:tcBorders>
          </w:tcPr>
          <w:p w:rsidR="00130E33" w:rsidRPr="00D2430C" w:rsidRDefault="00130E33" w:rsidP="00794AF2">
            <w:pPr>
              <w:spacing w:before="120" w:after="120"/>
              <w:jc w:val="left"/>
              <w:rPr>
                <w:rFonts w:cs="Times New Roman"/>
              </w:rPr>
            </w:pPr>
            <w:r w:rsidRPr="00D2430C">
              <w:rPr>
                <w:rFonts w:cs="Times New Roman"/>
              </w:rPr>
              <w:t>% Group 2</w:t>
            </w: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p>
        </w:tc>
        <w:tc>
          <w:tcPr>
            <w:tcW w:w="1728" w:type="dxa"/>
            <w:tcBorders>
              <w:top w:val="nil"/>
              <w:bottom w:val="nil"/>
            </w:tcBorders>
          </w:tcPr>
          <w:p w:rsidR="00130E33" w:rsidRPr="00D2430C" w:rsidRDefault="00130E33" w:rsidP="00794AF2">
            <w:pPr>
              <w:tabs>
                <w:tab w:val="decimal" w:pos="594"/>
              </w:tabs>
              <w:spacing w:before="120" w:after="120"/>
              <w:jc w:val="left"/>
              <w:rPr>
                <w:rFonts w:cs="Times New Roman"/>
              </w:rPr>
            </w:pPr>
            <w:r>
              <w:rPr>
                <w:rFonts w:cs="Times New Roman"/>
              </w:rPr>
              <w:t>-11.6676</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3.0706</w:t>
            </w:r>
            <w:r w:rsidRPr="00D2430C">
              <w:rPr>
                <w:rFonts w:cs="Times New Roman"/>
              </w:rPr>
              <w:t>)</w:t>
            </w:r>
          </w:p>
        </w:tc>
      </w:tr>
      <w:tr w:rsidR="00130E33" w:rsidRPr="00B966DB" w:rsidTr="00794AF2">
        <w:trPr>
          <w:jc w:val="center"/>
        </w:trPr>
        <w:tc>
          <w:tcPr>
            <w:tcW w:w="2592" w:type="dxa"/>
            <w:tcBorders>
              <w:top w:val="nil"/>
              <w:bottom w:val="nil"/>
            </w:tcBorders>
          </w:tcPr>
          <w:p w:rsidR="00130E33" w:rsidRPr="00D2430C" w:rsidRDefault="00130E33" w:rsidP="00794AF2">
            <w:pPr>
              <w:spacing w:before="120" w:after="120"/>
              <w:jc w:val="left"/>
              <w:rPr>
                <w:rFonts w:cs="Times New Roman"/>
              </w:rPr>
            </w:pPr>
            <w:r w:rsidRPr="00D2430C">
              <w:rPr>
                <w:rFonts w:cs="Times New Roman"/>
              </w:rPr>
              <w:t>% Group 3</w:t>
            </w: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p>
        </w:tc>
        <w:tc>
          <w:tcPr>
            <w:tcW w:w="1728" w:type="dxa"/>
            <w:tcBorders>
              <w:top w:val="nil"/>
              <w:bottom w:val="nil"/>
            </w:tcBorders>
          </w:tcPr>
          <w:p w:rsidR="00130E33" w:rsidRPr="00D2430C" w:rsidRDefault="00130E33" w:rsidP="00794AF2">
            <w:pPr>
              <w:tabs>
                <w:tab w:val="decimal" w:pos="594"/>
              </w:tabs>
              <w:spacing w:before="120" w:after="120"/>
              <w:jc w:val="left"/>
              <w:rPr>
                <w:rFonts w:cs="Times New Roman"/>
              </w:rPr>
            </w:pPr>
            <w:r>
              <w:rPr>
                <w:rFonts w:cs="Times New Roman"/>
              </w:rPr>
              <w:t>-17.0966</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3.0327</w:t>
            </w:r>
            <w:r w:rsidRPr="00D2430C">
              <w:rPr>
                <w:rFonts w:cs="Times New Roman"/>
              </w:rPr>
              <w:t>)</w:t>
            </w:r>
          </w:p>
        </w:tc>
      </w:tr>
      <w:tr w:rsidR="00130E33" w:rsidRPr="00B966DB" w:rsidTr="00794AF2">
        <w:trPr>
          <w:jc w:val="center"/>
        </w:trPr>
        <w:tc>
          <w:tcPr>
            <w:tcW w:w="2592" w:type="dxa"/>
            <w:tcBorders>
              <w:top w:val="nil"/>
              <w:bottom w:val="nil"/>
            </w:tcBorders>
          </w:tcPr>
          <w:p w:rsidR="00130E33" w:rsidRPr="00D2430C" w:rsidRDefault="00130E33" w:rsidP="00794AF2">
            <w:pPr>
              <w:spacing w:before="120" w:after="120"/>
              <w:jc w:val="left"/>
              <w:rPr>
                <w:rFonts w:cs="Times New Roman"/>
              </w:rPr>
            </w:pPr>
            <w:r w:rsidRPr="00D2430C">
              <w:rPr>
                <w:rFonts w:cs="Times New Roman"/>
              </w:rPr>
              <w:t xml:space="preserve">% Group 4 </w:t>
            </w: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p>
        </w:tc>
        <w:tc>
          <w:tcPr>
            <w:tcW w:w="1728" w:type="dxa"/>
            <w:tcBorders>
              <w:top w:val="nil"/>
              <w:bottom w:val="nil"/>
            </w:tcBorders>
          </w:tcPr>
          <w:p w:rsidR="00130E33" w:rsidRPr="00D2430C" w:rsidRDefault="00130E33" w:rsidP="00794AF2">
            <w:pPr>
              <w:tabs>
                <w:tab w:val="decimal" w:pos="599"/>
              </w:tabs>
              <w:spacing w:before="120" w:after="120"/>
              <w:jc w:val="left"/>
              <w:rPr>
                <w:rFonts w:cs="Times New Roman"/>
              </w:rPr>
            </w:pPr>
          </w:p>
        </w:tc>
        <w:tc>
          <w:tcPr>
            <w:tcW w:w="1728" w:type="dxa"/>
            <w:tcBorders>
              <w:top w:val="nil"/>
              <w:bottom w:val="nil"/>
            </w:tcBorders>
          </w:tcPr>
          <w:p w:rsidR="00130E33" w:rsidRPr="00D2430C" w:rsidRDefault="00130E33" w:rsidP="00794AF2">
            <w:pPr>
              <w:tabs>
                <w:tab w:val="decimal" w:pos="594"/>
              </w:tabs>
              <w:spacing w:before="120" w:after="120"/>
              <w:jc w:val="left"/>
              <w:rPr>
                <w:rFonts w:cs="Times New Roman"/>
              </w:rPr>
            </w:pPr>
            <w:r w:rsidRPr="00D2430C">
              <w:rPr>
                <w:rFonts w:cs="Times New Roman"/>
              </w:rPr>
              <w:t>-</w:t>
            </w:r>
            <w:r>
              <w:rPr>
                <w:rFonts w:cs="Times New Roman"/>
              </w:rPr>
              <w:t>34.9179</w:t>
            </w:r>
            <w:r w:rsidRPr="00D2430C">
              <w:rPr>
                <w:rFonts w:cs="Times New Roman"/>
                <w:vertAlign w:val="superscript"/>
              </w:rPr>
              <w:t>**</w:t>
            </w:r>
            <w:r w:rsidRPr="00D2430C">
              <w:rPr>
                <w:rFonts w:cs="Times New Roman"/>
              </w:rPr>
              <w:t xml:space="preserve">     (</w:t>
            </w:r>
            <w:r>
              <w:rPr>
                <w:rFonts w:cs="Times New Roman"/>
              </w:rPr>
              <w:t>3.3913</w:t>
            </w:r>
            <w:r w:rsidRPr="00D2430C">
              <w:rPr>
                <w:rFonts w:cs="Times New Roman"/>
              </w:rPr>
              <w:t>)</w:t>
            </w:r>
          </w:p>
        </w:tc>
      </w:tr>
      <w:tr w:rsidR="00130E33" w:rsidRPr="00B966DB" w:rsidTr="00794AF2">
        <w:trPr>
          <w:jc w:val="center"/>
        </w:trPr>
        <w:tc>
          <w:tcPr>
            <w:tcW w:w="2592" w:type="dxa"/>
            <w:tcBorders>
              <w:top w:val="nil"/>
            </w:tcBorders>
          </w:tcPr>
          <w:p w:rsidR="00130E33" w:rsidRPr="00D2430C" w:rsidRDefault="00130E33" w:rsidP="00794AF2">
            <w:pPr>
              <w:spacing w:before="120" w:after="120"/>
              <w:jc w:val="left"/>
              <w:rPr>
                <w:rFonts w:cs="Times New Roman"/>
                <w:vertAlign w:val="superscript"/>
              </w:rPr>
            </w:pPr>
            <w:r>
              <w:rPr>
                <w:rFonts w:cs="Times New Roman"/>
              </w:rPr>
              <w:t>AIC</w:t>
            </w:r>
          </w:p>
        </w:tc>
        <w:tc>
          <w:tcPr>
            <w:tcW w:w="1728" w:type="dxa"/>
            <w:tcBorders>
              <w:top w:val="nil"/>
            </w:tcBorders>
          </w:tcPr>
          <w:p w:rsidR="00130E33" w:rsidRPr="00D2430C" w:rsidRDefault="00130E33" w:rsidP="00794AF2">
            <w:pPr>
              <w:spacing w:before="120" w:after="120"/>
              <w:rPr>
                <w:rFonts w:cs="Times New Roman"/>
              </w:rPr>
            </w:pPr>
            <w:r>
              <w:rPr>
                <w:rFonts w:cs="Times New Roman"/>
              </w:rPr>
              <w:t>2640.0</w:t>
            </w:r>
          </w:p>
        </w:tc>
        <w:tc>
          <w:tcPr>
            <w:tcW w:w="1728" w:type="dxa"/>
            <w:tcBorders>
              <w:top w:val="nil"/>
            </w:tcBorders>
            <w:vAlign w:val="center"/>
          </w:tcPr>
          <w:p w:rsidR="00130E33" w:rsidRPr="00D2430C" w:rsidRDefault="00130E33" w:rsidP="00794AF2">
            <w:pPr>
              <w:keepNext/>
              <w:spacing w:before="120" w:after="120"/>
              <w:rPr>
                <w:rFonts w:cs="Times New Roman"/>
              </w:rPr>
            </w:pPr>
            <w:r>
              <w:rPr>
                <w:rFonts w:cs="Times New Roman"/>
              </w:rPr>
              <w:t>2527.5</w:t>
            </w:r>
          </w:p>
        </w:tc>
        <w:tc>
          <w:tcPr>
            <w:tcW w:w="1728" w:type="dxa"/>
            <w:tcBorders>
              <w:top w:val="nil"/>
            </w:tcBorders>
            <w:vAlign w:val="center"/>
          </w:tcPr>
          <w:p w:rsidR="00130E33" w:rsidRPr="00D2430C" w:rsidRDefault="00130E33" w:rsidP="00794AF2">
            <w:pPr>
              <w:keepNext/>
              <w:spacing w:before="120" w:after="120"/>
              <w:rPr>
                <w:rFonts w:cs="Times New Roman"/>
              </w:rPr>
            </w:pPr>
            <w:r>
              <w:rPr>
                <w:rFonts w:cs="Times New Roman"/>
              </w:rPr>
              <w:t>2517.5</w:t>
            </w:r>
          </w:p>
        </w:tc>
      </w:tr>
    </w:tbl>
    <w:p w:rsidR="00130E33" w:rsidRDefault="00130E33" w:rsidP="00130E33">
      <w:pPr>
        <w:spacing w:before="60" w:line="240" w:lineRule="auto"/>
        <w:ind w:left="720" w:right="746"/>
        <w:rPr>
          <w:rFonts w:cs="Times New Roman"/>
          <w:sz w:val="20"/>
          <w:szCs w:val="20"/>
        </w:rPr>
      </w:pPr>
      <w:r w:rsidRPr="00B966DB">
        <w:rPr>
          <w:rFonts w:cs="Times New Roman"/>
          <w:sz w:val="20"/>
          <w:szCs w:val="20"/>
        </w:rPr>
        <w:t>The table reports the coefficie</w:t>
      </w:r>
      <w:r>
        <w:rPr>
          <w:rFonts w:cs="Times New Roman"/>
          <w:sz w:val="20"/>
          <w:szCs w:val="20"/>
        </w:rPr>
        <w:t>nts of interest from estimating Equations 1, 2 and 3 using a logistic model</w:t>
      </w:r>
      <w:r w:rsidRPr="00B966DB">
        <w:rPr>
          <w:rFonts w:cs="Times New Roman"/>
          <w:sz w:val="20"/>
          <w:szCs w:val="20"/>
        </w:rPr>
        <w:t xml:space="preserve">. </w:t>
      </w:r>
      <w:r>
        <w:rPr>
          <w:rFonts w:cs="Times New Roman"/>
          <w:sz w:val="20"/>
          <w:szCs w:val="20"/>
        </w:rPr>
        <w:t>Coefficients for the control variables are omitted from this table. T</w:t>
      </w:r>
      <w:r w:rsidRPr="00B966DB">
        <w:rPr>
          <w:rFonts w:cs="Times New Roman"/>
          <w:sz w:val="20"/>
          <w:szCs w:val="20"/>
        </w:rPr>
        <w:t>he unit of analysis</w:t>
      </w:r>
      <w:r>
        <w:rPr>
          <w:rFonts w:cs="Times New Roman"/>
          <w:sz w:val="20"/>
          <w:szCs w:val="20"/>
        </w:rPr>
        <w:t xml:space="preserve"> is</w:t>
      </w:r>
      <w:r w:rsidRPr="00B966DB">
        <w:rPr>
          <w:rFonts w:cs="Times New Roman"/>
          <w:sz w:val="20"/>
          <w:szCs w:val="20"/>
        </w:rPr>
        <w:t xml:space="preserve"> a new item and the sample size in all models is 2,388. Standard errors are in parentheses.</w:t>
      </w:r>
    </w:p>
    <w:p w:rsidR="00130E33" w:rsidRDefault="00130E33" w:rsidP="00130E33">
      <w:pPr>
        <w:spacing w:before="60" w:line="240" w:lineRule="auto"/>
        <w:ind w:left="720" w:right="746"/>
        <w:rPr>
          <w:rFonts w:cs="Times New Roman"/>
          <w:sz w:val="20"/>
          <w:szCs w:val="20"/>
        </w:rPr>
      </w:pPr>
    </w:p>
    <w:p w:rsidR="00130E33" w:rsidRDefault="00130E33">
      <w:r>
        <w:br w:type="page"/>
      </w:r>
    </w:p>
    <w:p w:rsidR="00130E33" w:rsidRDefault="00130E33" w:rsidP="00E5377F">
      <w:pPr>
        <w:spacing w:after="120"/>
        <w:jc w:val="center"/>
        <w:rPr>
          <w:b/>
        </w:rPr>
      </w:pPr>
      <w:r>
        <w:rPr>
          <w:b/>
        </w:rPr>
        <w:lastRenderedPageBreak/>
        <w:t>Logistic Regression Models: Odds Ratios</w:t>
      </w:r>
      <w:r w:rsidR="00BC01B1">
        <w:rPr>
          <w:b/>
        </w:rPr>
        <w:t xml:space="preserve"> Estimates</w:t>
      </w:r>
    </w:p>
    <w:tbl>
      <w:tblPr>
        <w:tblStyle w:val="TableGrid"/>
        <w:tblW w:w="7776"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728"/>
        <w:gridCol w:w="1728"/>
        <w:gridCol w:w="1728"/>
      </w:tblGrid>
      <w:tr w:rsidR="00BC01B1" w:rsidRPr="00D2430C" w:rsidTr="00794AF2">
        <w:trPr>
          <w:jc w:val="center"/>
        </w:trPr>
        <w:tc>
          <w:tcPr>
            <w:tcW w:w="2592" w:type="dxa"/>
            <w:tcBorders>
              <w:top w:val="double" w:sz="4" w:space="0" w:color="auto"/>
              <w:bottom w:val="single" w:sz="8" w:space="0" w:color="auto"/>
            </w:tcBorders>
            <w:vAlign w:val="center"/>
          </w:tcPr>
          <w:p w:rsidR="00BC01B1" w:rsidRPr="00D2430C" w:rsidRDefault="00BC01B1" w:rsidP="00794AF2">
            <w:pPr>
              <w:keepNext/>
              <w:spacing w:before="120" w:after="120"/>
              <w:rPr>
                <w:rFonts w:cs="Times New Roman"/>
                <w:b/>
              </w:rPr>
            </w:pPr>
          </w:p>
        </w:tc>
        <w:tc>
          <w:tcPr>
            <w:tcW w:w="1728" w:type="dxa"/>
            <w:tcBorders>
              <w:top w:val="double" w:sz="4" w:space="0" w:color="auto"/>
              <w:bottom w:val="single" w:sz="8" w:space="0" w:color="auto"/>
            </w:tcBorders>
            <w:vAlign w:val="center"/>
          </w:tcPr>
          <w:p w:rsidR="00BC01B1" w:rsidRPr="00D2430C" w:rsidRDefault="00BC01B1" w:rsidP="00213747">
            <w:pPr>
              <w:keepNext/>
              <w:spacing w:before="120" w:after="120"/>
              <w:rPr>
                <w:rFonts w:cs="Times New Roman"/>
                <w:b/>
              </w:rPr>
            </w:pPr>
            <w:r>
              <w:rPr>
                <w:rFonts w:cs="Times New Roman"/>
                <w:b/>
              </w:rPr>
              <w:t>Equation</w:t>
            </w:r>
            <w:r w:rsidRPr="00D2430C">
              <w:rPr>
                <w:rFonts w:cs="Times New Roman"/>
                <w:b/>
              </w:rPr>
              <w:t xml:space="preserve"> </w:t>
            </w:r>
            <w:r>
              <w:rPr>
                <w:rFonts w:cs="Times New Roman"/>
                <w:b/>
              </w:rPr>
              <w:t>1</w:t>
            </w:r>
          </w:p>
        </w:tc>
        <w:tc>
          <w:tcPr>
            <w:tcW w:w="1728" w:type="dxa"/>
            <w:tcBorders>
              <w:top w:val="double" w:sz="4" w:space="0" w:color="auto"/>
              <w:bottom w:val="single" w:sz="8" w:space="0" w:color="auto"/>
            </w:tcBorders>
            <w:vAlign w:val="center"/>
          </w:tcPr>
          <w:p w:rsidR="00BC01B1" w:rsidRPr="00D2430C" w:rsidRDefault="00BC01B1" w:rsidP="00213747">
            <w:pPr>
              <w:keepNext/>
              <w:spacing w:before="120" w:after="120"/>
              <w:rPr>
                <w:rFonts w:cs="Times New Roman"/>
                <w:b/>
                <w:vertAlign w:val="superscript"/>
              </w:rPr>
            </w:pPr>
            <w:r>
              <w:rPr>
                <w:rFonts w:cs="Times New Roman"/>
                <w:b/>
              </w:rPr>
              <w:t>Equation</w:t>
            </w:r>
            <w:r w:rsidRPr="00D2430C">
              <w:rPr>
                <w:rFonts w:cs="Times New Roman"/>
                <w:b/>
              </w:rPr>
              <w:t xml:space="preserve"> </w:t>
            </w:r>
            <w:r>
              <w:rPr>
                <w:rFonts w:cs="Times New Roman"/>
                <w:b/>
              </w:rPr>
              <w:t>2</w:t>
            </w:r>
          </w:p>
        </w:tc>
        <w:tc>
          <w:tcPr>
            <w:tcW w:w="1728" w:type="dxa"/>
            <w:tcBorders>
              <w:top w:val="double" w:sz="4" w:space="0" w:color="auto"/>
              <w:bottom w:val="single" w:sz="8" w:space="0" w:color="auto"/>
            </w:tcBorders>
            <w:vAlign w:val="center"/>
          </w:tcPr>
          <w:p w:rsidR="00BC01B1" w:rsidRPr="00D2430C" w:rsidRDefault="00BC01B1" w:rsidP="00213747">
            <w:pPr>
              <w:keepNext/>
              <w:spacing w:before="120" w:after="120"/>
              <w:rPr>
                <w:rFonts w:cs="Times New Roman"/>
                <w:b/>
              </w:rPr>
            </w:pPr>
            <w:r>
              <w:rPr>
                <w:rFonts w:cs="Times New Roman"/>
                <w:b/>
              </w:rPr>
              <w:t>Equation 3</w:t>
            </w:r>
          </w:p>
        </w:tc>
      </w:tr>
      <w:tr w:rsidR="00BC01B1" w:rsidRPr="00D2430C" w:rsidTr="00794AF2">
        <w:trPr>
          <w:jc w:val="center"/>
        </w:trPr>
        <w:tc>
          <w:tcPr>
            <w:tcW w:w="2592" w:type="dxa"/>
            <w:tcBorders>
              <w:top w:val="nil"/>
              <w:bottom w:val="nil"/>
            </w:tcBorders>
          </w:tcPr>
          <w:p w:rsidR="00BC01B1" w:rsidRPr="00D2430C" w:rsidRDefault="00BC01B1" w:rsidP="00BC01B1">
            <w:pPr>
              <w:spacing w:before="120" w:after="120"/>
              <w:jc w:val="left"/>
              <w:rPr>
                <w:rFonts w:cs="Times New Roman"/>
              </w:rPr>
            </w:pPr>
            <w:r>
              <w:rPr>
                <w:rFonts w:cs="Times New Roman"/>
              </w:rPr>
              <w:t>Log Total Orders</w:t>
            </w:r>
          </w:p>
        </w:tc>
        <w:tc>
          <w:tcPr>
            <w:tcW w:w="1728" w:type="dxa"/>
            <w:tcBorders>
              <w:top w:val="nil"/>
              <w:bottom w:val="nil"/>
            </w:tcBorders>
          </w:tcPr>
          <w:p w:rsidR="00BC01B1" w:rsidRDefault="00BC01B1" w:rsidP="00BC01B1">
            <w:pPr>
              <w:spacing w:before="120" w:after="120"/>
              <w:rPr>
                <w:rFonts w:cs="Times New Roman"/>
              </w:rPr>
            </w:pPr>
            <w:r>
              <w:rPr>
                <w:rFonts w:cs="Times New Roman"/>
              </w:rPr>
              <w:t>0.515</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0.434, 0.611</w:t>
            </w:r>
            <w:r w:rsidRPr="00D2430C">
              <w:rPr>
                <w:rFonts w:cs="Times New Roman"/>
              </w:rPr>
              <w:t>)</w:t>
            </w:r>
          </w:p>
        </w:tc>
        <w:tc>
          <w:tcPr>
            <w:tcW w:w="1728" w:type="dxa"/>
            <w:tcBorders>
              <w:top w:val="nil"/>
              <w:bottom w:val="nil"/>
            </w:tcBorders>
          </w:tcPr>
          <w:p w:rsidR="00BC01B1" w:rsidRPr="00D2430C" w:rsidRDefault="00BC01B1" w:rsidP="00BC01B1">
            <w:pPr>
              <w:tabs>
                <w:tab w:val="decimal" w:pos="599"/>
              </w:tabs>
              <w:spacing w:before="120" w:after="120"/>
              <w:jc w:val="left"/>
              <w:rPr>
                <w:rFonts w:cs="Times New Roman"/>
              </w:rPr>
            </w:pPr>
          </w:p>
        </w:tc>
        <w:tc>
          <w:tcPr>
            <w:tcW w:w="1728" w:type="dxa"/>
            <w:tcBorders>
              <w:top w:val="nil"/>
              <w:bottom w:val="nil"/>
            </w:tcBorders>
          </w:tcPr>
          <w:p w:rsidR="00BC01B1" w:rsidRDefault="00BC01B1" w:rsidP="00BC01B1">
            <w:pPr>
              <w:spacing w:before="120" w:after="120"/>
              <w:rPr>
                <w:rFonts w:cs="Times New Roman"/>
              </w:rPr>
            </w:pPr>
            <w:r>
              <w:rPr>
                <w:rFonts w:cs="Times New Roman"/>
              </w:rPr>
              <w:t xml:space="preserve">0.761                </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0.628, 0.922</w:t>
            </w:r>
            <w:r w:rsidRPr="00D2430C">
              <w:rPr>
                <w:rFonts w:cs="Times New Roman"/>
              </w:rPr>
              <w:t>)</w:t>
            </w:r>
          </w:p>
        </w:tc>
      </w:tr>
      <w:tr w:rsidR="00BC01B1" w:rsidRPr="00D2430C" w:rsidTr="00794AF2">
        <w:trPr>
          <w:jc w:val="center"/>
        </w:trPr>
        <w:tc>
          <w:tcPr>
            <w:tcW w:w="2592" w:type="dxa"/>
            <w:tcBorders>
              <w:top w:val="nil"/>
              <w:bottom w:val="nil"/>
            </w:tcBorders>
          </w:tcPr>
          <w:p w:rsidR="00BC01B1" w:rsidRPr="00D2430C" w:rsidRDefault="00BC01B1" w:rsidP="00BC01B1">
            <w:pPr>
              <w:spacing w:before="120" w:after="120"/>
              <w:jc w:val="left"/>
              <w:rPr>
                <w:rFonts w:cs="Times New Roman"/>
              </w:rPr>
            </w:pPr>
            <w:r>
              <w:rPr>
                <w:rFonts w:cs="Times New Roman"/>
              </w:rPr>
              <w:t>Log Orders Group 1</w:t>
            </w:r>
          </w:p>
        </w:tc>
        <w:tc>
          <w:tcPr>
            <w:tcW w:w="1728" w:type="dxa"/>
            <w:tcBorders>
              <w:top w:val="nil"/>
              <w:bottom w:val="nil"/>
            </w:tcBorders>
          </w:tcPr>
          <w:p w:rsidR="00BC01B1" w:rsidRDefault="00BC01B1" w:rsidP="00BC01B1">
            <w:pPr>
              <w:spacing w:before="120" w:after="120"/>
              <w:rPr>
                <w:rFonts w:cs="Times New Roman"/>
              </w:rPr>
            </w:pPr>
          </w:p>
        </w:tc>
        <w:tc>
          <w:tcPr>
            <w:tcW w:w="1728" w:type="dxa"/>
            <w:tcBorders>
              <w:top w:val="nil"/>
              <w:bottom w:val="nil"/>
            </w:tcBorders>
          </w:tcPr>
          <w:p w:rsidR="00BC01B1" w:rsidRDefault="00BC01B1" w:rsidP="00BC01B1">
            <w:pPr>
              <w:spacing w:before="120" w:after="120"/>
              <w:rPr>
                <w:rFonts w:cs="Times New Roman"/>
              </w:rPr>
            </w:pPr>
            <w:r>
              <w:rPr>
                <w:rFonts w:cs="Times New Roman"/>
              </w:rPr>
              <w:t>&lt;0.001</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&lt;0.001, 0.002</w:t>
            </w:r>
            <w:r w:rsidRPr="00D2430C">
              <w:rPr>
                <w:rFonts w:cs="Times New Roman"/>
              </w:rPr>
              <w:t>)</w:t>
            </w:r>
          </w:p>
        </w:tc>
        <w:tc>
          <w:tcPr>
            <w:tcW w:w="1728" w:type="dxa"/>
            <w:tcBorders>
              <w:top w:val="nil"/>
              <w:bottom w:val="nil"/>
            </w:tcBorders>
          </w:tcPr>
          <w:p w:rsidR="00BC01B1" w:rsidRDefault="00BC01B1" w:rsidP="00BC01B1">
            <w:pPr>
              <w:spacing w:before="120" w:after="120"/>
              <w:rPr>
                <w:rFonts w:cs="Times New Roman"/>
              </w:rPr>
            </w:pPr>
          </w:p>
        </w:tc>
      </w:tr>
      <w:tr w:rsidR="00BC01B1" w:rsidRPr="00D2430C" w:rsidTr="00794AF2">
        <w:trPr>
          <w:jc w:val="center"/>
        </w:trPr>
        <w:tc>
          <w:tcPr>
            <w:tcW w:w="2592" w:type="dxa"/>
            <w:tcBorders>
              <w:top w:val="nil"/>
              <w:bottom w:val="nil"/>
            </w:tcBorders>
          </w:tcPr>
          <w:p w:rsidR="00BC01B1" w:rsidRPr="00D2430C" w:rsidRDefault="00BC01B1" w:rsidP="00BC01B1">
            <w:pPr>
              <w:spacing w:before="120" w:after="120"/>
              <w:jc w:val="left"/>
              <w:rPr>
                <w:rFonts w:cs="Times New Roman"/>
              </w:rPr>
            </w:pPr>
            <w:r>
              <w:rPr>
                <w:rFonts w:cs="Times New Roman"/>
              </w:rPr>
              <w:t>Log Orders Group 2</w:t>
            </w:r>
          </w:p>
        </w:tc>
        <w:tc>
          <w:tcPr>
            <w:tcW w:w="1728" w:type="dxa"/>
            <w:tcBorders>
              <w:top w:val="nil"/>
              <w:bottom w:val="nil"/>
            </w:tcBorders>
          </w:tcPr>
          <w:p w:rsidR="00BC01B1" w:rsidRDefault="00BC01B1" w:rsidP="00BC01B1">
            <w:pPr>
              <w:spacing w:before="120" w:after="120"/>
              <w:rPr>
                <w:rFonts w:cs="Times New Roman"/>
              </w:rPr>
            </w:pPr>
          </w:p>
        </w:tc>
        <w:tc>
          <w:tcPr>
            <w:tcW w:w="1728" w:type="dxa"/>
            <w:tcBorders>
              <w:top w:val="nil"/>
              <w:bottom w:val="nil"/>
            </w:tcBorders>
          </w:tcPr>
          <w:p w:rsidR="00BC01B1" w:rsidRDefault="00BC01B1" w:rsidP="00BC01B1">
            <w:pPr>
              <w:spacing w:before="120" w:after="120"/>
              <w:rPr>
                <w:rFonts w:cs="Times New Roman"/>
              </w:rPr>
            </w:pPr>
            <w:r>
              <w:rPr>
                <w:rFonts w:cs="Times New Roman"/>
              </w:rPr>
              <w:t>0.752</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0.086, 6.592</w:t>
            </w:r>
            <w:r w:rsidRPr="00D2430C">
              <w:rPr>
                <w:rFonts w:cs="Times New Roman"/>
              </w:rPr>
              <w:t>)</w:t>
            </w:r>
          </w:p>
        </w:tc>
        <w:tc>
          <w:tcPr>
            <w:tcW w:w="1728" w:type="dxa"/>
            <w:tcBorders>
              <w:top w:val="nil"/>
              <w:bottom w:val="nil"/>
            </w:tcBorders>
          </w:tcPr>
          <w:p w:rsidR="00BC01B1" w:rsidRDefault="00BC01B1" w:rsidP="00BC01B1">
            <w:pPr>
              <w:spacing w:before="120" w:after="120"/>
              <w:rPr>
                <w:rFonts w:cs="Times New Roman"/>
              </w:rPr>
            </w:pPr>
          </w:p>
        </w:tc>
      </w:tr>
      <w:tr w:rsidR="00BC01B1" w:rsidRPr="00D2430C" w:rsidTr="00794AF2">
        <w:trPr>
          <w:jc w:val="center"/>
        </w:trPr>
        <w:tc>
          <w:tcPr>
            <w:tcW w:w="2592" w:type="dxa"/>
            <w:tcBorders>
              <w:top w:val="nil"/>
              <w:bottom w:val="nil"/>
            </w:tcBorders>
          </w:tcPr>
          <w:p w:rsidR="00BC01B1" w:rsidRDefault="00BC01B1" w:rsidP="00BC01B1">
            <w:pPr>
              <w:spacing w:before="120" w:after="120"/>
              <w:jc w:val="left"/>
              <w:rPr>
                <w:rFonts w:cs="Times New Roman"/>
              </w:rPr>
            </w:pPr>
            <w:r>
              <w:rPr>
                <w:rFonts w:cs="Times New Roman"/>
              </w:rPr>
              <w:t>Log Orders Group 3</w:t>
            </w:r>
          </w:p>
        </w:tc>
        <w:tc>
          <w:tcPr>
            <w:tcW w:w="1728" w:type="dxa"/>
            <w:tcBorders>
              <w:top w:val="nil"/>
              <w:bottom w:val="nil"/>
            </w:tcBorders>
          </w:tcPr>
          <w:p w:rsidR="00BC01B1" w:rsidRDefault="00BC01B1" w:rsidP="00BC01B1">
            <w:pPr>
              <w:spacing w:before="120" w:after="120"/>
              <w:rPr>
                <w:rFonts w:cs="Times New Roman"/>
              </w:rPr>
            </w:pPr>
          </w:p>
        </w:tc>
        <w:tc>
          <w:tcPr>
            <w:tcW w:w="1728" w:type="dxa"/>
            <w:tcBorders>
              <w:top w:val="nil"/>
              <w:bottom w:val="nil"/>
            </w:tcBorders>
          </w:tcPr>
          <w:p w:rsidR="00BC01B1" w:rsidRDefault="00BC01B1" w:rsidP="00BC01B1">
            <w:pPr>
              <w:spacing w:before="120" w:after="120"/>
              <w:rPr>
                <w:rFonts w:cs="Times New Roman"/>
              </w:rPr>
            </w:pPr>
            <w:r>
              <w:rPr>
                <w:rFonts w:cs="Times New Roman"/>
              </w:rPr>
              <w:t>5.052</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0.519, 49.183</w:t>
            </w:r>
            <w:r w:rsidRPr="00D2430C">
              <w:rPr>
                <w:rFonts w:cs="Times New Roman"/>
              </w:rPr>
              <w:t>)</w:t>
            </w:r>
          </w:p>
        </w:tc>
        <w:tc>
          <w:tcPr>
            <w:tcW w:w="1728" w:type="dxa"/>
            <w:tcBorders>
              <w:top w:val="nil"/>
              <w:bottom w:val="nil"/>
            </w:tcBorders>
          </w:tcPr>
          <w:p w:rsidR="00BC01B1" w:rsidRDefault="00BC01B1" w:rsidP="00BC01B1">
            <w:pPr>
              <w:spacing w:before="120" w:after="120"/>
              <w:rPr>
                <w:rFonts w:cs="Times New Roman"/>
              </w:rPr>
            </w:pPr>
          </w:p>
        </w:tc>
      </w:tr>
      <w:tr w:rsidR="00BC01B1" w:rsidRPr="00D2430C" w:rsidTr="00794AF2">
        <w:trPr>
          <w:jc w:val="center"/>
        </w:trPr>
        <w:tc>
          <w:tcPr>
            <w:tcW w:w="2592" w:type="dxa"/>
            <w:tcBorders>
              <w:top w:val="nil"/>
              <w:bottom w:val="nil"/>
            </w:tcBorders>
          </w:tcPr>
          <w:p w:rsidR="00BC01B1" w:rsidRDefault="00BC01B1" w:rsidP="00BC01B1">
            <w:pPr>
              <w:spacing w:before="120" w:after="120"/>
              <w:jc w:val="left"/>
              <w:rPr>
                <w:rFonts w:cs="Times New Roman"/>
              </w:rPr>
            </w:pPr>
            <w:r>
              <w:rPr>
                <w:rFonts w:cs="Times New Roman"/>
              </w:rPr>
              <w:t>Log Orders Group 4</w:t>
            </w:r>
          </w:p>
        </w:tc>
        <w:tc>
          <w:tcPr>
            <w:tcW w:w="1728" w:type="dxa"/>
            <w:tcBorders>
              <w:top w:val="nil"/>
              <w:bottom w:val="nil"/>
            </w:tcBorders>
          </w:tcPr>
          <w:p w:rsidR="00BC01B1" w:rsidRPr="00D2430C" w:rsidRDefault="00BC01B1" w:rsidP="00BC01B1">
            <w:pPr>
              <w:tabs>
                <w:tab w:val="decimal" w:pos="599"/>
              </w:tabs>
              <w:spacing w:before="120" w:after="120"/>
              <w:jc w:val="left"/>
              <w:rPr>
                <w:rFonts w:cs="Times New Roman"/>
              </w:rPr>
            </w:pPr>
          </w:p>
        </w:tc>
        <w:tc>
          <w:tcPr>
            <w:tcW w:w="1728" w:type="dxa"/>
            <w:tcBorders>
              <w:top w:val="nil"/>
              <w:bottom w:val="nil"/>
            </w:tcBorders>
          </w:tcPr>
          <w:p w:rsidR="00BC01B1" w:rsidRDefault="00BC01B1" w:rsidP="00BC01B1">
            <w:pPr>
              <w:spacing w:before="120" w:after="120"/>
              <w:rPr>
                <w:rFonts w:cs="Times New Roman"/>
              </w:rPr>
            </w:pPr>
            <w:r>
              <w:rPr>
                <w:rFonts w:cs="Times New Roman"/>
              </w:rPr>
              <w:t xml:space="preserve">828.8                </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133.0, &gt;999.9</w:t>
            </w:r>
            <w:r w:rsidRPr="00D2430C">
              <w:rPr>
                <w:rFonts w:cs="Times New Roman"/>
              </w:rPr>
              <w:t>)</w:t>
            </w:r>
          </w:p>
        </w:tc>
        <w:tc>
          <w:tcPr>
            <w:tcW w:w="1728" w:type="dxa"/>
            <w:tcBorders>
              <w:top w:val="nil"/>
              <w:bottom w:val="nil"/>
            </w:tcBorders>
          </w:tcPr>
          <w:p w:rsidR="00BC01B1" w:rsidRPr="00D2430C" w:rsidRDefault="00BC01B1" w:rsidP="00BC01B1">
            <w:pPr>
              <w:tabs>
                <w:tab w:val="decimal" w:pos="594"/>
              </w:tabs>
              <w:spacing w:before="120" w:after="120"/>
              <w:jc w:val="left"/>
              <w:rPr>
                <w:rFonts w:cs="Times New Roman"/>
              </w:rPr>
            </w:pPr>
          </w:p>
        </w:tc>
      </w:tr>
      <w:tr w:rsidR="00BC01B1" w:rsidRPr="00D2430C" w:rsidTr="00794AF2">
        <w:trPr>
          <w:jc w:val="center"/>
        </w:trPr>
        <w:tc>
          <w:tcPr>
            <w:tcW w:w="2592" w:type="dxa"/>
            <w:tcBorders>
              <w:top w:val="nil"/>
              <w:bottom w:val="nil"/>
            </w:tcBorders>
          </w:tcPr>
          <w:p w:rsidR="00BC01B1" w:rsidRPr="00D2430C" w:rsidRDefault="00BC01B1" w:rsidP="00BC01B1">
            <w:pPr>
              <w:spacing w:before="120" w:after="120"/>
              <w:jc w:val="left"/>
              <w:rPr>
                <w:rFonts w:cs="Times New Roman"/>
              </w:rPr>
            </w:pPr>
            <w:r w:rsidRPr="00D2430C">
              <w:rPr>
                <w:rFonts w:cs="Times New Roman"/>
              </w:rPr>
              <w:t>% Group 2</w:t>
            </w:r>
          </w:p>
        </w:tc>
        <w:tc>
          <w:tcPr>
            <w:tcW w:w="1728" w:type="dxa"/>
            <w:tcBorders>
              <w:top w:val="nil"/>
              <w:bottom w:val="nil"/>
            </w:tcBorders>
          </w:tcPr>
          <w:p w:rsidR="00BC01B1" w:rsidRPr="00D2430C" w:rsidRDefault="00BC01B1" w:rsidP="00BC01B1">
            <w:pPr>
              <w:tabs>
                <w:tab w:val="decimal" w:pos="599"/>
              </w:tabs>
              <w:spacing w:before="120" w:after="120"/>
              <w:jc w:val="left"/>
              <w:rPr>
                <w:rFonts w:cs="Times New Roman"/>
              </w:rPr>
            </w:pPr>
          </w:p>
        </w:tc>
        <w:tc>
          <w:tcPr>
            <w:tcW w:w="1728" w:type="dxa"/>
            <w:tcBorders>
              <w:top w:val="nil"/>
              <w:bottom w:val="nil"/>
            </w:tcBorders>
          </w:tcPr>
          <w:p w:rsidR="00BC01B1" w:rsidRPr="00D2430C" w:rsidRDefault="00BC01B1" w:rsidP="00BC01B1">
            <w:pPr>
              <w:tabs>
                <w:tab w:val="decimal" w:pos="599"/>
              </w:tabs>
              <w:spacing w:before="120" w:after="120"/>
              <w:jc w:val="left"/>
              <w:rPr>
                <w:rFonts w:cs="Times New Roman"/>
              </w:rPr>
            </w:pPr>
          </w:p>
        </w:tc>
        <w:tc>
          <w:tcPr>
            <w:tcW w:w="1728" w:type="dxa"/>
            <w:tcBorders>
              <w:top w:val="nil"/>
              <w:bottom w:val="nil"/>
            </w:tcBorders>
          </w:tcPr>
          <w:p w:rsidR="00BC01B1" w:rsidRDefault="00BC01B1" w:rsidP="00BC01B1">
            <w:pPr>
              <w:spacing w:before="120" w:after="120"/>
              <w:rPr>
                <w:rFonts w:cs="Times New Roman"/>
              </w:rPr>
            </w:pPr>
            <w:r>
              <w:rPr>
                <w:rFonts w:cs="Times New Roman"/>
              </w:rPr>
              <w:t>&gt;999.9</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284.1, &gt;999.9</w:t>
            </w:r>
            <w:r w:rsidRPr="00D2430C">
              <w:rPr>
                <w:rFonts w:cs="Times New Roman"/>
              </w:rPr>
              <w:t>)</w:t>
            </w:r>
          </w:p>
        </w:tc>
      </w:tr>
      <w:tr w:rsidR="00BC01B1" w:rsidRPr="00D2430C" w:rsidTr="00794AF2">
        <w:trPr>
          <w:jc w:val="center"/>
        </w:trPr>
        <w:tc>
          <w:tcPr>
            <w:tcW w:w="2592" w:type="dxa"/>
            <w:tcBorders>
              <w:top w:val="nil"/>
              <w:bottom w:val="nil"/>
            </w:tcBorders>
          </w:tcPr>
          <w:p w:rsidR="00BC01B1" w:rsidRPr="00D2430C" w:rsidRDefault="00BC01B1" w:rsidP="00BC01B1">
            <w:pPr>
              <w:spacing w:before="120" w:after="120"/>
              <w:jc w:val="left"/>
              <w:rPr>
                <w:rFonts w:cs="Times New Roman"/>
              </w:rPr>
            </w:pPr>
            <w:r w:rsidRPr="00D2430C">
              <w:rPr>
                <w:rFonts w:cs="Times New Roman"/>
              </w:rPr>
              <w:t>% Group 3</w:t>
            </w:r>
          </w:p>
        </w:tc>
        <w:tc>
          <w:tcPr>
            <w:tcW w:w="1728" w:type="dxa"/>
            <w:tcBorders>
              <w:top w:val="nil"/>
              <w:bottom w:val="nil"/>
            </w:tcBorders>
          </w:tcPr>
          <w:p w:rsidR="00BC01B1" w:rsidRPr="00D2430C" w:rsidRDefault="00BC01B1" w:rsidP="00BC01B1">
            <w:pPr>
              <w:tabs>
                <w:tab w:val="decimal" w:pos="599"/>
              </w:tabs>
              <w:spacing w:before="120" w:after="120"/>
              <w:jc w:val="left"/>
              <w:rPr>
                <w:rFonts w:cs="Times New Roman"/>
              </w:rPr>
            </w:pPr>
          </w:p>
        </w:tc>
        <w:tc>
          <w:tcPr>
            <w:tcW w:w="1728" w:type="dxa"/>
            <w:tcBorders>
              <w:top w:val="nil"/>
              <w:bottom w:val="nil"/>
            </w:tcBorders>
          </w:tcPr>
          <w:p w:rsidR="00BC01B1" w:rsidRPr="00D2430C" w:rsidRDefault="00BC01B1" w:rsidP="00BC01B1">
            <w:pPr>
              <w:tabs>
                <w:tab w:val="decimal" w:pos="599"/>
              </w:tabs>
              <w:spacing w:before="120" w:after="120"/>
              <w:jc w:val="left"/>
              <w:rPr>
                <w:rFonts w:cs="Times New Roman"/>
              </w:rPr>
            </w:pPr>
          </w:p>
        </w:tc>
        <w:tc>
          <w:tcPr>
            <w:tcW w:w="1728" w:type="dxa"/>
            <w:tcBorders>
              <w:top w:val="nil"/>
              <w:bottom w:val="nil"/>
            </w:tcBorders>
          </w:tcPr>
          <w:p w:rsidR="00BC01B1" w:rsidRDefault="00BC01B1" w:rsidP="00BC01B1">
            <w:pPr>
              <w:spacing w:before="120" w:after="120"/>
              <w:rPr>
                <w:rFonts w:cs="Times New Roman"/>
              </w:rPr>
            </w:pPr>
            <w:r>
              <w:rPr>
                <w:rFonts w:cs="Times New Roman"/>
              </w:rPr>
              <w:t>&gt;999.9</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&gt;999.9, &gt;999.9</w:t>
            </w:r>
            <w:r w:rsidRPr="00D2430C">
              <w:rPr>
                <w:rFonts w:cs="Times New Roman"/>
              </w:rPr>
              <w:t>)</w:t>
            </w:r>
          </w:p>
        </w:tc>
      </w:tr>
      <w:tr w:rsidR="00B166B5" w:rsidRPr="00D2430C" w:rsidTr="00794AF2">
        <w:trPr>
          <w:jc w:val="center"/>
        </w:trPr>
        <w:tc>
          <w:tcPr>
            <w:tcW w:w="2592" w:type="dxa"/>
            <w:tcBorders>
              <w:top w:val="nil"/>
            </w:tcBorders>
          </w:tcPr>
          <w:p w:rsidR="00B166B5" w:rsidRPr="00D2430C" w:rsidRDefault="00B166B5" w:rsidP="00B166B5">
            <w:pPr>
              <w:spacing w:before="120" w:after="120"/>
              <w:jc w:val="left"/>
              <w:rPr>
                <w:rFonts w:cs="Times New Roman"/>
              </w:rPr>
            </w:pPr>
            <w:r w:rsidRPr="00D2430C">
              <w:rPr>
                <w:rFonts w:cs="Times New Roman"/>
              </w:rPr>
              <w:t xml:space="preserve">% Group 4 </w:t>
            </w:r>
          </w:p>
        </w:tc>
        <w:tc>
          <w:tcPr>
            <w:tcW w:w="1728" w:type="dxa"/>
            <w:tcBorders>
              <w:top w:val="nil"/>
            </w:tcBorders>
          </w:tcPr>
          <w:p w:rsidR="00B166B5" w:rsidRPr="00D2430C" w:rsidRDefault="00B166B5" w:rsidP="00B166B5">
            <w:pPr>
              <w:tabs>
                <w:tab w:val="decimal" w:pos="599"/>
              </w:tabs>
              <w:spacing w:before="120" w:after="120"/>
              <w:jc w:val="left"/>
              <w:rPr>
                <w:rFonts w:cs="Times New Roman"/>
              </w:rPr>
            </w:pPr>
          </w:p>
        </w:tc>
        <w:tc>
          <w:tcPr>
            <w:tcW w:w="1728" w:type="dxa"/>
            <w:tcBorders>
              <w:top w:val="nil"/>
            </w:tcBorders>
          </w:tcPr>
          <w:p w:rsidR="00B166B5" w:rsidRPr="00D2430C" w:rsidRDefault="00B166B5" w:rsidP="00B166B5">
            <w:pPr>
              <w:tabs>
                <w:tab w:val="decimal" w:pos="599"/>
              </w:tabs>
              <w:spacing w:before="120" w:after="120"/>
              <w:jc w:val="left"/>
              <w:rPr>
                <w:rFonts w:cs="Times New Roman"/>
              </w:rPr>
            </w:pPr>
          </w:p>
        </w:tc>
        <w:tc>
          <w:tcPr>
            <w:tcW w:w="1728" w:type="dxa"/>
            <w:tcBorders>
              <w:top w:val="nil"/>
            </w:tcBorders>
          </w:tcPr>
          <w:p w:rsidR="00B166B5" w:rsidRDefault="00B166B5" w:rsidP="00B166B5">
            <w:pPr>
              <w:spacing w:before="120" w:after="120"/>
              <w:rPr>
                <w:rFonts w:cs="Times New Roman"/>
              </w:rPr>
            </w:pPr>
            <w:r>
              <w:rPr>
                <w:rFonts w:cs="Times New Roman"/>
              </w:rPr>
              <w:t>&gt;999.9</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&gt;999.9, &gt;999.9</w:t>
            </w:r>
            <w:r w:rsidRPr="00D2430C">
              <w:rPr>
                <w:rFonts w:cs="Times New Roman"/>
              </w:rPr>
              <w:t>)</w:t>
            </w:r>
          </w:p>
        </w:tc>
      </w:tr>
    </w:tbl>
    <w:p w:rsidR="00130E33" w:rsidRPr="00924C2F" w:rsidRDefault="00130E33" w:rsidP="00130E33">
      <w:pPr>
        <w:spacing w:before="60" w:line="240" w:lineRule="auto"/>
        <w:rPr>
          <w:sz w:val="20"/>
          <w:szCs w:val="20"/>
        </w:rPr>
      </w:pPr>
      <w:r w:rsidRPr="00924C2F">
        <w:rPr>
          <w:sz w:val="20"/>
          <w:szCs w:val="20"/>
        </w:rPr>
        <w:t xml:space="preserve">The table reports </w:t>
      </w:r>
      <w:r>
        <w:rPr>
          <w:sz w:val="20"/>
          <w:szCs w:val="20"/>
        </w:rPr>
        <w:t>log odds ratios from logistic model estimates of Equations 1</w:t>
      </w:r>
      <w:r w:rsidR="00213747">
        <w:rPr>
          <w:sz w:val="20"/>
          <w:szCs w:val="20"/>
        </w:rPr>
        <w:t>,</w:t>
      </w:r>
      <w:r>
        <w:rPr>
          <w:sz w:val="20"/>
          <w:szCs w:val="20"/>
        </w:rPr>
        <w:t xml:space="preserve"> 2 and 3, w</w:t>
      </w:r>
      <w:r w:rsidRPr="00924C2F">
        <w:rPr>
          <w:sz w:val="20"/>
          <w:szCs w:val="20"/>
        </w:rPr>
        <w:t xml:space="preserve">here the dependent variable is a binary variable indicating whether the new </w:t>
      </w:r>
      <w:r w:rsidR="00BC01B1">
        <w:rPr>
          <w:sz w:val="20"/>
          <w:szCs w:val="20"/>
        </w:rPr>
        <w:t xml:space="preserve">product survived. </w:t>
      </w:r>
      <w:r>
        <w:rPr>
          <w:sz w:val="20"/>
          <w:szCs w:val="20"/>
        </w:rPr>
        <w:t>95% confidence intervals</w:t>
      </w:r>
      <w:r w:rsidRPr="00924C2F">
        <w:rPr>
          <w:sz w:val="20"/>
          <w:szCs w:val="20"/>
        </w:rPr>
        <w:t xml:space="preserve"> are reported in parentheses. </w:t>
      </w:r>
      <w:r w:rsidR="00BC01B1">
        <w:rPr>
          <w:rFonts w:cs="Times New Roman"/>
          <w:sz w:val="20"/>
          <w:szCs w:val="20"/>
        </w:rPr>
        <w:t>T</w:t>
      </w:r>
      <w:r w:rsidR="00BC01B1" w:rsidRPr="00B966DB">
        <w:rPr>
          <w:rFonts w:cs="Times New Roman"/>
          <w:sz w:val="20"/>
          <w:szCs w:val="20"/>
        </w:rPr>
        <w:t>he unit of analysis</w:t>
      </w:r>
      <w:r w:rsidR="00BC01B1">
        <w:rPr>
          <w:rFonts w:cs="Times New Roman"/>
          <w:sz w:val="20"/>
          <w:szCs w:val="20"/>
        </w:rPr>
        <w:t xml:space="preserve"> is</w:t>
      </w:r>
      <w:r w:rsidR="00BC01B1" w:rsidRPr="00B966DB">
        <w:rPr>
          <w:rFonts w:cs="Times New Roman"/>
          <w:sz w:val="20"/>
          <w:szCs w:val="20"/>
        </w:rPr>
        <w:t xml:space="preserve"> a new item and the sample size in all models is 2,388. </w:t>
      </w:r>
      <w:r w:rsidRPr="00924C2F">
        <w:rPr>
          <w:sz w:val="20"/>
          <w:szCs w:val="20"/>
        </w:rPr>
        <w:t xml:space="preserve">  </w:t>
      </w:r>
    </w:p>
    <w:p w:rsidR="00130E33" w:rsidRDefault="00130E33" w:rsidP="00130E33"/>
    <w:p w:rsidR="00213747" w:rsidRDefault="002A3C98" w:rsidP="00130E33">
      <w:r>
        <w:t>T</w:t>
      </w:r>
      <w:r w:rsidR="00130E33" w:rsidRPr="00130E33">
        <w:t xml:space="preserve">he odds ratio </w:t>
      </w:r>
      <w:r>
        <w:t>provides</w:t>
      </w:r>
      <w:r w:rsidR="00130E33" w:rsidRPr="00130E33">
        <w:t xml:space="preserve"> a measure of the change in the probability </w:t>
      </w:r>
      <w:r>
        <w:t xml:space="preserve">that </w:t>
      </w:r>
      <w:r w:rsidR="00130E33" w:rsidRPr="00130E33">
        <w:t xml:space="preserve">a </w:t>
      </w:r>
      <w:r w:rsidR="00130E33">
        <w:t>new product</w:t>
      </w:r>
      <w:r w:rsidR="00130E33" w:rsidRPr="00130E33">
        <w:t xml:space="preserve"> survived when there is a unit increase in the value of the coefficient.  For example, in </w:t>
      </w:r>
      <w:r>
        <w:t>Equation</w:t>
      </w:r>
      <w:r w:rsidR="00130E33" w:rsidRPr="00130E33">
        <w:t xml:space="preserve"> 1 if</w:t>
      </w:r>
      <w:r w:rsidR="00BC01B1">
        <w:t xml:space="preserve"> </w:t>
      </w:r>
      <w:r w:rsidR="00B166B5" w:rsidRPr="00B166B5">
        <w:rPr>
          <w:rFonts w:cs="Times New Roman"/>
          <w:i/>
        </w:rPr>
        <w:t>Log Total Orders</w:t>
      </w:r>
      <w:r w:rsidR="00BC01B1">
        <w:t xml:space="preserve"> increases by 1</w:t>
      </w:r>
      <w:r w:rsidR="00130E33" w:rsidRPr="00130E33">
        <w:t xml:space="preserve"> (</w:t>
      </w:r>
      <w:r w:rsidR="00BC01B1">
        <w:t>an order of magnitude increase in</w:t>
      </w:r>
      <w:r w:rsidR="00B166B5">
        <w:t xml:space="preserve"> total</w:t>
      </w:r>
      <w:r w:rsidR="00BC01B1">
        <w:t xml:space="preserve"> orders</w:t>
      </w:r>
      <w:r w:rsidR="00130E33" w:rsidRPr="00130E33">
        <w:t xml:space="preserve">) then the odds that the </w:t>
      </w:r>
      <w:r w:rsidR="00BC01B1">
        <w:t>new product</w:t>
      </w:r>
      <w:r w:rsidR="00130E33" w:rsidRPr="00130E33">
        <w:t xml:space="preserve"> survived is </w:t>
      </w:r>
      <w:r w:rsidR="00BC01B1">
        <w:t xml:space="preserve">0.515 larger than if </w:t>
      </w:r>
      <w:r w:rsidR="00B166B5" w:rsidRPr="00B166B5">
        <w:rPr>
          <w:rFonts w:cs="Times New Roman"/>
          <w:i/>
        </w:rPr>
        <w:t>Log Total Orders</w:t>
      </w:r>
      <w:r w:rsidR="00BC01B1">
        <w:t xml:space="preserve"> did not </w:t>
      </w:r>
      <w:r w:rsidR="00B166B5">
        <w:t>change</w:t>
      </w:r>
      <w:r w:rsidR="00BC01B1">
        <w:t xml:space="preserve">.  </w:t>
      </w:r>
    </w:p>
    <w:p w:rsidR="003947F3" w:rsidRDefault="003947F3" w:rsidP="003947F3">
      <w:r w:rsidRPr="003947F3">
        <w:t>The findings reveal the same pattern of findings as the linear probability models. In Models 2 and 3 we see that the change in the odds of survival depend upon which customers purchased the new product. If the product was purchased by a higher proportion of harbingers, then the product was less likely to survive.</w:t>
      </w:r>
    </w:p>
    <w:p w:rsidR="003947F3" w:rsidRDefault="003947F3" w:rsidP="003947F3"/>
    <w:p w:rsidR="00213747" w:rsidRDefault="00213747">
      <w:r>
        <w:br w:type="page"/>
      </w:r>
    </w:p>
    <w:p w:rsidR="00213747" w:rsidRDefault="00213747" w:rsidP="00213747">
      <w:pPr>
        <w:keepNext/>
        <w:spacing w:after="120"/>
        <w:jc w:val="center"/>
        <w:rPr>
          <w:b/>
        </w:rPr>
      </w:pPr>
      <w:r>
        <w:rPr>
          <w:b/>
        </w:rPr>
        <w:lastRenderedPageBreak/>
        <w:t xml:space="preserve">Calculating the </w:t>
      </w:r>
      <w:r w:rsidRPr="004B3273">
        <w:rPr>
          <w:b/>
          <w:i/>
        </w:rPr>
        <w:t xml:space="preserve">Average Success Rate                                                                                                                             </w:t>
      </w:r>
      <w:r>
        <w:rPr>
          <w:b/>
        </w:rPr>
        <w:t xml:space="preserve">by Weighting Using the Number of Households that Purchased </w:t>
      </w:r>
    </w:p>
    <w:p w:rsidR="003947F3" w:rsidRDefault="003947F3" w:rsidP="003947F3">
      <w:r w:rsidRPr="003947F3">
        <w:t xml:space="preserve">A key feature of the analysis is the grouping of zip codes using the </w:t>
      </w:r>
      <w:r w:rsidRPr="003947F3">
        <w:rPr>
          <w:i/>
        </w:rPr>
        <w:t xml:space="preserve">Average Success Rate </w:t>
      </w:r>
      <w:r w:rsidRPr="003947F3">
        <w:t xml:space="preserve">of new product purchases. Recall that we calculate the </w:t>
      </w:r>
      <w:r w:rsidRPr="003947F3">
        <w:rPr>
          <w:i/>
        </w:rPr>
        <w:t>Average Success Rate</w:t>
      </w:r>
      <w:r w:rsidRPr="003947F3">
        <w:t xml:space="preserve"> for each zip code by observing orders for new products in the classification set and calculating a weighted average of whether the products were successful. We weighted by the number of orders for each new item. This is a natural basis for weighting as it discriminates between zip codes that placed few orders for a new item and zip codes that placed many orders. As an alternative, we investigated constructing the </w:t>
      </w:r>
      <w:r w:rsidRPr="003947F3">
        <w:rPr>
          <w:i/>
        </w:rPr>
        <w:t>Average Success Rate</w:t>
      </w:r>
      <w:r w:rsidRPr="003947F3">
        <w:t xml:space="preserve"> by weighting the new item purchases using the number of households that purchased each item (instead of the number of orders).  This means, for example, that zip codes in which 10 households placed a total of 30 orders for a new item are treated the same as zip codes in which 10 households placed a total of 10 orders for the item. Intuitively, it measures how many customers had demand for the new item, rather than measuring total demand for the new item (in each zip code). The findings are reported </w:t>
      </w:r>
      <w:r>
        <w:t>below</w:t>
      </w:r>
      <w:r w:rsidRPr="003947F3">
        <w:t>. Reassuringly, the coefficients of interest are essentially unchanged.</w:t>
      </w:r>
    </w:p>
    <w:p w:rsidR="003947F3" w:rsidRDefault="003947F3" w:rsidP="003947F3"/>
    <w:tbl>
      <w:tblPr>
        <w:tblStyle w:val="TableGrid"/>
        <w:tblW w:w="6048"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728"/>
        <w:gridCol w:w="1728"/>
      </w:tblGrid>
      <w:tr w:rsidR="00213747" w:rsidRPr="00B966DB" w:rsidTr="00FA3C3C">
        <w:trPr>
          <w:jc w:val="center"/>
        </w:trPr>
        <w:tc>
          <w:tcPr>
            <w:tcW w:w="2592" w:type="dxa"/>
            <w:tcBorders>
              <w:top w:val="double" w:sz="4" w:space="0" w:color="auto"/>
              <w:bottom w:val="single" w:sz="8" w:space="0" w:color="auto"/>
            </w:tcBorders>
            <w:vAlign w:val="center"/>
          </w:tcPr>
          <w:p w:rsidR="00213747" w:rsidRPr="00D2430C" w:rsidRDefault="00213747" w:rsidP="003947F3">
            <w:pPr>
              <w:keepNext/>
              <w:spacing w:before="80" w:after="80"/>
              <w:rPr>
                <w:rFonts w:cs="Times New Roman"/>
                <w:b/>
              </w:rPr>
            </w:pPr>
          </w:p>
        </w:tc>
        <w:tc>
          <w:tcPr>
            <w:tcW w:w="1728" w:type="dxa"/>
            <w:tcBorders>
              <w:top w:val="double" w:sz="4" w:space="0" w:color="auto"/>
              <w:bottom w:val="single" w:sz="8" w:space="0" w:color="auto"/>
            </w:tcBorders>
            <w:vAlign w:val="center"/>
          </w:tcPr>
          <w:p w:rsidR="00213747" w:rsidRPr="00D2430C" w:rsidRDefault="00213747" w:rsidP="003947F3">
            <w:pPr>
              <w:keepNext/>
              <w:spacing w:before="80" w:after="80"/>
              <w:rPr>
                <w:rFonts w:cs="Times New Roman"/>
                <w:b/>
                <w:vertAlign w:val="superscript"/>
              </w:rPr>
            </w:pPr>
            <w:r>
              <w:rPr>
                <w:rFonts w:cs="Times New Roman"/>
                <w:b/>
              </w:rPr>
              <w:t>Equation</w:t>
            </w:r>
            <w:r w:rsidRPr="00D2430C">
              <w:rPr>
                <w:rFonts w:cs="Times New Roman"/>
                <w:b/>
              </w:rPr>
              <w:t xml:space="preserve"> </w:t>
            </w:r>
            <w:r>
              <w:rPr>
                <w:rFonts w:cs="Times New Roman"/>
                <w:b/>
              </w:rPr>
              <w:t>2</w:t>
            </w:r>
          </w:p>
        </w:tc>
        <w:tc>
          <w:tcPr>
            <w:tcW w:w="1728" w:type="dxa"/>
            <w:tcBorders>
              <w:top w:val="double" w:sz="4" w:space="0" w:color="auto"/>
              <w:bottom w:val="single" w:sz="8" w:space="0" w:color="auto"/>
            </w:tcBorders>
            <w:vAlign w:val="center"/>
          </w:tcPr>
          <w:p w:rsidR="00213747" w:rsidRPr="00D2430C" w:rsidRDefault="00213747" w:rsidP="003947F3">
            <w:pPr>
              <w:keepNext/>
              <w:spacing w:before="80" w:after="80"/>
              <w:rPr>
                <w:rFonts w:cs="Times New Roman"/>
                <w:b/>
              </w:rPr>
            </w:pPr>
            <w:r>
              <w:rPr>
                <w:rFonts w:cs="Times New Roman"/>
                <w:b/>
              </w:rPr>
              <w:t>Equation 3</w:t>
            </w:r>
          </w:p>
        </w:tc>
      </w:tr>
      <w:tr w:rsidR="00213747" w:rsidRPr="00B966DB" w:rsidTr="00FA3C3C">
        <w:trPr>
          <w:jc w:val="center"/>
        </w:trPr>
        <w:tc>
          <w:tcPr>
            <w:tcW w:w="2592" w:type="dxa"/>
            <w:tcBorders>
              <w:top w:val="nil"/>
              <w:bottom w:val="nil"/>
            </w:tcBorders>
          </w:tcPr>
          <w:p w:rsidR="00213747" w:rsidRPr="00D2430C" w:rsidRDefault="00213747" w:rsidP="003947F3">
            <w:pPr>
              <w:spacing w:before="80" w:after="80"/>
              <w:jc w:val="left"/>
              <w:rPr>
                <w:rFonts w:cs="Times New Roman"/>
              </w:rPr>
            </w:pPr>
            <w:r>
              <w:rPr>
                <w:rFonts w:cs="Times New Roman"/>
              </w:rPr>
              <w:t>Log Total Orders</w:t>
            </w:r>
          </w:p>
        </w:tc>
        <w:tc>
          <w:tcPr>
            <w:tcW w:w="1728" w:type="dxa"/>
            <w:tcBorders>
              <w:top w:val="nil"/>
              <w:bottom w:val="nil"/>
            </w:tcBorders>
          </w:tcPr>
          <w:p w:rsidR="00213747" w:rsidRPr="00D2430C" w:rsidRDefault="00213747" w:rsidP="003947F3">
            <w:pPr>
              <w:tabs>
                <w:tab w:val="decimal" w:pos="599"/>
              </w:tabs>
              <w:spacing w:before="80" w:after="80"/>
              <w:jc w:val="left"/>
              <w:rPr>
                <w:rFonts w:cs="Times New Roman"/>
              </w:rPr>
            </w:pPr>
          </w:p>
        </w:tc>
        <w:tc>
          <w:tcPr>
            <w:tcW w:w="1728" w:type="dxa"/>
            <w:tcBorders>
              <w:top w:val="nil"/>
              <w:bottom w:val="nil"/>
            </w:tcBorders>
          </w:tcPr>
          <w:p w:rsidR="00213747" w:rsidRPr="00D2430C" w:rsidRDefault="00213747" w:rsidP="003947F3">
            <w:pPr>
              <w:tabs>
                <w:tab w:val="decimal" w:pos="653"/>
              </w:tabs>
              <w:spacing w:before="80" w:after="80"/>
              <w:jc w:val="left"/>
              <w:rPr>
                <w:rFonts w:cs="Times New Roman"/>
              </w:rPr>
            </w:pPr>
            <w:r>
              <w:rPr>
                <w:rFonts w:cs="Times New Roman"/>
              </w:rPr>
              <w:t>4.45</w:t>
            </w:r>
            <w:r w:rsidRPr="00D2430C">
              <w:rPr>
                <w:rFonts w:cs="Times New Roman"/>
              </w:rPr>
              <w:t>%</w:t>
            </w:r>
            <w:r w:rsidRPr="00D2430C">
              <w:rPr>
                <w:rFonts w:cs="Times New Roman"/>
                <w:vertAlign w:val="superscript"/>
              </w:rPr>
              <w:t>**</w:t>
            </w:r>
            <w:r w:rsidRPr="00D2430C">
              <w:rPr>
                <w:rFonts w:cs="Times New Roman"/>
              </w:rPr>
              <w:t xml:space="preserve">     (</w:t>
            </w:r>
            <w:r>
              <w:rPr>
                <w:rFonts w:cs="Times New Roman"/>
              </w:rPr>
              <w:t>1.60</w:t>
            </w:r>
            <w:r w:rsidRPr="00D2430C">
              <w:rPr>
                <w:rFonts w:cs="Times New Roman"/>
              </w:rPr>
              <w:t>%)</w:t>
            </w:r>
          </w:p>
        </w:tc>
      </w:tr>
      <w:tr w:rsidR="00213747" w:rsidRPr="00B966DB" w:rsidTr="00FA3C3C">
        <w:trPr>
          <w:jc w:val="center"/>
        </w:trPr>
        <w:tc>
          <w:tcPr>
            <w:tcW w:w="2592" w:type="dxa"/>
            <w:tcBorders>
              <w:top w:val="nil"/>
              <w:bottom w:val="nil"/>
            </w:tcBorders>
          </w:tcPr>
          <w:p w:rsidR="00213747" w:rsidRPr="00D2430C" w:rsidRDefault="00213747" w:rsidP="003947F3">
            <w:pPr>
              <w:spacing w:before="80" w:after="80"/>
              <w:jc w:val="left"/>
              <w:rPr>
                <w:rFonts w:cs="Times New Roman"/>
              </w:rPr>
            </w:pPr>
            <w:r>
              <w:rPr>
                <w:rFonts w:cs="Times New Roman"/>
              </w:rPr>
              <w:t>Log Orders Group 1</w:t>
            </w:r>
          </w:p>
        </w:tc>
        <w:tc>
          <w:tcPr>
            <w:tcW w:w="1728" w:type="dxa"/>
            <w:tcBorders>
              <w:top w:val="nil"/>
              <w:bottom w:val="nil"/>
            </w:tcBorders>
          </w:tcPr>
          <w:p w:rsidR="00213747" w:rsidRPr="00D2430C" w:rsidRDefault="00213747" w:rsidP="003947F3">
            <w:pPr>
              <w:tabs>
                <w:tab w:val="decimal" w:pos="599"/>
              </w:tabs>
              <w:spacing w:before="80" w:after="80"/>
              <w:jc w:val="left"/>
              <w:rPr>
                <w:rFonts w:cs="Times New Roman"/>
              </w:rPr>
            </w:pPr>
            <w:r>
              <w:rPr>
                <w:rFonts w:cs="Times New Roman"/>
              </w:rPr>
              <w:t>145.19</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14.71</w:t>
            </w:r>
            <w:r w:rsidRPr="00D2430C">
              <w:rPr>
                <w:rFonts w:cs="Times New Roman"/>
              </w:rPr>
              <w:t>%)</w:t>
            </w:r>
          </w:p>
        </w:tc>
        <w:tc>
          <w:tcPr>
            <w:tcW w:w="1728" w:type="dxa"/>
            <w:tcBorders>
              <w:top w:val="nil"/>
              <w:bottom w:val="nil"/>
            </w:tcBorders>
          </w:tcPr>
          <w:p w:rsidR="00213747" w:rsidRPr="00D2430C" w:rsidRDefault="00213747" w:rsidP="003947F3">
            <w:pPr>
              <w:tabs>
                <w:tab w:val="decimal" w:pos="599"/>
              </w:tabs>
              <w:spacing w:before="80" w:after="80"/>
              <w:jc w:val="left"/>
              <w:rPr>
                <w:rFonts w:cs="Times New Roman"/>
              </w:rPr>
            </w:pPr>
          </w:p>
        </w:tc>
      </w:tr>
      <w:tr w:rsidR="00213747" w:rsidRPr="00B966DB" w:rsidTr="00FA3C3C">
        <w:trPr>
          <w:jc w:val="center"/>
        </w:trPr>
        <w:tc>
          <w:tcPr>
            <w:tcW w:w="2592" w:type="dxa"/>
            <w:tcBorders>
              <w:top w:val="nil"/>
              <w:bottom w:val="nil"/>
            </w:tcBorders>
          </w:tcPr>
          <w:p w:rsidR="00213747" w:rsidRPr="00D2430C" w:rsidRDefault="00213747" w:rsidP="003947F3">
            <w:pPr>
              <w:spacing w:before="80" w:after="80"/>
              <w:jc w:val="left"/>
              <w:rPr>
                <w:rFonts w:cs="Times New Roman"/>
              </w:rPr>
            </w:pPr>
            <w:r>
              <w:rPr>
                <w:rFonts w:cs="Times New Roman"/>
              </w:rPr>
              <w:t>Log Orders Group 2</w:t>
            </w:r>
          </w:p>
        </w:tc>
        <w:tc>
          <w:tcPr>
            <w:tcW w:w="1728" w:type="dxa"/>
            <w:tcBorders>
              <w:top w:val="nil"/>
              <w:bottom w:val="nil"/>
            </w:tcBorders>
          </w:tcPr>
          <w:p w:rsidR="00213747" w:rsidRPr="00D2430C" w:rsidRDefault="00213747" w:rsidP="003947F3">
            <w:pPr>
              <w:tabs>
                <w:tab w:val="decimal" w:pos="599"/>
              </w:tabs>
              <w:spacing w:before="80" w:after="80"/>
              <w:jc w:val="left"/>
              <w:rPr>
                <w:rFonts w:cs="Times New Roman"/>
              </w:rPr>
            </w:pPr>
            <w:r>
              <w:rPr>
                <w:rFonts w:cs="Times New Roman"/>
              </w:rPr>
              <w:t>17.75</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19.31</w:t>
            </w:r>
            <w:r w:rsidRPr="00D2430C">
              <w:rPr>
                <w:rFonts w:cs="Times New Roman"/>
              </w:rPr>
              <w:t>%)</w:t>
            </w:r>
          </w:p>
        </w:tc>
        <w:tc>
          <w:tcPr>
            <w:tcW w:w="1728" w:type="dxa"/>
            <w:tcBorders>
              <w:top w:val="nil"/>
              <w:bottom w:val="nil"/>
            </w:tcBorders>
          </w:tcPr>
          <w:p w:rsidR="00213747" w:rsidRPr="00D2430C" w:rsidRDefault="00213747" w:rsidP="003947F3">
            <w:pPr>
              <w:tabs>
                <w:tab w:val="decimal" w:pos="599"/>
              </w:tabs>
              <w:spacing w:before="80" w:after="80"/>
              <w:jc w:val="left"/>
              <w:rPr>
                <w:rFonts w:cs="Times New Roman"/>
              </w:rPr>
            </w:pPr>
          </w:p>
        </w:tc>
      </w:tr>
      <w:tr w:rsidR="00213747" w:rsidRPr="00B966DB" w:rsidTr="00FA3C3C">
        <w:trPr>
          <w:jc w:val="center"/>
        </w:trPr>
        <w:tc>
          <w:tcPr>
            <w:tcW w:w="2592" w:type="dxa"/>
            <w:tcBorders>
              <w:top w:val="nil"/>
              <w:bottom w:val="nil"/>
            </w:tcBorders>
          </w:tcPr>
          <w:p w:rsidR="00213747" w:rsidRDefault="00213747" w:rsidP="003947F3">
            <w:pPr>
              <w:spacing w:before="80" w:after="80"/>
              <w:jc w:val="left"/>
              <w:rPr>
                <w:rFonts w:cs="Times New Roman"/>
              </w:rPr>
            </w:pPr>
            <w:r>
              <w:rPr>
                <w:rFonts w:cs="Times New Roman"/>
              </w:rPr>
              <w:t>Log Orders Group 3</w:t>
            </w:r>
          </w:p>
        </w:tc>
        <w:tc>
          <w:tcPr>
            <w:tcW w:w="1728" w:type="dxa"/>
            <w:tcBorders>
              <w:top w:val="nil"/>
              <w:bottom w:val="nil"/>
            </w:tcBorders>
          </w:tcPr>
          <w:p w:rsidR="00213747" w:rsidRPr="00D2430C" w:rsidRDefault="00213747" w:rsidP="003947F3">
            <w:pPr>
              <w:tabs>
                <w:tab w:val="decimal" w:pos="599"/>
              </w:tabs>
              <w:spacing w:before="80" w:after="80"/>
              <w:jc w:val="left"/>
              <w:rPr>
                <w:rFonts w:cs="Times New Roman"/>
              </w:rPr>
            </w:pPr>
            <w:r>
              <w:rPr>
                <w:rFonts w:cs="Times New Roman"/>
              </w:rPr>
              <w:t>-62.09</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20.22</w:t>
            </w:r>
            <w:r w:rsidRPr="00D2430C">
              <w:rPr>
                <w:rFonts w:cs="Times New Roman"/>
              </w:rPr>
              <w:t>%)</w:t>
            </w:r>
          </w:p>
        </w:tc>
        <w:tc>
          <w:tcPr>
            <w:tcW w:w="1728" w:type="dxa"/>
            <w:tcBorders>
              <w:top w:val="nil"/>
              <w:bottom w:val="nil"/>
            </w:tcBorders>
          </w:tcPr>
          <w:p w:rsidR="00213747" w:rsidRPr="00D2430C" w:rsidRDefault="00213747" w:rsidP="003947F3">
            <w:pPr>
              <w:tabs>
                <w:tab w:val="decimal" w:pos="599"/>
              </w:tabs>
              <w:spacing w:before="80" w:after="80"/>
              <w:jc w:val="left"/>
              <w:rPr>
                <w:rFonts w:cs="Times New Roman"/>
              </w:rPr>
            </w:pPr>
          </w:p>
        </w:tc>
      </w:tr>
      <w:tr w:rsidR="00213747" w:rsidRPr="00B966DB" w:rsidTr="00FA3C3C">
        <w:trPr>
          <w:jc w:val="center"/>
        </w:trPr>
        <w:tc>
          <w:tcPr>
            <w:tcW w:w="2592" w:type="dxa"/>
            <w:tcBorders>
              <w:top w:val="nil"/>
              <w:bottom w:val="nil"/>
            </w:tcBorders>
          </w:tcPr>
          <w:p w:rsidR="00213747" w:rsidRDefault="00213747" w:rsidP="003947F3">
            <w:pPr>
              <w:spacing w:before="80" w:after="80"/>
              <w:jc w:val="left"/>
              <w:rPr>
                <w:rFonts w:cs="Times New Roman"/>
              </w:rPr>
            </w:pPr>
            <w:r>
              <w:rPr>
                <w:rFonts w:cs="Times New Roman"/>
              </w:rPr>
              <w:t>Log Orders Group 4</w:t>
            </w:r>
          </w:p>
        </w:tc>
        <w:tc>
          <w:tcPr>
            <w:tcW w:w="1728" w:type="dxa"/>
            <w:tcBorders>
              <w:top w:val="nil"/>
              <w:bottom w:val="nil"/>
            </w:tcBorders>
          </w:tcPr>
          <w:p w:rsidR="00213747" w:rsidRPr="00D2430C" w:rsidRDefault="00213747" w:rsidP="003947F3">
            <w:pPr>
              <w:tabs>
                <w:tab w:val="decimal" w:pos="599"/>
              </w:tabs>
              <w:spacing w:before="80" w:after="80"/>
              <w:jc w:val="left"/>
              <w:rPr>
                <w:rFonts w:cs="Times New Roman"/>
              </w:rPr>
            </w:pPr>
            <w:r>
              <w:rPr>
                <w:rFonts w:cs="Times New Roman"/>
              </w:rPr>
              <w:t>-94.45</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14.58</w:t>
            </w:r>
            <w:r w:rsidRPr="00D2430C">
              <w:rPr>
                <w:rFonts w:cs="Times New Roman"/>
              </w:rPr>
              <w:t>%)</w:t>
            </w:r>
          </w:p>
        </w:tc>
        <w:tc>
          <w:tcPr>
            <w:tcW w:w="1728" w:type="dxa"/>
            <w:tcBorders>
              <w:top w:val="nil"/>
              <w:bottom w:val="nil"/>
            </w:tcBorders>
          </w:tcPr>
          <w:p w:rsidR="00213747" w:rsidRPr="00D2430C" w:rsidRDefault="00213747" w:rsidP="003947F3">
            <w:pPr>
              <w:tabs>
                <w:tab w:val="decimal" w:pos="599"/>
              </w:tabs>
              <w:spacing w:before="80" w:after="80"/>
              <w:jc w:val="left"/>
              <w:rPr>
                <w:rFonts w:cs="Times New Roman"/>
              </w:rPr>
            </w:pPr>
          </w:p>
        </w:tc>
      </w:tr>
      <w:tr w:rsidR="00213747" w:rsidRPr="00B966DB" w:rsidTr="00FA3C3C">
        <w:trPr>
          <w:jc w:val="center"/>
        </w:trPr>
        <w:tc>
          <w:tcPr>
            <w:tcW w:w="2592" w:type="dxa"/>
            <w:tcBorders>
              <w:top w:val="nil"/>
              <w:bottom w:val="nil"/>
            </w:tcBorders>
          </w:tcPr>
          <w:p w:rsidR="00213747" w:rsidRPr="00D2430C" w:rsidRDefault="00213747" w:rsidP="003947F3">
            <w:pPr>
              <w:spacing w:before="80" w:after="80"/>
              <w:jc w:val="left"/>
              <w:rPr>
                <w:rFonts w:cs="Times New Roman"/>
              </w:rPr>
            </w:pPr>
            <w:r w:rsidRPr="00D2430C">
              <w:rPr>
                <w:rFonts w:cs="Times New Roman"/>
              </w:rPr>
              <w:t>% Group 2</w:t>
            </w:r>
          </w:p>
        </w:tc>
        <w:tc>
          <w:tcPr>
            <w:tcW w:w="1728" w:type="dxa"/>
            <w:tcBorders>
              <w:top w:val="nil"/>
              <w:bottom w:val="nil"/>
            </w:tcBorders>
          </w:tcPr>
          <w:p w:rsidR="00213747" w:rsidRPr="00D2430C" w:rsidRDefault="00213747" w:rsidP="003947F3">
            <w:pPr>
              <w:tabs>
                <w:tab w:val="decimal" w:pos="599"/>
              </w:tabs>
              <w:spacing w:before="80" w:after="80"/>
              <w:jc w:val="left"/>
              <w:rPr>
                <w:rFonts w:cs="Times New Roman"/>
              </w:rPr>
            </w:pPr>
          </w:p>
        </w:tc>
        <w:tc>
          <w:tcPr>
            <w:tcW w:w="1728" w:type="dxa"/>
            <w:tcBorders>
              <w:top w:val="nil"/>
              <w:bottom w:val="nil"/>
            </w:tcBorders>
          </w:tcPr>
          <w:p w:rsidR="00213747" w:rsidRPr="00D2430C" w:rsidRDefault="00213747" w:rsidP="003947F3">
            <w:pPr>
              <w:tabs>
                <w:tab w:val="decimal" w:pos="653"/>
              </w:tabs>
              <w:spacing w:before="80" w:after="80"/>
              <w:jc w:val="left"/>
              <w:rPr>
                <w:rFonts w:cs="Times New Roman"/>
              </w:rPr>
            </w:pPr>
            <w:r>
              <w:rPr>
                <w:rFonts w:cs="Times New Roman"/>
              </w:rPr>
              <w:t>67.16</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52.61</w:t>
            </w:r>
            <w:r w:rsidRPr="00D2430C">
              <w:rPr>
                <w:rFonts w:cs="Times New Roman"/>
              </w:rPr>
              <w:t>%)</w:t>
            </w:r>
          </w:p>
        </w:tc>
      </w:tr>
      <w:tr w:rsidR="00213747" w:rsidRPr="00B966DB" w:rsidTr="00FA3C3C">
        <w:trPr>
          <w:jc w:val="center"/>
        </w:trPr>
        <w:tc>
          <w:tcPr>
            <w:tcW w:w="2592" w:type="dxa"/>
            <w:tcBorders>
              <w:top w:val="nil"/>
              <w:bottom w:val="nil"/>
            </w:tcBorders>
          </w:tcPr>
          <w:p w:rsidR="00213747" w:rsidRPr="00D2430C" w:rsidRDefault="00213747" w:rsidP="003947F3">
            <w:pPr>
              <w:spacing w:before="80" w:after="80"/>
              <w:jc w:val="left"/>
              <w:rPr>
                <w:rFonts w:cs="Times New Roman"/>
              </w:rPr>
            </w:pPr>
            <w:r w:rsidRPr="00D2430C">
              <w:rPr>
                <w:rFonts w:cs="Times New Roman"/>
              </w:rPr>
              <w:t>% Group 3</w:t>
            </w:r>
          </w:p>
        </w:tc>
        <w:tc>
          <w:tcPr>
            <w:tcW w:w="1728" w:type="dxa"/>
            <w:tcBorders>
              <w:top w:val="nil"/>
              <w:bottom w:val="nil"/>
            </w:tcBorders>
          </w:tcPr>
          <w:p w:rsidR="00213747" w:rsidRPr="00D2430C" w:rsidRDefault="00213747" w:rsidP="003947F3">
            <w:pPr>
              <w:tabs>
                <w:tab w:val="decimal" w:pos="599"/>
              </w:tabs>
              <w:spacing w:before="80" w:after="80"/>
              <w:jc w:val="left"/>
              <w:rPr>
                <w:rFonts w:cs="Times New Roman"/>
              </w:rPr>
            </w:pPr>
          </w:p>
        </w:tc>
        <w:tc>
          <w:tcPr>
            <w:tcW w:w="1728" w:type="dxa"/>
            <w:tcBorders>
              <w:top w:val="nil"/>
              <w:bottom w:val="nil"/>
            </w:tcBorders>
          </w:tcPr>
          <w:p w:rsidR="00213747" w:rsidRPr="00D2430C" w:rsidRDefault="00213747" w:rsidP="003947F3">
            <w:pPr>
              <w:tabs>
                <w:tab w:val="decimal" w:pos="653"/>
              </w:tabs>
              <w:spacing w:before="80" w:after="80"/>
              <w:jc w:val="left"/>
              <w:rPr>
                <w:rFonts w:cs="Times New Roman"/>
              </w:rPr>
            </w:pPr>
            <w:r>
              <w:rPr>
                <w:rFonts w:cs="Times New Roman"/>
              </w:rPr>
              <w:t>-271.74</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49.69</w:t>
            </w:r>
            <w:r w:rsidRPr="00D2430C">
              <w:rPr>
                <w:rFonts w:cs="Times New Roman"/>
              </w:rPr>
              <w:t>%)</w:t>
            </w:r>
          </w:p>
        </w:tc>
      </w:tr>
      <w:tr w:rsidR="00213747" w:rsidRPr="00B966DB" w:rsidTr="00FA3C3C">
        <w:trPr>
          <w:jc w:val="center"/>
        </w:trPr>
        <w:tc>
          <w:tcPr>
            <w:tcW w:w="2592" w:type="dxa"/>
            <w:tcBorders>
              <w:top w:val="nil"/>
              <w:bottom w:val="nil"/>
            </w:tcBorders>
          </w:tcPr>
          <w:p w:rsidR="00213747" w:rsidRPr="00D2430C" w:rsidRDefault="00213747" w:rsidP="003947F3">
            <w:pPr>
              <w:spacing w:before="80" w:after="80"/>
              <w:jc w:val="left"/>
              <w:rPr>
                <w:rFonts w:cs="Times New Roman"/>
              </w:rPr>
            </w:pPr>
            <w:r w:rsidRPr="00D2430C">
              <w:rPr>
                <w:rFonts w:cs="Times New Roman"/>
              </w:rPr>
              <w:t xml:space="preserve">% Group 4 </w:t>
            </w:r>
          </w:p>
        </w:tc>
        <w:tc>
          <w:tcPr>
            <w:tcW w:w="1728" w:type="dxa"/>
            <w:tcBorders>
              <w:top w:val="nil"/>
              <w:bottom w:val="nil"/>
            </w:tcBorders>
          </w:tcPr>
          <w:p w:rsidR="00213747" w:rsidRPr="00D2430C" w:rsidRDefault="00213747" w:rsidP="003947F3">
            <w:pPr>
              <w:tabs>
                <w:tab w:val="decimal" w:pos="599"/>
              </w:tabs>
              <w:spacing w:before="80" w:after="80"/>
              <w:jc w:val="left"/>
              <w:rPr>
                <w:rFonts w:cs="Times New Roman"/>
              </w:rPr>
            </w:pPr>
          </w:p>
        </w:tc>
        <w:tc>
          <w:tcPr>
            <w:tcW w:w="1728" w:type="dxa"/>
            <w:tcBorders>
              <w:top w:val="nil"/>
              <w:bottom w:val="nil"/>
            </w:tcBorders>
          </w:tcPr>
          <w:p w:rsidR="00213747" w:rsidRPr="00D2430C" w:rsidRDefault="00213747" w:rsidP="003947F3">
            <w:pPr>
              <w:tabs>
                <w:tab w:val="decimal" w:pos="653"/>
              </w:tabs>
              <w:spacing w:before="80" w:after="80"/>
              <w:jc w:val="left"/>
              <w:rPr>
                <w:rFonts w:cs="Times New Roman"/>
              </w:rPr>
            </w:pPr>
            <w:r w:rsidRPr="00D2430C">
              <w:rPr>
                <w:rFonts w:cs="Times New Roman"/>
              </w:rPr>
              <w:t>-</w:t>
            </w:r>
            <w:r>
              <w:rPr>
                <w:rFonts w:cs="Times New Roman"/>
              </w:rPr>
              <w:t>580.54</w:t>
            </w:r>
            <w:r w:rsidRPr="00D2430C">
              <w:rPr>
                <w:rFonts w:cs="Times New Roman"/>
              </w:rPr>
              <w:t>%</w:t>
            </w:r>
            <w:r w:rsidRPr="00D2430C">
              <w:rPr>
                <w:rFonts w:cs="Times New Roman"/>
                <w:vertAlign w:val="superscript"/>
              </w:rPr>
              <w:t>**</w:t>
            </w:r>
            <w:r w:rsidRPr="00D2430C">
              <w:rPr>
                <w:rFonts w:cs="Times New Roman"/>
              </w:rPr>
              <w:t xml:space="preserve">     (</w:t>
            </w:r>
            <w:r>
              <w:rPr>
                <w:rFonts w:cs="Times New Roman"/>
              </w:rPr>
              <w:t>52.85</w:t>
            </w:r>
            <w:r w:rsidRPr="00D2430C">
              <w:rPr>
                <w:rFonts w:cs="Times New Roman"/>
              </w:rPr>
              <w:t>%)</w:t>
            </w:r>
          </w:p>
        </w:tc>
      </w:tr>
      <w:tr w:rsidR="00213747" w:rsidRPr="00B966DB" w:rsidTr="00FA3C3C">
        <w:trPr>
          <w:jc w:val="center"/>
        </w:trPr>
        <w:tc>
          <w:tcPr>
            <w:tcW w:w="2592" w:type="dxa"/>
            <w:tcBorders>
              <w:top w:val="nil"/>
            </w:tcBorders>
          </w:tcPr>
          <w:p w:rsidR="00213747" w:rsidRPr="00D2430C" w:rsidRDefault="00213747" w:rsidP="003947F3">
            <w:pPr>
              <w:spacing w:before="80" w:after="80"/>
              <w:jc w:val="left"/>
              <w:rPr>
                <w:rFonts w:cs="Times New Roman"/>
                <w:vertAlign w:val="superscript"/>
              </w:rPr>
            </w:pPr>
            <w:r w:rsidRPr="00D2430C">
              <w:rPr>
                <w:rFonts w:cs="Times New Roman"/>
              </w:rPr>
              <w:t>R</w:t>
            </w:r>
            <w:r w:rsidRPr="00D2430C">
              <w:rPr>
                <w:rFonts w:cs="Times New Roman"/>
                <w:vertAlign w:val="superscript"/>
              </w:rPr>
              <w:t>2</w:t>
            </w:r>
          </w:p>
        </w:tc>
        <w:tc>
          <w:tcPr>
            <w:tcW w:w="1728" w:type="dxa"/>
            <w:tcBorders>
              <w:top w:val="nil"/>
            </w:tcBorders>
            <w:vAlign w:val="center"/>
          </w:tcPr>
          <w:p w:rsidR="00213747" w:rsidRPr="00D2430C" w:rsidRDefault="00213747" w:rsidP="003947F3">
            <w:pPr>
              <w:keepNext/>
              <w:spacing w:before="80" w:after="80"/>
              <w:rPr>
                <w:rFonts w:cs="Times New Roman"/>
              </w:rPr>
            </w:pPr>
            <w:r w:rsidRPr="00D2430C">
              <w:rPr>
                <w:rFonts w:cs="Times New Roman"/>
              </w:rPr>
              <w:t>0.</w:t>
            </w:r>
            <w:r>
              <w:rPr>
                <w:rFonts w:cs="Times New Roman"/>
              </w:rPr>
              <w:t>2148</w:t>
            </w:r>
          </w:p>
        </w:tc>
        <w:tc>
          <w:tcPr>
            <w:tcW w:w="1728" w:type="dxa"/>
            <w:tcBorders>
              <w:top w:val="nil"/>
            </w:tcBorders>
            <w:vAlign w:val="center"/>
          </w:tcPr>
          <w:p w:rsidR="00213747" w:rsidRPr="00D2430C" w:rsidRDefault="00213747" w:rsidP="003947F3">
            <w:pPr>
              <w:keepNext/>
              <w:spacing w:before="80" w:after="80"/>
              <w:rPr>
                <w:rFonts w:cs="Times New Roman"/>
              </w:rPr>
            </w:pPr>
            <w:r w:rsidRPr="00D2430C">
              <w:rPr>
                <w:rFonts w:cs="Times New Roman"/>
              </w:rPr>
              <w:t>0.</w:t>
            </w:r>
            <w:r>
              <w:rPr>
                <w:rFonts w:cs="Times New Roman"/>
              </w:rPr>
              <w:t>2220</w:t>
            </w:r>
          </w:p>
        </w:tc>
      </w:tr>
    </w:tbl>
    <w:p w:rsidR="00130E33" w:rsidRDefault="00213747" w:rsidP="003947F3">
      <w:pPr>
        <w:spacing w:before="60" w:line="240" w:lineRule="auto"/>
        <w:ind w:left="720" w:right="746"/>
      </w:pPr>
      <w:r w:rsidRPr="00B966DB">
        <w:rPr>
          <w:rFonts w:cs="Times New Roman"/>
          <w:sz w:val="20"/>
          <w:szCs w:val="20"/>
        </w:rPr>
        <w:t>The table reports the coefficie</w:t>
      </w:r>
      <w:r>
        <w:rPr>
          <w:rFonts w:cs="Times New Roman"/>
          <w:sz w:val="20"/>
          <w:szCs w:val="20"/>
        </w:rPr>
        <w:t>nts of interest from estimating Equations 2 and 3</w:t>
      </w:r>
      <w:r w:rsidRPr="00B966DB">
        <w:rPr>
          <w:rFonts w:cs="Times New Roman"/>
          <w:sz w:val="20"/>
          <w:szCs w:val="20"/>
        </w:rPr>
        <w:t xml:space="preserve">. </w:t>
      </w:r>
      <w:r>
        <w:rPr>
          <w:rFonts w:cs="Times New Roman"/>
          <w:sz w:val="20"/>
          <w:szCs w:val="20"/>
        </w:rPr>
        <w:t xml:space="preserve">In this analysis the </w:t>
      </w:r>
      <w:r w:rsidRPr="00C34462">
        <w:rPr>
          <w:rFonts w:cs="Times New Roman"/>
          <w:i/>
          <w:sz w:val="20"/>
          <w:szCs w:val="20"/>
        </w:rPr>
        <w:t>Average Success Rate</w:t>
      </w:r>
      <w:r>
        <w:rPr>
          <w:rFonts w:cs="Times New Roman"/>
          <w:sz w:val="20"/>
          <w:szCs w:val="20"/>
        </w:rPr>
        <w:t xml:space="preserve"> used to group zip codes is constructed by weighting the observations using the number of households that purchased the classification items in each zip code (rather than the number of orders for each item). Coefficients for the control variables are omitted from this table. T</w:t>
      </w:r>
      <w:r w:rsidRPr="00B966DB">
        <w:rPr>
          <w:rFonts w:cs="Times New Roman"/>
          <w:sz w:val="20"/>
          <w:szCs w:val="20"/>
        </w:rPr>
        <w:t>he unit of analysis</w:t>
      </w:r>
      <w:r>
        <w:rPr>
          <w:rFonts w:cs="Times New Roman"/>
          <w:sz w:val="20"/>
          <w:szCs w:val="20"/>
        </w:rPr>
        <w:t xml:space="preserve"> is</w:t>
      </w:r>
      <w:r w:rsidRPr="00B966DB">
        <w:rPr>
          <w:rFonts w:cs="Times New Roman"/>
          <w:sz w:val="20"/>
          <w:szCs w:val="20"/>
        </w:rPr>
        <w:t xml:space="preserve"> a new item and the sample size in all models is 2,388. Standard errors are in parentheses.</w:t>
      </w:r>
      <w:r w:rsidR="00130E33">
        <w:br w:type="page"/>
      </w:r>
    </w:p>
    <w:p w:rsidR="00E46B85" w:rsidRDefault="00AA1D78" w:rsidP="004B3273">
      <w:pPr>
        <w:keepNext/>
        <w:spacing w:after="120"/>
        <w:jc w:val="center"/>
        <w:rPr>
          <w:b/>
        </w:rPr>
      </w:pPr>
      <w:r>
        <w:rPr>
          <w:b/>
        </w:rPr>
        <w:lastRenderedPageBreak/>
        <w:t xml:space="preserve"> </w:t>
      </w:r>
      <w:r w:rsidR="00E46B85">
        <w:rPr>
          <w:b/>
        </w:rPr>
        <w:t xml:space="preserve">Finer Segmentation of </w:t>
      </w:r>
      <w:r w:rsidR="00E46B85" w:rsidRPr="00EB21AC">
        <w:rPr>
          <w:b/>
          <w:i/>
        </w:rPr>
        <w:t>Average Survival Rate</w:t>
      </w:r>
      <w:r w:rsidR="00E46B85">
        <w:rPr>
          <w:b/>
        </w:rPr>
        <w:t xml:space="preserve">: Deciles </w:t>
      </w:r>
    </w:p>
    <w:p w:rsidR="003947F3" w:rsidRDefault="003947F3" w:rsidP="003947F3">
      <w:r w:rsidRPr="003947F3">
        <w:t>The division of the</w:t>
      </w:r>
      <w:r w:rsidRPr="003947F3">
        <w:rPr>
          <w:i/>
        </w:rPr>
        <w:t xml:space="preserve"> Average Success Rate</w:t>
      </w:r>
      <w:r w:rsidRPr="003947F3">
        <w:t xml:space="preserve"> into quartiles is somewhat arbitrary.</w:t>
      </w:r>
      <w:r w:rsidRPr="003947F3">
        <w:rPr>
          <w:rStyle w:val="FootnoteReference"/>
          <w:rFonts w:cs="Times New Roman"/>
          <w:color w:val="000000" w:themeColor="text1"/>
        </w:rPr>
        <w:footnoteReference w:id="2"/>
      </w:r>
      <w:r w:rsidRPr="003947F3">
        <w:t xml:space="preserve"> For this reason, we investigated using decile buckets instead of quartile buckets. Decile buckets provide a more precise illustration of the relationship between the </w:t>
      </w:r>
      <w:r w:rsidRPr="003947F3">
        <w:rPr>
          <w:i/>
        </w:rPr>
        <w:t>Average Success Rate</w:t>
      </w:r>
      <w:r w:rsidRPr="003947F3">
        <w:t xml:space="preserve"> and new product success. We re-estimated Equations 2 and 3, replacing the variables measuring purchases by the quartile grouping of zip codes, with variables measuring purchases from each decile bucket. We summarize the findings</w:t>
      </w:r>
      <w:r>
        <w:t xml:space="preserve"> below.</w:t>
      </w:r>
    </w:p>
    <w:p w:rsidR="003947F3" w:rsidRDefault="003947F3" w:rsidP="004B3273">
      <w:pPr>
        <w:keepNext/>
        <w:spacing w:after="120"/>
        <w:jc w:val="center"/>
        <w:rPr>
          <w:b/>
        </w:rPr>
      </w:pPr>
    </w:p>
    <w:tbl>
      <w:tblPr>
        <w:tblStyle w:val="TableGrid"/>
        <w:tblW w:w="7488"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1728"/>
        <w:gridCol w:w="1728"/>
        <w:gridCol w:w="1728"/>
      </w:tblGrid>
      <w:tr w:rsidR="00E46B85" w:rsidRPr="00B966DB" w:rsidTr="003F692D">
        <w:trPr>
          <w:jc w:val="center"/>
        </w:trPr>
        <w:tc>
          <w:tcPr>
            <w:tcW w:w="2304" w:type="dxa"/>
            <w:tcBorders>
              <w:top w:val="double" w:sz="4" w:space="0" w:color="auto"/>
              <w:bottom w:val="single" w:sz="8" w:space="0" w:color="auto"/>
            </w:tcBorders>
            <w:vAlign w:val="center"/>
          </w:tcPr>
          <w:p w:rsidR="00E46B85" w:rsidRPr="00D2430C" w:rsidRDefault="00E46B85" w:rsidP="003947F3">
            <w:pPr>
              <w:keepNext/>
              <w:spacing w:before="80" w:after="80"/>
              <w:rPr>
                <w:rFonts w:cs="Times New Roman"/>
                <w:b/>
              </w:rPr>
            </w:pPr>
          </w:p>
        </w:tc>
        <w:tc>
          <w:tcPr>
            <w:tcW w:w="1728" w:type="dxa"/>
            <w:tcBorders>
              <w:top w:val="double" w:sz="4" w:space="0" w:color="auto"/>
              <w:bottom w:val="single" w:sz="8" w:space="0" w:color="auto"/>
            </w:tcBorders>
            <w:vAlign w:val="center"/>
          </w:tcPr>
          <w:p w:rsidR="00E46B85" w:rsidRPr="00D2430C" w:rsidRDefault="00213747" w:rsidP="003947F3">
            <w:pPr>
              <w:keepNext/>
              <w:spacing w:before="80" w:after="80"/>
              <w:rPr>
                <w:rFonts w:cs="Times New Roman"/>
                <w:b/>
                <w:vertAlign w:val="superscript"/>
              </w:rPr>
            </w:pPr>
            <w:r>
              <w:rPr>
                <w:rFonts w:cs="Times New Roman"/>
                <w:b/>
              </w:rPr>
              <w:t>Equation</w:t>
            </w:r>
            <w:r w:rsidR="00E46B85" w:rsidRPr="00D2430C">
              <w:rPr>
                <w:rFonts w:cs="Times New Roman"/>
                <w:b/>
              </w:rPr>
              <w:t xml:space="preserve"> 2</w:t>
            </w:r>
          </w:p>
        </w:tc>
        <w:tc>
          <w:tcPr>
            <w:tcW w:w="1728" w:type="dxa"/>
            <w:tcBorders>
              <w:top w:val="double" w:sz="4" w:space="0" w:color="auto"/>
              <w:bottom w:val="single" w:sz="8" w:space="0" w:color="auto"/>
            </w:tcBorders>
            <w:vAlign w:val="center"/>
          </w:tcPr>
          <w:p w:rsidR="00E46B85" w:rsidRPr="00D2430C" w:rsidRDefault="00E46B85" w:rsidP="003947F3">
            <w:pPr>
              <w:keepNext/>
              <w:spacing w:before="80" w:after="80"/>
              <w:rPr>
                <w:rFonts w:cs="Times New Roman"/>
                <w:b/>
                <w:vertAlign w:val="superscript"/>
              </w:rPr>
            </w:pPr>
          </w:p>
        </w:tc>
        <w:tc>
          <w:tcPr>
            <w:tcW w:w="1728" w:type="dxa"/>
            <w:tcBorders>
              <w:top w:val="double" w:sz="4" w:space="0" w:color="auto"/>
              <w:bottom w:val="single" w:sz="8" w:space="0" w:color="auto"/>
            </w:tcBorders>
            <w:vAlign w:val="center"/>
          </w:tcPr>
          <w:p w:rsidR="00E46B85" w:rsidRPr="00D2430C" w:rsidRDefault="00213747" w:rsidP="003947F3">
            <w:pPr>
              <w:keepNext/>
              <w:spacing w:before="80" w:after="80"/>
              <w:rPr>
                <w:rFonts w:cs="Times New Roman"/>
                <w:b/>
              </w:rPr>
            </w:pPr>
            <w:r>
              <w:rPr>
                <w:rFonts w:cs="Times New Roman"/>
                <w:b/>
              </w:rPr>
              <w:t>Equation</w:t>
            </w:r>
            <w:r w:rsidR="00E46B85" w:rsidRPr="00D2430C">
              <w:rPr>
                <w:rFonts w:cs="Times New Roman"/>
                <w:b/>
              </w:rPr>
              <w:t xml:space="preserve"> </w:t>
            </w:r>
            <w:r w:rsidR="00E46B85">
              <w:rPr>
                <w:rFonts w:cs="Times New Roman"/>
                <w:b/>
              </w:rPr>
              <w:t>3</w:t>
            </w:r>
          </w:p>
        </w:tc>
      </w:tr>
      <w:tr w:rsidR="00E46B85" w:rsidRPr="00B966DB" w:rsidTr="003F692D">
        <w:trPr>
          <w:jc w:val="center"/>
        </w:trPr>
        <w:tc>
          <w:tcPr>
            <w:tcW w:w="2304" w:type="dxa"/>
            <w:tcBorders>
              <w:top w:val="nil"/>
              <w:bottom w:val="nil"/>
            </w:tcBorders>
          </w:tcPr>
          <w:p w:rsidR="00E46B85" w:rsidRPr="00D2430C" w:rsidRDefault="00E46B85" w:rsidP="003947F3">
            <w:pPr>
              <w:spacing w:before="80" w:after="80"/>
              <w:jc w:val="left"/>
              <w:rPr>
                <w:rFonts w:cs="Times New Roman"/>
              </w:rPr>
            </w:pPr>
            <w:r>
              <w:rPr>
                <w:rFonts w:cs="Times New Roman"/>
              </w:rPr>
              <w:t>Log Orders Group 1</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60.98</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(8.56</w:t>
            </w:r>
            <w:r w:rsidRPr="00D2430C">
              <w:rPr>
                <w:rFonts w:cs="Times New Roman"/>
              </w:rPr>
              <w:t>%)</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Log Total Orders</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4.15</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1.62</w:t>
            </w:r>
            <w:r w:rsidRPr="00D2430C">
              <w:rPr>
                <w:rFonts w:cs="Times New Roman"/>
              </w:rPr>
              <w:t>%)</w:t>
            </w:r>
          </w:p>
        </w:tc>
      </w:tr>
      <w:tr w:rsidR="00E46B85" w:rsidRPr="00B966DB" w:rsidTr="003F692D">
        <w:trPr>
          <w:jc w:val="center"/>
        </w:trPr>
        <w:tc>
          <w:tcPr>
            <w:tcW w:w="2304" w:type="dxa"/>
            <w:tcBorders>
              <w:top w:val="nil"/>
              <w:bottom w:val="nil"/>
            </w:tcBorders>
          </w:tcPr>
          <w:p w:rsidR="00E46B85" w:rsidRPr="00D2430C" w:rsidRDefault="00E46B85" w:rsidP="003947F3">
            <w:pPr>
              <w:spacing w:before="80" w:after="80"/>
              <w:jc w:val="left"/>
              <w:rPr>
                <w:rFonts w:cs="Times New Roman"/>
              </w:rPr>
            </w:pPr>
            <w:r>
              <w:rPr>
                <w:rFonts w:cs="Times New Roman"/>
              </w:rPr>
              <w:t>Log Orders Group 2</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42.56</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13.47</w:t>
            </w:r>
            <w:r w:rsidRPr="00D2430C">
              <w:rPr>
                <w:rFonts w:cs="Times New Roman"/>
              </w:rPr>
              <w:t>%)</w:t>
            </w:r>
          </w:p>
        </w:tc>
        <w:tc>
          <w:tcPr>
            <w:tcW w:w="1728" w:type="dxa"/>
            <w:tcBorders>
              <w:top w:val="nil"/>
              <w:bottom w:val="nil"/>
            </w:tcBorders>
          </w:tcPr>
          <w:p w:rsidR="00E46B85" w:rsidRPr="00D2430C" w:rsidRDefault="00E46B85" w:rsidP="003947F3">
            <w:pPr>
              <w:spacing w:before="80" w:after="80"/>
              <w:jc w:val="left"/>
              <w:rPr>
                <w:rFonts w:cs="Times New Roman"/>
              </w:rPr>
            </w:pPr>
            <w:r w:rsidRPr="00D2430C">
              <w:rPr>
                <w:rFonts w:cs="Times New Roman"/>
              </w:rPr>
              <w:t>% Group 2</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2.75</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81.39</w:t>
            </w:r>
            <w:r w:rsidRPr="00D2430C">
              <w:rPr>
                <w:rFonts w:cs="Times New Roman"/>
              </w:rPr>
              <w:t>%)</w:t>
            </w:r>
          </w:p>
        </w:tc>
      </w:tr>
      <w:tr w:rsidR="00E46B85" w:rsidRPr="00B966DB" w:rsidTr="003F692D">
        <w:trPr>
          <w:jc w:val="center"/>
        </w:trPr>
        <w:tc>
          <w:tcPr>
            <w:tcW w:w="2304" w:type="dxa"/>
            <w:tcBorders>
              <w:top w:val="nil"/>
              <w:bottom w:val="nil"/>
            </w:tcBorders>
          </w:tcPr>
          <w:p w:rsidR="00E46B85" w:rsidRDefault="00E46B85" w:rsidP="003947F3">
            <w:pPr>
              <w:spacing w:before="80" w:after="80"/>
              <w:jc w:val="left"/>
              <w:rPr>
                <w:rFonts w:cs="Times New Roman"/>
              </w:rPr>
            </w:pPr>
            <w:r>
              <w:rPr>
                <w:rFonts w:cs="Times New Roman"/>
              </w:rPr>
              <w:t>Log Orders Group 3</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23.97</w:t>
            </w:r>
            <w:r w:rsidRPr="00D2430C">
              <w:rPr>
                <w:rFonts w:cs="Times New Roman"/>
              </w:rPr>
              <w:t>%</w:t>
            </w:r>
            <w:r w:rsidRPr="00E46B85">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13.34</w:t>
            </w:r>
            <w:r w:rsidRPr="00D2430C">
              <w:rPr>
                <w:rFonts w:cs="Times New Roman"/>
              </w:rPr>
              <w:t>%)</w:t>
            </w:r>
          </w:p>
        </w:tc>
        <w:tc>
          <w:tcPr>
            <w:tcW w:w="1728" w:type="dxa"/>
            <w:tcBorders>
              <w:top w:val="nil"/>
              <w:bottom w:val="nil"/>
            </w:tcBorders>
          </w:tcPr>
          <w:p w:rsidR="00E46B85" w:rsidRPr="00D2430C" w:rsidRDefault="00E46B85" w:rsidP="003947F3">
            <w:pPr>
              <w:spacing w:before="80" w:after="80"/>
              <w:jc w:val="left"/>
              <w:rPr>
                <w:rFonts w:cs="Times New Roman"/>
              </w:rPr>
            </w:pPr>
            <w:r w:rsidRPr="00D2430C">
              <w:rPr>
                <w:rFonts w:cs="Times New Roman"/>
              </w:rPr>
              <w:t>% Group 3</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-62.03</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84.13</w:t>
            </w:r>
            <w:r w:rsidRPr="00D2430C">
              <w:rPr>
                <w:rFonts w:cs="Times New Roman"/>
              </w:rPr>
              <w:t>%)</w:t>
            </w:r>
          </w:p>
        </w:tc>
      </w:tr>
      <w:tr w:rsidR="00E46B85" w:rsidRPr="00B966DB" w:rsidTr="003F692D">
        <w:trPr>
          <w:jc w:val="center"/>
        </w:trPr>
        <w:tc>
          <w:tcPr>
            <w:tcW w:w="2304" w:type="dxa"/>
            <w:tcBorders>
              <w:top w:val="nil"/>
              <w:bottom w:val="nil"/>
            </w:tcBorders>
          </w:tcPr>
          <w:p w:rsidR="00E46B85" w:rsidRDefault="00E46B85" w:rsidP="003947F3">
            <w:pPr>
              <w:spacing w:before="80" w:after="80"/>
              <w:jc w:val="left"/>
              <w:rPr>
                <w:rFonts w:cs="Times New Roman"/>
              </w:rPr>
            </w:pPr>
            <w:r>
              <w:rPr>
                <w:rFonts w:cs="Times New Roman"/>
              </w:rPr>
              <w:t>Log Orders Group 4</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8.91</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15.54</w:t>
            </w:r>
            <w:r w:rsidRPr="00D2430C">
              <w:rPr>
                <w:rFonts w:cs="Times New Roman"/>
              </w:rPr>
              <w:t>%)</w:t>
            </w:r>
          </w:p>
        </w:tc>
        <w:tc>
          <w:tcPr>
            <w:tcW w:w="1728" w:type="dxa"/>
            <w:tcBorders>
              <w:top w:val="nil"/>
              <w:bottom w:val="nil"/>
            </w:tcBorders>
          </w:tcPr>
          <w:p w:rsidR="00E46B85" w:rsidRPr="00D2430C" w:rsidRDefault="00E46B85" w:rsidP="003947F3">
            <w:pPr>
              <w:spacing w:before="80" w:after="80"/>
              <w:jc w:val="left"/>
              <w:rPr>
                <w:rFonts w:cs="Times New Roman"/>
              </w:rPr>
            </w:pPr>
            <w:r w:rsidRPr="00D2430C">
              <w:rPr>
                <w:rFonts w:cs="Times New Roman"/>
              </w:rPr>
              <w:t xml:space="preserve">% Group 4 </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-119.44</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76.11</w:t>
            </w:r>
            <w:r w:rsidRPr="00D2430C">
              <w:rPr>
                <w:rFonts w:cs="Times New Roman"/>
              </w:rPr>
              <w:t>%)</w:t>
            </w:r>
          </w:p>
        </w:tc>
      </w:tr>
      <w:tr w:rsidR="00E46B85" w:rsidRPr="00B966DB" w:rsidTr="003F692D">
        <w:trPr>
          <w:jc w:val="center"/>
        </w:trPr>
        <w:tc>
          <w:tcPr>
            <w:tcW w:w="2304" w:type="dxa"/>
            <w:tcBorders>
              <w:top w:val="nil"/>
              <w:bottom w:val="nil"/>
            </w:tcBorders>
          </w:tcPr>
          <w:p w:rsidR="00E46B85" w:rsidRPr="00D2430C" w:rsidRDefault="00E46B85" w:rsidP="003947F3">
            <w:pPr>
              <w:spacing w:before="80" w:after="80"/>
              <w:jc w:val="left"/>
              <w:rPr>
                <w:rFonts w:cs="Times New Roman"/>
              </w:rPr>
            </w:pPr>
            <w:r>
              <w:rPr>
                <w:rFonts w:cs="Times New Roman"/>
              </w:rPr>
              <w:t xml:space="preserve">Log Orders Group </w:t>
            </w:r>
            <w:r w:rsidR="00354EB2">
              <w:rPr>
                <w:rFonts w:cs="Times New Roman"/>
              </w:rPr>
              <w:t>5</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-8.16</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14.96</w:t>
            </w:r>
            <w:r w:rsidRPr="00D2430C">
              <w:rPr>
                <w:rFonts w:cs="Times New Roman"/>
              </w:rPr>
              <w:t>%)</w:t>
            </w:r>
          </w:p>
        </w:tc>
        <w:tc>
          <w:tcPr>
            <w:tcW w:w="1728" w:type="dxa"/>
            <w:tcBorders>
              <w:top w:val="nil"/>
              <w:bottom w:val="nil"/>
            </w:tcBorders>
          </w:tcPr>
          <w:p w:rsidR="00E46B85" w:rsidRPr="00D2430C" w:rsidRDefault="00E46B85" w:rsidP="003947F3">
            <w:pPr>
              <w:spacing w:before="80" w:after="80"/>
              <w:jc w:val="left"/>
              <w:rPr>
                <w:rFonts w:cs="Times New Roman"/>
              </w:rPr>
            </w:pPr>
            <w:r w:rsidRPr="00D2430C">
              <w:rPr>
                <w:rFonts w:cs="Times New Roman"/>
              </w:rPr>
              <w:t xml:space="preserve">% Group </w:t>
            </w:r>
            <w:r>
              <w:rPr>
                <w:rFonts w:cs="Times New Roman"/>
              </w:rPr>
              <w:t>5</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-225.80</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81.68</w:t>
            </w:r>
            <w:r w:rsidRPr="00D2430C">
              <w:rPr>
                <w:rFonts w:cs="Times New Roman"/>
              </w:rPr>
              <w:t>%)</w:t>
            </w:r>
          </w:p>
        </w:tc>
      </w:tr>
      <w:tr w:rsidR="00E46B85" w:rsidRPr="00B966DB" w:rsidTr="003F692D">
        <w:trPr>
          <w:jc w:val="center"/>
        </w:trPr>
        <w:tc>
          <w:tcPr>
            <w:tcW w:w="2304" w:type="dxa"/>
            <w:tcBorders>
              <w:top w:val="nil"/>
              <w:bottom w:val="nil"/>
            </w:tcBorders>
          </w:tcPr>
          <w:p w:rsidR="00E46B85" w:rsidRPr="00D2430C" w:rsidRDefault="00E46B85" w:rsidP="003947F3">
            <w:pPr>
              <w:spacing w:before="80" w:after="80"/>
              <w:jc w:val="left"/>
              <w:rPr>
                <w:rFonts w:cs="Times New Roman"/>
              </w:rPr>
            </w:pPr>
            <w:r>
              <w:rPr>
                <w:rFonts w:cs="Times New Roman"/>
              </w:rPr>
              <w:t xml:space="preserve">Log Orders Group </w:t>
            </w:r>
            <w:r w:rsidR="00354EB2">
              <w:rPr>
                <w:rFonts w:cs="Times New Roman"/>
              </w:rPr>
              <w:t>6</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-21.86</w:t>
            </w:r>
            <w:r w:rsidRPr="00D2430C">
              <w:rPr>
                <w:rFonts w:cs="Times New Roman"/>
              </w:rPr>
              <w:t xml:space="preserve">%   </w:t>
            </w:r>
            <w:r>
              <w:rPr>
                <w:rFonts w:cs="Times New Roman"/>
              </w:rPr>
              <w:t xml:space="preserve"> </w:t>
            </w:r>
            <w:r w:rsidRPr="00D2430C">
              <w:rPr>
                <w:rFonts w:cs="Times New Roman"/>
              </w:rPr>
              <w:t xml:space="preserve">  (</w:t>
            </w:r>
            <w:r w:rsidR="00354EB2">
              <w:rPr>
                <w:rFonts w:cs="Times New Roman"/>
              </w:rPr>
              <w:t>15.52</w:t>
            </w:r>
            <w:r w:rsidRPr="00D2430C">
              <w:rPr>
                <w:rFonts w:cs="Times New Roman"/>
              </w:rPr>
              <w:t>%)</w:t>
            </w:r>
          </w:p>
        </w:tc>
        <w:tc>
          <w:tcPr>
            <w:tcW w:w="1728" w:type="dxa"/>
            <w:tcBorders>
              <w:top w:val="nil"/>
              <w:bottom w:val="nil"/>
            </w:tcBorders>
          </w:tcPr>
          <w:p w:rsidR="00E46B85" w:rsidRPr="00D2430C" w:rsidRDefault="00E46B85" w:rsidP="003947F3">
            <w:pPr>
              <w:spacing w:before="80" w:after="80"/>
              <w:jc w:val="left"/>
              <w:rPr>
                <w:rFonts w:cs="Times New Roman"/>
              </w:rPr>
            </w:pPr>
            <w:r w:rsidRPr="00D2430C">
              <w:rPr>
                <w:rFonts w:cs="Times New Roman"/>
              </w:rPr>
              <w:t xml:space="preserve">% Group </w:t>
            </w:r>
            <w:r>
              <w:rPr>
                <w:rFonts w:cs="Times New Roman"/>
              </w:rPr>
              <w:t>6</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-315.72</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82.12</w:t>
            </w:r>
            <w:r w:rsidRPr="00D2430C">
              <w:rPr>
                <w:rFonts w:cs="Times New Roman"/>
              </w:rPr>
              <w:t>%)</w:t>
            </w:r>
          </w:p>
        </w:tc>
      </w:tr>
      <w:tr w:rsidR="00E46B85" w:rsidRPr="00B966DB" w:rsidTr="003F692D">
        <w:trPr>
          <w:jc w:val="center"/>
        </w:trPr>
        <w:tc>
          <w:tcPr>
            <w:tcW w:w="2304" w:type="dxa"/>
            <w:tcBorders>
              <w:top w:val="nil"/>
              <w:bottom w:val="nil"/>
            </w:tcBorders>
          </w:tcPr>
          <w:p w:rsidR="00E46B85" w:rsidRPr="00D2430C" w:rsidRDefault="00E46B85" w:rsidP="003947F3">
            <w:pPr>
              <w:spacing w:before="80" w:after="80"/>
              <w:jc w:val="left"/>
              <w:rPr>
                <w:rFonts w:cs="Times New Roman"/>
              </w:rPr>
            </w:pPr>
            <w:r>
              <w:rPr>
                <w:rFonts w:cs="Times New Roman"/>
              </w:rPr>
              <w:t xml:space="preserve">Log Orders Group </w:t>
            </w:r>
            <w:r w:rsidR="00354EB2">
              <w:rPr>
                <w:rFonts w:cs="Times New Roman"/>
              </w:rPr>
              <w:t>7</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w:t>
            </w:r>
            <w:r w:rsidR="00354EB2">
              <w:rPr>
                <w:rFonts w:cs="Times New Roman"/>
              </w:rPr>
              <w:t>0.51</w:t>
            </w:r>
            <w:r w:rsidRPr="00D2430C">
              <w:rPr>
                <w:rFonts w:cs="Times New Roman"/>
              </w:rPr>
              <w:t xml:space="preserve">%   </w:t>
            </w:r>
            <w:r>
              <w:rPr>
                <w:rFonts w:cs="Times New Roman"/>
              </w:rPr>
              <w:t xml:space="preserve"> </w:t>
            </w:r>
            <w:r w:rsidRPr="00D2430C">
              <w:rPr>
                <w:rFonts w:cs="Times New Roman"/>
              </w:rPr>
              <w:t xml:space="preserve">  (</w:t>
            </w:r>
            <w:r w:rsidR="00354EB2">
              <w:rPr>
                <w:rFonts w:cs="Times New Roman"/>
              </w:rPr>
              <w:t>14.06</w:t>
            </w:r>
            <w:r w:rsidRPr="00D2430C">
              <w:rPr>
                <w:rFonts w:cs="Times New Roman"/>
              </w:rPr>
              <w:t>%)</w:t>
            </w:r>
          </w:p>
        </w:tc>
        <w:tc>
          <w:tcPr>
            <w:tcW w:w="1728" w:type="dxa"/>
            <w:tcBorders>
              <w:top w:val="nil"/>
              <w:bottom w:val="nil"/>
            </w:tcBorders>
          </w:tcPr>
          <w:p w:rsidR="00E46B85" w:rsidRPr="00D2430C" w:rsidRDefault="00E46B85" w:rsidP="003947F3">
            <w:pPr>
              <w:spacing w:before="80" w:after="80"/>
              <w:jc w:val="left"/>
              <w:rPr>
                <w:rFonts w:cs="Times New Roman"/>
              </w:rPr>
            </w:pPr>
            <w:r w:rsidRPr="00D2430C">
              <w:rPr>
                <w:rFonts w:cs="Times New Roman"/>
              </w:rPr>
              <w:t xml:space="preserve">% Group </w:t>
            </w:r>
            <w:r>
              <w:rPr>
                <w:rFonts w:cs="Times New Roman"/>
              </w:rPr>
              <w:t>7</w:t>
            </w:r>
            <w:r w:rsidRPr="00D2430C">
              <w:rPr>
                <w:rFonts w:cs="Times New Roman"/>
              </w:rPr>
              <w:t xml:space="preserve"> </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-305.47</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83.15</w:t>
            </w:r>
            <w:r w:rsidRPr="00D2430C">
              <w:rPr>
                <w:rFonts w:cs="Times New Roman"/>
              </w:rPr>
              <w:t>%)</w:t>
            </w:r>
          </w:p>
        </w:tc>
      </w:tr>
      <w:tr w:rsidR="00E46B85" w:rsidRPr="00B966DB" w:rsidTr="003F692D">
        <w:trPr>
          <w:jc w:val="center"/>
        </w:trPr>
        <w:tc>
          <w:tcPr>
            <w:tcW w:w="2304" w:type="dxa"/>
            <w:tcBorders>
              <w:top w:val="nil"/>
              <w:bottom w:val="nil"/>
            </w:tcBorders>
          </w:tcPr>
          <w:p w:rsidR="00E46B85" w:rsidRPr="00D2430C" w:rsidRDefault="00E46B85" w:rsidP="003947F3">
            <w:pPr>
              <w:spacing w:before="80" w:after="80"/>
              <w:jc w:val="left"/>
              <w:rPr>
                <w:rFonts w:cs="Times New Roman"/>
              </w:rPr>
            </w:pPr>
            <w:r>
              <w:rPr>
                <w:rFonts w:cs="Times New Roman"/>
              </w:rPr>
              <w:t xml:space="preserve">Log Orders Group </w:t>
            </w:r>
            <w:r w:rsidR="00354EB2">
              <w:rPr>
                <w:rFonts w:cs="Times New Roman"/>
              </w:rPr>
              <w:t>8</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w:t>
            </w:r>
            <w:r w:rsidR="00354EB2">
              <w:rPr>
                <w:rFonts w:cs="Times New Roman"/>
              </w:rPr>
              <w:t>19.46</w:t>
            </w:r>
            <w:r w:rsidRPr="00D2430C">
              <w:rPr>
                <w:rFonts w:cs="Times New Roman"/>
              </w:rPr>
              <w:t xml:space="preserve">%   </w:t>
            </w:r>
            <w:r>
              <w:rPr>
                <w:rFonts w:cs="Times New Roman"/>
              </w:rPr>
              <w:t xml:space="preserve"> </w:t>
            </w:r>
            <w:r w:rsidRPr="00D2430C">
              <w:rPr>
                <w:rFonts w:cs="Times New Roman"/>
              </w:rPr>
              <w:t xml:space="preserve">  (</w:t>
            </w:r>
            <w:r w:rsidR="00354EB2">
              <w:rPr>
                <w:rFonts w:cs="Times New Roman"/>
              </w:rPr>
              <w:t>13.10</w:t>
            </w:r>
            <w:r w:rsidRPr="00D2430C">
              <w:rPr>
                <w:rFonts w:cs="Times New Roman"/>
              </w:rPr>
              <w:t>%)</w:t>
            </w:r>
          </w:p>
        </w:tc>
        <w:tc>
          <w:tcPr>
            <w:tcW w:w="1728" w:type="dxa"/>
            <w:tcBorders>
              <w:top w:val="nil"/>
              <w:bottom w:val="nil"/>
            </w:tcBorders>
          </w:tcPr>
          <w:p w:rsidR="00E46B85" w:rsidRPr="00D2430C" w:rsidRDefault="00E46B85" w:rsidP="003947F3">
            <w:pPr>
              <w:spacing w:before="80" w:after="80"/>
              <w:jc w:val="left"/>
              <w:rPr>
                <w:rFonts w:cs="Times New Roman"/>
              </w:rPr>
            </w:pPr>
            <w:r w:rsidRPr="00D2430C">
              <w:rPr>
                <w:rFonts w:cs="Times New Roman"/>
              </w:rPr>
              <w:t xml:space="preserve">% Group </w:t>
            </w:r>
            <w:r>
              <w:rPr>
                <w:rFonts w:cs="Times New Roman"/>
              </w:rPr>
              <w:t>8</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-376.27</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84.56</w:t>
            </w:r>
            <w:r w:rsidRPr="00D2430C">
              <w:rPr>
                <w:rFonts w:cs="Times New Roman"/>
              </w:rPr>
              <w:t>%)</w:t>
            </w:r>
          </w:p>
        </w:tc>
      </w:tr>
      <w:tr w:rsidR="00E46B85" w:rsidRPr="00B966DB" w:rsidTr="003F692D">
        <w:trPr>
          <w:jc w:val="center"/>
        </w:trPr>
        <w:tc>
          <w:tcPr>
            <w:tcW w:w="2304" w:type="dxa"/>
            <w:tcBorders>
              <w:top w:val="nil"/>
              <w:bottom w:val="nil"/>
            </w:tcBorders>
          </w:tcPr>
          <w:p w:rsidR="00E46B85" w:rsidRDefault="00E46B85" w:rsidP="003947F3">
            <w:pPr>
              <w:spacing w:before="80" w:after="80"/>
              <w:jc w:val="left"/>
              <w:rPr>
                <w:rFonts w:cs="Times New Roman"/>
              </w:rPr>
            </w:pPr>
            <w:r>
              <w:rPr>
                <w:rFonts w:cs="Times New Roman"/>
              </w:rPr>
              <w:t xml:space="preserve">Log Orders Group </w:t>
            </w:r>
            <w:r w:rsidR="00354EB2">
              <w:rPr>
                <w:rFonts w:cs="Times New Roman"/>
              </w:rPr>
              <w:t>9</w:t>
            </w:r>
          </w:p>
        </w:tc>
        <w:tc>
          <w:tcPr>
            <w:tcW w:w="1728" w:type="dxa"/>
            <w:tcBorders>
              <w:top w:val="nil"/>
              <w:bottom w:val="nil"/>
            </w:tcBorders>
          </w:tcPr>
          <w:p w:rsidR="00E46B85" w:rsidRPr="00D2430C" w:rsidRDefault="00354EB2" w:rsidP="003947F3">
            <w:pPr>
              <w:tabs>
                <w:tab w:val="decimal" w:pos="599"/>
              </w:tabs>
              <w:spacing w:before="80" w:after="80"/>
              <w:jc w:val="left"/>
              <w:rPr>
                <w:rFonts w:cs="Times New Roman"/>
              </w:rPr>
            </w:pPr>
            <w:r>
              <w:rPr>
                <w:rFonts w:cs="Times New Roman"/>
              </w:rPr>
              <w:t>-32.44</w:t>
            </w:r>
            <w:r w:rsidR="00E46B85" w:rsidRPr="00D2430C">
              <w:rPr>
                <w:rFonts w:cs="Times New Roman"/>
              </w:rPr>
              <w:t>%</w:t>
            </w:r>
            <w:r w:rsidR="00E46B85">
              <w:rPr>
                <w:rFonts w:cs="Times New Roman"/>
                <w:vertAlign w:val="superscript"/>
              </w:rPr>
              <w:t>**</w:t>
            </w:r>
            <w:r w:rsidR="00E46B85" w:rsidRPr="00D2430C">
              <w:rPr>
                <w:rFonts w:cs="Times New Roman"/>
              </w:rPr>
              <w:t xml:space="preserve">   </w:t>
            </w:r>
            <w:r w:rsidR="00E46B85">
              <w:rPr>
                <w:rFonts w:cs="Times New Roman"/>
              </w:rPr>
              <w:t xml:space="preserve"> </w:t>
            </w:r>
            <w:r w:rsidR="00E46B85" w:rsidRPr="00D2430C">
              <w:rPr>
                <w:rFonts w:cs="Times New Roman"/>
              </w:rPr>
              <w:t xml:space="preserve">  (</w:t>
            </w:r>
            <w:r>
              <w:rPr>
                <w:rFonts w:cs="Times New Roman"/>
              </w:rPr>
              <w:t>12.54</w:t>
            </w:r>
            <w:r w:rsidR="00E46B85" w:rsidRPr="00D2430C">
              <w:rPr>
                <w:rFonts w:cs="Times New Roman"/>
              </w:rPr>
              <w:t>%)</w:t>
            </w:r>
          </w:p>
        </w:tc>
        <w:tc>
          <w:tcPr>
            <w:tcW w:w="1728" w:type="dxa"/>
            <w:tcBorders>
              <w:top w:val="nil"/>
              <w:bottom w:val="nil"/>
            </w:tcBorders>
          </w:tcPr>
          <w:p w:rsidR="00E46B85" w:rsidRPr="00D2430C" w:rsidRDefault="00E46B85" w:rsidP="003947F3">
            <w:pPr>
              <w:spacing w:before="80" w:after="80"/>
              <w:jc w:val="left"/>
              <w:rPr>
                <w:rFonts w:cs="Times New Roman"/>
              </w:rPr>
            </w:pPr>
            <w:r w:rsidRPr="00D2430C">
              <w:rPr>
                <w:rFonts w:cs="Times New Roman"/>
              </w:rPr>
              <w:t xml:space="preserve">% Group </w:t>
            </w:r>
            <w:r>
              <w:rPr>
                <w:rFonts w:cs="Times New Roman"/>
              </w:rPr>
              <w:t>9</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-580.22</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90.06</w:t>
            </w:r>
            <w:r w:rsidRPr="00D2430C">
              <w:rPr>
                <w:rFonts w:cs="Times New Roman"/>
              </w:rPr>
              <w:t>%)</w:t>
            </w:r>
          </w:p>
        </w:tc>
      </w:tr>
      <w:tr w:rsidR="00E46B85" w:rsidRPr="00B966DB" w:rsidTr="003F692D">
        <w:trPr>
          <w:jc w:val="center"/>
        </w:trPr>
        <w:tc>
          <w:tcPr>
            <w:tcW w:w="2304" w:type="dxa"/>
            <w:tcBorders>
              <w:top w:val="nil"/>
              <w:bottom w:val="nil"/>
            </w:tcBorders>
          </w:tcPr>
          <w:p w:rsidR="00E46B85" w:rsidRDefault="00354EB2" w:rsidP="003947F3">
            <w:pPr>
              <w:spacing w:before="80" w:after="80"/>
              <w:jc w:val="left"/>
              <w:rPr>
                <w:rFonts w:cs="Times New Roman"/>
              </w:rPr>
            </w:pPr>
            <w:r>
              <w:rPr>
                <w:rFonts w:cs="Times New Roman"/>
              </w:rPr>
              <w:t>Log Orders Group 10</w:t>
            </w:r>
          </w:p>
        </w:tc>
        <w:tc>
          <w:tcPr>
            <w:tcW w:w="1728" w:type="dxa"/>
            <w:tcBorders>
              <w:top w:val="nil"/>
              <w:bottom w:val="nil"/>
            </w:tcBorders>
          </w:tcPr>
          <w:p w:rsidR="00E46B85" w:rsidRPr="00D2430C" w:rsidRDefault="00354EB2" w:rsidP="003947F3">
            <w:pPr>
              <w:tabs>
                <w:tab w:val="decimal" w:pos="599"/>
              </w:tabs>
              <w:spacing w:before="80" w:after="80"/>
              <w:jc w:val="left"/>
              <w:rPr>
                <w:rFonts w:cs="Times New Roman"/>
              </w:rPr>
            </w:pPr>
            <w:r>
              <w:rPr>
                <w:rFonts w:cs="Times New Roman"/>
              </w:rPr>
              <w:t>-47.14</w:t>
            </w:r>
            <w:r w:rsidR="00E46B85" w:rsidRPr="00D2430C">
              <w:rPr>
                <w:rFonts w:cs="Times New Roman"/>
              </w:rPr>
              <w:t>%</w:t>
            </w:r>
            <w:r>
              <w:rPr>
                <w:rFonts w:cs="Times New Roman"/>
                <w:vertAlign w:val="superscript"/>
              </w:rPr>
              <w:t>**</w:t>
            </w:r>
            <w:r w:rsidR="00E46B85" w:rsidRPr="00D2430C">
              <w:rPr>
                <w:rFonts w:cs="Times New Roman"/>
              </w:rPr>
              <w:t xml:space="preserve">   </w:t>
            </w:r>
            <w:r w:rsidR="00E46B85">
              <w:rPr>
                <w:rFonts w:cs="Times New Roman"/>
              </w:rPr>
              <w:t xml:space="preserve"> </w:t>
            </w:r>
            <w:r w:rsidR="00E46B85" w:rsidRPr="00D2430C">
              <w:rPr>
                <w:rFonts w:cs="Times New Roman"/>
              </w:rPr>
              <w:t xml:space="preserve">  (</w:t>
            </w:r>
            <w:r>
              <w:rPr>
                <w:rFonts w:cs="Times New Roman"/>
              </w:rPr>
              <w:t>8.01</w:t>
            </w:r>
            <w:r w:rsidR="00E46B85" w:rsidRPr="00D2430C">
              <w:rPr>
                <w:rFonts w:cs="Times New Roman"/>
              </w:rPr>
              <w:t>%)</w:t>
            </w:r>
          </w:p>
        </w:tc>
        <w:tc>
          <w:tcPr>
            <w:tcW w:w="1728" w:type="dxa"/>
            <w:tcBorders>
              <w:top w:val="nil"/>
              <w:bottom w:val="nil"/>
            </w:tcBorders>
          </w:tcPr>
          <w:p w:rsidR="00E46B85" w:rsidRPr="00D2430C" w:rsidRDefault="00E46B85" w:rsidP="003947F3">
            <w:pPr>
              <w:spacing w:before="80" w:after="80"/>
              <w:jc w:val="left"/>
              <w:rPr>
                <w:rFonts w:cs="Times New Roman"/>
              </w:rPr>
            </w:pPr>
            <w:r w:rsidRPr="00D2430C">
              <w:rPr>
                <w:rFonts w:cs="Times New Roman"/>
              </w:rPr>
              <w:t xml:space="preserve">% Group </w:t>
            </w:r>
            <w:r>
              <w:rPr>
                <w:rFonts w:cs="Times New Roman"/>
              </w:rPr>
              <w:t>10</w:t>
            </w:r>
            <w:r w:rsidRPr="00D2430C">
              <w:rPr>
                <w:rFonts w:cs="Times New Roman"/>
              </w:rPr>
              <w:t xml:space="preserve"> </w:t>
            </w:r>
          </w:p>
        </w:tc>
        <w:tc>
          <w:tcPr>
            <w:tcW w:w="1728" w:type="dxa"/>
            <w:tcBorders>
              <w:top w:val="nil"/>
              <w:bottom w:val="nil"/>
            </w:tcBorders>
          </w:tcPr>
          <w:p w:rsidR="00E46B85" w:rsidRPr="00D2430C" w:rsidRDefault="00E46B85" w:rsidP="003947F3">
            <w:pPr>
              <w:tabs>
                <w:tab w:val="decimal" w:pos="599"/>
              </w:tabs>
              <w:spacing w:before="80" w:after="80"/>
              <w:jc w:val="left"/>
              <w:rPr>
                <w:rFonts w:cs="Times New Roman"/>
              </w:rPr>
            </w:pPr>
            <w:r>
              <w:rPr>
                <w:rFonts w:cs="Times New Roman"/>
              </w:rPr>
              <w:t>-1069.58</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114.63</w:t>
            </w:r>
            <w:r w:rsidRPr="00D2430C">
              <w:rPr>
                <w:rFonts w:cs="Times New Roman"/>
              </w:rPr>
              <w:t>%)</w:t>
            </w:r>
          </w:p>
        </w:tc>
      </w:tr>
      <w:tr w:rsidR="00E46B85" w:rsidRPr="00B966DB" w:rsidTr="003F692D">
        <w:trPr>
          <w:jc w:val="center"/>
        </w:trPr>
        <w:tc>
          <w:tcPr>
            <w:tcW w:w="2304" w:type="dxa"/>
            <w:tcBorders>
              <w:top w:val="nil"/>
            </w:tcBorders>
          </w:tcPr>
          <w:p w:rsidR="00E46B85" w:rsidRPr="00D2430C" w:rsidRDefault="00E46B85" w:rsidP="003947F3">
            <w:pPr>
              <w:spacing w:before="80" w:after="80"/>
              <w:jc w:val="left"/>
              <w:rPr>
                <w:rFonts w:cs="Times New Roman"/>
                <w:vertAlign w:val="superscript"/>
              </w:rPr>
            </w:pPr>
            <w:r w:rsidRPr="00D2430C">
              <w:rPr>
                <w:rFonts w:cs="Times New Roman"/>
              </w:rPr>
              <w:t>R</w:t>
            </w:r>
            <w:r w:rsidRPr="00D2430C">
              <w:rPr>
                <w:rFonts w:cs="Times New Roman"/>
                <w:vertAlign w:val="superscript"/>
              </w:rPr>
              <w:t>2</w:t>
            </w:r>
          </w:p>
        </w:tc>
        <w:tc>
          <w:tcPr>
            <w:tcW w:w="1728" w:type="dxa"/>
            <w:tcBorders>
              <w:top w:val="nil"/>
            </w:tcBorders>
          </w:tcPr>
          <w:p w:rsidR="00E46B85" w:rsidRPr="00D2430C" w:rsidRDefault="00E46B85" w:rsidP="003947F3">
            <w:pPr>
              <w:spacing w:before="80" w:after="80"/>
              <w:rPr>
                <w:rFonts w:cs="Times New Roman"/>
              </w:rPr>
            </w:pPr>
            <w:r w:rsidRPr="00D2430C">
              <w:rPr>
                <w:rFonts w:cs="Times New Roman"/>
              </w:rPr>
              <w:t>0.</w:t>
            </w:r>
            <w:r>
              <w:rPr>
                <w:rFonts w:cs="Times New Roman"/>
              </w:rPr>
              <w:t>2</w:t>
            </w:r>
            <w:r w:rsidR="00354EB2">
              <w:rPr>
                <w:rFonts w:cs="Times New Roman"/>
              </w:rPr>
              <w:t>226</w:t>
            </w:r>
          </w:p>
        </w:tc>
        <w:tc>
          <w:tcPr>
            <w:tcW w:w="1728" w:type="dxa"/>
            <w:tcBorders>
              <w:top w:val="nil"/>
            </w:tcBorders>
            <w:vAlign w:val="center"/>
          </w:tcPr>
          <w:p w:rsidR="00E46B85" w:rsidRPr="00D2430C" w:rsidRDefault="00E46B85" w:rsidP="003947F3">
            <w:pPr>
              <w:keepNext/>
              <w:spacing w:before="80" w:after="80"/>
              <w:rPr>
                <w:rFonts w:cs="Times New Roman"/>
              </w:rPr>
            </w:pPr>
          </w:p>
        </w:tc>
        <w:tc>
          <w:tcPr>
            <w:tcW w:w="1728" w:type="dxa"/>
            <w:tcBorders>
              <w:top w:val="nil"/>
            </w:tcBorders>
            <w:vAlign w:val="center"/>
          </w:tcPr>
          <w:p w:rsidR="00E46B85" w:rsidRPr="00D2430C" w:rsidRDefault="00E46B85" w:rsidP="003947F3">
            <w:pPr>
              <w:keepNext/>
              <w:spacing w:before="80" w:after="80"/>
              <w:rPr>
                <w:rFonts w:cs="Times New Roman"/>
              </w:rPr>
            </w:pPr>
            <w:r w:rsidRPr="00D2430C">
              <w:rPr>
                <w:rFonts w:cs="Times New Roman"/>
              </w:rPr>
              <w:t>0.</w:t>
            </w:r>
            <w:r>
              <w:rPr>
                <w:rFonts w:cs="Times New Roman"/>
              </w:rPr>
              <w:t>2322</w:t>
            </w:r>
          </w:p>
        </w:tc>
      </w:tr>
    </w:tbl>
    <w:p w:rsidR="00FC0F05" w:rsidRDefault="00E46B85" w:rsidP="003947F3">
      <w:pPr>
        <w:spacing w:before="60" w:line="240" w:lineRule="auto"/>
        <w:ind w:left="720" w:right="749"/>
        <w:rPr>
          <w:b/>
        </w:rPr>
      </w:pPr>
      <w:r w:rsidRPr="00B966DB">
        <w:rPr>
          <w:rFonts w:cs="Times New Roman"/>
          <w:sz w:val="20"/>
          <w:szCs w:val="20"/>
        </w:rPr>
        <w:t>The table reports the coefficie</w:t>
      </w:r>
      <w:r>
        <w:rPr>
          <w:rFonts w:cs="Times New Roman"/>
          <w:sz w:val="20"/>
          <w:szCs w:val="20"/>
        </w:rPr>
        <w:t xml:space="preserve">nts of interest from estimating Equations </w:t>
      </w:r>
      <w:r w:rsidRPr="00B966DB">
        <w:rPr>
          <w:rFonts w:cs="Times New Roman"/>
          <w:sz w:val="20"/>
          <w:szCs w:val="20"/>
        </w:rPr>
        <w:t>2</w:t>
      </w:r>
      <w:r>
        <w:rPr>
          <w:rFonts w:cs="Times New Roman"/>
          <w:sz w:val="20"/>
          <w:szCs w:val="20"/>
        </w:rPr>
        <w:t xml:space="preserve"> and 3</w:t>
      </w:r>
      <w:r w:rsidR="00354EB2">
        <w:rPr>
          <w:rFonts w:cs="Times New Roman"/>
          <w:sz w:val="20"/>
          <w:szCs w:val="20"/>
        </w:rPr>
        <w:t xml:space="preserve"> using decile instead of quartile splits of the </w:t>
      </w:r>
      <w:r w:rsidR="00354EB2" w:rsidRPr="00354EB2">
        <w:rPr>
          <w:rFonts w:cs="Times New Roman"/>
          <w:i/>
          <w:sz w:val="20"/>
          <w:szCs w:val="20"/>
        </w:rPr>
        <w:t>Average Success Rate</w:t>
      </w:r>
      <w:r w:rsidR="00354EB2">
        <w:rPr>
          <w:rFonts w:cs="Times New Roman"/>
          <w:sz w:val="20"/>
          <w:szCs w:val="20"/>
        </w:rPr>
        <w:t xml:space="preserve"> measure</w:t>
      </w:r>
      <w:r w:rsidRPr="00B966DB">
        <w:rPr>
          <w:rFonts w:cs="Times New Roman"/>
          <w:sz w:val="20"/>
          <w:szCs w:val="20"/>
        </w:rPr>
        <w:t xml:space="preserve">. </w:t>
      </w:r>
      <w:r>
        <w:rPr>
          <w:rFonts w:cs="Times New Roman"/>
          <w:sz w:val="20"/>
          <w:szCs w:val="20"/>
        </w:rPr>
        <w:t>Coefficients are estimated for the control variables but are omitted from this table.</w:t>
      </w:r>
      <w:r w:rsidRPr="00B966DB">
        <w:rPr>
          <w:rFonts w:cs="Times New Roman"/>
          <w:sz w:val="20"/>
          <w:szCs w:val="20"/>
        </w:rPr>
        <w:t xml:space="preserve"> </w:t>
      </w:r>
      <w:r>
        <w:rPr>
          <w:rFonts w:cs="Times New Roman"/>
          <w:sz w:val="20"/>
          <w:szCs w:val="20"/>
        </w:rPr>
        <w:t>T</w:t>
      </w:r>
      <w:r w:rsidRPr="00B966DB">
        <w:rPr>
          <w:rFonts w:cs="Times New Roman"/>
          <w:sz w:val="20"/>
          <w:szCs w:val="20"/>
        </w:rPr>
        <w:t>he unit of analysis</w:t>
      </w:r>
      <w:r>
        <w:rPr>
          <w:rFonts w:cs="Times New Roman"/>
          <w:sz w:val="20"/>
          <w:szCs w:val="20"/>
        </w:rPr>
        <w:t xml:space="preserve"> is</w:t>
      </w:r>
      <w:r w:rsidRPr="00B966DB">
        <w:rPr>
          <w:rFonts w:cs="Times New Roman"/>
          <w:sz w:val="20"/>
          <w:szCs w:val="20"/>
        </w:rPr>
        <w:t xml:space="preserve"> a new item and the sample size</w:t>
      </w:r>
      <w:r>
        <w:rPr>
          <w:rFonts w:cs="Times New Roman"/>
          <w:sz w:val="20"/>
          <w:szCs w:val="20"/>
        </w:rPr>
        <w:t>s are 2,378 (</w:t>
      </w:r>
      <w:r w:rsidR="009732DD">
        <w:rPr>
          <w:rFonts w:cs="Times New Roman"/>
          <w:sz w:val="20"/>
          <w:szCs w:val="20"/>
        </w:rPr>
        <w:t>Equation</w:t>
      </w:r>
      <w:r>
        <w:rPr>
          <w:rFonts w:cs="Times New Roman"/>
          <w:sz w:val="20"/>
          <w:szCs w:val="20"/>
        </w:rPr>
        <w:t xml:space="preserve"> 2) and</w:t>
      </w:r>
      <w:r w:rsidRPr="00B966DB">
        <w:rPr>
          <w:rFonts w:cs="Times New Roman"/>
          <w:sz w:val="20"/>
          <w:szCs w:val="20"/>
        </w:rPr>
        <w:t xml:space="preserve"> 2,</w:t>
      </w:r>
      <w:r>
        <w:rPr>
          <w:rFonts w:cs="Times New Roman"/>
          <w:sz w:val="20"/>
          <w:szCs w:val="20"/>
        </w:rPr>
        <w:t>388 (</w:t>
      </w:r>
      <w:r w:rsidR="009732DD">
        <w:rPr>
          <w:rFonts w:cs="Times New Roman"/>
          <w:sz w:val="20"/>
          <w:szCs w:val="20"/>
        </w:rPr>
        <w:t>Equation</w:t>
      </w:r>
      <w:r>
        <w:rPr>
          <w:rFonts w:cs="Times New Roman"/>
          <w:sz w:val="20"/>
          <w:szCs w:val="20"/>
        </w:rPr>
        <w:t xml:space="preserve"> 3)</w:t>
      </w:r>
      <w:r w:rsidRPr="00B966DB">
        <w:rPr>
          <w:rFonts w:cs="Times New Roman"/>
          <w:sz w:val="20"/>
          <w:szCs w:val="20"/>
        </w:rPr>
        <w:t xml:space="preserve">. </w:t>
      </w:r>
      <w:r>
        <w:rPr>
          <w:rFonts w:cs="Times New Roman"/>
          <w:sz w:val="20"/>
          <w:szCs w:val="20"/>
        </w:rPr>
        <w:t xml:space="preserve">The difference in sample sizes reflects zero purchases for 10 observations in a zip code x decile (log of zero is undefined).  </w:t>
      </w:r>
      <w:r w:rsidRPr="00B966DB">
        <w:rPr>
          <w:rFonts w:cs="Times New Roman"/>
          <w:sz w:val="20"/>
          <w:szCs w:val="20"/>
        </w:rPr>
        <w:t>Standard errors are in parentheses.</w:t>
      </w:r>
      <w:r>
        <w:rPr>
          <w:b/>
        </w:rPr>
        <w:br w:type="page"/>
      </w:r>
    </w:p>
    <w:p w:rsidR="00ED3EA0" w:rsidRPr="008D503D" w:rsidRDefault="00ED3EA0" w:rsidP="00ED3EA0">
      <w:pPr>
        <w:keepNext/>
        <w:spacing w:before="240" w:after="120"/>
        <w:jc w:val="center"/>
        <w:rPr>
          <w:b/>
          <w:color w:val="000000" w:themeColor="text1"/>
        </w:rPr>
      </w:pPr>
      <w:r w:rsidRPr="008D503D">
        <w:rPr>
          <w:b/>
          <w:color w:val="000000" w:themeColor="text1"/>
        </w:rPr>
        <w:lastRenderedPageBreak/>
        <w:t>Grouping Zip Codes Using Decile Splits of the Average Success 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D3EA0" w:rsidTr="00FA3C3C">
        <w:tc>
          <w:tcPr>
            <w:tcW w:w="4513" w:type="dxa"/>
          </w:tcPr>
          <w:p w:rsidR="00ED3EA0" w:rsidRPr="008D503D" w:rsidRDefault="00ED3EA0" w:rsidP="00213747">
            <w:pPr>
              <w:rPr>
                <w:b/>
                <w:color w:val="000000" w:themeColor="text1"/>
              </w:rPr>
            </w:pPr>
            <w:r>
              <w:rPr>
                <w:b/>
                <w:color w:val="000000" w:themeColor="text1"/>
              </w:rPr>
              <w:t xml:space="preserve">Equation </w:t>
            </w:r>
            <w:r w:rsidRPr="008D503D">
              <w:rPr>
                <w:b/>
                <w:color w:val="000000" w:themeColor="text1"/>
              </w:rPr>
              <w:t>2</w:t>
            </w:r>
          </w:p>
        </w:tc>
        <w:tc>
          <w:tcPr>
            <w:tcW w:w="4513" w:type="dxa"/>
          </w:tcPr>
          <w:p w:rsidR="00ED3EA0" w:rsidRPr="008D503D" w:rsidRDefault="00ED3EA0" w:rsidP="00213747">
            <w:pPr>
              <w:rPr>
                <w:b/>
                <w:color w:val="000000" w:themeColor="text1"/>
              </w:rPr>
            </w:pPr>
            <w:r>
              <w:rPr>
                <w:b/>
                <w:color w:val="000000" w:themeColor="text1"/>
              </w:rPr>
              <w:t xml:space="preserve">Equation </w:t>
            </w:r>
            <w:r w:rsidRPr="008D503D">
              <w:rPr>
                <w:b/>
                <w:color w:val="000000" w:themeColor="text1"/>
              </w:rPr>
              <w:t>3</w:t>
            </w:r>
          </w:p>
        </w:tc>
      </w:tr>
      <w:tr w:rsidR="00ED3EA0" w:rsidTr="00FA3C3C">
        <w:tc>
          <w:tcPr>
            <w:tcW w:w="4513" w:type="dxa"/>
          </w:tcPr>
          <w:p w:rsidR="00ED3EA0" w:rsidRDefault="00ED3EA0" w:rsidP="00FA3C3C">
            <w:pPr>
              <w:rPr>
                <w:color w:val="000000" w:themeColor="text1"/>
              </w:rPr>
            </w:pPr>
            <w:r>
              <w:rPr>
                <w:noProof/>
                <w:color w:val="000000" w:themeColor="text1"/>
              </w:rPr>
              <w:drawing>
                <wp:inline distT="0" distB="0" distL="0" distR="0" wp14:anchorId="4DDAA634" wp14:editId="5826F487">
                  <wp:extent cx="2743200" cy="164797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647979"/>
                          </a:xfrm>
                          <a:prstGeom prst="rect">
                            <a:avLst/>
                          </a:prstGeom>
                          <a:noFill/>
                        </pic:spPr>
                      </pic:pic>
                    </a:graphicData>
                  </a:graphic>
                </wp:inline>
              </w:drawing>
            </w:r>
          </w:p>
        </w:tc>
        <w:tc>
          <w:tcPr>
            <w:tcW w:w="4513" w:type="dxa"/>
          </w:tcPr>
          <w:p w:rsidR="00ED3EA0" w:rsidRDefault="00ED3EA0" w:rsidP="00FA3C3C">
            <w:pPr>
              <w:rPr>
                <w:color w:val="000000" w:themeColor="text1"/>
              </w:rPr>
            </w:pPr>
            <w:r>
              <w:rPr>
                <w:noProof/>
                <w:color w:val="000000" w:themeColor="text1"/>
              </w:rPr>
              <w:drawing>
                <wp:inline distT="0" distB="0" distL="0" distR="0" wp14:anchorId="697FBE80" wp14:editId="64BC1E12">
                  <wp:extent cx="2743200" cy="1645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645691"/>
                          </a:xfrm>
                          <a:prstGeom prst="rect">
                            <a:avLst/>
                          </a:prstGeom>
                          <a:noFill/>
                        </pic:spPr>
                      </pic:pic>
                    </a:graphicData>
                  </a:graphic>
                </wp:inline>
              </w:drawing>
            </w:r>
          </w:p>
        </w:tc>
      </w:tr>
    </w:tbl>
    <w:p w:rsidR="00ED3EA0" w:rsidRDefault="00ED3EA0" w:rsidP="003947F3">
      <w:pPr>
        <w:spacing w:before="60" w:line="240" w:lineRule="auto"/>
        <w:ind w:left="360" w:right="540"/>
      </w:pPr>
      <w:r w:rsidRPr="00B966DB">
        <w:rPr>
          <w:rFonts w:cs="Times New Roman"/>
          <w:sz w:val="20"/>
          <w:szCs w:val="20"/>
        </w:rPr>
        <w:t xml:space="preserve">The </w:t>
      </w:r>
      <w:r>
        <w:rPr>
          <w:rFonts w:cs="Times New Roman"/>
          <w:sz w:val="20"/>
          <w:szCs w:val="20"/>
        </w:rPr>
        <w:t>figure</w:t>
      </w:r>
      <w:r w:rsidRPr="00B966DB">
        <w:rPr>
          <w:rFonts w:cs="Times New Roman"/>
          <w:sz w:val="20"/>
          <w:szCs w:val="20"/>
        </w:rPr>
        <w:t xml:space="preserve"> </w:t>
      </w:r>
      <w:r>
        <w:rPr>
          <w:rFonts w:cs="Times New Roman"/>
          <w:sz w:val="20"/>
          <w:szCs w:val="20"/>
        </w:rPr>
        <w:t>summarizes</w:t>
      </w:r>
      <w:r w:rsidRPr="00B966DB">
        <w:rPr>
          <w:rFonts w:cs="Times New Roman"/>
          <w:sz w:val="20"/>
          <w:szCs w:val="20"/>
        </w:rPr>
        <w:t xml:space="preserve"> the coefficie</w:t>
      </w:r>
      <w:r>
        <w:rPr>
          <w:rFonts w:cs="Times New Roman"/>
          <w:sz w:val="20"/>
          <w:szCs w:val="20"/>
        </w:rPr>
        <w:t xml:space="preserve">nts of interest when estimating Equations </w:t>
      </w:r>
      <w:r w:rsidRPr="00B966DB">
        <w:rPr>
          <w:rFonts w:cs="Times New Roman"/>
          <w:sz w:val="20"/>
          <w:szCs w:val="20"/>
        </w:rPr>
        <w:t>2</w:t>
      </w:r>
      <w:r>
        <w:rPr>
          <w:rFonts w:cs="Times New Roman"/>
          <w:sz w:val="20"/>
          <w:szCs w:val="20"/>
        </w:rPr>
        <w:t xml:space="preserve"> and 3 using decile instead of quartile splits of the </w:t>
      </w:r>
      <w:r w:rsidRPr="00354EB2">
        <w:rPr>
          <w:rFonts w:cs="Times New Roman"/>
          <w:i/>
          <w:sz w:val="20"/>
          <w:szCs w:val="20"/>
        </w:rPr>
        <w:t>Average Success Rate</w:t>
      </w:r>
      <w:r>
        <w:rPr>
          <w:rFonts w:cs="Times New Roman"/>
          <w:sz w:val="20"/>
          <w:szCs w:val="20"/>
        </w:rPr>
        <w:t xml:space="preserve"> measure</w:t>
      </w:r>
      <w:r w:rsidRPr="00B966DB">
        <w:rPr>
          <w:rFonts w:cs="Times New Roman"/>
          <w:sz w:val="20"/>
          <w:szCs w:val="20"/>
        </w:rPr>
        <w:t xml:space="preserve">. </w:t>
      </w:r>
      <w:r>
        <w:rPr>
          <w:rFonts w:cs="Times New Roman"/>
          <w:sz w:val="20"/>
          <w:szCs w:val="20"/>
        </w:rPr>
        <w:t xml:space="preserve">Error bars indicate 95% confidence intervals.  </w:t>
      </w:r>
    </w:p>
    <w:p w:rsidR="003947F3" w:rsidRDefault="003947F3" w:rsidP="003947F3">
      <w:pPr>
        <w:spacing w:before="240" w:after="240"/>
      </w:pPr>
      <w:r w:rsidRPr="003947F3">
        <w:t xml:space="preserve">Zip codes with lower </w:t>
      </w:r>
      <w:r w:rsidRPr="003947F3">
        <w:rPr>
          <w:i/>
        </w:rPr>
        <w:t>Average Success Rates</w:t>
      </w:r>
      <w:r w:rsidRPr="003947F3">
        <w:t xml:space="preserve"> are grouped in higher numbered deciles. More purchases of new products by these zip codes is a clear signal that the new products will fail. Although not perfectly monotonic, the pattern is reassuringly consistent with the previous findings. In the </w:t>
      </w:r>
      <w:r>
        <w:t>table below</w:t>
      </w:r>
      <w:r w:rsidRPr="003947F3">
        <w:t xml:space="preserve"> we also use this decile analysis to investigate the “buying power” of harbingers. In particular, we calculated the proportion of 2013 sales contributed by each decile. We see that the harbinger deciles contribute a disproportionate percentage of 2013 revenue. The two deciles with the lowest</w:t>
      </w:r>
      <w:r w:rsidRPr="003947F3">
        <w:rPr>
          <w:i/>
        </w:rPr>
        <w:t xml:space="preserve"> Average Success Rate </w:t>
      </w:r>
      <w:r w:rsidRPr="003947F3">
        <w:t>represent 20% of the zip codes but contribute 25.8% of 2013 revenue.</w:t>
      </w:r>
    </w:p>
    <w:p w:rsidR="00FC0F05" w:rsidRDefault="00FC0F05" w:rsidP="00FC0F05">
      <w:pPr>
        <w:jc w:val="center"/>
        <w:rPr>
          <w:b/>
        </w:rPr>
      </w:pPr>
      <w:r>
        <w:rPr>
          <w:b/>
        </w:rPr>
        <w:t>Proportion of 2013 Revenue</w:t>
      </w:r>
      <w:r w:rsidR="00AA509D">
        <w:rPr>
          <w:b/>
        </w:rPr>
        <w:t xml:space="preserve"> Contributed by Each </w:t>
      </w:r>
      <w:r w:rsidRPr="00AA509D">
        <w:rPr>
          <w:b/>
          <w:i/>
        </w:rPr>
        <w:t>Average Success Rate</w:t>
      </w:r>
      <w:r w:rsidR="00AA509D">
        <w:rPr>
          <w:b/>
        </w:rPr>
        <w:t xml:space="preserve"> Decile</w:t>
      </w:r>
    </w:p>
    <w:p w:rsidR="00AA1D78" w:rsidRDefault="00FC0F05" w:rsidP="00FC0F05">
      <w:pPr>
        <w:jc w:val="center"/>
        <w:rPr>
          <w:b/>
        </w:rPr>
      </w:pPr>
      <w:r>
        <w:rPr>
          <w:rFonts w:asciiTheme="majorHAnsi" w:hAnsiTheme="majorHAnsi"/>
          <w:noProof/>
          <w:color w:val="222222"/>
          <w:highlight w:val="white"/>
        </w:rPr>
        <w:drawing>
          <wp:inline distT="0" distB="0" distL="0" distR="0" wp14:anchorId="4A530103" wp14:editId="6D5AAAD3">
            <wp:extent cx="4206240" cy="252339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6240" cy="2523395"/>
                    </a:xfrm>
                    <a:prstGeom prst="rect">
                      <a:avLst/>
                    </a:prstGeom>
                    <a:noFill/>
                  </pic:spPr>
                </pic:pic>
              </a:graphicData>
            </a:graphic>
          </wp:inline>
        </w:drawing>
      </w:r>
    </w:p>
    <w:p w:rsidR="00FC0F05" w:rsidRPr="00FC0F05" w:rsidRDefault="00FC0F05" w:rsidP="003947F3">
      <w:pPr>
        <w:spacing w:before="0" w:line="240" w:lineRule="auto"/>
        <w:ind w:left="1627" w:right="1526"/>
        <w:rPr>
          <w:sz w:val="20"/>
          <w:szCs w:val="20"/>
        </w:rPr>
      </w:pPr>
      <w:r w:rsidRPr="00FC0F05">
        <w:rPr>
          <w:sz w:val="20"/>
          <w:szCs w:val="20"/>
        </w:rPr>
        <w:t xml:space="preserve">The figure is a histogram summarizing the % of 2013 revenue contributed by each group of zip codes. </w:t>
      </w:r>
      <w:r>
        <w:rPr>
          <w:sz w:val="20"/>
          <w:szCs w:val="20"/>
        </w:rPr>
        <w:t xml:space="preserve">The columns add to 100%.  The zip codes are grouped into deciles according to the </w:t>
      </w:r>
      <w:r w:rsidRPr="00FC0F05">
        <w:rPr>
          <w:i/>
          <w:sz w:val="20"/>
          <w:szCs w:val="20"/>
        </w:rPr>
        <w:t>Average Success Rate</w:t>
      </w:r>
      <w:r>
        <w:rPr>
          <w:sz w:val="20"/>
          <w:szCs w:val="20"/>
        </w:rPr>
        <w:t xml:space="preserve"> calculated using the products in the classification set.  The Decile 1 zip codes have the highest </w:t>
      </w:r>
      <w:r w:rsidRPr="00FC0F05">
        <w:rPr>
          <w:i/>
          <w:sz w:val="20"/>
          <w:szCs w:val="20"/>
        </w:rPr>
        <w:t>Average Success Rate</w:t>
      </w:r>
      <w:r>
        <w:rPr>
          <w:sz w:val="20"/>
          <w:szCs w:val="20"/>
        </w:rPr>
        <w:t>.</w:t>
      </w:r>
    </w:p>
    <w:p w:rsidR="00FC0F05" w:rsidRDefault="00FC0F05">
      <w:pPr>
        <w:rPr>
          <w:b/>
        </w:rPr>
      </w:pPr>
      <w:r>
        <w:rPr>
          <w:b/>
        </w:rPr>
        <w:br w:type="page"/>
      </w:r>
    </w:p>
    <w:p w:rsidR="00BC4A7D" w:rsidRPr="00BC4A7D" w:rsidRDefault="00BC4A7D" w:rsidP="00BC4A7D">
      <w:pPr>
        <w:jc w:val="center"/>
        <w:rPr>
          <w:b/>
        </w:rPr>
      </w:pPr>
      <w:r w:rsidRPr="00BC4A7D">
        <w:rPr>
          <w:b/>
        </w:rPr>
        <w:lastRenderedPageBreak/>
        <w:t>Differences in Marketing Activities</w:t>
      </w:r>
    </w:p>
    <w:p w:rsidR="00BC4A7D" w:rsidRDefault="00BC4A7D" w:rsidP="00BC4A7D">
      <w:r>
        <w:t>We collected additional information and conducted additional analysis at MassStore to investigate the possibility that the harbinger effect is due to variation in marketing activities across zip codes. The first step was to understand the degree to which the firm engaged in target marketing during the period in which our data was drawn. We learned that at that time there was little variation in this retailer’s marketing activities across zip codes. Existing customers all received direct mail, but the same direct mail piece was sent to every member. The firm had very few online sales and a relatively small digital advertising budget. It did not intentionally vary its digital advertising by geography.</w:t>
      </w:r>
      <w:r>
        <w:rPr>
          <w:rStyle w:val="FootnoteReference"/>
        </w:rPr>
        <w:footnoteReference w:id="3"/>
      </w:r>
      <w:r>
        <w:t xml:space="preserve"> When prospecting for new customers the retailer primarily used two marketing activities: mass media advertising and direct mail. The reach of the mass media advertising varied by geographic region. However, within a 3-digit zip code it did not vary, and so our inclusion of 3-digit fixed effects rules out this source of variation as an explanation. The firms’ direct mail prospecting also used a single variant (it did not engage in targeting). The only exception were “no mail” control groups, which were randomly assigned. </w:t>
      </w:r>
    </w:p>
    <w:p w:rsidR="00BC4A7D" w:rsidRDefault="00BC4A7D" w:rsidP="00BC4A7D">
      <w:r>
        <w:t>Although not conclusive, this suggests that the effects we reported are unlikely to be attributable to the firm’s marketing activities. To supplement this evidence</w:t>
      </w:r>
      <w:r w:rsidR="0017199C">
        <w:t>,</w:t>
      </w:r>
      <w:r>
        <w:t xml:space="preserve"> we also conducted additional analysis using newly acquired customers. This analysis uses data collected as part of our larger research team’s activities with this retailer. In particular, the research team designed a series of direct mail experiments to help the firm target its direct mail prospecting activities (this occurred after the time period used in the paper). During this period our data records the direct mail sent to every prospect. This allows us to identify any variation in marketing activities across zip codes. </w:t>
      </w:r>
    </w:p>
    <w:p w:rsidR="00BC4A7D" w:rsidRDefault="00BC4A7D" w:rsidP="00BC4A7D">
      <w:r>
        <w:t xml:space="preserve">Our analysis focuses on a single six month prospecting “season” and in this season we use the number of orders within a 3-digit zip code to define items that are “low volume”. In particular, we rank the items within each 3-digit zip code according to how frequently they were purchased in this six-month season (by both new and existing customers). Within each 3-digit zip code we identify the </w:t>
      </w:r>
      <w:r w:rsidRPr="00975324">
        <w:rPr>
          <w:i/>
        </w:rPr>
        <w:t>Low Volume</w:t>
      </w:r>
      <w:r>
        <w:t xml:space="preserve"> items: the lowest volume items that collectively contribute 50% of total orders within a 3-digit zip code. The same approach is used in the main text to</w:t>
      </w:r>
      <w:r w:rsidRPr="00B966DB">
        <w:t xml:space="preserve"> investigate the differences between harbinger zip codes and non-harbinger zip codes at </w:t>
      </w:r>
      <w:r>
        <w:t xml:space="preserve">MassStore by </w:t>
      </w:r>
      <w:r w:rsidRPr="00B966DB">
        <w:t>compar</w:t>
      </w:r>
      <w:r>
        <w:t>ing</w:t>
      </w:r>
      <w:r w:rsidRPr="00B966DB">
        <w:t xml:space="preserve"> purchases of </w:t>
      </w:r>
      <w:r>
        <w:t xml:space="preserve">existing </w:t>
      </w:r>
      <w:r w:rsidRPr="00B966DB">
        <w:t xml:space="preserve">items </w:t>
      </w:r>
      <w:r>
        <w:t>(</w:t>
      </w:r>
      <w:r w:rsidRPr="00B966DB">
        <w:t>not newly introduced</w:t>
      </w:r>
      <w:r>
        <w:t>)</w:t>
      </w:r>
      <w:r w:rsidRPr="00B966DB">
        <w:t>.</w:t>
      </w:r>
      <w:r>
        <w:t xml:space="preserve"> </w:t>
      </w:r>
    </w:p>
    <w:p w:rsidR="00BC4A7D" w:rsidRDefault="00BC4A7D" w:rsidP="00BC4A7D">
      <w:r>
        <w:t xml:space="preserve">We calculate the proportion of </w:t>
      </w:r>
      <w:r w:rsidRPr="00CE3EA3">
        <w:rPr>
          <w:i/>
        </w:rPr>
        <w:t>Low Volume</w:t>
      </w:r>
      <w:r>
        <w:t xml:space="preserve"> items purchased by new customers acquired in this six month prospecting season. We compare this proportion for new customers acquired using different promotional offers. The promotional offers included a $25 discount (approximately 50% off the membership price), a 90-day free trial, or a 120-day free trial (longer trial).  The promotional offers were randomly assigned to different carrier routes. Each carrier route is within a single zip code and includes approximately 400 households. There are an average of 14 carrier routes per zip code. As a result, it was common for different households in a zip code to randomly receive different promotional offers. In the figure and table below we report the proportion of </w:t>
      </w:r>
      <w:r w:rsidRPr="00CE3EA3">
        <w:rPr>
          <w:i/>
        </w:rPr>
        <w:t>Low Volume</w:t>
      </w:r>
      <w:r>
        <w:t xml:space="preserve"> items purchased by new customers acquired using the different promotional offers. We group the zip codes using the original harbinger </w:t>
      </w:r>
      <w:r>
        <w:lastRenderedPageBreak/>
        <w:t xml:space="preserve">classification calculated using the full sample of 4,712 new products (including both the classification and validation sets). </w:t>
      </w:r>
    </w:p>
    <w:p w:rsidR="00BC4A7D" w:rsidRPr="007B5C92" w:rsidRDefault="00BC4A7D" w:rsidP="00BC4A7D">
      <w:pPr>
        <w:keepNext/>
        <w:spacing w:before="240" w:after="120"/>
        <w:jc w:val="center"/>
        <w:rPr>
          <w:b/>
        </w:rPr>
      </w:pPr>
      <w:r w:rsidRPr="007B5C92">
        <w:rPr>
          <w:b/>
        </w:rPr>
        <w:t xml:space="preserve">% of </w:t>
      </w:r>
      <w:r w:rsidRPr="007B5C92">
        <w:rPr>
          <w:b/>
          <w:i/>
        </w:rPr>
        <w:t>Low Volume</w:t>
      </w:r>
      <w:r w:rsidRPr="007B5C92">
        <w:rPr>
          <w:b/>
        </w:rPr>
        <w:t xml:space="preserve"> Items Purchased by New Customers</w:t>
      </w:r>
    </w:p>
    <w:p w:rsidR="00BC4A7D" w:rsidRDefault="00BC4A7D" w:rsidP="00BC4A7D">
      <w:pPr>
        <w:spacing w:before="240"/>
        <w:jc w:val="center"/>
      </w:pPr>
      <w:r>
        <w:rPr>
          <w:noProof/>
        </w:rPr>
        <w:drawing>
          <wp:inline distT="0" distB="0" distL="0" distR="0" wp14:anchorId="1F68C7FC" wp14:editId="11CCE0AC">
            <wp:extent cx="4297680" cy="257825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7680" cy="2578251"/>
                    </a:xfrm>
                    <a:prstGeom prst="rect">
                      <a:avLst/>
                    </a:prstGeom>
                    <a:noFill/>
                  </pic:spPr>
                </pic:pic>
              </a:graphicData>
            </a:graphic>
          </wp:inline>
        </w:drawing>
      </w:r>
    </w:p>
    <w:p w:rsidR="00794AF2" w:rsidRDefault="00794AF2" w:rsidP="00E450B3">
      <w:pPr>
        <w:spacing w:after="120"/>
        <w:jc w:val="cente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440"/>
        <w:gridCol w:w="1440"/>
        <w:gridCol w:w="1440"/>
      </w:tblGrid>
      <w:tr w:rsidR="00E450B3" w:rsidRPr="00B90F76" w:rsidTr="00E450B3">
        <w:trPr>
          <w:jc w:val="center"/>
        </w:trPr>
        <w:tc>
          <w:tcPr>
            <w:tcW w:w="1870" w:type="dxa"/>
            <w:tcBorders>
              <w:top w:val="double" w:sz="4" w:space="0" w:color="auto"/>
              <w:bottom w:val="single" w:sz="4" w:space="0" w:color="auto"/>
            </w:tcBorders>
          </w:tcPr>
          <w:p w:rsidR="00E450B3" w:rsidRDefault="00E450B3" w:rsidP="00E450B3">
            <w:pPr>
              <w:keepNext/>
              <w:spacing w:before="120" w:after="120"/>
            </w:pPr>
          </w:p>
        </w:tc>
        <w:tc>
          <w:tcPr>
            <w:tcW w:w="1440" w:type="dxa"/>
            <w:tcBorders>
              <w:top w:val="double" w:sz="4" w:space="0" w:color="auto"/>
              <w:bottom w:val="single" w:sz="4" w:space="0" w:color="auto"/>
            </w:tcBorders>
          </w:tcPr>
          <w:p w:rsidR="00E450B3" w:rsidRPr="00B90F76" w:rsidRDefault="00E450B3" w:rsidP="00E450B3">
            <w:pPr>
              <w:keepNext/>
              <w:spacing w:before="120" w:after="120"/>
              <w:rPr>
                <w:b/>
              </w:rPr>
            </w:pPr>
            <w:r w:rsidRPr="00B90F76">
              <w:rPr>
                <w:b/>
              </w:rPr>
              <w:t>Discount</w:t>
            </w:r>
          </w:p>
        </w:tc>
        <w:tc>
          <w:tcPr>
            <w:tcW w:w="1440" w:type="dxa"/>
            <w:tcBorders>
              <w:top w:val="double" w:sz="4" w:space="0" w:color="auto"/>
              <w:bottom w:val="single" w:sz="4" w:space="0" w:color="auto"/>
            </w:tcBorders>
          </w:tcPr>
          <w:p w:rsidR="00E450B3" w:rsidRPr="00B90F76" w:rsidRDefault="00E450B3" w:rsidP="00E450B3">
            <w:pPr>
              <w:keepNext/>
              <w:spacing w:before="120" w:after="120"/>
              <w:rPr>
                <w:b/>
              </w:rPr>
            </w:pPr>
            <w:r w:rsidRPr="00B90F76">
              <w:rPr>
                <w:b/>
              </w:rPr>
              <w:t>90-day Trial</w:t>
            </w:r>
          </w:p>
        </w:tc>
        <w:tc>
          <w:tcPr>
            <w:tcW w:w="1440" w:type="dxa"/>
            <w:tcBorders>
              <w:top w:val="double" w:sz="4" w:space="0" w:color="auto"/>
              <w:bottom w:val="single" w:sz="4" w:space="0" w:color="auto"/>
            </w:tcBorders>
          </w:tcPr>
          <w:p w:rsidR="00E450B3" w:rsidRPr="00B90F76" w:rsidRDefault="00E450B3" w:rsidP="00E450B3">
            <w:pPr>
              <w:keepNext/>
              <w:spacing w:before="120" w:after="120"/>
              <w:rPr>
                <w:b/>
              </w:rPr>
            </w:pPr>
            <w:r w:rsidRPr="00B90F76">
              <w:rPr>
                <w:b/>
              </w:rPr>
              <w:t>120-day Trial</w:t>
            </w:r>
          </w:p>
        </w:tc>
      </w:tr>
      <w:tr w:rsidR="00E450B3" w:rsidTr="006E6692">
        <w:trPr>
          <w:jc w:val="center"/>
        </w:trPr>
        <w:tc>
          <w:tcPr>
            <w:tcW w:w="1870" w:type="dxa"/>
            <w:tcBorders>
              <w:top w:val="single" w:sz="4" w:space="0" w:color="auto"/>
              <w:bottom w:val="nil"/>
            </w:tcBorders>
          </w:tcPr>
          <w:p w:rsidR="00E450B3" w:rsidRDefault="00E450B3" w:rsidP="00E450B3">
            <w:pPr>
              <w:keepNext/>
              <w:spacing w:before="120" w:after="120"/>
            </w:pPr>
            <w:r>
              <w:t>Group 1</w:t>
            </w:r>
          </w:p>
        </w:tc>
        <w:tc>
          <w:tcPr>
            <w:tcW w:w="1440" w:type="dxa"/>
            <w:tcBorders>
              <w:top w:val="single" w:sz="4" w:space="0" w:color="auto"/>
              <w:bottom w:val="nil"/>
            </w:tcBorders>
          </w:tcPr>
          <w:p w:rsidR="00E450B3" w:rsidRDefault="00E450B3" w:rsidP="00E450B3">
            <w:pPr>
              <w:keepNext/>
              <w:tabs>
                <w:tab w:val="decimal" w:pos="180"/>
              </w:tabs>
              <w:spacing w:before="120" w:after="120"/>
            </w:pPr>
            <w:r>
              <w:t>74.50%   (0.06%)</w:t>
            </w:r>
          </w:p>
        </w:tc>
        <w:tc>
          <w:tcPr>
            <w:tcW w:w="1440" w:type="dxa"/>
            <w:tcBorders>
              <w:top w:val="single" w:sz="4" w:space="0" w:color="auto"/>
              <w:bottom w:val="nil"/>
            </w:tcBorders>
          </w:tcPr>
          <w:p w:rsidR="00E450B3" w:rsidRDefault="00E450B3" w:rsidP="00E450B3">
            <w:pPr>
              <w:keepNext/>
              <w:tabs>
                <w:tab w:val="decimal" w:pos="180"/>
              </w:tabs>
              <w:spacing w:before="120" w:after="120"/>
            </w:pPr>
            <w:r>
              <w:t>75.13%   (0.16%)</w:t>
            </w:r>
          </w:p>
        </w:tc>
        <w:tc>
          <w:tcPr>
            <w:tcW w:w="1440" w:type="dxa"/>
            <w:tcBorders>
              <w:top w:val="single" w:sz="4" w:space="0" w:color="auto"/>
              <w:bottom w:val="nil"/>
            </w:tcBorders>
          </w:tcPr>
          <w:p w:rsidR="00E450B3" w:rsidRDefault="00E450B3" w:rsidP="00E450B3">
            <w:pPr>
              <w:keepNext/>
              <w:tabs>
                <w:tab w:val="decimal" w:pos="180"/>
              </w:tabs>
              <w:spacing w:before="120" w:after="120"/>
            </w:pPr>
            <w:r>
              <w:t>74.45%   (0.15%)</w:t>
            </w:r>
          </w:p>
        </w:tc>
      </w:tr>
      <w:tr w:rsidR="00E450B3" w:rsidTr="006E6692">
        <w:trPr>
          <w:jc w:val="center"/>
        </w:trPr>
        <w:tc>
          <w:tcPr>
            <w:tcW w:w="1870" w:type="dxa"/>
            <w:tcBorders>
              <w:top w:val="nil"/>
            </w:tcBorders>
          </w:tcPr>
          <w:p w:rsidR="00E450B3" w:rsidRDefault="00E450B3" w:rsidP="00E450B3">
            <w:pPr>
              <w:keepNext/>
              <w:spacing w:before="120" w:after="120"/>
            </w:pPr>
            <w:r>
              <w:t>Group 2</w:t>
            </w:r>
          </w:p>
        </w:tc>
        <w:tc>
          <w:tcPr>
            <w:tcW w:w="1440" w:type="dxa"/>
            <w:tcBorders>
              <w:top w:val="nil"/>
            </w:tcBorders>
          </w:tcPr>
          <w:p w:rsidR="00E450B3" w:rsidRDefault="00E450B3" w:rsidP="00E450B3">
            <w:pPr>
              <w:keepNext/>
              <w:tabs>
                <w:tab w:val="decimal" w:pos="180"/>
              </w:tabs>
              <w:spacing w:before="120" w:after="120"/>
            </w:pPr>
            <w:r>
              <w:t>75.24%   (0.07%)</w:t>
            </w:r>
          </w:p>
        </w:tc>
        <w:tc>
          <w:tcPr>
            <w:tcW w:w="1440" w:type="dxa"/>
            <w:tcBorders>
              <w:top w:val="nil"/>
            </w:tcBorders>
          </w:tcPr>
          <w:p w:rsidR="00E450B3" w:rsidRDefault="00E450B3" w:rsidP="00E450B3">
            <w:pPr>
              <w:keepNext/>
              <w:tabs>
                <w:tab w:val="decimal" w:pos="180"/>
              </w:tabs>
              <w:spacing w:before="120" w:after="120"/>
            </w:pPr>
            <w:r>
              <w:t>75.63%   (0.20%)</w:t>
            </w:r>
          </w:p>
        </w:tc>
        <w:tc>
          <w:tcPr>
            <w:tcW w:w="1440" w:type="dxa"/>
            <w:tcBorders>
              <w:top w:val="nil"/>
            </w:tcBorders>
          </w:tcPr>
          <w:p w:rsidR="00E450B3" w:rsidRDefault="00E450B3" w:rsidP="00E450B3">
            <w:pPr>
              <w:keepNext/>
              <w:tabs>
                <w:tab w:val="decimal" w:pos="180"/>
              </w:tabs>
              <w:spacing w:before="120" w:after="120"/>
            </w:pPr>
            <w:r>
              <w:t>76.01%   (0.16%)</w:t>
            </w:r>
          </w:p>
        </w:tc>
      </w:tr>
      <w:tr w:rsidR="00E450B3" w:rsidTr="006E6692">
        <w:trPr>
          <w:jc w:val="center"/>
        </w:trPr>
        <w:tc>
          <w:tcPr>
            <w:tcW w:w="1870" w:type="dxa"/>
          </w:tcPr>
          <w:p w:rsidR="00E450B3" w:rsidRDefault="00E450B3" w:rsidP="00E450B3">
            <w:pPr>
              <w:keepNext/>
              <w:spacing w:before="120" w:after="120"/>
            </w:pPr>
            <w:r>
              <w:t>Group 3</w:t>
            </w:r>
          </w:p>
        </w:tc>
        <w:tc>
          <w:tcPr>
            <w:tcW w:w="1440" w:type="dxa"/>
          </w:tcPr>
          <w:p w:rsidR="00E450B3" w:rsidRDefault="00E450B3" w:rsidP="00E450B3">
            <w:pPr>
              <w:keepNext/>
              <w:tabs>
                <w:tab w:val="decimal" w:pos="180"/>
              </w:tabs>
              <w:spacing w:before="120" w:after="120"/>
            </w:pPr>
            <w:r>
              <w:t>76.02%   (0.07%)</w:t>
            </w:r>
          </w:p>
        </w:tc>
        <w:tc>
          <w:tcPr>
            <w:tcW w:w="1440" w:type="dxa"/>
          </w:tcPr>
          <w:p w:rsidR="00E450B3" w:rsidRDefault="00E450B3" w:rsidP="00E450B3">
            <w:pPr>
              <w:keepNext/>
              <w:tabs>
                <w:tab w:val="decimal" w:pos="180"/>
              </w:tabs>
              <w:spacing w:before="120" w:after="120"/>
            </w:pPr>
            <w:r>
              <w:t>76.56%   (0.17%)</w:t>
            </w:r>
          </w:p>
        </w:tc>
        <w:tc>
          <w:tcPr>
            <w:tcW w:w="1440" w:type="dxa"/>
          </w:tcPr>
          <w:p w:rsidR="00E450B3" w:rsidRDefault="00E450B3" w:rsidP="00E450B3">
            <w:pPr>
              <w:keepNext/>
              <w:tabs>
                <w:tab w:val="decimal" w:pos="180"/>
              </w:tabs>
              <w:spacing w:before="120" w:after="120"/>
            </w:pPr>
            <w:r>
              <w:t>76.23%   (0.17%)</w:t>
            </w:r>
          </w:p>
        </w:tc>
      </w:tr>
      <w:tr w:rsidR="00E450B3" w:rsidTr="00E450B3">
        <w:trPr>
          <w:jc w:val="center"/>
        </w:trPr>
        <w:tc>
          <w:tcPr>
            <w:tcW w:w="1870" w:type="dxa"/>
          </w:tcPr>
          <w:p w:rsidR="00E450B3" w:rsidRDefault="00E450B3" w:rsidP="00E450B3">
            <w:pPr>
              <w:keepNext/>
              <w:spacing w:before="120" w:after="120"/>
            </w:pPr>
            <w:r>
              <w:t>Group 4</w:t>
            </w:r>
          </w:p>
        </w:tc>
        <w:tc>
          <w:tcPr>
            <w:tcW w:w="1440" w:type="dxa"/>
          </w:tcPr>
          <w:p w:rsidR="00E450B3" w:rsidRDefault="00E450B3" w:rsidP="00E450B3">
            <w:pPr>
              <w:keepNext/>
              <w:tabs>
                <w:tab w:val="decimal" w:pos="180"/>
              </w:tabs>
              <w:spacing w:before="120" w:after="120"/>
            </w:pPr>
            <w:r>
              <w:t>77.27%   (0.07%)</w:t>
            </w:r>
          </w:p>
        </w:tc>
        <w:tc>
          <w:tcPr>
            <w:tcW w:w="1440" w:type="dxa"/>
          </w:tcPr>
          <w:p w:rsidR="00E450B3" w:rsidRDefault="00E450B3" w:rsidP="00E450B3">
            <w:pPr>
              <w:keepNext/>
              <w:tabs>
                <w:tab w:val="decimal" w:pos="180"/>
              </w:tabs>
              <w:spacing w:before="120" w:after="120"/>
            </w:pPr>
            <w:r>
              <w:t>77.42%   (0.18%)</w:t>
            </w:r>
          </w:p>
        </w:tc>
        <w:tc>
          <w:tcPr>
            <w:tcW w:w="1440" w:type="dxa"/>
          </w:tcPr>
          <w:p w:rsidR="00E450B3" w:rsidRDefault="00E450B3" w:rsidP="00E450B3">
            <w:pPr>
              <w:keepNext/>
              <w:tabs>
                <w:tab w:val="decimal" w:pos="180"/>
              </w:tabs>
              <w:spacing w:before="120" w:after="120"/>
            </w:pPr>
            <w:r>
              <w:t>77.83%   (0.16%)</w:t>
            </w:r>
          </w:p>
        </w:tc>
      </w:tr>
      <w:tr w:rsidR="00E450B3" w:rsidTr="00E450B3">
        <w:trPr>
          <w:jc w:val="center"/>
        </w:trPr>
        <w:tc>
          <w:tcPr>
            <w:tcW w:w="1870" w:type="dxa"/>
          </w:tcPr>
          <w:p w:rsidR="00E450B3" w:rsidRPr="00E450B3" w:rsidRDefault="00E450B3" w:rsidP="00E450B3">
            <w:pPr>
              <w:keepNext/>
              <w:spacing w:after="120"/>
              <w:rPr>
                <w:b/>
              </w:rPr>
            </w:pPr>
            <w:r w:rsidRPr="00E450B3">
              <w:rPr>
                <w:b/>
              </w:rPr>
              <w:t>Sample Sizes</w:t>
            </w:r>
          </w:p>
        </w:tc>
        <w:tc>
          <w:tcPr>
            <w:tcW w:w="1440" w:type="dxa"/>
          </w:tcPr>
          <w:p w:rsidR="00E450B3" w:rsidRDefault="00E450B3" w:rsidP="00E450B3">
            <w:pPr>
              <w:keepNext/>
              <w:tabs>
                <w:tab w:val="decimal" w:pos="490"/>
              </w:tabs>
              <w:spacing w:after="120"/>
            </w:pPr>
          </w:p>
        </w:tc>
        <w:tc>
          <w:tcPr>
            <w:tcW w:w="1440" w:type="dxa"/>
          </w:tcPr>
          <w:p w:rsidR="00E450B3" w:rsidRDefault="00E450B3" w:rsidP="00E450B3">
            <w:pPr>
              <w:keepNext/>
              <w:tabs>
                <w:tab w:val="decimal" w:pos="490"/>
              </w:tabs>
              <w:spacing w:after="120"/>
            </w:pPr>
          </w:p>
        </w:tc>
        <w:tc>
          <w:tcPr>
            <w:tcW w:w="1440" w:type="dxa"/>
          </w:tcPr>
          <w:p w:rsidR="00E450B3" w:rsidRDefault="00E450B3" w:rsidP="00E450B3">
            <w:pPr>
              <w:keepNext/>
              <w:tabs>
                <w:tab w:val="decimal" w:pos="490"/>
              </w:tabs>
              <w:spacing w:after="120"/>
            </w:pPr>
          </w:p>
        </w:tc>
      </w:tr>
      <w:tr w:rsidR="00E450B3" w:rsidTr="00E450B3">
        <w:trPr>
          <w:jc w:val="center"/>
        </w:trPr>
        <w:tc>
          <w:tcPr>
            <w:tcW w:w="1870" w:type="dxa"/>
          </w:tcPr>
          <w:p w:rsidR="00E450B3" w:rsidRDefault="00E450B3" w:rsidP="00E450B3">
            <w:pPr>
              <w:keepNext/>
              <w:spacing w:before="120" w:after="120"/>
            </w:pPr>
            <w:r>
              <w:t>Group 1</w:t>
            </w:r>
          </w:p>
        </w:tc>
        <w:tc>
          <w:tcPr>
            <w:tcW w:w="1440" w:type="dxa"/>
          </w:tcPr>
          <w:p w:rsidR="00E450B3" w:rsidRDefault="00E450B3" w:rsidP="00E450B3">
            <w:pPr>
              <w:keepNext/>
              <w:spacing w:before="120" w:after="120"/>
            </w:pPr>
            <w:r>
              <w:t>16,128</w:t>
            </w:r>
          </w:p>
        </w:tc>
        <w:tc>
          <w:tcPr>
            <w:tcW w:w="1440" w:type="dxa"/>
          </w:tcPr>
          <w:p w:rsidR="00E450B3" w:rsidRDefault="00E450B3" w:rsidP="00E450B3">
            <w:pPr>
              <w:keepNext/>
              <w:spacing w:before="120" w:after="120"/>
            </w:pPr>
            <w:r>
              <w:t>2,960</w:t>
            </w:r>
          </w:p>
        </w:tc>
        <w:tc>
          <w:tcPr>
            <w:tcW w:w="1440" w:type="dxa"/>
          </w:tcPr>
          <w:p w:rsidR="00E450B3" w:rsidRDefault="00E450B3" w:rsidP="00E450B3">
            <w:pPr>
              <w:keepNext/>
              <w:spacing w:before="120" w:after="120"/>
            </w:pPr>
            <w:r>
              <w:t>3,545</w:t>
            </w:r>
          </w:p>
        </w:tc>
      </w:tr>
      <w:tr w:rsidR="00E450B3" w:rsidTr="00E450B3">
        <w:trPr>
          <w:jc w:val="center"/>
        </w:trPr>
        <w:tc>
          <w:tcPr>
            <w:tcW w:w="1870" w:type="dxa"/>
          </w:tcPr>
          <w:p w:rsidR="00E450B3" w:rsidRDefault="00E450B3" w:rsidP="00E450B3">
            <w:pPr>
              <w:keepNext/>
              <w:spacing w:before="120" w:after="120"/>
            </w:pPr>
            <w:r>
              <w:t>Group 2</w:t>
            </w:r>
          </w:p>
        </w:tc>
        <w:tc>
          <w:tcPr>
            <w:tcW w:w="1440" w:type="dxa"/>
          </w:tcPr>
          <w:p w:rsidR="00E450B3" w:rsidRDefault="00E450B3" w:rsidP="00E450B3">
            <w:pPr>
              <w:keepNext/>
              <w:spacing w:before="120" w:after="120"/>
            </w:pPr>
            <w:r>
              <w:t>17,794</w:t>
            </w:r>
          </w:p>
        </w:tc>
        <w:tc>
          <w:tcPr>
            <w:tcW w:w="1440" w:type="dxa"/>
          </w:tcPr>
          <w:p w:rsidR="00E450B3" w:rsidRDefault="00E450B3" w:rsidP="00E450B3">
            <w:pPr>
              <w:keepNext/>
              <w:spacing w:before="120" w:after="120"/>
            </w:pPr>
            <w:r>
              <w:t>2,434</w:t>
            </w:r>
          </w:p>
        </w:tc>
        <w:tc>
          <w:tcPr>
            <w:tcW w:w="1440" w:type="dxa"/>
          </w:tcPr>
          <w:p w:rsidR="00E450B3" w:rsidRDefault="00E450B3" w:rsidP="00E450B3">
            <w:pPr>
              <w:keepNext/>
              <w:spacing w:before="120" w:after="120"/>
            </w:pPr>
            <w:r>
              <w:t>3,217</w:t>
            </w:r>
          </w:p>
        </w:tc>
      </w:tr>
      <w:tr w:rsidR="00E450B3" w:rsidTr="00E450B3">
        <w:trPr>
          <w:jc w:val="center"/>
        </w:trPr>
        <w:tc>
          <w:tcPr>
            <w:tcW w:w="1870" w:type="dxa"/>
          </w:tcPr>
          <w:p w:rsidR="00E450B3" w:rsidRDefault="00E450B3" w:rsidP="00E450B3">
            <w:pPr>
              <w:keepNext/>
              <w:spacing w:before="120" w:after="120"/>
            </w:pPr>
            <w:r>
              <w:t>Group 3</w:t>
            </w:r>
          </w:p>
        </w:tc>
        <w:tc>
          <w:tcPr>
            <w:tcW w:w="1440" w:type="dxa"/>
          </w:tcPr>
          <w:p w:rsidR="00E450B3" w:rsidRDefault="00E450B3" w:rsidP="00E450B3">
            <w:pPr>
              <w:keepNext/>
              <w:spacing w:before="120" w:after="120"/>
            </w:pPr>
            <w:r>
              <w:t>16,878</w:t>
            </w:r>
          </w:p>
        </w:tc>
        <w:tc>
          <w:tcPr>
            <w:tcW w:w="1440" w:type="dxa"/>
          </w:tcPr>
          <w:p w:rsidR="00E450B3" w:rsidRDefault="00E450B3" w:rsidP="00E450B3">
            <w:pPr>
              <w:keepNext/>
              <w:spacing w:before="120" w:after="120"/>
            </w:pPr>
            <w:r>
              <w:t>3,001</w:t>
            </w:r>
          </w:p>
        </w:tc>
        <w:tc>
          <w:tcPr>
            <w:tcW w:w="1440" w:type="dxa"/>
          </w:tcPr>
          <w:p w:rsidR="00E450B3" w:rsidRDefault="00E450B3" w:rsidP="00E450B3">
            <w:pPr>
              <w:keepNext/>
              <w:spacing w:before="120" w:after="120"/>
            </w:pPr>
            <w:r>
              <w:t>3,226</w:t>
            </w:r>
          </w:p>
        </w:tc>
      </w:tr>
      <w:tr w:rsidR="00E450B3" w:rsidTr="00E450B3">
        <w:trPr>
          <w:jc w:val="center"/>
        </w:trPr>
        <w:tc>
          <w:tcPr>
            <w:tcW w:w="1870" w:type="dxa"/>
            <w:tcBorders>
              <w:bottom w:val="double" w:sz="4" w:space="0" w:color="auto"/>
            </w:tcBorders>
          </w:tcPr>
          <w:p w:rsidR="00E450B3" w:rsidRDefault="00E450B3" w:rsidP="00E450B3">
            <w:pPr>
              <w:keepNext/>
              <w:spacing w:before="120" w:after="120"/>
            </w:pPr>
            <w:r>
              <w:t>Group 4</w:t>
            </w:r>
          </w:p>
        </w:tc>
        <w:tc>
          <w:tcPr>
            <w:tcW w:w="1440" w:type="dxa"/>
            <w:tcBorders>
              <w:bottom w:val="double" w:sz="4" w:space="0" w:color="auto"/>
            </w:tcBorders>
          </w:tcPr>
          <w:p w:rsidR="00E450B3" w:rsidRDefault="00E450B3" w:rsidP="00E450B3">
            <w:pPr>
              <w:keepNext/>
              <w:spacing w:before="120" w:after="120"/>
            </w:pPr>
            <w:r>
              <w:t>16,528</w:t>
            </w:r>
          </w:p>
        </w:tc>
        <w:tc>
          <w:tcPr>
            <w:tcW w:w="1440" w:type="dxa"/>
            <w:tcBorders>
              <w:bottom w:val="double" w:sz="4" w:space="0" w:color="auto"/>
            </w:tcBorders>
          </w:tcPr>
          <w:p w:rsidR="00E450B3" w:rsidRDefault="00E450B3" w:rsidP="00E450B3">
            <w:pPr>
              <w:keepNext/>
              <w:spacing w:before="120" w:after="120"/>
            </w:pPr>
            <w:r>
              <w:t>2,810</w:t>
            </w:r>
          </w:p>
        </w:tc>
        <w:tc>
          <w:tcPr>
            <w:tcW w:w="1440" w:type="dxa"/>
            <w:tcBorders>
              <w:bottom w:val="double" w:sz="4" w:space="0" w:color="auto"/>
            </w:tcBorders>
          </w:tcPr>
          <w:p w:rsidR="00E450B3" w:rsidRDefault="00E450B3" w:rsidP="00E450B3">
            <w:pPr>
              <w:keepNext/>
              <w:spacing w:before="120" w:after="120"/>
            </w:pPr>
            <w:r>
              <w:t>3,494</w:t>
            </w:r>
          </w:p>
        </w:tc>
      </w:tr>
    </w:tbl>
    <w:p w:rsidR="00BC4A7D" w:rsidRDefault="00AA1D78" w:rsidP="00BC4A7D">
      <w:r>
        <w:rPr>
          <w:b/>
        </w:rPr>
        <w:br w:type="page"/>
      </w:r>
      <w:r w:rsidR="00BC4A7D" w:rsidRPr="00036A8A">
        <w:lastRenderedPageBreak/>
        <w:t>The figure</w:t>
      </w:r>
      <w:r w:rsidR="00BC4A7D">
        <w:t xml:space="preserve"> and table</w:t>
      </w:r>
      <w:r w:rsidR="00BC4A7D" w:rsidRPr="00036A8A">
        <w:t xml:space="preserve"> report the proportion the percentage of </w:t>
      </w:r>
      <w:r w:rsidR="00BC4A7D" w:rsidRPr="00036A8A">
        <w:rPr>
          <w:i/>
        </w:rPr>
        <w:t>Low Volume</w:t>
      </w:r>
      <w:r w:rsidR="00BC4A7D" w:rsidRPr="00036A8A">
        <w:t xml:space="preserve"> items</w:t>
      </w:r>
      <w:r w:rsidR="00BC4A7D">
        <w:t xml:space="preserve"> among the items </w:t>
      </w:r>
      <w:r w:rsidR="00BC4A7D" w:rsidRPr="00036A8A">
        <w:t>purchase</w:t>
      </w:r>
      <w:r w:rsidR="00BC4A7D">
        <w:t>d</w:t>
      </w:r>
      <w:r w:rsidR="00BC4A7D" w:rsidRPr="00036A8A">
        <w:t xml:space="preserve"> during the fall 2015 prospecting season by new customers acquired during this season. </w:t>
      </w:r>
      <w:r w:rsidR="00BC4A7D">
        <w:t xml:space="preserve">Customers are grouped according to the original harbinger classification of zip codes, and by the type of promotion used to acquire each customer. </w:t>
      </w:r>
    </w:p>
    <w:p w:rsidR="00BC4A7D" w:rsidRDefault="00BC4A7D" w:rsidP="00BC4A7D">
      <w:pPr>
        <w:rPr>
          <w:rFonts w:eastAsia="SimSun" w:cs="Times New Roman"/>
        </w:rPr>
      </w:pPr>
      <w:r>
        <w:t xml:space="preserve">There are two findings of interest. First, the results replicate the harbinger effect: new customers in harbinger zip codes are more likely to purchase </w:t>
      </w:r>
      <w:r w:rsidRPr="00F64C9F">
        <w:rPr>
          <w:i/>
        </w:rPr>
        <w:t>Low Volume</w:t>
      </w:r>
      <w:r>
        <w:t xml:space="preserve"> items, compared to new customers in non-harbinger zip codes. This replication is reassuring as the both the customers and the time period are different than the results reported in the main text. Second, within a single promotion condition there is strong evidence of a harbinger effect. Notably, within a single promotion condition, the new customers were all exposed to the same marketing actions, and so the effects cannot be attributed to differences in marketing actions. Together</w:t>
      </w:r>
      <w:r w:rsidR="0017199C">
        <w:t>,</w:t>
      </w:r>
      <w:r>
        <w:t xml:space="preserve"> these findings allow us to conclude that the harbinger effect is robust, and is not solely due to variation in the firm’s marketing activities.</w:t>
      </w:r>
      <w:r>
        <w:rPr>
          <w:rFonts w:eastAsia="SimSun" w:cs="Times New Roman"/>
        </w:rPr>
        <w:t xml:space="preserve"> </w:t>
      </w:r>
    </w:p>
    <w:p w:rsidR="00BC4A7D" w:rsidRDefault="00BC4A7D" w:rsidP="00BC4A7D">
      <w:pPr>
        <w:rPr>
          <w:b/>
        </w:rPr>
      </w:pPr>
    </w:p>
    <w:p w:rsidR="00BC4A7D" w:rsidRDefault="00BC4A7D">
      <w:pPr>
        <w:rPr>
          <w:b/>
        </w:rPr>
      </w:pPr>
      <w:r>
        <w:rPr>
          <w:b/>
        </w:rPr>
        <w:br w:type="page"/>
      </w:r>
    </w:p>
    <w:p w:rsidR="00426DB1" w:rsidRPr="00664E79" w:rsidRDefault="00426DB1" w:rsidP="00426DB1">
      <w:pPr>
        <w:keepNext/>
        <w:jc w:val="center"/>
        <w:rPr>
          <w:b/>
        </w:rPr>
      </w:pPr>
      <w:r w:rsidRPr="00664E79">
        <w:rPr>
          <w:b/>
        </w:rPr>
        <w:lastRenderedPageBreak/>
        <w:t>Do Harbingers Purchase Items that Other Customers Return?</w:t>
      </w:r>
    </w:p>
    <w:p w:rsidR="00426DB1" w:rsidRDefault="00426DB1" w:rsidP="00426DB1">
      <w:r>
        <w:t xml:space="preserve">We begin by calculating the average return rate for each item. </w:t>
      </w:r>
      <w:r w:rsidR="00115ACF">
        <w:t>W</w:t>
      </w:r>
      <w:r>
        <w:t xml:space="preserve">hen calculating the average return rate for an item we exclude return decisions in the focal zip code. This allows us to measure return decisions by “other customers”. We then use purchases by customers in each zip code to calculate the average return rate (by other customers) for items purchased in that zip code, weighting by the number of units purchased. We then re-estimate Equation 4 using the </w:t>
      </w:r>
      <w:r w:rsidRPr="001A21B7">
        <w:rPr>
          <w:i/>
        </w:rPr>
        <w:t>Average Return Rate</w:t>
      </w:r>
      <w:r>
        <w:t xml:space="preserve"> (by other customers) as the dependent variable. The coefficients of interest are reported in Table 8.</w:t>
      </w:r>
    </w:p>
    <w:p w:rsidR="00426DB1" w:rsidRDefault="00426DB1" w:rsidP="00426DB1">
      <w:r>
        <w:rPr>
          <w:rFonts w:eastAsia="SimSun" w:cs="Times New Roman"/>
        </w:rPr>
        <w:t>In this analysis</w:t>
      </w:r>
      <w:r w:rsidR="0017199C">
        <w:rPr>
          <w:rFonts w:eastAsia="SimSun" w:cs="Times New Roman"/>
        </w:rPr>
        <w:t>,</w:t>
      </w:r>
      <w:r>
        <w:rPr>
          <w:rFonts w:eastAsia="SimSun" w:cs="Times New Roman"/>
        </w:rPr>
        <w:t xml:space="preserve"> the coefficient of interest measures how the </w:t>
      </w:r>
      <w:r w:rsidRPr="001A21B7">
        <w:rPr>
          <w:rFonts w:eastAsia="SimSun" w:cs="Times New Roman"/>
          <w:i/>
        </w:rPr>
        <w:t>Average Return Rate</w:t>
      </w:r>
      <w:r>
        <w:rPr>
          <w:rFonts w:eastAsia="SimSun" w:cs="Times New Roman"/>
        </w:rPr>
        <w:t xml:space="preserve"> (by other customers) varies within a 3-digit zip code according to the </w:t>
      </w:r>
      <w:r w:rsidRPr="00A57D6A">
        <w:rPr>
          <w:rFonts w:eastAsia="SimSun" w:cs="Times New Roman"/>
          <w:i/>
        </w:rPr>
        <w:t>Average Success Rate</w:t>
      </w:r>
      <w:r>
        <w:rPr>
          <w:rFonts w:eastAsia="SimSun" w:cs="Times New Roman"/>
        </w:rPr>
        <w:t xml:space="preserve"> of new product purchases at MassStore.</w:t>
      </w:r>
      <w:r>
        <w:rPr>
          <w:rStyle w:val="FootnoteReference"/>
          <w:rFonts w:cs="Times New Roman"/>
        </w:rPr>
        <w:footnoteReference w:id="4"/>
      </w:r>
      <w:r>
        <w:rPr>
          <w:rFonts w:eastAsia="SimSun" w:cs="Times New Roman"/>
        </w:rPr>
        <w:t xml:space="preserve"> If harbinger zip codes are more likely to purchase items that other customers return, then we would expect to see a negative coefficient for this variable, indicating a higher </w:t>
      </w:r>
      <w:r w:rsidRPr="0086073C">
        <w:rPr>
          <w:rFonts w:eastAsia="SimSun" w:cs="Times New Roman"/>
          <w:i/>
        </w:rPr>
        <w:t>Average Return Rate</w:t>
      </w:r>
      <w:r>
        <w:rPr>
          <w:rFonts w:eastAsia="SimSun" w:cs="Times New Roman"/>
        </w:rPr>
        <w:t xml:space="preserve"> when the </w:t>
      </w:r>
      <w:r w:rsidRPr="0086073C">
        <w:rPr>
          <w:rFonts w:eastAsia="SimSun" w:cs="Times New Roman"/>
          <w:i/>
        </w:rPr>
        <w:t>Average Success Rate</w:t>
      </w:r>
      <w:r>
        <w:rPr>
          <w:rFonts w:eastAsia="SimSun" w:cs="Times New Roman"/>
        </w:rPr>
        <w:t xml:space="preserve"> is lower. </w:t>
      </w:r>
      <w:r>
        <w:t xml:space="preserve">The findings confirm that harbinger zip codes are more likely than neighboring zip codes to purchase items that other customers return. A 10% decrease in the </w:t>
      </w:r>
      <w:r w:rsidRPr="00BD271A">
        <w:rPr>
          <w:i/>
        </w:rPr>
        <w:t>Average Success Rate</w:t>
      </w:r>
      <w:r>
        <w:t xml:space="preserve"> in a zip code is associated with an increase of more than 2% in the average return rate (by customers in other zip codes). This effect is almost identical when using transactions from 2010 or 2011.  </w:t>
      </w:r>
    </w:p>
    <w:p w:rsidR="00426DB1" w:rsidRDefault="00426DB1" w:rsidP="00426DB1">
      <w:r>
        <w:t>One interpretation of a high return rate on an item is that it indicates many of the other customers did not like the item. Thus, a tendency to purchase items that other customers return suggests that harbingers purchase items that many others do not like. This argument would be stronger if we knew that other customers returned the item because they did not like it. Fortunately, ApparelCo asks customers to indicate the reason that an item is returned. We group the return reasons into four groups and summarize the frequency of their occurrence in the tables on the following pages.</w:t>
      </w:r>
    </w:p>
    <w:p w:rsidR="00426DB1" w:rsidRDefault="00426DB1" w:rsidP="00426DB1">
      <w:r w:rsidRPr="00426EB3">
        <w:t xml:space="preserve">The most common reason </w:t>
      </w:r>
      <w:r>
        <w:t>an item is</w:t>
      </w:r>
      <w:r w:rsidRPr="00426EB3">
        <w:t xml:space="preserve"> returned is </w:t>
      </w:r>
      <w:r>
        <w:t>because it is the wrong size</w:t>
      </w:r>
      <w:r w:rsidRPr="00426EB3">
        <w:t xml:space="preserve">.  The next most </w:t>
      </w:r>
      <w:r>
        <w:t>common</w:t>
      </w:r>
      <w:r w:rsidRPr="00426EB3">
        <w:t xml:space="preserve"> reason </w:t>
      </w:r>
      <w:r>
        <w:t xml:space="preserve">is </w:t>
      </w:r>
      <w:r w:rsidRPr="00426EB3">
        <w:t>that the customer did not like the item when it arrived</w:t>
      </w:r>
      <w:r>
        <w:t>. This category includes returns due to co</w:t>
      </w:r>
      <w:r w:rsidRPr="00426EB3">
        <w:t xml:space="preserve">lor, material or styling.  </w:t>
      </w:r>
      <w:r>
        <w:t>There are also returns due to quality defects, although these are relatively uncommon. These return reasons allow us to further investigate our interpretation that harbingers have tendencies that are different from other customers. To do so</w:t>
      </w:r>
      <w:r w:rsidR="0017199C">
        <w:t>,</w:t>
      </w:r>
      <w:r>
        <w:t xml:space="preserve"> we separately re-estimate Equation 4 using different dependent variables. The dependent variables measure the proportion of items returned (by other customers) for each of the four return reasons.  The coefficients of interest are also reported below.  </w:t>
      </w:r>
    </w:p>
    <w:p w:rsidR="00426DB1" w:rsidRDefault="00426DB1" w:rsidP="00426DB1">
      <w:r>
        <w:t xml:space="preserve">The analysis of return reasons reveals that the tendency of harbingers to buy items that other customers return is concentrated in returns due to (a) size and (b) because customers did not like the item. Preferences for the color, material or styling, together with the size and fit of an item are idiosyncratic, reflecting customers’ body shapes and personal tastes. The evidence that harbingers are more likely to purchase items that other customers return for these idiosyncratic reasons suggests that harbinger tendencies may be associated with differences in some product preferences. </w:t>
      </w:r>
    </w:p>
    <w:p w:rsidR="00426DB1" w:rsidRDefault="00426DB1" w:rsidP="00426DB1">
      <w:r>
        <w:lastRenderedPageBreak/>
        <w:t>In contrast, quality defects are not idiosyncratic and we would expect returns due to defects to affect all customers in approximately the same way. It is therefore notable that the effects are much smaller for returns due to defects. This is consistent with the interpretation that harbinger tendencies are associated with idiosyncratic product preferences.</w:t>
      </w:r>
    </w:p>
    <w:p w:rsidR="00426DB1" w:rsidRPr="00662EE9" w:rsidRDefault="00426DB1" w:rsidP="00426DB1">
      <w:pPr>
        <w:rPr>
          <w:color w:val="FF0000"/>
        </w:rPr>
      </w:pPr>
      <w:r>
        <w:t>We caution that returns due to defects are relatively uncommon, and it is possible that this may have contributed to why we do not see a significant negative coefficient for this return reason. However, the confidence intervals around these parameter estimates are relatively tight.  To further investigate this possibility, we re-estimated all of the models when restricting attention to product families that had higher than median returns due to defects. The pattern of findings was unchanged.</w:t>
      </w:r>
    </w:p>
    <w:p w:rsidR="00426DB1" w:rsidRDefault="00426DB1">
      <w:pPr>
        <w:rPr>
          <w:rFonts w:ascii="Calibri" w:eastAsia="SimSun" w:hAnsi="Calibri" w:cs="Courier New"/>
          <w:b/>
          <w:szCs w:val="21"/>
        </w:rPr>
      </w:pPr>
    </w:p>
    <w:p w:rsidR="00426DB1" w:rsidRPr="00DC3F1B" w:rsidRDefault="00426DB1" w:rsidP="00426DB1">
      <w:pPr>
        <w:pStyle w:val="Style1"/>
      </w:pPr>
      <w:r w:rsidRPr="0086073C">
        <w:t>Do Harbingers Purchase Items that Other Customers Return?</w:t>
      </w:r>
    </w:p>
    <w:tbl>
      <w:tblPr>
        <w:tblStyle w:val="TableGrid"/>
        <w:tblW w:w="8960"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1710"/>
        <w:gridCol w:w="1710"/>
        <w:gridCol w:w="1296"/>
        <w:gridCol w:w="1296"/>
      </w:tblGrid>
      <w:tr w:rsidR="00426DB1" w:rsidRPr="00B966DB" w:rsidTr="00FA3C3C">
        <w:trPr>
          <w:jc w:val="center"/>
        </w:trPr>
        <w:tc>
          <w:tcPr>
            <w:tcW w:w="2948" w:type="dxa"/>
            <w:tcBorders>
              <w:top w:val="double" w:sz="4" w:space="0" w:color="auto"/>
              <w:bottom w:val="nil"/>
            </w:tcBorders>
            <w:vAlign w:val="center"/>
          </w:tcPr>
          <w:p w:rsidR="00426DB1" w:rsidRDefault="00426DB1" w:rsidP="00FA3C3C">
            <w:pPr>
              <w:keepNext/>
              <w:spacing w:after="120"/>
              <w:rPr>
                <w:rFonts w:cs="Times New Roman"/>
                <w:b/>
              </w:rPr>
            </w:pPr>
          </w:p>
        </w:tc>
        <w:tc>
          <w:tcPr>
            <w:tcW w:w="3420" w:type="dxa"/>
            <w:gridSpan w:val="2"/>
            <w:tcBorders>
              <w:top w:val="double" w:sz="4" w:space="0" w:color="auto"/>
              <w:bottom w:val="nil"/>
            </w:tcBorders>
            <w:shd w:val="clear" w:color="auto" w:fill="auto"/>
            <w:vAlign w:val="center"/>
          </w:tcPr>
          <w:p w:rsidR="00426DB1" w:rsidRPr="00DC3763" w:rsidRDefault="00426DB1" w:rsidP="00FA3C3C">
            <w:pPr>
              <w:keepNext/>
              <w:spacing w:before="120" w:after="120"/>
              <w:rPr>
                <w:rFonts w:cs="Times New Roman"/>
                <w:b/>
              </w:rPr>
            </w:pPr>
            <w:r w:rsidRPr="00DC3763">
              <w:rPr>
                <w:b/>
                <w:i/>
                <w:sz w:val="20"/>
                <w:szCs w:val="20"/>
              </w:rPr>
              <w:t>Av</w:t>
            </w:r>
            <w:r>
              <w:rPr>
                <w:b/>
                <w:i/>
                <w:sz w:val="20"/>
                <w:szCs w:val="20"/>
              </w:rPr>
              <w:t>g.</w:t>
            </w:r>
            <w:r w:rsidRPr="00DC3763">
              <w:rPr>
                <w:b/>
                <w:i/>
                <w:sz w:val="20"/>
                <w:szCs w:val="20"/>
              </w:rPr>
              <w:t xml:space="preserve"> Success Rate</w:t>
            </w:r>
            <w:r w:rsidRPr="00DC3763">
              <w:rPr>
                <w:b/>
                <w:sz w:val="20"/>
                <w:szCs w:val="20"/>
              </w:rPr>
              <w:t xml:space="preserve"> </w:t>
            </w:r>
            <w:r>
              <w:rPr>
                <w:b/>
                <w:sz w:val="20"/>
                <w:szCs w:val="20"/>
              </w:rPr>
              <w:t>C</w:t>
            </w:r>
            <w:r w:rsidRPr="00DC3763">
              <w:rPr>
                <w:b/>
                <w:sz w:val="20"/>
                <w:szCs w:val="20"/>
              </w:rPr>
              <w:t>oefficient (β</w:t>
            </w:r>
            <w:r w:rsidRPr="00DC3763">
              <w:rPr>
                <w:b/>
                <w:sz w:val="20"/>
                <w:szCs w:val="20"/>
                <w:vertAlign w:val="subscript"/>
              </w:rPr>
              <w:t>1</w:t>
            </w:r>
            <w:r w:rsidRPr="00DC3763">
              <w:rPr>
                <w:b/>
                <w:sz w:val="20"/>
                <w:szCs w:val="20"/>
              </w:rPr>
              <w:t>)</w:t>
            </w:r>
          </w:p>
        </w:tc>
        <w:tc>
          <w:tcPr>
            <w:tcW w:w="2592" w:type="dxa"/>
            <w:gridSpan w:val="2"/>
            <w:tcBorders>
              <w:top w:val="double" w:sz="4" w:space="0" w:color="auto"/>
              <w:bottom w:val="nil"/>
            </w:tcBorders>
            <w:vAlign w:val="center"/>
          </w:tcPr>
          <w:p w:rsidR="00426DB1" w:rsidRPr="00DC3763" w:rsidRDefault="00426DB1" w:rsidP="00FA3C3C">
            <w:pPr>
              <w:keepNext/>
              <w:spacing w:before="120" w:after="120"/>
              <w:rPr>
                <w:rFonts w:cs="Times New Roman"/>
                <w:b/>
              </w:rPr>
            </w:pPr>
            <w:r w:rsidRPr="00DC3763">
              <w:rPr>
                <w:b/>
                <w:sz w:val="20"/>
                <w:szCs w:val="20"/>
              </w:rPr>
              <w:t>R</w:t>
            </w:r>
            <w:r w:rsidRPr="00DC3763">
              <w:rPr>
                <w:b/>
                <w:sz w:val="20"/>
                <w:szCs w:val="20"/>
                <w:vertAlign w:val="superscript"/>
              </w:rPr>
              <w:t>2</w:t>
            </w:r>
            <w:r w:rsidRPr="00DC3763">
              <w:rPr>
                <w:b/>
                <w:sz w:val="20"/>
                <w:szCs w:val="20"/>
              </w:rPr>
              <w:t xml:space="preserve"> values</w:t>
            </w:r>
          </w:p>
        </w:tc>
      </w:tr>
      <w:tr w:rsidR="00426DB1" w:rsidRPr="00B966DB" w:rsidTr="00FA3C3C">
        <w:trPr>
          <w:jc w:val="center"/>
        </w:trPr>
        <w:tc>
          <w:tcPr>
            <w:tcW w:w="2948" w:type="dxa"/>
            <w:tcBorders>
              <w:top w:val="nil"/>
              <w:bottom w:val="single" w:sz="8" w:space="0" w:color="auto"/>
            </w:tcBorders>
            <w:vAlign w:val="center"/>
          </w:tcPr>
          <w:p w:rsidR="00426DB1" w:rsidRPr="00D2430C" w:rsidRDefault="00426DB1" w:rsidP="00FA3C3C">
            <w:pPr>
              <w:keepNext/>
              <w:spacing w:before="120" w:after="120"/>
              <w:jc w:val="left"/>
              <w:rPr>
                <w:rFonts w:cs="Times New Roman"/>
                <w:b/>
              </w:rPr>
            </w:pPr>
            <w:r>
              <w:rPr>
                <w:rFonts w:cs="Times New Roman"/>
                <w:b/>
              </w:rPr>
              <w:t>Dependent Variable</w:t>
            </w:r>
          </w:p>
        </w:tc>
        <w:tc>
          <w:tcPr>
            <w:tcW w:w="1710" w:type="dxa"/>
            <w:tcBorders>
              <w:top w:val="nil"/>
              <w:bottom w:val="single" w:sz="8" w:space="0" w:color="auto"/>
            </w:tcBorders>
            <w:shd w:val="clear" w:color="auto" w:fill="auto"/>
            <w:vAlign w:val="center"/>
          </w:tcPr>
          <w:p w:rsidR="00426DB1" w:rsidRPr="00D2430C" w:rsidRDefault="00426DB1" w:rsidP="00FA3C3C">
            <w:pPr>
              <w:keepNext/>
              <w:spacing w:before="120" w:after="120"/>
              <w:rPr>
                <w:rFonts w:cs="Times New Roman"/>
                <w:b/>
              </w:rPr>
            </w:pPr>
            <w:r>
              <w:rPr>
                <w:rFonts w:cs="Times New Roman"/>
                <w:b/>
              </w:rPr>
              <w:t>2010</w:t>
            </w:r>
          </w:p>
        </w:tc>
        <w:tc>
          <w:tcPr>
            <w:tcW w:w="1710" w:type="dxa"/>
            <w:tcBorders>
              <w:top w:val="nil"/>
              <w:bottom w:val="single" w:sz="8" w:space="0" w:color="auto"/>
            </w:tcBorders>
            <w:shd w:val="clear" w:color="auto" w:fill="auto"/>
            <w:vAlign w:val="center"/>
          </w:tcPr>
          <w:p w:rsidR="00426DB1" w:rsidRPr="00D2430C" w:rsidRDefault="00426DB1" w:rsidP="00FA3C3C">
            <w:pPr>
              <w:keepNext/>
              <w:spacing w:before="120" w:after="120"/>
              <w:rPr>
                <w:rFonts w:cs="Times New Roman"/>
                <w:b/>
                <w:vertAlign w:val="superscript"/>
              </w:rPr>
            </w:pPr>
            <w:r>
              <w:rPr>
                <w:rFonts w:cs="Times New Roman"/>
                <w:b/>
              </w:rPr>
              <w:t>2011</w:t>
            </w:r>
          </w:p>
        </w:tc>
        <w:tc>
          <w:tcPr>
            <w:tcW w:w="1296" w:type="dxa"/>
            <w:tcBorders>
              <w:top w:val="nil"/>
              <w:bottom w:val="single" w:sz="8" w:space="0" w:color="auto"/>
            </w:tcBorders>
            <w:vAlign w:val="center"/>
          </w:tcPr>
          <w:p w:rsidR="00426DB1" w:rsidRPr="00D2430C" w:rsidRDefault="00426DB1" w:rsidP="00FA3C3C">
            <w:pPr>
              <w:keepNext/>
              <w:spacing w:before="120" w:after="120"/>
              <w:rPr>
                <w:rFonts w:cs="Times New Roman"/>
                <w:b/>
              </w:rPr>
            </w:pPr>
            <w:r>
              <w:rPr>
                <w:rFonts w:cs="Times New Roman"/>
                <w:b/>
              </w:rPr>
              <w:t>2010</w:t>
            </w:r>
          </w:p>
        </w:tc>
        <w:tc>
          <w:tcPr>
            <w:tcW w:w="1296" w:type="dxa"/>
            <w:tcBorders>
              <w:top w:val="nil"/>
              <w:bottom w:val="single" w:sz="8" w:space="0" w:color="auto"/>
            </w:tcBorders>
            <w:vAlign w:val="center"/>
          </w:tcPr>
          <w:p w:rsidR="00426DB1" w:rsidRPr="00D2430C" w:rsidRDefault="00426DB1" w:rsidP="00FA3C3C">
            <w:pPr>
              <w:keepNext/>
              <w:spacing w:before="120" w:after="120"/>
              <w:rPr>
                <w:rFonts w:cs="Times New Roman"/>
                <w:b/>
                <w:vertAlign w:val="superscript"/>
              </w:rPr>
            </w:pPr>
            <w:r>
              <w:rPr>
                <w:rFonts w:cs="Times New Roman"/>
                <w:b/>
              </w:rPr>
              <w:t>2011</w:t>
            </w:r>
          </w:p>
        </w:tc>
      </w:tr>
      <w:tr w:rsidR="00426DB1" w:rsidRPr="00B966DB" w:rsidTr="00FA3C3C">
        <w:trPr>
          <w:jc w:val="center"/>
        </w:trPr>
        <w:tc>
          <w:tcPr>
            <w:tcW w:w="2948" w:type="dxa"/>
            <w:tcBorders>
              <w:top w:val="nil"/>
              <w:bottom w:val="nil"/>
            </w:tcBorders>
            <w:shd w:val="clear" w:color="auto" w:fill="BFBFBF" w:themeFill="background1" w:themeFillShade="BF"/>
          </w:tcPr>
          <w:p w:rsidR="00426DB1" w:rsidRPr="00D2430C" w:rsidRDefault="00426DB1" w:rsidP="00FA3C3C">
            <w:pPr>
              <w:spacing w:before="120" w:after="120"/>
              <w:jc w:val="both"/>
              <w:rPr>
                <w:rFonts w:cs="Times New Roman"/>
              </w:rPr>
            </w:pPr>
            <w:r>
              <w:rPr>
                <w:rFonts w:cs="Times New Roman"/>
              </w:rPr>
              <w:t>All Return Reasons</w:t>
            </w:r>
          </w:p>
        </w:tc>
        <w:tc>
          <w:tcPr>
            <w:tcW w:w="1710" w:type="dxa"/>
            <w:tcBorders>
              <w:top w:val="nil"/>
              <w:bottom w:val="nil"/>
            </w:tcBorders>
            <w:shd w:val="clear" w:color="auto" w:fill="BFBFBF" w:themeFill="background1" w:themeFillShade="BF"/>
          </w:tcPr>
          <w:p w:rsidR="00426DB1" w:rsidRPr="00D2430C" w:rsidRDefault="00426DB1" w:rsidP="00FA3C3C">
            <w:pPr>
              <w:tabs>
                <w:tab w:val="decimal" w:pos="599"/>
              </w:tabs>
              <w:spacing w:before="120" w:after="120"/>
              <w:jc w:val="left"/>
              <w:rPr>
                <w:rFonts w:cs="Times New Roman"/>
              </w:rPr>
            </w:pPr>
            <w:r>
              <w:rPr>
                <w:rFonts w:cs="Times New Roman"/>
              </w:rPr>
              <w:t>-2.37</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0.91</w:t>
            </w:r>
            <w:r w:rsidRPr="00D2430C">
              <w:rPr>
                <w:rFonts w:cs="Times New Roman"/>
              </w:rPr>
              <w:t>%)</w:t>
            </w:r>
          </w:p>
        </w:tc>
        <w:tc>
          <w:tcPr>
            <w:tcW w:w="1710" w:type="dxa"/>
            <w:tcBorders>
              <w:top w:val="nil"/>
              <w:bottom w:val="nil"/>
            </w:tcBorders>
            <w:shd w:val="clear" w:color="auto" w:fill="BFBFBF" w:themeFill="background1" w:themeFillShade="BF"/>
          </w:tcPr>
          <w:p w:rsidR="00426DB1" w:rsidRPr="00D2430C" w:rsidRDefault="00426DB1" w:rsidP="00FA3C3C">
            <w:pPr>
              <w:tabs>
                <w:tab w:val="decimal" w:pos="599"/>
              </w:tabs>
              <w:spacing w:before="120" w:after="120"/>
              <w:jc w:val="left"/>
              <w:rPr>
                <w:rFonts w:cs="Times New Roman"/>
              </w:rPr>
            </w:pPr>
            <w:r>
              <w:rPr>
                <w:rFonts w:cs="Times New Roman"/>
              </w:rPr>
              <w:t>-2.11</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0.94</w:t>
            </w:r>
            <w:r w:rsidRPr="00D2430C">
              <w:rPr>
                <w:rFonts w:cs="Times New Roman"/>
              </w:rPr>
              <w:t>%)</w:t>
            </w:r>
          </w:p>
        </w:tc>
        <w:tc>
          <w:tcPr>
            <w:tcW w:w="1296" w:type="dxa"/>
            <w:tcBorders>
              <w:top w:val="nil"/>
              <w:bottom w:val="nil"/>
            </w:tcBorders>
            <w:shd w:val="clear" w:color="auto" w:fill="FFFFFF" w:themeFill="background1"/>
          </w:tcPr>
          <w:p w:rsidR="00426DB1" w:rsidRPr="00D2430C" w:rsidRDefault="00426DB1" w:rsidP="00FA3C3C">
            <w:pPr>
              <w:spacing w:before="120" w:after="120"/>
              <w:rPr>
                <w:rFonts w:cs="Times New Roman"/>
              </w:rPr>
            </w:pPr>
            <w:r>
              <w:rPr>
                <w:rFonts w:cs="Times New Roman"/>
              </w:rPr>
              <w:t>0.2657</w:t>
            </w:r>
          </w:p>
        </w:tc>
        <w:tc>
          <w:tcPr>
            <w:tcW w:w="1296" w:type="dxa"/>
            <w:tcBorders>
              <w:top w:val="nil"/>
              <w:bottom w:val="nil"/>
            </w:tcBorders>
            <w:shd w:val="clear" w:color="auto" w:fill="FFFFFF" w:themeFill="background1"/>
          </w:tcPr>
          <w:p w:rsidR="00426DB1" w:rsidRPr="00D2430C" w:rsidRDefault="00426DB1" w:rsidP="00FA3C3C">
            <w:pPr>
              <w:spacing w:before="120" w:after="120"/>
              <w:rPr>
                <w:rFonts w:cs="Times New Roman"/>
              </w:rPr>
            </w:pPr>
            <w:r>
              <w:rPr>
                <w:rFonts w:cs="Times New Roman"/>
              </w:rPr>
              <w:t>0.2985</w:t>
            </w:r>
          </w:p>
        </w:tc>
      </w:tr>
      <w:tr w:rsidR="00426DB1" w:rsidRPr="00B966DB" w:rsidTr="00FA3C3C">
        <w:trPr>
          <w:jc w:val="center"/>
        </w:trPr>
        <w:tc>
          <w:tcPr>
            <w:tcW w:w="2948" w:type="dxa"/>
            <w:tcBorders>
              <w:top w:val="nil"/>
              <w:bottom w:val="nil"/>
            </w:tcBorders>
          </w:tcPr>
          <w:p w:rsidR="00426DB1" w:rsidRDefault="00426DB1" w:rsidP="00FA3C3C">
            <w:pPr>
              <w:spacing w:after="120"/>
              <w:jc w:val="left"/>
              <w:rPr>
                <w:rFonts w:cs="Times New Roman"/>
              </w:rPr>
            </w:pPr>
            <w:r>
              <w:rPr>
                <w:rFonts w:cs="Times New Roman"/>
              </w:rPr>
              <w:t>Did Not Like the Item</w:t>
            </w:r>
          </w:p>
        </w:tc>
        <w:tc>
          <w:tcPr>
            <w:tcW w:w="1710" w:type="dxa"/>
            <w:tcBorders>
              <w:top w:val="nil"/>
              <w:bottom w:val="nil"/>
            </w:tcBorders>
            <w:shd w:val="clear" w:color="auto" w:fill="auto"/>
          </w:tcPr>
          <w:p w:rsidR="00426DB1" w:rsidRDefault="00426DB1" w:rsidP="00FA3C3C">
            <w:pPr>
              <w:tabs>
                <w:tab w:val="decimal" w:pos="599"/>
              </w:tabs>
              <w:spacing w:after="120"/>
              <w:jc w:val="left"/>
              <w:rPr>
                <w:rFonts w:cs="Times New Roman"/>
              </w:rPr>
            </w:pPr>
            <w:r>
              <w:rPr>
                <w:rFonts w:cs="Times New Roman"/>
              </w:rPr>
              <w:t>-1.02</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0.31</w:t>
            </w:r>
            <w:r w:rsidRPr="00D2430C">
              <w:rPr>
                <w:rFonts w:cs="Times New Roman"/>
              </w:rPr>
              <w:t>%)</w:t>
            </w:r>
          </w:p>
        </w:tc>
        <w:tc>
          <w:tcPr>
            <w:tcW w:w="1710" w:type="dxa"/>
            <w:tcBorders>
              <w:top w:val="nil"/>
              <w:bottom w:val="nil"/>
            </w:tcBorders>
            <w:shd w:val="clear" w:color="auto" w:fill="auto"/>
          </w:tcPr>
          <w:p w:rsidR="00426DB1" w:rsidRDefault="00426DB1" w:rsidP="00FA3C3C">
            <w:pPr>
              <w:tabs>
                <w:tab w:val="decimal" w:pos="599"/>
              </w:tabs>
              <w:spacing w:after="120"/>
              <w:jc w:val="left"/>
              <w:rPr>
                <w:rFonts w:cs="Times New Roman"/>
              </w:rPr>
            </w:pPr>
            <w:r>
              <w:rPr>
                <w:rFonts w:cs="Times New Roman"/>
              </w:rPr>
              <w:t>-0.70</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0.31</w:t>
            </w:r>
            <w:r w:rsidRPr="00D2430C">
              <w:rPr>
                <w:rFonts w:cs="Times New Roman"/>
              </w:rPr>
              <w:t>%)</w:t>
            </w:r>
          </w:p>
        </w:tc>
        <w:tc>
          <w:tcPr>
            <w:tcW w:w="1296" w:type="dxa"/>
            <w:tcBorders>
              <w:top w:val="nil"/>
              <w:bottom w:val="nil"/>
            </w:tcBorders>
          </w:tcPr>
          <w:p w:rsidR="00426DB1" w:rsidRDefault="00426DB1" w:rsidP="00FA3C3C">
            <w:pPr>
              <w:spacing w:after="120"/>
              <w:rPr>
                <w:rFonts w:cs="Times New Roman"/>
              </w:rPr>
            </w:pPr>
            <w:r>
              <w:rPr>
                <w:rFonts w:cs="Times New Roman"/>
              </w:rPr>
              <w:t>0.2524</w:t>
            </w:r>
          </w:p>
        </w:tc>
        <w:tc>
          <w:tcPr>
            <w:tcW w:w="1296" w:type="dxa"/>
            <w:tcBorders>
              <w:top w:val="nil"/>
              <w:bottom w:val="nil"/>
            </w:tcBorders>
          </w:tcPr>
          <w:p w:rsidR="00426DB1" w:rsidRDefault="00426DB1" w:rsidP="00FA3C3C">
            <w:pPr>
              <w:spacing w:after="120"/>
              <w:rPr>
                <w:rFonts w:cs="Times New Roman"/>
              </w:rPr>
            </w:pPr>
            <w:r>
              <w:rPr>
                <w:rFonts w:cs="Times New Roman"/>
              </w:rPr>
              <w:t>0.2864</w:t>
            </w:r>
          </w:p>
        </w:tc>
      </w:tr>
      <w:tr w:rsidR="00426DB1" w:rsidRPr="00B966DB" w:rsidTr="00FA3C3C">
        <w:trPr>
          <w:jc w:val="center"/>
        </w:trPr>
        <w:tc>
          <w:tcPr>
            <w:tcW w:w="2948" w:type="dxa"/>
            <w:tcBorders>
              <w:top w:val="nil"/>
              <w:bottom w:val="nil"/>
            </w:tcBorders>
          </w:tcPr>
          <w:p w:rsidR="00426DB1" w:rsidRDefault="00426DB1" w:rsidP="00FA3C3C">
            <w:pPr>
              <w:spacing w:after="120"/>
              <w:jc w:val="left"/>
              <w:rPr>
                <w:rFonts w:cs="Times New Roman"/>
              </w:rPr>
            </w:pPr>
            <w:r>
              <w:rPr>
                <w:rFonts w:cs="Times New Roman"/>
              </w:rPr>
              <w:t>Wrong Size</w:t>
            </w:r>
          </w:p>
        </w:tc>
        <w:tc>
          <w:tcPr>
            <w:tcW w:w="1710" w:type="dxa"/>
            <w:tcBorders>
              <w:top w:val="nil"/>
              <w:bottom w:val="nil"/>
            </w:tcBorders>
            <w:shd w:val="clear" w:color="auto" w:fill="auto"/>
          </w:tcPr>
          <w:p w:rsidR="00426DB1" w:rsidRDefault="00426DB1" w:rsidP="00FA3C3C">
            <w:pPr>
              <w:tabs>
                <w:tab w:val="decimal" w:pos="599"/>
              </w:tabs>
              <w:spacing w:after="120"/>
              <w:jc w:val="left"/>
              <w:rPr>
                <w:rFonts w:cs="Times New Roman"/>
              </w:rPr>
            </w:pPr>
            <w:r>
              <w:rPr>
                <w:rFonts w:cs="Times New Roman"/>
              </w:rPr>
              <w:t>-1.02</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0.52</w:t>
            </w:r>
            <w:r w:rsidRPr="00D2430C">
              <w:rPr>
                <w:rFonts w:cs="Times New Roman"/>
              </w:rPr>
              <w:t>%)</w:t>
            </w:r>
          </w:p>
        </w:tc>
        <w:tc>
          <w:tcPr>
            <w:tcW w:w="1710" w:type="dxa"/>
            <w:tcBorders>
              <w:top w:val="nil"/>
              <w:bottom w:val="nil"/>
            </w:tcBorders>
            <w:shd w:val="clear" w:color="auto" w:fill="auto"/>
          </w:tcPr>
          <w:p w:rsidR="00426DB1" w:rsidRDefault="00426DB1" w:rsidP="00FA3C3C">
            <w:pPr>
              <w:tabs>
                <w:tab w:val="decimal" w:pos="599"/>
              </w:tabs>
              <w:spacing w:after="120"/>
              <w:jc w:val="left"/>
              <w:rPr>
                <w:rFonts w:cs="Times New Roman"/>
              </w:rPr>
            </w:pPr>
            <w:r>
              <w:rPr>
                <w:rFonts w:cs="Times New Roman"/>
              </w:rPr>
              <w:t>-1.31</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0.55</w:t>
            </w:r>
            <w:r w:rsidRPr="00D2430C">
              <w:rPr>
                <w:rFonts w:cs="Times New Roman"/>
              </w:rPr>
              <w:t>%)</w:t>
            </w:r>
          </w:p>
        </w:tc>
        <w:tc>
          <w:tcPr>
            <w:tcW w:w="1296" w:type="dxa"/>
            <w:tcBorders>
              <w:top w:val="nil"/>
              <w:bottom w:val="nil"/>
            </w:tcBorders>
          </w:tcPr>
          <w:p w:rsidR="00426DB1" w:rsidRDefault="00426DB1" w:rsidP="00FA3C3C">
            <w:pPr>
              <w:spacing w:after="120"/>
              <w:rPr>
                <w:rFonts w:cs="Times New Roman"/>
              </w:rPr>
            </w:pPr>
            <w:r>
              <w:rPr>
                <w:rFonts w:cs="Times New Roman"/>
              </w:rPr>
              <w:t>0.2711</w:t>
            </w:r>
          </w:p>
        </w:tc>
        <w:tc>
          <w:tcPr>
            <w:tcW w:w="1296" w:type="dxa"/>
            <w:tcBorders>
              <w:top w:val="nil"/>
              <w:bottom w:val="nil"/>
            </w:tcBorders>
          </w:tcPr>
          <w:p w:rsidR="00426DB1" w:rsidRDefault="00426DB1" w:rsidP="00FA3C3C">
            <w:pPr>
              <w:spacing w:after="120"/>
              <w:rPr>
                <w:rFonts w:cs="Times New Roman"/>
              </w:rPr>
            </w:pPr>
            <w:r>
              <w:rPr>
                <w:rFonts w:cs="Times New Roman"/>
              </w:rPr>
              <w:t>0.3100</w:t>
            </w:r>
          </w:p>
        </w:tc>
      </w:tr>
      <w:tr w:rsidR="00426DB1" w:rsidRPr="00B966DB" w:rsidTr="00FA3C3C">
        <w:trPr>
          <w:jc w:val="center"/>
        </w:trPr>
        <w:tc>
          <w:tcPr>
            <w:tcW w:w="2948" w:type="dxa"/>
            <w:tcBorders>
              <w:top w:val="nil"/>
              <w:bottom w:val="nil"/>
            </w:tcBorders>
          </w:tcPr>
          <w:p w:rsidR="00426DB1" w:rsidRDefault="00426DB1" w:rsidP="00FA3C3C">
            <w:pPr>
              <w:spacing w:after="120"/>
              <w:jc w:val="left"/>
              <w:rPr>
                <w:rFonts w:cs="Times New Roman"/>
              </w:rPr>
            </w:pPr>
            <w:r>
              <w:rPr>
                <w:rFonts w:cs="Times New Roman"/>
              </w:rPr>
              <w:t>Defective</w:t>
            </w:r>
          </w:p>
        </w:tc>
        <w:tc>
          <w:tcPr>
            <w:tcW w:w="1710" w:type="dxa"/>
            <w:tcBorders>
              <w:top w:val="nil"/>
              <w:bottom w:val="nil"/>
            </w:tcBorders>
            <w:shd w:val="clear" w:color="auto" w:fill="auto"/>
          </w:tcPr>
          <w:p w:rsidR="00426DB1" w:rsidRDefault="00426DB1" w:rsidP="00FA3C3C">
            <w:pPr>
              <w:tabs>
                <w:tab w:val="decimal" w:pos="599"/>
              </w:tabs>
              <w:spacing w:after="120"/>
              <w:jc w:val="left"/>
              <w:rPr>
                <w:rFonts w:cs="Times New Roman"/>
              </w:rPr>
            </w:pPr>
            <w:r>
              <w:rPr>
                <w:rFonts w:cs="Times New Roman"/>
              </w:rPr>
              <w:t>-0.07</w:t>
            </w:r>
            <w:r w:rsidRPr="00D2430C">
              <w:rPr>
                <w:rFonts w:cs="Times New Roman"/>
              </w:rPr>
              <w:t>%</w:t>
            </w:r>
            <w:r w:rsidRPr="0078609F">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0.04</w:t>
            </w:r>
            <w:r w:rsidRPr="00D2430C">
              <w:rPr>
                <w:rFonts w:cs="Times New Roman"/>
              </w:rPr>
              <w:t>%)</w:t>
            </w:r>
          </w:p>
        </w:tc>
        <w:tc>
          <w:tcPr>
            <w:tcW w:w="1710" w:type="dxa"/>
            <w:tcBorders>
              <w:top w:val="nil"/>
              <w:bottom w:val="nil"/>
            </w:tcBorders>
            <w:shd w:val="clear" w:color="auto" w:fill="auto"/>
          </w:tcPr>
          <w:p w:rsidR="00426DB1" w:rsidRDefault="00426DB1" w:rsidP="00FA3C3C">
            <w:pPr>
              <w:tabs>
                <w:tab w:val="decimal" w:pos="599"/>
              </w:tabs>
              <w:spacing w:after="120"/>
              <w:jc w:val="left"/>
              <w:rPr>
                <w:rFonts w:cs="Times New Roman"/>
              </w:rPr>
            </w:pPr>
            <w:r>
              <w:rPr>
                <w:rFonts w:cs="Times New Roman"/>
              </w:rPr>
              <w:t>0.01</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0.04</w:t>
            </w:r>
            <w:r w:rsidRPr="00D2430C">
              <w:rPr>
                <w:rFonts w:cs="Times New Roman"/>
              </w:rPr>
              <w:t>%)</w:t>
            </w:r>
          </w:p>
        </w:tc>
        <w:tc>
          <w:tcPr>
            <w:tcW w:w="1296" w:type="dxa"/>
            <w:tcBorders>
              <w:top w:val="nil"/>
              <w:bottom w:val="nil"/>
            </w:tcBorders>
          </w:tcPr>
          <w:p w:rsidR="00426DB1" w:rsidRDefault="00426DB1" w:rsidP="00FA3C3C">
            <w:pPr>
              <w:spacing w:after="120"/>
              <w:rPr>
                <w:rFonts w:cs="Times New Roman"/>
              </w:rPr>
            </w:pPr>
            <w:r>
              <w:rPr>
                <w:rFonts w:cs="Times New Roman"/>
              </w:rPr>
              <w:t>0.3119</w:t>
            </w:r>
          </w:p>
        </w:tc>
        <w:tc>
          <w:tcPr>
            <w:tcW w:w="1296" w:type="dxa"/>
            <w:tcBorders>
              <w:top w:val="nil"/>
              <w:bottom w:val="nil"/>
            </w:tcBorders>
          </w:tcPr>
          <w:p w:rsidR="00426DB1" w:rsidRDefault="00426DB1" w:rsidP="00FA3C3C">
            <w:pPr>
              <w:spacing w:after="120"/>
              <w:rPr>
                <w:rFonts w:cs="Times New Roman"/>
              </w:rPr>
            </w:pPr>
            <w:r>
              <w:rPr>
                <w:rFonts w:cs="Times New Roman"/>
              </w:rPr>
              <w:t>0.3378</w:t>
            </w:r>
          </w:p>
        </w:tc>
      </w:tr>
      <w:tr w:rsidR="00426DB1" w:rsidRPr="00B966DB" w:rsidTr="00FA3C3C">
        <w:trPr>
          <w:jc w:val="center"/>
        </w:trPr>
        <w:tc>
          <w:tcPr>
            <w:tcW w:w="2948" w:type="dxa"/>
            <w:tcBorders>
              <w:top w:val="nil"/>
            </w:tcBorders>
          </w:tcPr>
          <w:p w:rsidR="00426DB1" w:rsidRDefault="00426DB1" w:rsidP="00FA3C3C">
            <w:pPr>
              <w:spacing w:after="120"/>
              <w:jc w:val="left"/>
              <w:rPr>
                <w:rFonts w:cs="Times New Roman"/>
              </w:rPr>
            </w:pPr>
            <w:r>
              <w:rPr>
                <w:rFonts w:cs="Times New Roman"/>
              </w:rPr>
              <w:t>Miscellaneous</w:t>
            </w:r>
          </w:p>
        </w:tc>
        <w:tc>
          <w:tcPr>
            <w:tcW w:w="1710" w:type="dxa"/>
            <w:tcBorders>
              <w:top w:val="nil"/>
            </w:tcBorders>
            <w:shd w:val="clear" w:color="auto" w:fill="auto"/>
          </w:tcPr>
          <w:p w:rsidR="00426DB1" w:rsidRDefault="00426DB1" w:rsidP="00FA3C3C">
            <w:pPr>
              <w:tabs>
                <w:tab w:val="decimal" w:pos="599"/>
              </w:tabs>
              <w:spacing w:after="120"/>
              <w:jc w:val="left"/>
              <w:rPr>
                <w:rFonts w:cs="Times New Roman"/>
              </w:rPr>
            </w:pPr>
            <w:r>
              <w:rPr>
                <w:rFonts w:cs="Times New Roman"/>
              </w:rPr>
              <w:t>-0.25</w:t>
            </w:r>
            <w:r w:rsidRPr="00D2430C">
              <w:rPr>
                <w:rFonts w:cs="Times New Roman"/>
              </w:rPr>
              <w:t>%</w:t>
            </w:r>
            <w:r>
              <w:rPr>
                <w:rFonts w:cs="Times New Roman"/>
                <w:vertAlign w:val="superscript"/>
              </w:rPr>
              <w:t>*</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0.13</w:t>
            </w:r>
            <w:r w:rsidRPr="00D2430C">
              <w:rPr>
                <w:rFonts w:cs="Times New Roman"/>
              </w:rPr>
              <w:t>%)</w:t>
            </w:r>
          </w:p>
        </w:tc>
        <w:tc>
          <w:tcPr>
            <w:tcW w:w="1710" w:type="dxa"/>
            <w:tcBorders>
              <w:top w:val="nil"/>
            </w:tcBorders>
            <w:shd w:val="clear" w:color="auto" w:fill="auto"/>
          </w:tcPr>
          <w:p w:rsidR="00426DB1" w:rsidRDefault="00426DB1" w:rsidP="00FA3C3C">
            <w:pPr>
              <w:tabs>
                <w:tab w:val="decimal" w:pos="599"/>
              </w:tabs>
              <w:spacing w:after="120"/>
              <w:jc w:val="left"/>
              <w:rPr>
                <w:rFonts w:cs="Times New Roman"/>
              </w:rPr>
            </w:pPr>
            <w:r>
              <w:rPr>
                <w:rFonts w:cs="Times New Roman"/>
              </w:rPr>
              <w:t>-0.11</w:t>
            </w:r>
            <w:r w:rsidRPr="00D2430C">
              <w:rPr>
                <w:rFonts w:cs="Times New Roman"/>
              </w:rPr>
              <w:t xml:space="preserve">%   </w:t>
            </w:r>
            <w:r>
              <w:rPr>
                <w:rFonts w:cs="Times New Roman"/>
              </w:rPr>
              <w:t xml:space="preserve"> </w:t>
            </w:r>
            <w:r w:rsidRPr="00D2430C">
              <w:rPr>
                <w:rFonts w:cs="Times New Roman"/>
              </w:rPr>
              <w:t xml:space="preserve">  (</w:t>
            </w:r>
            <w:r>
              <w:rPr>
                <w:rFonts w:cs="Times New Roman"/>
              </w:rPr>
              <w:t>0.12</w:t>
            </w:r>
            <w:r w:rsidRPr="00D2430C">
              <w:rPr>
                <w:rFonts w:cs="Times New Roman"/>
              </w:rPr>
              <w:t>%)</w:t>
            </w:r>
          </w:p>
        </w:tc>
        <w:tc>
          <w:tcPr>
            <w:tcW w:w="1296" w:type="dxa"/>
            <w:tcBorders>
              <w:top w:val="nil"/>
            </w:tcBorders>
          </w:tcPr>
          <w:p w:rsidR="00426DB1" w:rsidRDefault="00426DB1" w:rsidP="00FA3C3C">
            <w:pPr>
              <w:spacing w:after="120"/>
              <w:rPr>
                <w:rFonts w:cs="Times New Roman"/>
              </w:rPr>
            </w:pPr>
            <w:r>
              <w:rPr>
                <w:rFonts w:cs="Times New Roman"/>
              </w:rPr>
              <w:t>0.2785</w:t>
            </w:r>
          </w:p>
        </w:tc>
        <w:tc>
          <w:tcPr>
            <w:tcW w:w="1296" w:type="dxa"/>
            <w:tcBorders>
              <w:top w:val="nil"/>
            </w:tcBorders>
          </w:tcPr>
          <w:p w:rsidR="00426DB1" w:rsidRDefault="00426DB1" w:rsidP="00FA3C3C">
            <w:pPr>
              <w:spacing w:after="120"/>
              <w:rPr>
                <w:rFonts w:cs="Times New Roman"/>
              </w:rPr>
            </w:pPr>
            <w:r>
              <w:rPr>
                <w:rFonts w:cs="Times New Roman"/>
              </w:rPr>
              <w:t>0.2723</w:t>
            </w:r>
          </w:p>
        </w:tc>
      </w:tr>
    </w:tbl>
    <w:p w:rsidR="00426DB1" w:rsidRDefault="00426DB1" w:rsidP="00426DB1">
      <w:pPr>
        <w:spacing w:before="60" w:line="240" w:lineRule="auto"/>
        <w:rPr>
          <w:sz w:val="20"/>
          <w:szCs w:val="20"/>
        </w:rPr>
      </w:pPr>
      <w:r w:rsidRPr="00FD3832">
        <w:rPr>
          <w:sz w:val="20"/>
          <w:szCs w:val="20"/>
        </w:rPr>
        <w:t xml:space="preserve">The </w:t>
      </w:r>
      <w:r>
        <w:rPr>
          <w:sz w:val="20"/>
          <w:szCs w:val="20"/>
        </w:rPr>
        <w:t>table</w:t>
      </w:r>
      <w:r w:rsidRPr="00FD3832">
        <w:rPr>
          <w:sz w:val="20"/>
          <w:szCs w:val="20"/>
        </w:rPr>
        <w:t xml:space="preserve"> reports the </w:t>
      </w:r>
      <w:r w:rsidRPr="00FD3832">
        <w:rPr>
          <w:i/>
          <w:sz w:val="20"/>
          <w:szCs w:val="20"/>
        </w:rPr>
        <w:t>Average Success Rate</w:t>
      </w:r>
      <w:r w:rsidRPr="00FD3832">
        <w:rPr>
          <w:sz w:val="20"/>
          <w:szCs w:val="20"/>
        </w:rPr>
        <w:t xml:space="preserve"> coefficients </w:t>
      </w:r>
      <w:r>
        <w:rPr>
          <w:sz w:val="20"/>
          <w:szCs w:val="20"/>
        </w:rPr>
        <w:t>(β</w:t>
      </w:r>
      <w:r>
        <w:rPr>
          <w:sz w:val="20"/>
          <w:szCs w:val="20"/>
          <w:vertAlign w:val="subscript"/>
        </w:rPr>
        <w:t>1</w:t>
      </w:r>
      <w:r>
        <w:rPr>
          <w:sz w:val="20"/>
          <w:szCs w:val="20"/>
        </w:rPr>
        <w:t>) and the R</w:t>
      </w:r>
      <w:r>
        <w:rPr>
          <w:sz w:val="20"/>
          <w:szCs w:val="20"/>
          <w:vertAlign w:val="superscript"/>
        </w:rPr>
        <w:t>2</w:t>
      </w:r>
      <w:r>
        <w:rPr>
          <w:sz w:val="20"/>
          <w:szCs w:val="20"/>
        </w:rPr>
        <w:t xml:space="preserve"> values </w:t>
      </w:r>
      <w:r w:rsidRPr="00FD3832">
        <w:rPr>
          <w:sz w:val="20"/>
          <w:szCs w:val="20"/>
        </w:rPr>
        <w:t xml:space="preserve">when estimating Equation </w:t>
      </w:r>
      <w:r>
        <w:rPr>
          <w:sz w:val="20"/>
          <w:szCs w:val="20"/>
        </w:rPr>
        <w:t xml:space="preserve">4. </w:t>
      </w:r>
      <w:r w:rsidRPr="00FD3832">
        <w:rPr>
          <w:sz w:val="20"/>
          <w:szCs w:val="20"/>
        </w:rPr>
        <w:t>The unit of analysis is a zip code</w:t>
      </w:r>
      <w:r>
        <w:rPr>
          <w:sz w:val="20"/>
          <w:szCs w:val="20"/>
        </w:rPr>
        <w:t xml:space="preserve"> </w:t>
      </w:r>
      <w:r w:rsidRPr="00FD3832">
        <w:rPr>
          <w:sz w:val="20"/>
          <w:szCs w:val="20"/>
        </w:rPr>
        <w:t xml:space="preserve">and </w:t>
      </w:r>
      <w:r>
        <w:rPr>
          <w:sz w:val="20"/>
          <w:szCs w:val="20"/>
        </w:rPr>
        <w:t xml:space="preserve">the sample size in all of the models is 2,346.  The dependent variable measures the </w:t>
      </w:r>
      <w:r w:rsidRPr="00C74CE3">
        <w:rPr>
          <w:i/>
          <w:sz w:val="20"/>
          <w:szCs w:val="20"/>
        </w:rPr>
        <w:t>Average Return Rate</w:t>
      </w:r>
      <w:r>
        <w:rPr>
          <w:sz w:val="20"/>
          <w:szCs w:val="20"/>
        </w:rPr>
        <w:t xml:space="preserve"> by other customers of the products purchased in that zip code.</w:t>
      </w:r>
      <w:r w:rsidRPr="00FD3832">
        <w:rPr>
          <w:sz w:val="20"/>
          <w:szCs w:val="20"/>
        </w:rPr>
        <w:t xml:space="preserve"> </w:t>
      </w:r>
      <w:r>
        <w:rPr>
          <w:sz w:val="20"/>
          <w:szCs w:val="20"/>
        </w:rPr>
        <w:t>Fixed effects and control variables were included in the model but these coefficients are omitted from the table.  Standard errors are in parentheses.</w:t>
      </w:r>
    </w:p>
    <w:p w:rsidR="00426DB1" w:rsidRPr="00FD3832" w:rsidRDefault="00426DB1" w:rsidP="00426DB1">
      <w:pPr>
        <w:spacing w:before="60" w:line="240" w:lineRule="auto"/>
        <w:rPr>
          <w:sz w:val="20"/>
          <w:szCs w:val="20"/>
        </w:rPr>
      </w:pPr>
    </w:p>
    <w:p w:rsidR="00426DB1" w:rsidRPr="001176B1" w:rsidRDefault="00426DB1" w:rsidP="00426DB1">
      <w:pPr>
        <w:keepNext/>
        <w:spacing w:after="120" w:line="240" w:lineRule="auto"/>
        <w:jc w:val="center"/>
        <w:rPr>
          <w:b/>
        </w:rPr>
      </w:pPr>
      <w:r>
        <w:rPr>
          <w:b/>
        </w:rPr>
        <w:lastRenderedPageBreak/>
        <w:t xml:space="preserve">Average Return Rate by </w:t>
      </w:r>
      <w:r w:rsidRPr="001176B1">
        <w:rPr>
          <w:b/>
        </w:rPr>
        <w:t>Return Reason</w:t>
      </w:r>
    </w:p>
    <w:tbl>
      <w:tblPr>
        <w:tblW w:w="0" w:type="auto"/>
        <w:jc w:val="center"/>
        <w:tblBorders>
          <w:top w:val="double" w:sz="4" w:space="0" w:color="auto"/>
          <w:bottom w:val="double" w:sz="4" w:space="0" w:color="auto"/>
        </w:tblBorders>
        <w:tblLayout w:type="fixed"/>
        <w:tblLook w:val="01E0" w:firstRow="1" w:lastRow="1" w:firstColumn="1" w:lastColumn="1" w:noHBand="0" w:noVBand="0"/>
      </w:tblPr>
      <w:tblGrid>
        <w:gridCol w:w="3139"/>
        <w:gridCol w:w="1440"/>
        <w:gridCol w:w="1440"/>
      </w:tblGrid>
      <w:tr w:rsidR="00426DB1" w:rsidRPr="007535FE" w:rsidTr="00FA3C3C">
        <w:trPr>
          <w:trHeight w:val="288"/>
          <w:jc w:val="center"/>
        </w:trPr>
        <w:tc>
          <w:tcPr>
            <w:tcW w:w="3139" w:type="dxa"/>
            <w:tcBorders>
              <w:top w:val="single" w:sz="18" w:space="0" w:color="auto"/>
              <w:bottom w:val="single" w:sz="8" w:space="0" w:color="auto"/>
            </w:tcBorders>
            <w:vAlign w:val="center"/>
          </w:tcPr>
          <w:p w:rsidR="00426DB1" w:rsidRDefault="00426DB1" w:rsidP="00FA3C3C">
            <w:pPr>
              <w:pStyle w:val="TableBoldTitle"/>
              <w:spacing w:before="60" w:after="60"/>
              <w:jc w:val="left"/>
              <w:rPr>
                <w:bCs/>
              </w:rPr>
            </w:pPr>
            <w:r>
              <w:t>Return Reason</w:t>
            </w:r>
          </w:p>
        </w:tc>
        <w:tc>
          <w:tcPr>
            <w:tcW w:w="1440" w:type="dxa"/>
            <w:tcBorders>
              <w:top w:val="single" w:sz="18" w:space="0" w:color="auto"/>
              <w:bottom w:val="single" w:sz="8" w:space="0" w:color="auto"/>
            </w:tcBorders>
          </w:tcPr>
          <w:p w:rsidR="00426DB1" w:rsidRDefault="00426DB1" w:rsidP="00FA3C3C">
            <w:pPr>
              <w:pStyle w:val="TableBoldTitle"/>
              <w:spacing w:before="60" w:after="60"/>
              <w:ind w:right="44"/>
              <w:rPr>
                <w:sz w:val="22"/>
              </w:rPr>
            </w:pPr>
            <w:r>
              <w:rPr>
                <w:sz w:val="22"/>
              </w:rPr>
              <w:t>2010</w:t>
            </w:r>
          </w:p>
        </w:tc>
        <w:tc>
          <w:tcPr>
            <w:tcW w:w="1440" w:type="dxa"/>
            <w:tcBorders>
              <w:top w:val="single" w:sz="18" w:space="0" w:color="auto"/>
              <w:bottom w:val="single" w:sz="8" w:space="0" w:color="auto"/>
            </w:tcBorders>
            <w:vAlign w:val="center"/>
          </w:tcPr>
          <w:p w:rsidR="00426DB1" w:rsidRDefault="00426DB1" w:rsidP="00FA3C3C">
            <w:pPr>
              <w:pStyle w:val="TableBoldTitle"/>
              <w:spacing w:before="60" w:after="60"/>
              <w:ind w:right="44"/>
              <w:rPr>
                <w:bCs/>
                <w:i/>
              </w:rPr>
            </w:pPr>
            <w:r>
              <w:rPr>
                <w:sz w:val="22"/>
              </w:rPr>
              <w:t>2011</w:t>
            </w:r>
          </w:p>
        </w:tc>
      </w:tr>
      <w:tr w:rsidR="00426DB1" w:rsidRPr="00AE2F03" w:rsidTr="00FA3C3C">
        <w:trPr>
          <w:trHeight w:val="240"/>
          <w:jc w:val="center"/>
        </w:trPr>
        <w:tc>
          <w:tcPr>
            <w:tcW w:w="3139" w:type="dxa"/>
            <w:tcBorders>
              <w:top w:val="nil"/>
              <w:bottom w:val="nil"/>
            </w:tcBorders>
            <w:vAlign w:val="center"/>
          </w:tcPr>
          <w:p w:rsidR="00426DB1" w:rsidRPr="00EC0B54" w:rsidRDefault="00426DB1" w:rsidP="00FA3C3C">
            <w:pPr>
              <w:keepNext/>
              <w:spacing w:after="120" w:line="240" w:lineRule="auto"/>
              <w:rPr>
                <w:rFonts w:ascii="Calibri" w:hAnsi="Calibri"/>
                <w:color w:val="000000"/>
                <w:sz w:val="20"/>
                <w:szCs w:val="20"/>
              </w:rPr>
            </w:pPr>
            <w:r w:rsidRPr="00EC0B54">
              <w:rPr>
                <w:rFonts w:ascii="Calibri" w:hAnsi="Calibri"/>
                <w:color w:val="000000"/>
                <w:sz w:val="20"/>
                <w:szCs w:val="20"/>
              </w:rPr>
              <w:t>Did Not Like The Item</w:t>
            </w:r>
          </w:p>
        </w:tc>
        <w:tc>
          <w:tcPr>
            <w:tcW w:w="1440" w:type="dxa"/>
            <w:tcBorders>
              <w:top w:val="nil"/>
              <w:bottom w:val="nil"/>
            </w:tcBorders>
            <w:vAlign w:val="center"/>
          </w:tcPr>
          <w:p w:rsidR="00426DB1" w:rsidRDefault="00426DB1" w:rsidP="00FA3C3C">
            <w:pPr>
              <w:keepNext/>
              <w:tabs>
                <w:tab w:val="decimal" w:pos="470"/>
              </w:tabs>
              <w:spacing w:after="120" w:line="240" w:lineRule="auto"/>
              <w:ind w:right="44"/>
              <w:rPr>
                <w:rFonts w:ascii="Calibri" w:hAnsi="Calibri"/>
                <w:sz w:val="20"/>
                <w:szCs w:val="20"/>
              </w:rPr>
            </w:pPr>
            <w:r>
              <w:rPr>
                <w:rFonts w:ascii="Calibri" w:hAnsi="Calibri"/>
                <w:sz w:val="20"/>
                <w:szCs w:val="20"/>
              </w:rPr>
              <w:t>4.13%</w:t>
            </w:r>
          </w:p>
        </w:tc>
        <w:tc>
          <w:tcPr>
            <w:tcW w:w="1440" w:type="dxa"/>
            <w:tcBorders>
              <w:top w:val="nil"/>
              <w:bottom w:val="nil"/>
            </w:tcBorders>
            <w:vAlign w:val="center"/>
          </w:tcPr>
          <w:p w:rsidR="00426DB1" w:rsidRDefault="00426DB1" w:rsidP="00FA3C3C">
            <w:pPr>
              <w:keepNext/>
              <w:tabs>
                <w:tab w:val="decimal" w:pos="470"/>
              </w:tabs>
              <w:spacing w:after="120" w:line="240" w:lineRule="auto"/>
              <w:ind w:right="61"/>
              <w:rPr>
                <w:rFonts w:ascii="Calibri" w:hAnsi="Calibri"/>
                <w:sz w:val="20"/>
                <w:szCs w:val="20"/>
              </w:rPr>
            </w:pPr>
            <w:r>
              <w:rPr>
                <w:rFonts w:ascii="Calibri" w:hAnsi="Calibri"/>
                <w:sz w:val="20"/>
                <w:szCs w:val="20"/>
              </w:rPr>
              <w:t>4.25%</w:t>
            </w:r>
          </w:p>
        </w:tc>
      </w:tr>
      <w:tr w:rsidR="00426DB1" w:rsidRPr="00AE2F03" w:rsidTr="00FA3C3C">
        <w:trPr>
          <w:trHeight w:val="240"/>
          <w:jc w:val="center"/>
        </w:trPr>
        <w:tc>
          <w:tcPr>
            <w:tcW w:w="3139" w:type="dxa"/>
            <w:tcBorders>
              <w:top w:val="nil"/>
              <w:bottom w:val="nil"/>
            </w:tcBorders>
            <w:vAlign w:val="center"/>
          </w:tcPr>
          <w:p w:rsidR="00426DB1" w:rsidRPr="00EC0B54" w:rsidRDefault="00426DB1" w:rsidP="00FA3C3C">
            <w:pPr>
              <w:keepNext/>
              <w:spacing w:after="120" w:line="240" w:lineRule="auto"/>
              <w:rPr>
                <w:rFonts w:ascii="Calibri" w:hAnsi="Calibri"/>
                <w:color w:val="000000"/>
                <w:sz w:val="20"/>
                <w:szCs w:val="20"/>
              </w:rPr>
            </w:pPr>
            <w:r w:rsidRPr="00EC0B54">
              <w:rPr>
                <w:rFonts w:ascii="Calibri" w:hAnsi="Calibri"/>
                <w:color w:val="000000"/>
                <w:sz w:val="20"/>
                <w:szCs w:val="20"/>
              </w:rPr>
              <w:t>Item is the Wrong Size</w:t>
            </w:r>
          </w:p>
        </w:tc>
        <w:tc>
          <w:tcPr>
            <w:tcW w:w="1440" w:type="dxa"/>
            <w:tcBorders>
              <w:top w:val="nil"/>
              <w:bottom w:val="nil"/>
            </w:tcBorders>
            <w:vAlign w:val="center"/>
          </w:tcPr>
          <w:p w:rsidR="00426DB1" w:rsidRDefault="00426DB1" w:rsidP="00FA3C3C">
            <w:pPr>
              <w:keepNext/>
              <w:tabs>
                <w:tab w:val="decimal" w:pos="470"/>
              </w:tabs>
              <w:spacing w:after="120" w:line="240" w:lineRule="auto"/>
              <w:ind w:right="44"/>
              <w:rPr>
                <w:rFonts w:ascii="Calibri" w:hAnsi="Calibri"/>
                <w:sz w:val="20"/>
                <w:szCs w:val="20"/>
              </w:rPr>
            </w:pPr>
            <w:r>
              <w:rPr>
                <w:rFonts w:ascii="Calibri" w:hAnsi="Calibri"/>
                <w:sz w:val="20"/>
                <w:szCs w:val="20"/>
              </w:rPr>
              <w:t>6.72%</w:t>
            </w:r>
          </w:p>
        </w:tc>
        <w:tc>
          <w:tcPr>
            <w:tcW w:w="1440" w:type="dxa"/>
            <w:tcBorders>
              <w:top w:val="nil"/>
              <w:bottom w:val="nil"/>
            </w:tcBorders>
            <w:vAlign w:val="center"/>
          </w:tcPr>
          <w:p w:rsidR="00426DB1" w:rsidRDefault="00426DB1" w:rsidP="00FA3C3C">
            <w:pPr>
              <w:keepNext/>
              <w:tabs>
                <w:tab w:val="decimal" w:pos="470"/>
              </w:tabs>
              <w:spacing w:after="120" w:line="240" w:lineRule="auto"/>
              <w:ind w:right="61"/>
              <w:rPr>
                <w:rFonts w:ascii="Calibri" w:hAnsi="Calibri"/>
                <w:sz w:val="20"/>
                <w:szCs w:val="20"/>
              </w:rPr>
            </w:pPr>
            <w:r>
              <w:rPr>
                <w:rFonts w:ascii="Calibri" w:hAnsi="Calibri"/>
                <w:sz w:val="20"/>
                <w:szCs w:val="20"/>
              </w:rPr>
              <w:t>7.27%</w:t>
            </w:r>
          </w:p>
        </w:tc>
      </w:tr>
      <w:tr w:rsidR="00426DB1" w:rsidRPr="00AE2F03" w:rsidTr="00FA3C3C">
        <w:trPr>
          <w:trHeight w:val="240"/>
          <w:jc w:val="center"/>
        </w:trPr>
        <w:tc>
          <w:tcPr>
            <w:tcW w:w="3139" w:type="dxa"/>
            <w:tcBorders>
              <w:top w:val="nil"/>
              <w:bottom w:val="nil"/>
            </w:tcBorders>
            <w:vAlign w:val="center"/>
          </w:tcPr>
          <w:p w:rsidR="00426DB1" w:rsidRPr="00EC0B54" w:rsidRDefault="00426DB1" w:rsidP="00FA3C3C">
            <w:pPr>
              <w:keepNext/>
              <w:spacing w:after="120" w:line="240" w:lineRule="auto"/>
              <w:rPr>
                <w:rFonts w:ascii="Calibri" w:hAnsi="Calibri"/>
                <w:color w:val="000000"/>
                <w:sz w:val="20"/>
                <w:szCs w:val="20"/>
              </w:rPr>
            </w:pPr>
            <w:r w:rsidRPr="00EC0B54">
              <w:rPr>
                <w:rFonts w:ascii="Calibri" w:hAnsi="Calibri"/>
                <w:color w:val="000000"/>
                <w:sz w:val="20"/>
                <w:szCs w:val="20"/>
              </w:rPr>
              <w:t>Item is Defective</w:t>
            </w:r>
          </w:p>
        </w:tc>
        <w:tc>
          <w:tcPr>
            <w:tcW w:w="1440" w:type="dxa"/>
            <w:tcBorders>
              <w:top w:val="nil"/>
              <w:bottom w:val="nil"/>
            </w:tcBorders>
            <w:vAlign w:val="center"/>
          </w:tcPr>
          <w:p w:rsidR="00426DB1" w:rsidRDefault="00426DB1" w:rsidP="00FA3C3C">
            <w:pPr>
              <w:keepNext/>
              <w:tabs>
                <w:tab w:val="decimal" w:pos="470"/>
              </w:tabs>
              <w:spacing w:after="120" w:line="240" w:lineRule="auto"/>
              <w:ind w:right="44"/>
              <w:rPr>
                <w:rFonts w:ascii="Calibri" w:hAnsi="Calibri"/>
                <w:sz w:val="20"/>
                <w:szCs w:val="20"/>
              </w:rPr>
            </w:pPr>
            <w:r>
              <w:rPr>
                <w:rFonts w:ascii="Calibri" w:hAnsi="Calibri"/>
                <w:sz w:val="20"/>
                <w:szCs w:val="20"/>
              </w:rPr>
              <w:t>0.32%</w:t>
            </w:r>
          </w:p>
        </w:tc>
        <w:tc>
          <w:tcPr>
            <w:tcW w:w="1440" w:type="dxa"/>
            <w:tcBorders>
              <w:top w:val="nil"/>
              <w:bottom w:val="nil"/>
            </w:tcBorders>
            <w:vAlign w:val="center"/>
          </w:tcPr>
          <w:p w:rsidR="00426DB1" w:rsidRDefault="00426DB1" w:rsidP="00FA3C3C">
            <w:pPr>
              <w:keepNext/>
              <w:tabs>
                <w:tab w:val="decimal" w:pos="470"/>
              </w:tabs>
              <w:spacing w:after="120" w:line="240" w:lineRule="auto"/>
              <w:ind w:right="61"/>
              <w:rPr>
                <w:rFonts w:ascii="Calibri" w:hAnsi="Calibri"/>
                <w:sz w:val="20"/>
                <w:szCs w:val="20"/>
              </w:rPr>
            </w:pPr>
            <w:r>
              <w:rPr>
                <w:rFonts w:ascii="Calibri" w:hAnsi="Calibri"/>
                <w:sz w:val="20"/>
                <w:szCs w:val="20"/>
              </w:rPr>
              <w:t>0.37%</w:t>
            </w:r>
          </w:p>
        </w:tc>
      </w:tr>
      <w:tr w:rsidR="00426DB1" w:rsidRPr="00AE2F03" w:rsidTr="00FA3C3C">
        <w:trPr>
          <w:trHeight w:val="240"/>
          <w:jc w:val="center"/>
        </w:trPr>
        <w:tc>
          <w:tcPr>
            <w:tcW w:w="3139" w:type="dxa"/>
            <w:tcBorders>
              <w:top w:val="nil"/>
              <w:bottom w:val="nil"/>
            </w:tcBorders>
            <w:vAlign w:val="center"/>
          </w:tcPr>
          <w:p w:rsidR="00426DB1" w:rsidRPr="00EC0B54" w:rsidRDefault="00426DB1" w:rsidP="00FA3C3C">
            <w:pPr>
              <w:keepNext/>
              <w:spacing w:after="120" w:line="240" w:lineRule="auto"/>
              <w:rPr>
                <w:rFonts w:ascii="Calibri" w:hAnsi="Calibri"/>
                <w:color w:val="000000"/>
                <w:sz w:val="20"/>
                <w:szCs w:val="20"/>
              </w:rPr>
            </w:pPr>
            <w:r w:rsidRPr="00EC0B54">
              <w:rPr>
                <w:rFonts w:ascii="Calibri" w:hAnsi="Calibri"/>
                <w:color w:val="000000"/>
                <w:sz w:val="20"/>
                <w:szCs w:val="20"/>
              </w:rPr>
              <w:t>Miscellaneous</w:t>
            </w:r>
          </w:p>
        </w:tc>
        <w:tc>
          <w:tcPr>
            <w:tcW w:w="1440" w:type="dxa"/>
            <w:tcBorders>
              <w:top w:val="nil"/>
              <w:bottom w:val="nil"/>
            </w:tcBorders>
            <w:vAlign w:val="center"/>
          </w:tcPr>
          <w:p w:rsidR="00426DB1" w:rsidRDefault="00426DB1" w:rsidP="00FA3C3C">
            <w:pPr>
              <w:keepNext/>
              <w:tabs>
                <w:tab w:val="decimal" w:pos="470"/>
              </w:tabs>
              <w:spacing w:after="120" w:line="240" w:lineRule="auto"/>
              <w:ind w:right="44"/>
              <w:rPr>
                <w:rFonts w:ascii="Calibri" w:hAnsi="Calibri"/>
                <w:sz w:val="20"/>
                <w:szCs w:val="20"/>
              </w:rPr>
            </w:pPr>
            <w:r>
              <w:rPr>
                <w:rFonts w:ascii="Calibri" w:hAnsi="Calibri"/>
                <w:sz w:val="20"/>
                <w:szCs w:val="20"/>
              </w:rPr>
              <w:t>2.15%</w:t>
            </w:r>
          </w:p>
        </w:tc>
        <w:tc>
          <w:tcPr>
            <w:tcW w:w="1440" w:type="dxa"/>
            <w:tcBorders>
              <w:top w:val="nil"/>
              <w:bottom w:val="nil"/>
            </w:tcBorders>
            <w:vAlign w:val="center"/>
          </w:tcPr>
          <w:p w:rsidR="00426DB1" w:rsidRDefault="00426DB1" w:rsidP="00FA3C3C">
            <w:pPr>
              <w:keepNext/>
              <w:tabs>
                <w:tab w:val="decimal" w:pos="470"/>
              </w:tabs>
              <w:spacing w:after="120" w:line="240" w:lineRule="auto"/>
              <w:ind w:right="61"/>
              <w:rPr>
                <w:rFonts w:ascii="Calibri" w:hAnsi="Calibri"/>
                <w:sz w:val="20"/>
                <w:szCs w:val="20"/>
              </w:rPr>
            </w:pPr>
            <w:r>
              <w:rPr>
                <w:rFonts w:ascii="Calibri" w:hAnsi="Calibri"/>
                <w:sz w:val="20"/>
                <w:szCs w:val="20"/>
              </w:rPr>
              <w:t>1.92%</w:t>
            </w:r>
          </w:p>
        </w:tc>
      </w:tr>
      <w:tr w:rsidR="00426DB1" w:rsidRPr="00AE2F03" w:rsidTr="00FA3C3C">
        <w:trPr>
          <w:trHeight w:val="240"/>
          <w:jc w:val="center"/>
        </w:trPr>
        <w:tc>
          <w:tcPr>
            <w:tcW w:w="3139" w:type="dxa"/>
            <w:tcBorders>
              <w:top w:val="nil"/>
              <w:bottom w:val="single" w:sz="18" w:space="0" w:color="auto"/>
            </w:tcBorders>
            <w:vAlign w:val="center"/>
          </w:tcPr>
          <w:p w:rsidR="00426DB1" w:rsidRPr="00727436" w:rsidRDefault="00426DB1" w:rsidP="00FA3C3C">
            <w:pPr>
              <w:keepNext/>
              <w:spacing w:after="120" w:line="240" w:lineRule="auto"/>
              <w:rPr>
                <w:rFonts w:ascii="Calibri" w:hAnsi="Calibri"/>
                <w:b/>
                <w:color w:val="000000"/>
                <w:sz w:val="20"/>
                <w:szCs w:val="20"/>
              </w:rPr>
            </w:pPr>
            <w:r>
              <w:rPr>
                <w:rFonts w:ascii="Calibri" w:hAnsi="Calibri"/>
                <w:b/>
                <w:color w:val="000000"/>
                <w:sz w:val="20"/>
                <w:szCs w:val="20"/>
              </w:rPr>
              <w:t>All Reasons</w:t>
            </w:r>
          </w:p>
        </w:tc>
        <w:tc>
          <w:tcPr>
            <w:tcW w:w="1440" w:type="dxa"/>
            <w:tcBorders>
              <w:top w:val="nil"/>
              <w:bottom w:val="single" w:sz="18" w:space="0" w:color="auto"/>
            </w:tcBorders>
          </w:tcPr>
          <w:p w:rsidR="00426DB1" w:rsidRDefault="00426DB1" w:rsidP="00FA3C3C">
            <w:pPr>
              <w:keepNext/>
              <w:tabs>
                <w:tab w:val="decimal" w:pos="470"/>
              </w:tabs>
              <w:spacing w:after="120" w:line="240" w:lineRule="auto"/>
              <w:ind w:right="44"/>
              <w:rPr>
                <w:rFonts w:ascii="Calibri" w:hAnsi="Calibri"/>
                <w:sz w:val="20"/>
                <w:szCs w:val="20"/>
              </w:rPr>
            </w:pPr>
            <w:r>
              <w:rPr>
                <w:rFonts w:ascii="Calibri" w:hAnsi="Calibri"/>
                <w:sz w:val="20"/>
                <w:szCs w:val="20"/>
              </w:rPr>
              <w:t>13.32%</w:t>
            </w:r>
          </w:p>
        </w:tc>
        <w:tc>
          <w:tcPr>
            <w:tcW w:w="1440" w:type="dxa"/>
            <w:tcBorders>
              <w:top w:val="nil"/>
              <w:bottom w:val="single" w:sz="18" w:space="0" w:color="auto"/>
            </w:tcBorders>
            <w:vAlign w:val="center"/>
          </w:tcPr>
          <w:p w:rsidR="00426DB1" w:rsidRDefault="00426DB1" w:rsidP="00FA3C3C">
            <w:pPr>
              <w:keepNext/>
              <w:tabs>
                <w:tab w:val="decimal" w:pos="470"/>
              </w:tabs>
              <w:spacing w:after="120" w:line="240" w:lineRule="auto"/>
              <w:ind w:right="61"/>
              <w:rPr>
                <w:rFonts w:ascii="Calibri" w:hAnsi="Calibri"/>
                <w:sz w:val="20"/>
                <w:szCs w:val="20"/>
              </w:rPr>
            </w:pPr>
            <w:r>
              <w:rPr>
                <w:rFonts w:ascii="Calibri" w:hAnsi="Calibri"/>
                <w:sz w:val="20"/>
                <w:szCs w:val="20"/>
              </w:rPr>
              <w:t>13.80</w:t>
            </w:r>
            <w:r w:rsidRPr="00B37A89">
              <w:rPr>
                <w:rFonts w:ascii="Calibri" w:hAnsi="Calibri"/>
                <w:sz w:val="20"/>
                <w:szCs w:val="20"/>
              </w:rPr>
              <w:t>%</w:t>
            </w:r>
          </w:p>
        </w:tc>
      </w:tr>
    </w:tbl>
    <w:p w:rsidR="00426DB1" w:rsidRDefault="00426DB1" w:rsidP="00426DB1">
      <w:pPr>
        <w:pStyle w:val="StyleBodyTextIndentRight038Before3pt"/>
        <w:ind w:left="0" w:right="26"/>
      </w:pPr>
      <w:r w:rsidRPr="00ED6437">
        <w:t>The table describe</w:t>
      </w:r>
      <w:r>
        <w:t>s the average return rate by return reason. T</w:t>
      </w:r>
      <w:r w:rsidRPr="00FD3832">
        <w:t>he</w:t>
      </w:r>
      <w:r>
        <w:t>y</w:t>
      </w:r>
      <w:r w:rsidRPr="00FD3832">
        <w:t xml:space="preserve"> </w:t>
      </w:r>
      <w:r>
        <w:t xml:space="preserve">are calculated separately using return transactions in 2010 and 2011. We only consider transactions in zip codes for which we have </w:t>
      </w:r>
      <w:r w:rsidRPr="00C74CE3">
        <w:rPr>
          <w:i/>
        </w:rPr>
        <w:t>Average Success Rates</w:t>
      </w:r>
      <w:r>
        <w:t xml:space="preserve"> from </w:t>
      </w:r>
      <w:r w:rsidRPr="00964815">
        <w:t>MassStore</w:t>
      </w:r>
      <w:r>
        <w:t>. S</w:t>
      </w:r>
      <w:r w:rsidRPr="00FD3832">
        <w:t>ample size</w:t>
      </w:r>
      <w:r>
        <w:t>s are 6,190,833 (2010) and 6,226,019 (2011)</w:t>
      </w:r>
      <w:r w:rsidRPr="00FD3832">
        <w:t>.</w:t>
      </w:r>
      <w:r>
        <w:t xml:space="preserve"> </w:t>
      </w:r>
    </w:p>
    <w:p w:rsidR="00426DB1" w:rsidRDefault="00426DB1" w:rsidP="00426DB1">
      <w:pPr>
        <w:spacing w:line="240" w:lineRule="auto"/>
      </w:pPr>
    </w:p>
    <w:p w:rsidR="00426DB1" w:rsidRDefault="00426DB1" w:rsidP="00426DB1"/>
    <w:p w:rsidR="00426DB1" w:rsidRPr="001176B1" w:rsidRDefault="00426DB1" w:rsidP="00426DB1">
      <w:pPr>
        <w:keepNext/>
        <w:spacing w:after="120"/>
        <w:jc w:val="center"/>
        <w:rPr>
          <w:b/>
        </w:rPr>
      </w:pPr>
      <w:r w:rsidRPr="001176B1">
        <w:rPr>
          <w:b/>
        </w:rPr>
        <w:t xml:space="preserve">Return Reasons: </w:t>
      </w:r>
      <w:r>
        <w:rPr>
          <w:b/>
        </w:rPr>
        <w:t>Average Return Rate</w:t>
      </w:r>
    </w:p>
    <w:tbl>
      <w:tblPr>
        <w:tblW w:w="0" w:type="auto"/>
        <w:jc w:val="center"/>
        <w:tblBorders>
          <w:top w:val="double" w:sz="4" w:space="0" w:color="auto"/>
          <w:bottom w:val="double" w:sz="4" w:space="0" w:color="auto"/>
        </w:tblBorders>
        <w:tblLayout w:type="fixed"/>
        <w:tblLook w:val="01E0" w:firstRow="1" w:lastRow="1" w:firstColumn="1" w:lastColumn="1" w:noHBand="0" w:noVBand="0"/>
      </w:tblPr>
      <w:tblGrid>
        <w:gridCol w:w="2652"/>
        <w:gridCol w:w="1296"/>
        <w:gridCol w:w="1296"/>
      </w:tblGrid>
      <w:tr w:rsidR="00426DB1" w:rsidRPr="007535FE" w:rsidTr="00FA3C3C">
        <w:trPr>
          <w:trHeight w:val="288"/>
          <w:jc w:val="center"/>
        </w:trPr>
        <w:tc>
          <w:tcPr>
            <w:tcW w:w="2652" w:type="dxa"/>
            <w:tcBorders>
              <w:top w:val="single" w:sz="18" w:space="0" w:color="auto"/>
              <w:bottom w:val="single" w:sz="8" w:space="0" w:color="auto"/>
            </w:tcBorders>
            <w:vAlign w:val="center"/>
          </w:tcPr>
          <w:p w:rsidR="00426DB1" w:rsidRDefault="00426DB1" w:rsidP="00FA3C3C">
            <w:pPr>
              <w:pStyle w:val="TableBoldTitle"/>
              <w:spacing w:before="60" w:after="60"/>
              <w:jc w:val="left"/>
              <w:rPr>
                <w:bCs/>
              </w:rPr>
            </w:pPr>
            <w:r>
              <w:t>Return Reason</w:t>
            </w:r>
          </w:p>
        </w:tc>
        <w:tc>
          <w:tcPr>
            <w:tcW w:w="1296" w:type="dxa"/>
            <w:tcBorders>
              <w:top w:val="single" w:sz="18" w:space="0" w:color="auto"/>
              <w:bottom w:val="single" w:sz="8" w:space="0" w:color="auto"/>
            </w:tcBorders>
          </w:tcPr>
          <w:p w:rsidR="00426DB1" w:rsidRDefault="00426DB1" w:rsidP="00FA3C3C">
            <w:pPr>
              <w:pStyle w:val="TableBoldTitle"/>
              <w:spacing w:before="60" w:after="60"/>
              <w:ind w:right="240"/>
              <w:jc w:val="right"/>
              <w:rPr>
                <w:sz w:val="22"/>
              </w:rPr>
            </w:pPr>
            <w:r>
              <w:rPr>
                <w:sz w:val="22"/>
              </w:rPr>
              <w:t>2010</w:t>
            </w:r>
          </w:p>
        </w:tc>
        <w:tc>
          <w:tcPr>
            <w:tcW w:w="1296" w:type="dxa"/>
            <w:tcBorders>
              <w:top w:val="single" w:sz="18" w:space="0" w:color="auto"/>
              <w:bottom w:val="single" w:sz="8" w:space="0" w:color="auto"/>
            </w:tcBorders>
            <w:vAlign w:val="center"/>
          </w:tcPr>
          <w:p w:rsidR="00426DB1" w:rsidRDefault="00426DB1" w:rsidP="00FA3C3C">
            <w:pPr>
              <w:pStyle w:val="TableBoldTitle"/>
              <w:spacing w:before="60" w:after="60"/>
              <w:ind w:right="240"/>
              <w:jc w:val="right"/>
              <w:rPr>
                <w:bCs/>
                <w:i/>
              </w:rPr>
            </w:pPr>
            <w:r>
              <w:rPr>
                <w:sz w:val="22"/>
              </w:rPr>
              <w:t>2011</w:t>
            </w:r>
          </w:p>
        </w:tc>
      </w:tr>
      <w:tr w:rsidR="00426DB1" w:rsidRPr="00AE2F03" w:rsidTr="00FA3C3C">
        <w:trPr>
          <w:trHeight w:val="240"/>
          <w:jc w:val="center"/>
        </w:trPr>
        <w:tc>
          <w:tcPr>
            <w:tcW w:w="2652" w:type="dxa"/>
            <w:tcBorders>
              <w:top w:val="single" w:sz="8" w:space="0" w:color="auto"/>
              <w:bottom w:val="nil"/>
            </w:tcBorders>
            <w:vAlign w:val="center"/>
          </w:tcPr>
          <w:p w:rsidR="00426DB1" w:rsidRDefault="00426DB1" w:rsidP="00FA3C3C">
            <w:pPr>
              <w:keepNext/>
              <w:spacing w:before="60" w:after="60" w:line="240" w:lineRule="auto"/>
              <w:rPr>
                <w:rFonts w:ascii="Calibri" w:hAnsi="Calibri"/>
                <w:b/>
                <w:color w:val="000000"/>
                <w:sz w:val="20"/>
                <w:szCs w:val="20"/>
              </w:rPr>
            </w:pPr>
            <w:r w:rsidRPr="00B37A89">
              <w:rPr>
                <w:rFonts w:ascii="Calibri" w:hAnsi="Calibri"/>
                <w:b/>
                <w:color w:val="000000"/>
                <w:sz w:val="20"/>
                <w:szCs w:val="20"/>
              </w:rPr>
              <w:t xml:space="preserve">Did Not Like </w:t>
            </w:r>
            <w:r>
              <w:rPr>
                <w:rFonts w:ascii="Calibri" w:hAnsi="Calibri"/>
                <w:b/>
                <w:color w:val="000000"/>
                <w:sz w:val="20"/>
                <w:szCs w:val="20"/>
              </w:rPr>
              <w:t xml:space="preserve">The </w:t>
            </w:r>
            <w:r w:rsidRPr="00B37A89">
              <w:rPr>
                <w:rFonts w:ascii="Calibri" w:hAnsi="Calibri"/>
                <w:b/>
                <w:color w:val="000000"/>
                <w:sz w:val="20"/>
                <w:szCs w:val="20"/>
              </w:rPr>
              <w:t>Item</w:t>
            </w:r>
          </w:p>
        </w:tc>
        <w:tc>
          <w:tcPr>
            <w:tcW w:w="1296" w:type="dxa"/>
            <w:tcBorders>
              <w:top w:val="single" w:sz="8" w:space="0" w:color="auto"/>
              <w:bottom w:val="nil"/>
            </w:tcBorders>
          </w:tcPr>
          <w:p w:rsidR="00426DB1" w:rsidRDefault="00426DB1" w:rsidP="00FA3C3C">
            <w:pPr>
              <w:keepNext/>
              <w:spacing w:before="60" w:after="60" w:line="240" w:lineRule="auto"/>
              <w:ind w:right="240"/>
              <w:jc w:val="right"/>
              <w:rPr>
                <w:rFonts w:ascii="Calibri" w:hAnsi="Calibri"/>
                <w:sz w:val="20"/>
                <w:szCs w:val="20"/>
              </w:rPr>
            </w:pPr>
          </w:p>
        </w:tc>
        <w:tc>
          <w:tcPr>
            <w:tcW w:w="1296" w:type="dxa"/>
            <w:tcBorders>
              <w:top w:val="single" w:sz="8" w:space="0" w:color="auto"/>
              <w:bottom w:val="nil"/>
            </w:tcBorders>
            <w:vAlign w:val="center"/>
          </w:tcPr>
          <w:p w:rsidR="00426DB1" w:rsidRDefault="00426DB1" w:rsidP="00FA3C3C">
            <w:pPr>
              <w:keepNext/>
              <w:spacing w:before="60" w:after="60" w:line="240" w:lineRule="auto"/>
              <w:ind w:right="240"/>
              <w:jc w:val="right"/>
              <w:rPr>
                <w:rFonts w:ascii="Calibri" w:hAnsi="Calibri"/>
                <w:sz w:val="20"/>
                <w:szCs w:val="20"/>
              </w:rPr>
            </w:pPr>
          </w:p>
        </w:tc>
      </w:tr>
      <w:tr w:rsidR="00426DB1" w:rsidRPr="00AE2F03" w:rsidTr="00FA3C3C">
        <w:trPr>
          <w:trHeight w:val="240"/>
          <w:jc w:val="center"/>
        </w:trPr>
        <w:tc>
          <w:tcPr>
            <w:tcW w:w="2652" w:type="dxa"/>
            <w:tcBorders>
              <w:top w:val="nil"/>
              <w:bottom w:val="nil"/>
            </w:tcBorders>
            <w:vAlign w:val="center"/>
          </w:tcPr>
          <w:p w:rsidR="00426DB1" w:rsidRDefault="00426DB1" w:rsidP="00FA3C3C">
            <w:pPr>
              <w:keepNext/>
              <w:spacing w:before="60" w:after="60" w:line="240" w:lineRule="auto"/>
              <w:rPr>
                <w:rFonts w:ascii="Calibri" w:hAnsi="Calibri"/>
                <w:color w:val="000000"/>
                <w:sz w:val="20"/>
                <w:szCs w:val="20"/>
              </w:rPr>
            </w:pPr>
            <w:r w:rsidRPr="00B37A89">
              <w:rPr>
                <w:rFonts w:ascii="Calibri" w:hAnsi="Calibri"/>
                <w:color w:val="000000"/>
                <w:sz w:val="20"/>
                <w:szCs w:val="20"/>
              </w:rPr>
              <w:t>Did Not Like Color</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0.75</w:t>
            </w:r>
            <w:r w:rsidRPr="00B37A89">
              <w:rPr>
                <w:rFonts w:ascii="Calibri" w:hAnsi="Calibri"/>
                <w:sz w:val="20"/>
                <w:szCs w:val="20"/>
              </w:rPr>
              <w:t>%</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0.83</w:t>
            </w:r>
            <w:r w:rsidRPr="00B37A89">
              <w:rPr>
                <w:rFonts w:ascii="Calibri" w:hAnsi="Calibri"/>
                <w:sz w:val="20"/>
                <w:szCs w:val="20"/>
              </w:rPr>
              <w:t>%</w:t>
            </w:r>
          </w:p>
        </w:tc>
      </w:tr>
      <w:tr w:rsidR="00426DB1" w:rsidRPr="00AE2F03" w:rsidTr="00FA3C3C">
        <w:trPr>
          <w:trHeight w:val="240"/>
          <w:jc w:val="center"/>
        </w:trPr>
        <w:tc>
          <w:tcPr>
            <w:tcW w:w="2652" w:type="dxa"/>
            <w:tcBorders>
              <w:top w:val="nil"/>
              <w:bottom w:val="nil"/>
            </w:tcBorders>
            <w:vAlign w:val="center"/>
          </w:tcPr>
          <w:p w:rsidR="00426DB1" w:rsidRDefault="00426DB1" w:rsidP="00FA3C3C">
            <w:pPr>
              <w:keepNext/>
              <w:spacing w:before="60" w:after="60" w:line="240" w:lineRule="auto"/>
              <w:rPr>
                <w:rFonts w:ascii="Calibri" w:hAnsi="Calibri"/>
                <w:color w:val="000000"/>
                <w:sz w:val="20"/>
                <w:szCs w:val="20"/>
              </w:rPr>
            </w:pPr>
            <w:r w:rsidRPr="00B37A89">
              <w:rPr>
                <w:rFonts w:ascii="Calibri" w:hAnsi="Calibri"/>
                <w:color w:val="000000"/>
                <w:sz w:val="20"/>
                <w:szCs w:val="20"/>
              </w:rPr>
              <w:t>Did Not Like Material</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0.42</w:t>
            </w:r>
            <w:r w:rsidRPr="00B37A89">
              <w:rPr>
                <w:rFonts w:ascii="Calibri" w:hAnsi="Calibri"/>
                <w:sz w:val="20"/>
                <w:szCs w:val="20"/>
              </w:rPr>
              <w:t>%</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0.05</w:t>
            </w:r>
            <w:r w:rsidRPr="00B37A89">
              <w:rPr>
                <w:rFonts w:ascii="Calibri" w:hAnsi="Calibri"/>
                <w:sz w:val="20"/>
                <w:szCs w:val="20"/>
              </w:rPr>
              <w:t>%</w:t>
            </w:r>
          </w:p>
        </w:tc>
      </w:tr>
      <w:tr w:rsidR="00426DB1" w:rsidRPr="00AE2F03" w:rsidTr="00FA3C3C">
        <w:trPr>
          <w:trHeight w:val="240"/>
          <w:jc w:val="center"/>
        </w:trPr>
        <w:tc>
          <w:tcPr>
            <w:tcW w:w="2652" w:type="dxa"/>
            <w:tcBorders>
              <w:top w:val="nil"/>
              <w:bottom w:val="nil"/>
            </w:tcBorders>
            <w:vAlign w:val="center"/>
          </w:tcPr>
          <w:p w:rsidR="00426DB1" w:rsidRDefault="00426DB1" w:rsidP="00FA3C3C">
            <w:pPr>
              <w:keepNext/>
              <w:spacing w:before="60" w:after="60" w:line="240" w:lineRule="auto"/>
              <w:rPr>
                <w:rFonts w:ascii="Calibri" w:hAnsi="Calibri"/>
                <w:color w:val="000000"/>
                <w:sz w:val="20"/>
                <w:szCs w:val="20"/>
              </w:rPr>
            </w:pPr>
            <w:r w:rsidRPr="00B37A89">
              <w:rPr>
                <w:rFonts w:ascii="Calibri" w:hAnsi="Calibri"/>
                <w:color w:val="000000"/>
                <w:sz w:val="20"/>
                <w:szCs w:val="20"/>
              </w:rPr>
              <w:t>Did Not Like Styling</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1.90</w:t>
            </w:r>
            <w:r w:rsidRPr="00B37A89">
              <w:rPr>
                <w:rFonts w:ascii="Calibri" w:hAnsi="Calibri"/>
                <w:sz w:val="20"/>
                <w:szCs w:val="20"/>
              </w:rPr>
              <w:t>%</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2.41</w:t>
            </w:r>
            <w:r w:rsidRPr="00B37A89">
              <w:rPr>
                <w:rFonts w:ascii="Calibri" w:hAnsi="Calibri"/>
                <w:sz w:val="20"/>
                <w:szCs w:val="20"/>
              </w:rPr>
              <w:t>%</w:t>
            </w:r>
          </w:p>
        </w:tc>
      </w:tr>
      <w:tr w:rsidR="00426DB1" w:rsidRPr="00AE2F03" w:rsidTr="00FA3C3C">
        <w:trPr>
          <w:trHeight w:val="297"/>
          <w:jc w:val="center"/>
        </w:trPr>
        <w:tc>
          <w:tcPr>
            <w:tcW w:w="2652" w:type="dxa"/>
            <w:tcBorders>
              <w:top w:val="nil"/>
              <w:bottom w:val="nil"/>
            </w:tcBorders>
            <w:vAlign w:val="center"/>
          </w:tcPr>
          <w:p w:rsidR="00426DB1" w:rsidRDefault="00426DB1" w:rsidP="00FA3C3C">
            <w:pPr>
              <w:keepNext/>
              <w:spacing w:before="60" w:after="60" w:line="240" w:lineRule="auto"/>
              <w:rPr>
                <w:rFonts w:ascii="Calibri" w:hAnsi="Calibri"/>
                <w:color w:val="000000"/>
                <w:sz w:val="20"/>
                <w:szCs w:val="20"/>
              </w:rPr>
            </w:pPr>
            <w:r w:rsidRPr="00B37A89">
              <w:rPr>
                <w:rFonts w:ascii="Calibri" w:hAnsi="Calibri"/>
                <w:color w:val="000000"/>
                <w:sz w:val="20"/>
                <w:szCs w:val="20"/>
              </w:rPr>
              <w:t xml:space="preserve">Did Not </w:t>
            </w:r>
            <w:r>
              <w:rPr>
                <w:rFonts w:ascii="Calibri" w:hAnsi="Calibri"/>
                <w:color w:val="000000"/>
                <w:sz w:val="20"/>
                <w:szCs w:val="20"/>
              </w:rPr>
              <w:t>Like Other</w:t>
            </w:r>
            <w:r w:rsidRPr="00B37A89">
              <w:rPr>
                <w:rFonts w:ascii="Calibri" w:hAnsi="Calibri"/>
                <w:color w:val="000000"/>
                <w:sz w:val="20"/>
                <w:szCs w:val="20"/>
              </w:rPr>
              <w:t xml:space="preserve"> </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1.06</w:t>
            </w:r>
            <w:r w:rsidRPr="00B37A89">
              <w:rPr>
                <w:rFonts w:ascii="Calibri" w:hAnsi="Calibri"/>
                <w:sz w:val="20"/>
                <w:szCs w:val="20"/>
              </w:rPr>
              <w:t>%</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0.95</w:t>
            </w:r>
            <w:r w:rsidRPr="00B37A89">
              <w:rPr>
                <w:rFonts w:ascii="Calibri" w:hAnsi="Calibri"/>
                <w:sz w:val="20"/>
                <w:szCs w:val="20"/>
              </w:rPr>
              <w:t>%</w:t>
            </w:r>
          </w:p>
        </w:tc>
      </w:tr>
      <w:tr w:rsidR="00426DB1" w:rsidRPr="00AE2F03" w:rsidTr="00FA3C3C">
        <w:trPr>
          <w:trHeight w:val="240"/>
          <w:jc w:val="center"/>
        </w:trPr>
        <w:tc>
          <w:tcPr>
            <w:tcW w:w="2652" w:type="dxa"/>
            <w:tcBorders>
              <w:top w:val="nil"/>
              <w:bottom w:val="nil"/>
            </w:tcBorders>
            <w:vAlign w:val="center"/>
          </w:tcPr>
          <w:p w:rsidR="00426DB1" w:rsidRDefault="00426DB1" w:rsidP="00FA3C3C">
            <w:pPr>
              <w:keepNext/>
              <w:spacing w:before="60" w:after="60" w:line="240" w:lineRule="auto"/>
              <w:rPr>
                <w:rFonts w:ascii="Calibri" w:hAnsi="Calibri"/>
                <w:b/>
                <w:color w:val="000000"/>
                <w:sz w:val="20"/>
                <w:szCs w:val="20"/>
              </w:rPr>
            </w:pPr>
            <w:r>
              <w:rPr>
                <w:rFonts w:ascii="Calibri" w:hAnsi="Calibri"/>
                <w:b/>
                <w:color w:val="000000"/>
                <w:sz w:val="20"/>
                <w:szCs w:val="20"/>
              </w:rPr>
              <w:t>Any Did Not Like Reason</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4.13%</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4.25%</w:t>
            </w:r>
          </w:p>
        </w:tc>
      </w:tr>
      <w:tr w:rsidR="00426DB1" w:rsidRPr="00AE2F03" w:rsidTr="00FA3C3C">
        <w:trPr>
          <w:trHeight w:val="240"/>
          <w:jc w:val="center"/>
        </w:trPr>
        <w:tc>
          <w:tcPr>
            <w:tcW w:w="2652" w:type="dxa"/>
            <w:tcBorders>
              <w:top w:val="nil"/>
              <w:bottom w:val="nil"/>
            </w:tcBorders>
            <w:vAlign w:val="center"/>
          </w:tcPr>
          <w:p w:rsidR="00426DB1" w:rsidRDefault="00426DB1" w:rsidP="00FA3C3C">
            <w:pPr>
              <w:keepNext/>
              <w:spacing w:before="60" w:after="60" w:line="240" w:lineRule="auto"/>
              <w:rPr>
                <w:rFonts w:ascii="Calibri" w:hAnsi="Calibri"/>
                <w:color w:val="000000"/>
                <w:sz w:val="20"/>
                <w:szCs w:val="20"/>
              </w:rPr>
            </w:pPr>
            <w:r>
              <w:rPr>
                <w:rFonts w:ascii="Calibri" w:hAnsi="Calibri"/>
                <w:b/>
                <w:color w:val="000000"/>
                <w:sz w:val="20"/>
                <w:szCs w:val="20"/>
              </w:rPr>
              <w:t xml:space="preserve">Item is the </w:t>
            </w:r>
            <w:r w:rsidRPr="002207FE">
              <w:rPr>
                <w:rFonts w:ascii="Calibri" w:hAnsi="Calibri"/>
                <w:b/>
                <w:color w:val="000000"/>
                <w:sz w:val="20"/>
                <w:szCs w:val="20"/>
              </w:rPr>
              <w:t>Wrong Size</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6.72%</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7.27%</w:t>
            </w:r>
          </w:p>
        </w:tc>
      </w:tr>
      <w:tr w:rsidR="00426DB1" w:rsidRPr="00AE2F03" w:rsidTr="00FA3C3C">
        <w:trPr>
          <w:trHeight w:val="240"/>
          <w:jc w:val="center"/>
        </w:trPr>
        <w:tc>
          <w:tcPr>
            <w:tcW w:w="2652" w:type="dxa"/>
            <w:tcBorders>
              <w:top w:val="nil"/>
              <w:bottom w:val="nil"/>
            </w:tcBorders>
            <w:vAlign w:val="center"/>
          </w:tcPr>
          <w:p w:rsidR="00426DB1" w:rsidRDefault="00426DB1" w:rsidP="00FA3C3C">
            <w:pPr>
              <w:keepNext/>
              <w:spacing w:before="60" w:after="60" w:line="240" w:lineRule="auto"/>
              <w:rPr>
                <w:rFonts w:ascii="Calibri" w:hAnsi="Calibri"/>
                <w:color w:val="000000"/>
                <w:sz w:val="20"/>
                <w:szCs w:val="20"/>
              </w:rPr>
            </w:pPr>
            <w:r>
              <w:rPr>
                <w:rFonts w:ascii="Calibri" w:hAnsi="Calibri"/>
                <w:b/>
                <w:color w:val="000000"/>
                <w:sz w:val="20"/>
                <w:szCs w:val="20"/>
              </w:rPr>
              <w:t xml:space="preserve">Item is </w:t>
            </w:r>
            <w:r w:rsidRPr="00B37A89">
              <w:rPr>
                <w:rFonts w:ascii="Calibri" w:hAnsi="Calibri"/>
                <w:b/>
                <w:color w:val="000000"/>
                <w:sz w:val="20"/>
                <w:szCs w:val="20"/>
              </w:rPr>
              <w:t>Defect</w:t>
            </w:r>
            <w:r>
              <w:rPr>
                <w:rFonts w:ascii="Calibri" w:hAnsi="Calibri"/>
                <w:b/>
                <w:color w:val="000000"/>
                <w:sz w:val="20"/>
                <w:szCs w:val="20"/>
              </w:rPr>
              <w:t>ive</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0.32%</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0.37%</w:t>
            </w:r>
          </w:p>
        </w:tc>
      </w:tr>
      <w:tr w:rsidR="00426DB1" w:rsidRPr="00AE2F03" w:rsidTr="00FA3C3C">
        <w:trPr>
          <w:trHeight w:val="240"/>
          <w:jc w:val="center"/>
        </w:trPr>
        <w:tc>
          <w:tcPr>
            <w:tcW w:w="2652" w:type="dxa"/>
            <w:tcBorders>
              <w:top w:val="nil"/>
              <w:bottom w:val="nil"/>
            </w:tcBorders>
            <w:vAlign w:val="center"/>
          </w:tcPr>
          <w:p w:rsidR="00426DB1" w:rsidRDefault="00426DB1" w:rsidP="00FA3C3C">
            <w:pPr>
              <w:keepNext/>
              <w:spacing w:before="60" w:after="60" w:line="240" w:lineRule="auto"/>
              <w:rPr>
                <w:rFonts w:ascii="Calibri" w:hAnsi="Calibri"/>
                <w:color w:val="000000"/>
                <w:sz w:val="20"/>
                <w:szCs w:val="20"/>
              </w:rPr>
            </w:pPr>
            <w:r>
              <w:rPr>
                <w:rFonts w:ascii="Calibri" w:hAnsi="Calibri"/>
                <w:b/>
                <w:color w:val="000000"/>
                <w:sz w:val="20"/>
                <w:szCs w:val="20"/>
              </w:rPr>
              <w:t>Miscellaneous</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2.15%</w:t>
            </w:r>
          </w:p>
        </w:tc>
        <w:tc>
          <w:tcPr>
            <w:tcW w:w="1296" w:type="dxa"/>
            <w:tcBorders>
              <w:top w:val="nil"/>
              <w:bottom w:val="nil"/>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1.92%</w:t>
            </w:r>
          </w:p>
        </w:tc>
      </w:tr>
      <w:tr w:rsidR="00426DB1" w:rsidRPr="00AE2F03" w:rsidTr="00FA3C3C">
        <w:trPr>
          <w:trHeight w:val="240"/>
          <w:jc w:val="center"/>
        </w:trPr>
        <w:tc>
          <w:tcPr>
            <w:tcW w:w="2652" w:type="dxa"/>
            <w:tcBorders>
              <w:top w:val="nil"/>
              <w:bottom w:val="single" w:sz="18" w:space="0" w:color="auto"/>
            </w:tcBorders>
            <w:vAlign w:val="center"/>
          </w:tcPr>
          <w:p w:rsidR="00426DB1" w:rsidRPr="00727436" w:rsidRDefault="00426DB1" w:rsidP="00FA3C3C">
            <w:pPr>
              <w:keepNext/>
              <w:spacing w:before="60" w:after="60" w:line="240" w:lineRule="auto"/>
              <w:rPr>
                <w:rFonts w:ascii="Calibri" w:hAnsi="Calibri"/>
                <w:b/>
                <w:color w:val="000000"/>
                <w:sz w:val="20"/>
                <w:szCs w:val="20"/>
              </w:rPr>
            </w:pPr>
            <w:r>
              <w:rPr>
                <w:rFonts w:ascii="Calibri" w:hAnsi="Calibri"/>
                <w:b/>
                <w:color w:val="000000"/>
                <w:sz w:val="20"/>
                <w:szCs w:val="20"/>
              </w:rPr>
              <w:t>All Reasons</w:t>
            </w:r>
          </w:p>
        </w:tc>
        <w:tc>
          <w:tcPr>
            <w:tcW w:w="1296" w:type="dxa"/>
            <w:tcBorders>
              <w:top w:val="nil"/>
              <w:bottom w:val="single" w:sz="18" w:space="0" w:color="auto"/>
            </w:tcBorders>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13.32%</w:t>
            </w:r>
          </w:p>
        </w:tc>
        <w:tc>
          <w:tcPr>
            <w:tcW w:w="1296" w:type="dxa"/>
            <w:tcBorders>
              <w:top w:val="nil"/>
              <w:bottom w:val="single" w:sz="18" w:space="0" w:color="auto"/>
            </w:tcBorders>
            <w:vAlign w:val="center"/>
          </w:tcPr>
          <w:p w:rsidR="00426DB1" w:rsidRDefault="00426DB1" w:rsidP="00FA3C3C">
            <w:pPr>
              <w:keepNext/>
              <w:spacing w:before="60" w:after="60" w:line="240" w:lineRule="auto"/>
              <w:ind w:right="240"/>
              <w:jc w:val="right"/>
              <w:rPr>
                <w:rFonts w:ascii="Calibri" w:hAnsi="Calibri"/>
                <w:sz w:val="20"/>
                <w:szCs w:val="20"/>
              </w:rPr>
            </w:pPr>
            <w:r>
              <w:rPr>
                <w:rFonts w:ascii="Calibri" w:hAnsi="Calibri"/>
                <w:sz w:val="20"/>
                <w:szCs w:val="20"/>
              </w:rPr>
              <w:t>13.80</w:t>
            </w:r>
            <w:r w:rsidRPr="00B37A89">
              <w:rPr>
                <w:rFonts w:ascii="Calibri" w:hAnsi="Calibri"/>
                <w:sz w:val="20"/>
                <w:szCs w:val="20"/>
              </w:rPr>
              <w:t>%</w:t>
            </w:r>
          </w:p>
        </w:tc>
      </w:tr>
    </w:tbl>
    <w:p w:rsidR="00426DB1" w:rsidRDefault="00426DB1" w:rsidP="00426DB1">
      <w:pPr>
        <w:pStyle w:val="StyleBodyTextIndentRight038Before3pt"/>
        <w:ind w:left="2160" w:right="2186"/>
      </w:pPr>
      <w:r w:rsidRPr="00ED6437">
        <w:t>The table describe</w:t>
      </w:r>
      <w:r>
        <w:t>s the average return rate by return reason.  T</w:t>
      </w:r>
      <w:r w:rsidRPr="00FD3832">
        <w:t>he sample size</w:t>
      </w:r>
      <w:r>
        <w:t>s are 6,190,833 (2010) and 6,226,019 (2011)</w:t>
      </w:r>
      <w:r w:rsidRPr="00FD3832">
        <w:t>.</w:t>
      </w:r>
      <w:r>
        <w:t xml:space="preserve"> </w:t>
      </w:r>
    </w:p>
    <w:p w:rsidR="00426DB1" w:rsidRDefault="00426DB1">
      <w:r>
        <w:br w:type="page"/>
      </w:r>
    </w:p>
    <w:p w:rsidR="00426DB1" w:rsidRPr="00426DB1" w:rsidRDefault="00426DB1" w:rsidP="0034059E">
      <w:pPr>
        <w:jc w:val="center"/>
        <w:rPr>
          <w:b/>
        </w:rPr>
      </w:pPr>
      <w:r w:rsidRPr="00426DB1">
        <w:rPr>
          <w:b/>
        </w:rPr>
        <w:lastRenderedPageBreak/>
        <w:t xml:space="preserve">Customers that </w:t>
      </w:r>
      <w:r w:rsidR="0034059E">
        <w:rPr>
          <w:b/>
        </w:rPr>
        <w:t>Changed</w:t>
      </w:r>
      <w:r w:rsidRPr="00426DB1">
        <w:rPr>
          <w:b/>
        </w:rPr>
        <w:t xml:space="preserve"> Zip Codes</w:t>
      </w:r>
    </w:p>
    <w:p w:rsidR="00426DB1" w:rsidRDefault="00426DB1" w:rsidP="00426DB1">
      <w:r>
        <w:t>We can also use households that changed zip codes to address a second question; do households change their purchasing decisions when they move into a harbinger zip code? In particular, we investigate whether households’ purchases of niche items changed after they moved zip codes. In this analysis we focus on 13,715 households that changed zip codes between 2007 and 2009 and did not change zip codes between 2009 and 2011.</w:t>
      </w:r>
      <w:r>
        <w:rPr>
          <w:rStyle w:val="FootnoteReference"/>
        </w:rPr>
        <w:footnoteReference w:id="5"/>
      </w:r>
      <w:r>
        <w:t xml:space="preserve"> These 13,715</w:t>
      </w:r>
      <w:r w:rsidRPr="006C22A3">
        <w:t xml:space="preserve"> households </w:t>
      </w:r>
      <w:r>
        <w:t>all satisfy</w:t>
      </w:r>
      <w:r w:rsidRPr="006C22A3">
        <w:t xml:space="preserve"> the following criteria:</w:t>
      </w:r>
    </w:p>
    <w:p w:rsidR="00426DB1" w:rsidRPr="006C22A3" w:rsidRDefault="00426DB1" w:rsidP="00426DB1">
      <w:pPr>
        <w:pStyle w:val="ListParagraph"/>
        <w:numPr>
          <w:ilvl w:val="0"/>
          <w:numId w:val="5"/>
        </w:numPr>
        <w:spacing w:before="60" w:line="240" w:lineRule="auto"/>
        <w:contextualSpacing w:val="0"/>
      </w:pPr>
      <w:r>
        <w:t>M</w:t>
      </w:r>
      <w:r w:rsidRPr="006C22A3">
        <w:t>ade at least one order in 2007, 2009 and 2011.</w:t>
      </w:r>
    </w:p>
    <w:p w:rsidR="00426DB1" w:rsidRPr="006C22A3" w:rsidRDefault="00426DB1" w:rsidP="00426DB1">
      <w:pPr>
        <w:pStyle w:val="ListParagraph"/>
        <w:numPr>
          <w:ilvl w:val="0"/>
          <w:numId w:val="5"/>
        </w:numPr>
        <w:spacing w:before="60" w:line="240" w:lineRule="auto"/>
        <w:contextualSpacing w:val="0"/>
      </w:pPr>
      <w:r w:rsidRPr="006C22A3">
        <w:t>Shipped all of their orders to 1 zip code in 2007.</w:t>
      </w:r>
    </w:p>
    <w:p w:rsidR="00426DB1" w:rsidRPr="006C22A3" w:rsidRDefault="00426DB1" w:rsidP="00426DB1">
      <w:pPr>
        <w:pStyle w:val="ListParagraph"/>
        <w:numPr>
          <w:ilvl w:val="0"/>
          <w:numId w:val="5"/>
        </w:numPr>
        <w:spacing w:before="60" w:line="240" w:lineRule="auto"/>
        <w:contextualSpacing w:val="0"/>
      </w:pPr>
      <w:r w:rsidRPr="006C22A3">
        <w:t>Shipped all of their orders to 1 zip code in 2009.</w:t>
      </w:r>
    </w:p>
    <w:p w:rsidR="00426DB1" w:rsidRPr="006C22A3" w:rsidRDefault="00426DB1" w:rsidP="00426DB1">
      <w:pPr>
        <w:pStyle w:val="ListParagraph"/>
        <w:numPr>
          <w:ilvl w:val="0"/>
          <w:numId w:val="5"/>
        </w:numPr>
        <w:spacing w:before="60" w:line="240" w:lineRule="auto"/>
        <w:contextualSpacing w:val="0"/>
      </w:pPr>
      <w:r w:rsidRPr="006C22A3">
        <w:t xml:space="preserve">Shipped all of their orders to 1 zip code in 2011. </w:t>
      </w:r>
    </w:p>
    <w:p w:rsidR="00426DB1" w:rsidRPr="006C22A3" w:rsidRDefault="00426DB1" w:rsidP="00426DB1">
      <w:pPr>
        <w:pStyle w:val="ListParagraph"/>
        <w:numPr>
          <w:ilvl w:val="0"/>
          <w:numId w:val="5"/>
        </w:numPr>
        <w:spacing w:before="60" w:line="240" w:lineRule="auto"/>
        <w:contextualSpacing w:val="0"/>
      </w:pPr>
      <w:r w:rsidRPr="006C22A3">
        <w:t>The zip code was different in 2007 and 2011.</w:t>
      </w:r>
    </w:p>
    <w:p w:rsidR="00426DB1" w:rsidRPr="006C22A3" w:rsidRDefault="00426DB1" w:rsidP="00426DB1">
      <w:pPr>
        <w:pStyle w:val="ListParagraph"/>
        <w:numPr>
          <w:ilvl w:val="0"/>
          <w:numId w:val="5"/>
        </w:numPr>
        <w:spacing w:before="60" w:line="240" w:lineRule="auto"/>
        <w:contextualSpacing w:val="0"/>
      </w:pPr>
      <w:r w:rsidRPr="006C22A3">
        <w:t>The zip code was the same in 2009 and 2011.</w:t>
      </w:r>
    </w:p>
    <w:p w:rsidR="0034059E" w:rsidRDefault="00426DB1" w:rsidP="00426DB1">
      <w:r>
        <w:t xml:space="preserve">We measure the change in niche item purchases after they moved by comparing the % of niche items purchased in 2011 with the % purchased in 2009. We summarize this identification approach in </w:t>
      </w:r>
      <w:r w:rsidR="0034059E">
        <w:t>the figure below</w:t>
      </w:r>
      <w:r>
        <w:t>.</w:t>
      </w:r>
    </w:p>
    <w:p w:rsidR="0034059E" w:rsidRPr="001035E0" w:rsidRDefault="0034059E" w:rsidP="0034059E">
      <w:pPr>
        <w:spacing w:before="360" w:after="120"/>
        <w:jc w:val="center"/>
        <w:rPr>
          <w:b/>
        </w:rPr>
      </w:pPr>
      <w:r w:rsidRPr="001035E0">
        <w:rPr>
          <w:b/>
        </w:rPr>
        <w:t>Composition of the Sample</w:t>
      </w:r>
    </w:p>
    <w:tbl>
      <w:tblPr>
        <w:tblStyle w:val="TableGrid"/>
        <w:tblW w:w="0" w:type="auto"/>
        <w:jc w:val="center"/>
        <w:tblLook w:val="04A0" w:firstRow="1" w:lastRow="0" w:firstColumn="1" w:lastColumn="0" w:noHBand="0" w:noVBand="1"/>
      </w:tblPr>
      <w:tblGrid>
        <w:gridCol w:w="1440"/>
        <w:gridCol w:w="1440"/>
        <w:gridCol w:w="1440"/>
        <w:gridCol w:w="1440"/>
        <w:gridCol w:w="1440"/>
      </w:tblGrid>
      <w:tr w:rsidR="0034059E" w:rsidTr="00FA3C3C">
        <w:trPr>
          <w:jc w:val="center"/>
        </w:trPr>
        <w:tc>
          <w:tcPr>
            <w:tcW w:w="144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595959" w:themeFill="text1" w:themeFillTint="A6"/>
          </w:tcPr>
          <w:p w:rsidR="0034059E" w:rsidRPr="00123E63" w:rsidRDefault="0034059E" w:rsidP="00FA3C3C">
            <w:pPr>
              <w:spacing w:before="120" w:after="120"/>
              <w:rPr>
                <w:b/>
                <w:color w:val="FFFFFF" w:themeColor="background1"/>
              </w:rPr>
            </w:pPr>
            <w:r w:rsidRPr="00123E63">
              <w:rPr>
                <w:b/>
                <w:color w:val="FFFFFF" w:themeColor="background1"/>
              </w:rPr>
              <w:t>2007</w:t>
            </w:r>
          </w:p>
        </w:tc>
        <w:tc>
          <w:tcPr>
            <w:tcW w:w="144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595959" w:themeFill="text1" w:themeFillTint="A6"/>
          </w:tcPr>
          <w:p w:rsidR="0034059E" w:rsidRPr="00123E63" w:rsidRDefault="0034059E" w:rsidP="00FA3C3C">
            <w:pPr>
              <w:spacing w:before="120" w:after="120"/>
              <w:rPr>
                <w:b/>
                <w:color w:val="FFFFFF" w:themeColor="background1"/>
              </w:rPr>
            </w:pPr>
            <w:r w:rsidRPr="00123E63">
              <w:rPr>
                <w:b/>
                <w:color w:val="FFFFFF" w:themeColor="background1"/>
              </w:rPr>
              <w:t>2008</w:t>
            </w:r>
          </w:p>
        </w:tc>
        <w:tc>
          <w:tcPr>
            <w:tcW w:w="144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595959" w:themeFill="text1" w:themeFillTint="A6"/>
          </w:tcPr>
          <w:p w:rsidR="0034059E" w:rsidRPr="00123E63" w:rsidRDefault="0034059E" w:rsidP="00FA3C3C">
            <w:pPr>
              <w:spacing w:before="120" w:after="120"/>
              <w:rPr>
                <w:b/>
                <w:color w:val="FFFFFF" w:themeColor="background1"/>
              </w:rPr>
            </w:pPr>
            <w:r w:rsidRPr="00123E63">
              <w:rPr>
                <w:b/>
                <w:color w:val="FFFFFF" w:themeColor="background1"/>
              </w:rPr>
              <w:t>2009</w:t>
            </w:r>
          </w:p>
        </w:tc>
        <w:tc>
          <w:tcPr>
            <w:tcW w:w="144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595959" w:themeFill="text1" w:themeFillTint="A6"/>
          </w:tcPr>
          <w:p w:rsidR="0034059E" w:rsidRPr="00123E63" w:rsidRDefault="0034059E" w:rsidP="00FA3C3C">
            <w:pPr>
              <w:spacing w:before="120" w:after="120"/>
              <w:rPr>
                <w:b/>
                <w:color w:val="FFFFFF" w:themeColor="background1"/>
              </w:rPr>
            </w:pPr>
            <w:r w:rsidRPr="00123E63">
              <w:rPr>
                <w:b/>
                <w:color w:val="FFFFFF" w:themeColor="background1"/>
              </w:rPr>
              <w:t>2010</w:t>
            </w:r>
          </w:p>
        </w:tc>
        <w:tc>
          <w:tcPr>
            <w:tcW w:w="144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595959" w:themeFill="text1" w:themeFillTint="A6"/>
          </w:tcPr>
          <w:p w:rsidR="0034059E" w:rsidRPr="00123E63" w:rsidRDefault="0034059E" w:rsidP="00FA3C3C">
            <w:pPr>
              <w:spacing w:before="120" w:after="120"/>
              <w:rPr>
                <w:b/>
                <w:color w:val="FFFFFF" w:themeColor="background1"/>
              </w:rPr>
            </w:pPr>
            <w:r w:rsidRPr="00123E63">
              <w:rPr>
                <w:b/>
                <w:color w:val="FFFFFF" w:themeColor="background1"/>
              </w:rPr>
              <w:t>2011</w:t>
            </w:r>
          </w:p>
        </w:tc>
      </w:tr>
      <w:tr w:rsidR="0034059E" w:rsidTr="00FA3C3C">
        <w:trPr>
          <w:jc w:val="center"/>
        </w:trPr>
        <w:tc>
          <w:tcPr>
            <w:tcW w:w="2880" w:type="dxa"/>
            <w:gridSpan w:val="2"/>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C9C9C9" w:themeFill="accent3" w:themeFillTint="99"/>
          </w:tcPr>
          <w:p w:rsidR="0034059E" w:rsidRPr="006A605A" w:rsidRDefault="0034059E" w:rsidP="00FA3C3C">
            <w:pPr>
              <w:spacing w:before="120" w:after="120"/>
              <w:rPr>
                <w:b/>
              </w:rPr>
            </w:pPr>
            <w:r>
              <w:rPr>
                <w:b/>
                <w:color w:val="595959" w:themeColor="text1" w:themeTint="A6"/>
              </w:rPr>
              <w:t>Moved</w:t>
            </w:r>
            <w:r w:rsidRPr="006A605A">
              <w:rPr>
                <w:b/>
                <w:color w:val="595959" w:themeColor="text1" w:themeTint="A6"/>
              </w:rPr>
              <w:t xml:space="preserve"> zip code </w:t>
            </w:r>
          </w:p>
        </w:tc>
        <w:tc>
          <w:tcPr>
            <w:tcW w:w="4320" w:type="dxa"/>
            <w:gridSpan w:val="3"/>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A8D08D" w:themeFill="accent6" w:themeFillTint="99"/>
          </w:tcPr>
          <w:p w:rsidR="0034059E" w:rsidRDefault="0034059E" w:rsidP="00FA3C3C">
            <w:pPr>
              <w:tabs>
                <w:tab w:val="left" w:pos="1404"/>
              </w:tabs>
              <w:spacing w:before="120" w:after="120"/>
            </w:pPr>
            <w:r w:rsidRPr="006A605A">
              <w:rPr>
                <w:b/>
                <w:color w:val="595959" w:themeColor="text1" w:themeTint="A6"/>
              </w:rPr>
              <w:t xml:space="preserve">Did not </w:t>
            </w:r>
            <w:r>
              <w:rPr>
                <w:b/>
                <w:color w:val="595959" w:themeColor="text1" w:themeTint="A6"/>
              </w:rPr>
              <w:t>move</w:t>
            </w:r>
            <w:r w:rsidRPr="006A605A">
              <w:rPr>
                <w:b/>
                <w:color w:val="595959" w:themeColor="text1" w:themeTint="A6"/>
              </w:rPr>
              <w:t xml:space="preserve"> zip code</w:t>
            </w:r>
          </w:p>
        </w:tc>
      </w:tr>
      <w:tr w:rsidR="0034059E" w:rsidTr="00FA3C3C">
        <w:trPr>
          <w:jc w:val="center"/>
        </w:trPr>
        <w:tc>
          <w:tcPr>
            <w:tcW w:w="1440" w:type="dxa"/>
            <w:tcBorders>
              <w:top w:val="nil"/>
              <w:left w:val="nil"/>
              <w:bottom w:val="nil"/>
              <w:right w:val="nil"/>
            </w:tcBorders>
          </w:tcPr>
          <w:p w:rsidR="0034059E" w:rsidRDefault="0034059E" w:rsidP="00FA3C3C">
            <w:pPr>
              <w:spacing w:before="120" w:after="120"/>
            </w:pPr>
          </w:p>
        </w:tc>
        <w:tc>
          <w:tcPr>
            <w:tcW w:w="1440" w:type="dxa"/>
            <w:tcBorders>
              <w:top w:val="nil"/>
              <w:left w:val="nil"/>
              <w:bottom w:val="nil"/>
              <w:right w:val="single" w:sz="12" w:space="0" w:color="595959" w:themeColor="text1" w:themeTint="A6"/>
            </w:tcBorders>
          </w:tcPr>
          <w:p w:rsidR="0034059E" w:rsidRDefault="0034059E" w:rsidP="00FA3C3C">
            <w:pPr>
              <w:spacing w:before="120" w:after="120"/>
            </w:pPr>
          </w:p>
        </w:tc>
        <w:tc>
          <w:tcPr>
            <w:tcW w:w="144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BFBFBF" w:themeFill="background1" w:themeFillShade="BF"/>
          </w:tcPr>
          <w:p w:rsidR="0034059E" w:rsidRPr="00804EDD" w:rsidRDefault="0034059E" w:rsidP="00FA3C3C">
            <w:pPr>
              <w:spacing w:before="120" w:after="120"/>
              <w:rPr>
                <w:b/>
              </w:rPr>
            </w:pPr>
            <w:r w:rsidRPr="00804EDD">
              <w:rPr>
                <w:b/>
                <w:color w:val="595959" w:themeColor="text1" w:themeTint="A6"/>
              </w:rPr>
              <w:t>% niche in 2009</w:t>
            </w:r>
          </w:p>
        </w:tc>
        <w:tc>
          <w:tcPr>
            <w:tcW w:w="1440" w:type="dxa"/>
            <w:tcBorders>
              <w:top w:val="single" w:sz="12" w:space="0" w:color="595959" w:themeColor="text1" w:themeTint="A6"/>
              <w:left w:val="single" w:sz="12" w:space="0" w:color="595959" w:themeColor="text1" w:themeTint="A6"/>
              <w:bottom w:val="nil"/>
              <w:right w:val="single" w:sz="12" w:space="0" w:color="595959" w:themeColor="text1" w:themeTint="A6"/>
            </w:tcBorders>
          </w:tcPr>
          <w:p w:rsidR="0034059E" w:rsidRDefault="0034059E" w:rsidP="00FA3C3C">
            <w:pPr>
              <w:spacing w:before="120" w:after="120"/>
            </w:pPr>
          </w:p>
        </w:tc>
        <w:tc>
          <w:tcPr>
            <w:tcW w:w="144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shd w:val="clear" w:color="auto" w:fill="BFBFBF" w:themeFill="background1" w:themeFillShade="BF"/>
          </w:tcPr>
          <w:p w:rsidR="0034059E" w:rsidRPr="00804EDD" w:rsidRDefault="0034059E" w:rsidP="00FA3C3C">
            <w:pPr>
              <w:spacing w:before="120" w:after="120"/>
              <w:rPr>
                <w:b/>
              </w:rPr>
            </w:pPr>
            <w:r w:rsidRPr="00804EDD">
              <w:rPr>
                <w:b/>
                <w:color w:val="595959" w:themeColor="text1" w:themeTint="A6"/>
              </w:rPr>
              <w:t>% niche in 2011</w:t>
            </w:r>
          </w:p>
        </w:tc>
      </w:tr>
    </w:tbl>
    <w:p w:rsidR="0034059E" w:rsidRDefault="0034059E" w:rsidP="0034059E"/>
    <w:p w:rsidR="00426DB1" w:rsidRDefault="00426DB1" w:rsidP="00426DB1">
      <w:r>
        <w:rPr>
          <w:sz w:val="20"/>
          <w:szCs w:val="20"/>
        </w:rPr>
        <w:t>To</w:t>
      </w:r>
      <w:r>
        <w:t xml:space="preserve"> compare the % of niche items purchased in 2011 and 2009 we used a multivariate approach that includes the nineteen control variables.  In particular, we estimated the following model:</w:t>
      </w:r>
    </w:p>
    <w:p w:rsidR="00426DB1" w:rsidRDefault="00426DB1" w:rsidP="00426DB1">
      <w:pPr>
        <w:spacing w:before="240" w:after="200" w:line="432" w:lineRule="auto"/>
        <w:ind w:left="720" w:hanging="360"/>
        <w:rPr>
          <w:rFonts w:eastAsia="SimSun" w:cs="Times New Roman"/>
        </w:rPr>
      </w:pPr>
      <w:r>
        <w:rPr>
          <w:rFonts w:eastAsia="SimSun" w:cs="Times New Roman"/>
          <w:i/>
        </w:rPr>
        <w:t>Change in Niche</w:t>
      </w:r>
      <w:r>
        <w:rPr>
          <w:rFonts w:eastAsia="SimSun" w:cs="Times New Roman"/>
          <w:i/>
          <w:vertAlign w:val="subscript"/>
        </w:rPr>
        <w:t>i</w:t>
      </w:r>
      <w:r w:rsidRPr="00E71E31">
        <w:rPr>
          <w:rFonts w:eastAsia="SimSun" w:cs="Times New Roman"/>
        </w:rPr>
        <w:t xml:space="preserve"> = α + β</w:t>
      </w:r>
      <w:r w:rsidRPr="00E71E31">
        <w:rPr>
          <w:rFonts w:eastAsia="SimSun" w:cs="Times New Roman"/>
          <w:vertAlign w:val="subscript"/>
        </w:rPr>
        <w:t>1</w:t>
      </w:r>
      <w:r w:rsidRPr="00E71E31">
        <w:rPr>
          <w:rFonts w:eastAsia="SimSun" w:cs="Times New Roman"/>
        </w:rPr>
        <w:t xml:space="preserve"> </w:t>
      </w:r>
      <w:r w:rsidRPr="00347428">
        <w:rPr>
          <w:rFonts w:eastAsia="SimSun" w:cs="Times New Roman"/>
          <w:i/>
        </w:rPr>
        <w:t xml:space="preserve">Change in Avg Success </w:t>
      </w:r>
      <w:r>
        <w:rPr>
          <w:rFonts w:eastAsia="SimSun" w:cs="Times New Roman"/>
          <w:i/>
        </w:rPr>
        <w:t>R</w:t>
      </w:r>
      <w:r w:rsidRPr="00347428">
        <w:rPr>
          <w:rFonts w:eastAsia="SimSun" w:cs="Times New Roman"/>
          <w:i/>
        </w:rPr>
        <w:t>ate</w:t>
      </w:r>
      <w:r>
        <w:rPr>
          <w:rFonts w:eastAsia="SimSun" w:cs="Times New Roman"/>
          <w:i/>
          <w:vertAlign w:val="subscript"/>
        </w:rPr>
        <w:t>i</w:t>
      </w:r>
      <w:r w:rsidRPr="00E71E31">
        <w:rPr>
          <w:rFonts w:eastAsia="SimSun" w:cs="Times New Roman"/>
        </w:rPr>
        <w:t xml:space="preserve"> + β</w:t>
      </w:r>
      <w:r>
        <w:rPr>
          <w:rFonts w:eastAsia="SimSun" w:cs="Times New Roman"/>
          <w:vertAlign w:val="subscript"/>
        </w:rPr>
        <w:t>2</w:t>
      </w:r>
      <w:r w:rsidRPr="00E71E31">
        <w:rPr>
          <w:rFonts w:eastAsia="SimSun" w:cs="Times New Roman"/>
        </w:rPr>
        <w:t xml:space="preserve"> </w:t>
      </w:r>
      <w:r>
        <w:rPr>
          <w:rFonts w:eastAsia="SimSun" w:cs="Times New Roman"/>
        </w:rPr>
        <w:t xml:space="preserve">% </w:t>
      </w:r>
      <w:r>
        <w:rPr>
          <w:rFonts w:eastAsia="SimSun" w:cs="Times New Roman"/>
          <w:i/>
        </w:rPr>
        <w:t>Niche in 2009</w:t>
      </w:r>
      <w:r>
        <w:rPr>
          <w:rFonts w:eastAsia="SimSun" w:cs="Times New Roman"/>
          <w:i/>
          <w:vertAlign w:val="subscript"/>
        </w:rPr>
        <w:t>i</w:t>
      </w:r>
      <w:r w:rsidRPr="00E71E31">
        <w:rPr>
          <w:rFonts w:eastAsia="SimSun" w:cs="Times New Roman"/>
        </w:rPr>
        <w:t xml:space="preserve"> +</w:t>
      </w:r>
      <w:r>
        <w:rPr>
          <w:rFonts w:eastAsia="SimSun" w:cs="Times New Roman"/>
        </w:rPr>
        <w:t xml:space="preserve"> </w:t>
      </w:r>
      <w:r w:rsidRPr="00A57D6A">
        <w:rPr>
          <w:rFonts w:eastAsia="SimSun" w:cs="Times New Roman"/>
          <w:b/>
        </w:rPr>
        <w:t>β</w:t>
      </w:r>
      <w:r>
        <w:rPr>
          <w:rFonts w:eastAsia="SimSun" w:cs="Times New Roman"/>
          <w:b/>
        </w:rPr>
        <w:t>ΔX</w:t>
      </w:r>
      <w:r>
        <w:rPr>
          <w:rFonts w:eastAsia="SimSun" w:cs="Times New Roman"/>
          <w:vertAlign w:val="subscript"/>
        </w:rPr>
        <w:t>z</w:t>
      </w:r>
      <w:r>
        <w:rPr>
          <w:rFonts w:eastAsia="SimSun" w:cs="Times New Roman"/>
        </w:rPr>
        <w:t xml:space="preserve"> +</w:t>
      </w:r>
      <w:r w:rsidRPr="00E71E31">
        <w:rPr>
          <w:rFonts w:eastAsia="SimSun" w:cs="Times New Roman"/>
        </w:rPr>
        <w:t xml:space="preserve"> ε</w:t>
      </w:r>
      <w:r>
        <w:rPr>
          <w:rFonts w:eastAsia="SimSun" w:cs="Times New Roman"/>
          <w:i/>
          <w:vertAlign w:val="subscript"/>
        </w:rPr>
        <w:t>z</w:t>
      </w:r>
      <w:r>
        <w:rPr>
          <w:rFonts w:eastAsia="SimSun" w:cs="Times New Roman"/>
        </w:rPr>
        <w:t xml:space="preserve">     (</w:t>
      </w:r>
      <w:r w:rsidR="00342333">
        <w:rPr>
          <w:rFonts w:eastAsia="SimSun" w:cs="Times New Roman"/>
        </w:rPr>
        <w:t>A1</w:t>
      </w:r>
      <w:r>
        <w:rPr>
          <w:rFonts w:eastAsia="SimSun" w:cs="Times New Roman"/>
        </w:rPr>
        <w:t>)</w:t>
      </w:r>
    </w:p>
    <w:p w:rsidR="00426DB1" w:rsidRPr="008774FF" w:rsidRDefault="00426DB1" w:rsidP="00426DB1">
      <w:r>
        <w:t>The unit of analysis is a customer and the variables in this model are defined as follows:</w:t>
      </w:r>
    </w:p>
    <w:p w:rsidR="00426DB1" w:rsidRPr="00176B2B" w:rsidRDefault="00426DB1" w:rsidP="00426DB1">
      <w:pPr>
        <w:spacing w:after="120"/>
        <w:ind w:left="360"/>
        <w:rPr>
          <w:i/>
        </w:rPr>
      </w:pPr>
      <w:r w:rsidRPr="00176B2B">
        <w:rPr>
          <w:i/>
        </w:rPr>
        <w:t>Change in Niche</w:t>
      </w:r>
      <w:r>
        <w:t xml:space="preserve"> = </w:t>
      </w:r>
      <w:r w:rsidRPr="00176B2B">
        <w:rPr>
          <w:i/>
        </w:rPr>
        <w:t>% Niche in 2011</w:t>
      </w:r>
      <w:r>
        <w:t xml:space="preserve"> - </w:t>
      </w:r>
      <w:r w:rsidRPr="00176B2B">
        <w:rPr>
          <w:i/>
        </w:rPr>
        <w:t>% Niche in 2009</w:t>
      </w:r>
    </w:p>
    <w:p w:rsidR="00426DB1" w:rsidRPr="00176B2B" w:rsidRDefault="00426DB1" w:rsidP="00426DB1">
      <w:pPr>
        <w:spacing w:after="120"/>
        <w:ind w:left="360"/>
        <w:rPr>
          <w:i/>
        </w:rPr>
      </w:pPr>
      <w:r w:rsidRPr="00176B2B">
        <w:rPr>
          <w:i/>
        </w:rPr>
        <w:t>Change in Avg. Success Rate</w:t>
      </w:r>
      <w:r>
        <w:t xml:space="preserve"> = </w:t>
      </w:r>
      <w:r w:rsidRPr="00176B2B">
        <w:rPr>
          <w:i/>
        </w:rPr>
        <w:t>Avg. Success Rate in 2009 Zip</w:t>
      </w:r>
      <w:r>
        <w:t xml:space="preserve"> -  </w:t>
      </w:r>
      <w:r w:rsidRPr="00176B2B">
        <w:rPr>
          <w:i/>
        </w:rPr>
        <w:t>Avg. Success Rate in 2007 Zip</w:t>
      </w:r>
      <w:r>
        <w:t xml:space="preserve"> </w:t>
      </w:r>
    </w:p>
    <w:p w:rsidR="00426DB1" w:rsidRDefault="00426DB1" w:rsidP="00426DB1">
      <w:pPr>
        <w:spacing w:after="120"/>
      </w:pPr>
      <w:r w:rsidRPr="00176B2B">
        <w:rPr>
          <w:rFonts w:cs="Times New Roman"/>
        </w:rPr>
        <w:t>The</w:t>
      </w:r>
      <w:r>
        <w:rPr>
          <w:rFonts w:cs="Times New Roman"/>
          <w:b/>
        </w:rPr>
        <w:t xml:space="preserve"> </w:t>
      </w:r>
      <w:r w:rsidRPr="00176B2B">
        <w:rPr>
          <w:rFonts w:cs="Times New Roman"/>
          <w:b/>
        </w:rPr>
        <w:t>ΔX</w:t>
      </w:r>
      <w:r w:rsidRPr="00176B2B">
        <w:rPr>
          <w:rFonts w:cs="Times New Roman"/>
          <w:vertAlign w:val="subscript"/>
        </w:rPr>
        <w:t>z</w:t>
      </w:r>
      <w:r w:rsidRPr="00176B2B">
        <w:rPr>
          <w:rFonts w:cs="Times New Roman"/>
        </w:rPr>
        <w:t xml:space="preserve"> </w:t>
      </w:r>
      <w:r>
        <w:rPr>
          <w:rFonts w:cs="Times New Roman"/>
        </w:rPr>
        <w:t xml:space="preserve">term represents </w:t>
      </w:r>
      <w:r w:rsidRPr="00176B2B">
        <w:rPr>
          <w:rFonts w:cs="Times New Roman"/>
        </w:rPr>
        <w:t>the difference in the 2009</w:t>
      </w:r>
      <w:r>
        <w:rPr>
          <w:rFonts w:cs="Times New Roman"/>
        </w:rPr>
        <w:t xml:space="preserve"> zip code</w:t>
      </w:r>
      <w:r w:rsidRPr="00176B2B">
        <w:rPr>
          <w:rFonts w:cs="Times New Roman"/>
        </w:rPr>
        <w:t xml:space="preserve"> and 2007</w:t>
      </w:r>
      <w:r>
        <w:rPr>
          <w:rFonts w:cs="Times New Roman"/>
        </w:rPr>
        <w:t xml:space="preserve"> zip code for each control variable (f</w:t>
      </w:r>
      <w:r w:rsidRPr="00176B2B">
        <w:rPr>
          <w:rFonts w:cs="Times New Roman"/>
        </w:rPr>
        <w:t xml:space="preserve">or example </w:t>
      </w:r>
      <w:r w:rsidRPr="00176B2B">
        <w:rPr>
          <w:rFonts w:cs="Times New Roman"/>
          <w:i/>
        </w:rPr>
        <w:t>Age in 2009</w:t>
      </w:r>
      <w:r>
        <w:rPr>
          <w:rFonts w:cs="Times New Roman"/>
          <w:i/>
        </w:rPr>
        <w:t xml:space="preserve"> Zip </w:t>
      </w:r>
      <w:r w:rsidRPr="00176B2B">
        <w:rPr>
          <w:rFonts w:cs="Times New Roman"/>
        </w:rPr>
        <w:t xml:space="preserve">– </w:t>
      </w:r>
      <w:r w:rsidRPr="00176B2B">
        <w:rPr>
          <w:rFonts w:cs="Times New Roman"/>
          <w:i/>
        </w:rPr>
        <w:t>Age in 2007</w:t>
      </w:r>
      <w:r>
        <w:rPr>
          <w:rFonts w:cs="Times New Roman"/>
          <w:i/>
        </w:rPr>
        <w:t xml:space="preserve"> Zip</w:t>
      </w:r>
      <w:r>
        <w:rPr>
          <w:rFonts w:cs="Times New Roman"/>
        </w:rPr>
        <w:t>)</w:t>
      </w:r>
      <w:r w:rsidRPr="00176B2B">
        <w:rPr>
          <w:rFonts w:cs="Times New Roman"/>
        </w:rPr>
        <w:t>.</w:t>
      </w:r>
      <w:r>
        <w:rPr>
          <w:rFonts w:cs="Times New Roman"/>
        </w:rPr>
        <w:t xml:space="preserve"> </w:t>
      </w:r>
      <w:r>
        <w:t xml:space="preserve">Notice that every customer in the sample is associated </w:t>
      </w:r>
      <w:r>
        <w:lastRenderedPageBreak/>
        <w:t xml:space="preserve">with a different zip </w:t>
      </w:r>
      <w:r w:rsidR="00110AE4">
        <w:t xml:space="preserve">code </w:t>
      </w:r>
      <w:r>
        <w:t xml:space="preserve">in 2007 and 2009, and so the </w:t>
      </w:r>
      <w:r w:rsidRPr="00347428">
        <w:rPr>
          <w:i/>
        </w:rPr>
        <w:t>Change in Avg. Success Rate</w:t>
      </w:r>
      <w:r>
        <w:t xml:space="preserve"> and </w:t>
      </w:r>
      <w:r>
        <w:rPr>
          <w:rFonts w:eastAsia="SimSun" w:cs="Times New Roman"/>
          <w:b/>
        </w:rPr>
        <w:t>ΔX</w:t>
      </w:r>
      <w:r>
        <w:rPr>
          <w:rFonts w:eastAsia="SimSun" w:cs="Times New Roman"/>
          <w:vertAlign w:val="subscript"/>
        </w:rPr>
        <w:t>z</w:t>
      </w:r>
      <w:r w:rsidRPr="00B910CB">
        <w:rPr>
          <w:i/>
        </w:rPr>
        <w:t xml:space="preserve"> </w:t>
      </w:r>
      <w:r>
        <w:t>variables are constructed using zip code level measures.</w:t>
      </w:r>
    </w:p>
    <w:p w:rsidR="00426DB1" w:rsidRDefault="00426DB1" w:rsidP="00426DB1">
      <w:r>
        <w:t xml:space="preserve">We estimate Equation 6 separately using the </w:t>
      </w:r>
      <w:r w:rsidRPr="00176B2B">
        <w:rPr>
          <w:i/>
        </w:rPr>
        <w:t>Change in Niche</w:t>
      </w:r>
      <w:r>
        <w:t xml:space="preserve"> purchasing and the </w:t>
      </w:r>
      <w:r w:rsidRPr="00176B2B">
        <w:rPr>
          <w:i/>
        </w:rPr>
        <w:t>Change in Low Volume</w:t>
      </w:r>
      <w:r>
        <w:t xml:space="preserve"> purchasing as dependent variables. The coefficients are reported in</w:t>
      </w:r>
      <w:r w:rsidR="0034059E">
        <w:t xml:space="preserve"> the table below</w:t>
      </w:r>
      <w:r>
        <w:t xml:space="preserve">. We see no evidence that movement from a more harbinger zip code to a less harbinger zip code results in a reduction in the proportion of niche items purchased (or vice versa).  The coefficients do not approach statistical significance, and their signs are the reverse of what we would expect if the proportion of niche products decreased when customers moved to a zip code with a higher </w:t>
      </w:r>
      <w:r w:rsidRPr="00176B2B">
        <w:rPr>
          <w:i/>
        </w:rPr>
        <w:t>Average Success Rate</w:t>
      </w:r>
      <w:r>
        <w:t xml:space="preserve">. </w:t>
      </w:r>
    </w:p>
    <w:p w:rsidR="0034059E" w:rsidRPr="00DA1148" w:rsidRDefault="0034059E" w:rsidP="0034059E">
      <w:pPr>
        <w:keepNext/>
        <w:spacing w:before="240" w:after="120" w:line="240" w:lineRule="auto"/>
        <w:jc w:val="center"/>
        <w:rPr>
          <w:b/>
        </w:rPr>
      </w:pPr>
      <w:r w:rsidRPr="00DA1148">
        <w:rPr>
          <w:b/>
        </w:rPr>
        <w:t xml:space="preserve">Change in </w:t>
      </w:r>
      <w:r>
        <w:rPr>
          <w:b/>
        </w:rPr>
        <w:t xml:space="preserve">the </w:t>
      </w:r>
      <w:r w:rsidRPr="00DA1148">
        <w:rPr>
          <w:b/>
        </w:rPr>
        <w:t>Percentage of Niche Items Purchased</w:t>
      </w:r>
      <w:r>
        <w:rPr>
          <w:b/>
        </w:rPr>
        <w:t xml:space="preserve"> Between 2009 and 2011</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36"/>
        <w:gridCol w:w="2592"/>
        <w:gridCol w:w="1728"/>
      </w:tblGrid>
      <w:tr w:rsidR="0034059E" w:rsidRPr="005F5E21" w:rsidTr="00FA3C3C">
        <w:trPr>
          <w:jc w:val="center"/>
        </w:trPr>
        <w:tc>
          <w:tcPr>
            <w:tcW w:w="2736" w:type="dxa"/>
            <w:tcBorders>
              <w:top w:val="double" w:sz="4" w:space="0" w:color="auto"/>
              <w:bottom w:val="single" w:sz="4" w:space="0" w:color="auto"/>
            </w:tcBorders>
          </w:tcPr>
          <w:p w:rsidR="0034059E" w:rsidRPr="00176B2B" w:rsidRDefault="0034059E" w:rsidP="00FA3C3C">
            <w:pPr>
              <w:spacing w:before="120" w:after="120"/>
              <w:jc w:val="left"/>
              <w:rPr>
                <w:rFonts w:cs="Times New Roman"/>
                <w:b/>
                <w:color w:val="000000" w:themeColor="text1"/>
              </w:rPr>
            </w:pPr>
            <w:r w:rsidRPr="00176B2B">
              <w:rPr>
                <w:rFonts w:cs="Times New Roman"/>
                <w:b/>
                <w:color w:val="000000" w:themeColor="text1"/>
              </w:rPr>
              <w:t>Dependent Variable</w:t>
            </w:r>
          </w:p>
        </w:tc>
        <w:tc>
          <w:tcPr>
            <w:tcW w:w="2592" w:type="dxa"/>
            <w:tcBorders>
              <w:top w:val="double" w:sz="4" w:space="0" w:color="auto"/>
              <w:bottom w:val="single" w:sz="4" w:space="0" w:color="auto"/>
            </w:tcBorders>
          </w:tcPr>
          <w:p w:rsidR="0034059E" w:rsidRPr="00537711" w:rsidRDefault="0034059E" w:rsidP="00FA3C3C">
            <w:pPr>
              <w:tabs>
                <w:tab w:val="decimal" w:pos="558"/>
              </w:tabs>
              <w:spacing w:before="120" w:after="120"/>
              <w:rPr>
                <w:rFonts w:cs="Times New Roman"/>
                <w:b/>
              </w:rPr>
            </w:pPr>
            <w:r w:rsidRPr="00176B2B">
              <w:rPr>
                <w:rFonts w:cs="Times New Roman"/>
                <w:b/>
                <w:i/>
                <w:color w:val="000000" w:themeColor="text1"/>
              </w:rPr>
              <w:t>Change in Avg. Success Rate</w:t>
            </w:r>
            <w:r w:rsidRPr="00176B2B">
              <w:rPr>
                <w:rFonts w:cs="Times New Roman"/>
                <w:b/>
                <w:i/>
                <w:sz w:val="20"/>
                <w:szCs w:val="20"/>
              </w:rPr>
              <w:t xml:space="preserve"> </w:t>
            </w:r>
            <w:r>
              <w:rPr>
                <w:rFonts w:cs="Times New Roman"/>
                <w:b/>
                <w:i/>
                <w:sz w:val="20"/>
                <w:szCs w:val="20"/>
              </w:rPr>
              <w:t>C</w:t>
            </w:r>
            <w:r w:rsidRPr="00176B2B">
              <w:rPr>
                <w:rFonts w:cs="Times New Roman"/>
                <w:b/>
                <w:sz w:val="20"/>
                <w:szCs w:val="20"/>
              </w:rPr>
              <w:t>oefficient (</w:t>
            </w:r>
            <w:r w:rsidRPr="00176B2B">
              <w:rPr>
                <w:rFonts w:cs="Times New Roman"/>
                <w:b/>
              </w:rPr>
              <w:t>β</w:t>
            </w:r>
            <w:r w:rsidRPr="00176B2B">
              <w:rPr>
                <w:rFonts w:cs="Times New Roman"/>
                <w:b/>
                <w:vertAlign w:val="subscript"/>
              </w:rPr>
              <w:t>1</w:t>
            </w:r>
            <w:r w:rsidRPr="00176B2B">
              <w:rPr>
                <w:rFonts w:cs="Times New Roman"/>
                <w:b/>
                <w:sz w:val="20"/>
                <w:szCs w:val="20"/>
              </w:rPr>
              <w:t>)</w:t>
            </w:r>
          </w:p>
        </w:tc>
        <w:tc>
          <w:tcPr>
            <w:tcW w:w="1728" w:type="dxa"/>
            <w:tcBorders>
              <w:top w:val="double" w:sz="4" w:space="0" w:color="auto"/>
              <w:bottom w:val="single" w:sz="4" w:space="0" w:color="auto"/>
            </w:tcBorders>
          </w:tcPr>
          <w:p w:rsidR="0034059E" w:rsidRPr="00F12489" w:rsidRDefault="0034059E" w:rsidP="00FA3C3C">
            <w:pPr>
              <w:spacing w:before="120" w:after="120"/>
              <w:rPr>
                <w:rFonts w:cs="Times New Roman"/>
                <w:b/>
              </w:rPr>
            </w:pPr>
            <w:r w:rsidRPr="00BE5210">
              <w:rPr>
                <w:rFonts w:cs="Times New Roman"/>
                <w:b/>
                <w:color w:val="000000" w:themeColor="text1"/>
              </w:rPr>
              <w:t>R</w:t>
            </w:r>
            <w:r w:rsidRPr="00BE5210">
              <w:rPr>
                <w:rFonts w:cs="Times New Roman"/>
                <w:b/>
                <w:color w:val="000000" w:themeColor="text1"/>
                <w:vertAlign w:val="superscript"/>
              </w:rPr>
              <w:t>2</w:t>
            </w:r>
            <w:r w:rsidRPr="00BE5210">
              <w:rPr>
                <w:rFonts w:cs="Times New Roman"/>
                <w:b/>
                <w:color w:val="000000" w:themeColor="text1"/>
              </w:rPr>
              <w:t xml:space="preserve"> Values</w:t>
            </w:r>
          </w:p>
        </w:tc>
      </w:tr>
      <w:tr w:rsidR="0034059E" w:rsidRPr="005F5E21" w:rsidTr="00FA3C3C">
        <w:trPr>
          <w:jc w:val="center"/>
        </w:trPr>
        <w:tc>
          <w:tcPr>
            <w:tcW w:w="2736" w:type="dxa"/>
            <w:tcBorders>
              <w:top w:val="single" w:sz="4" w:space="0" w:color="auto"/>
              <w:bottom w:val="nil"/>
            </w:tcBorders>
          </w:tcPr>
          <w:p w:rsidR="0034059E" w:rsidRPr="006428A2" w:rsidRDefault="0034059E" w:rsidP="00FA3C3C">
            <w:pPr>
              <w:spacing w:before="120" w:after="120"/>
              <w:jc w:val="left"/>
              <w:rPr>
                <w:rFonts w:cs="Times New Roman"/>
                <w:b/>
                <w:color w:val="000000" w:themeColor="text1"/>
              </w:rPr>
            </w:pPr>
            <w:r w:rsidRPr="00204BE3">
              <w:rPr>
                <w:rFonts w:cs="Times New Roman"/>
                <w:color w:val="000000" w:themeColor="text1"/>
              </w:rPr>
              <w:t>Niche (Bottom 10%)</w:t>
            </w:r>
          </w:p>
        </w:tc>
        <w:tc>
          <w:tcPr>
            <w:tcW w:w="2592" w:type="dxa"/>
            <w:tcBorders>
              <w:top w:val="single" w:sz="4" w:space="0" w:color="auto"/>
              <w:bottom w:val="nil"/>
            </w:tcBorders>
          </w:tcPr>
          <w:p w:rsidR="0034059E" w:rsidRDefault="0034059E" w:rsidP="00FA3C3C">
            <w:pPr>
              <w:tabs>
                <w:tab w:val="decimal" w:pos="1014"/>
              </w:tabs>
              <w:spacing w:before="120" w:after="120"/>
              <w:jc w:val="left"/>
              <w:rPr>
                <w:rFonts w:cs="Times New Roman"/>
              </w:rPr>
            </w:pPr>
            <w:r>
              <w:rPr>
                <w:rFonts w:cs="Times New Roman"/>
              </w:rPr>
              <w:t>9.32%</w:t>
            </w:r>
            <w:r w:rsidRPr="00A24801">
              <w:rPr>
                <w:rFonts w:cs="Times New Roman"/>
              </w:rPr>
              <w:t xml:space="preserve">       </w:t>
            </w:r>
            <w:r>
              <w:rPr>
                <w:rFonts w:cs="Times New Roman"/>
              </w:rPr>
              <w:t xml:space="preserve">                      </w:t>
            </w:r>
            <w:r w:rsidRPr="00A24801">
              <w:rPr>
                <w:rFonts w:cs="Times New Roman"/>
              </w:rPr>
              <w:t xml:space="preserve">   (</w:t>
            </w:r>
            <w:r>
              <w:rPr>
                <w:rFonts w:cs="Times New Roman"/>
              </w:rPr>
              <w:t>10.00%</w:t>
            </w:r>
            <w:r w:rsidRPr="00A24801">
              <w:rPr>
                <w:rFonts w:cs="Times New Roman"/>
              </w:rPr>
              <w:t>)</w:t>
            </w:r>
          </w:p>
        </w:tc>
        <w:tc>
          <w:tcPr>
            <w:tcW w:w="1728" w:type="dxa"/>
            <w:tcBorders>
              <w:top w:val="single" w:sz="4" w:space="0" w:color="auto"/>
              <w:bottom w:val="nil"/>
            </w:tcBorders>
          </w:tcPr>
          <w:p w:rsidR="0034059E" w:rsidRDefault="0034059E" w:rsidP="00FA3C3C">
            <w:pPr>
              <w:spacing w:before="120" w:after="120"/>
              <w:rPr>
                <w:rFonts w:cs="Times New Roman"/>
              </w:rPr>
            </w:pPr>
            <w:r>
              <w:rPr>
                <w:rFonts w:cs="Times New Roman"/>
              </w:rPr>
              <w:t>0.4747</w:t>
            </w:r>
          </w:p>
        </w:tc>
      </w:tr>
      <w:tr w:rsidR="0034059E" w:rsidRPr="005F5E21" w:rsidTr="00FA3C3C">
        <w:trPr>
          <w:jc w:val="center"/>
        </w:trPr>
        <w:tc>
          <w:tcPr>
            <w:tcW w:w="2736" w:type="dxa"/>
            <w:tcBorders>
              <w:top w:val="nil"/>
            </w:tcBorders>
          </w:tcPr>
          <w:p w:rsidR="0034059E" w:rsidRPr="009017B8" w:rsidRDefault="0034059E" w:rsidP="00FA3C3C">
            <w:pPr>
              <w:spacing w:before="120" w:after="120"/>
              <w:jc w:val="left"/>
              <w:rPr>
                <w:rFonts w:cs="Times New Roman"/>
                <w:color w:val="000000" w:themeColor="text1"/>
              </w:rPr>
            </w:pPr>
            <w:r w:rsidRPr="00204BE3">
              <w:rPr>
                <w:rFonts w:cs="Times New Roman"/>
                <w:color w:val="000000" w:themeColor="text1"/>
              </w:rPr>
              <w:t>Low Volume (Bottom 50%)</w:t>
            </w:r>
          </w:p>
        </w:tc>
        <w:tc>
          <w:tcPr>
            <w:tcW w:w="2592" w:type="dxa"/>
            <w:tcBorders>
              <w:top w:val="nil"/>
            </w:tcBorders>
          </w:tcPr>
          <w:p w:rsidR="0034059E" w:rsidRPr="005F5E21" w:rsidRDefault="0034059E" w:rsidP="00FA3C3C">
            <w:pPr>
              <w:tabs>
                <w:tab w:val="decimal" w:pos="1014"/>
              </w:tabs>
              <w:spacing w:before="120" w:after="120"/>
              <w:jc w:val="left"/>
              <w:rPr>
                <w:rFonts w:cs="Times New Roman"/>
              </w:rPr>
            </w:pPr>
            <w:r>
              <w:rPr>
                <w:rFonts w:cs="Times New Roman"/>
              </w:rPr>
              <w:t>3.82</w:t>
            </w:r>
            <w:r w:rsidRPr="005F5E21">
              <w:rPr>
                <w:rFonts w:cs="Times New Roman"/>
              </w:rPr>
              <w:t xml:space="preserve">%       </w:t>
            </w:r>
            <w:r>
              <w:rPr>
                <w:rFonts w:cs="Times New Roman"/>
              </w:rPr>
              <w:t xml:space="preserve">                      </w:t>
            </w:r>
            <w:r w:rsidRPr="005F5E21">
              <w:rPr>
                <w:rFonts w:cs="Times New Roman"/>
              </w:rPr>
              <w:t xml:space="preserve">   (</w:t>
            </w:r>
            <w:r>
              <w:rPr>
                <w:rFonts w:cs="Times New Roman"/>
              </w:rPr>
              <w:t>16.37</w:t>
            </w:r>
            <w:r w:rsidRPr="005F5E21">
              <w:rPr>
                <w:rFonts w:cs="Times New Roman"/>
              </w:rPr>
              <w:t>%)</w:t>
            </w:r>
          </w:p>
        </w:tc>
        <w:tc>
          <w:tcPr>
            <w:tcW w:w="1728" w:type="dxa"/>
            <w:tcBorders>
              <w:top w:val="nil"/>
            </w:tcBorders>
          </w:tcPr>
          <w:p w:rsidR="0034059E" w:rsidRPr="005F5E21" w:rsidRDefault="0034059E" w:rsidP="00FA3C3C">
            <w:pPr>
              <w:spacing w:before="120" w:after="120"/>
              <w:rPr>
                <w:rFonts w:cs="Times New Roman"/>
              </w:rPr>
            </w:pPr>
            <w:r>
              <w:rPr>
                <w:rFonts w:cs="Times New Roman"/>
              </w:rPr>
              <w:t>0.4355</w:t>
            </w:r>
          </w:p>
        </w:tc>
      </w:tr>
    </w:tbl>
    <w:p w:rsidR="0034059E" w:rsidRPr="008536E7" w:rsidRDefault="0034059E" w:rsidP="00C51425">
      <w:pPr>
        <w:spacing w:before="60" w:line="240" w:lineRule="auto"/>
        <w:ind w:left="360" w:right="360"/>
        <w:rPr>
          <w:rFonts w:cs="Times New Roman"/>
          <w:sz w:val="20"/>
          <w:szCs w:val="20"/>
        </w:rPr>
      </w:pPr>
      <w:r w:rsidRPr="008536E7">
        <w:rPr>
          <w:rFonts w:cs="Times New Roman"/>
          <w:sz w:val="20"/>
          <w:szCs w:val="20"/>
        </w:rPr>
        <w:t xml:space="preserve">The table reports the </w:t>
      </w:r>
      <w:r w:rsidRPr="001D3290">
        <w:rPr>
          <w:rFonts w:cs="Times New Roman"/>
          <w:i/>
          <w:color w:val="000000" w:themeColor="text1"/>
          <w:sz w:val="20"/>
          <w:szCs w:val="20"/>
        </w:rPr>
        <w:t>Change in Avg. Success Rate</w:t>
      </w:r>
      <w:r w:rsidRPr="008536E7">
        <w:rPr>
          <w:rFonts w:cs="Times New Roman"/>
          <w:i/>
          <w:sz w:val="20"/>
          <w:szCs w:val="20"/>
        </w:rPr>
        <w:t xml:space="preserve"> </w:t>
      </w:r>
      <w:r w:rsidRPr="008536E7">
        <w:rPr>
          <w:rFonts w:cs="Times New Roman"/>
          <w:sz w:val="20"/>
          <w:szCs w:val="20"/>
        </w:rPr>
        <w:t>coefficients (</w:t>
      </w:r>
      <w:r w:rsidRPr="001D3290">
        <w:rPr>
          <w:rFonts w:eastAsia="SimSun" w:cs="Times New Roman"/>
          <w:sz w:val="20"/>
          <w:szCs w:val="20"/>
        </w:rPr>
        <w:t>β</w:t>
      </w:r>
      <w:r w:rsidRPr="001D3290">
        <w:rPr>
          <w:rFonts w:eastAsia="SimSun" w:cs="Times New Roman"/>
          <w:sz w:val="20"/>
          <w:szCs w:val="20"/>
          <w:vertAlign w:val="subscript"/>
        </w:rPr>
        <w:t>1</w:t>
      </w:r>
      <w:r w:rsidRPr="008536E7">
        <w:rPr>
          <w:rFonts w:cs="Times New Roman"/>
          <w:sz w:val="20"/>
          <w:szCs w:val="20"/>
        </w:rPr>
        <w:t>) and R</w:t>
      </w:r>
      <w:r w:rsidRPr="008536E7">
        <w:rPr>
          <w:rFonts w:cs="Times New Roman"/>
          <w:sz w:val="20"/>
          <w:szCs w:val="20"/>
          <w:vertAlign w:val="superscript"/>
        </w:rPr>
        <w:t>2</w:t>
      </w:r>
      <w:r w:rsidRPr="008536E7">
        <w:rPr>
          <w:rFonts w:cs="Times New Roman"/>
          <w:sz w:val="20"/>
          <w:szCs w:val="20"/>
        </w:rPr>
        <w:t xml:space="preserve"> values from estimating Equation </w:t>
      </w:r>
      <w:r w:rsidR="00342333">
        <w:rPr>
          <w:rFonts w:cs="Times New Roman"/>
          <w:sz w:val="20"/>
          <w:szCs w:val="20"/>
        </w:rPr>
        <w:t>A1</w:t>
      </w:r>
      <w:r w:rsidRPr="008536E7">
        <w:rPr>
          <w:rFonts w:cs="Times New Roman"/>
          <w:sz w:val="20"/>
          <w:szCs w:val="20"/>
        </w:rPr>
        <w:t xml:space="preserve"> with different dependent variables. Control variables are estimated but omitted from the table. The unit of analysis is a customer and the sample size in all of the models is 13,715. Standard errors are in parentheses.</w:t>
      </w:r>
    </w:p>
    <w:p w:rsidR="0034059E" w:rsidRDefault="0034059E" w:rsidP="0034059E">
      <w:pPr>
        <w:spacing w:line="240" w:lineRule="auto"/>
        <w:rPr>
          <w:rFonts w:ascii="Calibri" w:eastAsia="SimSun" w:hAnsi="Calibri" w:cs="Courier New"/>
          <w:b/>
          <w:szCs w:val="21"/>
        </w:rPr>
      </w:pPr>
    </w:p>
    <w:p w:rsidR="00426DB1" w:rsidRDefault="00426DB1" w:rsidP="00426DB1">
      <w:r>
        <w:t>These findings can be compared with an earlier study of purchases of women’s shoes. Galak, Gray, Elbert and Strohminger (2016) study shoe purchases by women who moved between zip codes. They find that preferences tend to conform to new local norms when women move from relatively low to relatively high status zip codes. However, when moving to relatively lower status locations they mostly ignore the new local norms.</w:t>
      </w:r>
    </w:p>
    <w:p w:rsidR="00426DB1" w:rsidRDefault="00426DB1" w:rsidP="00426DB1">
      <w:r>
        <w:t xml:space="preserve">For completeness, we contrasted customers that changed zip codes but stayed within the same 3-digit zip code, with those that moved zip codes. Recall that whether an item is a niche product is defined within each 3-digit zip code. Therefore, restricting attention to customers who remained within a 3-digit zip code reduces variation in the definition of what is a niche product. The pattern of findings is unchanged; the </w:t>
      </w:r>
      <w:r w:rsidRPr="00204BE3">
        <w:rPr>
          <w:i/>
        </w:rPr>
        <w:t>Change in Avg. Success Rate</w:t>
      </w:r>
      <w:r>
        <w:t xml:space="preserve"> coefficient does not approach statistical significance either when focusing on customers who stayed in the same 3-digit zip code, or when focusing on customers who changed 3-digit zip code. </w:t>
      </w:r>
    </w:p>
    <w:p w:rsidR="0034059E" w:rsidRDefault="00426DB1">
      <w:r>
        <w:t xml:space="preserve">As an additional robustness check, we investigated including zip code fixed effects identifying either the 2007 or 2009 3-digit zip code.  This had almost no impact upon the coefficients of interest. We also investigated replacing the dependent variable with binary variables indicating whether the % of niche items purchased (or % of low volume items purchased) increased from 2009 to 2011.  The coefficients of interest were again not significant. We conclude that the data does not indicate that households acquire their harbinger tendencies from their new neighbors. </w:t>
      </w:r>
      <w:r w:rsidR="0034059E">
        <w:br w:type="page"/>
      </w:r>
    </w:p>
    <w:p w:rsidR="00217311" w:rsidRDefault="00217311" w:rsidP="00217311">
      <w:pPr>
        <w:jc w:val="center"/>
        <w:rPr>
          <w:b/>
        </w:rPr>
      </w:pPr>
      <w:r w:rsidRPr="00217311">
        <w:rPr>
          <w:b/>
        </w:rPr>
        <w:lastRenderedPageBreak/>
        <w:t>Zillow House Price Analysis: Robustness Checks</w:t>
      </w:r>
    </w:p>
    <w:p w:rsidR="00217311" w:rsidRPr="00217311" w:rsidRDefault="00217311" w:rsidP="00217311">
      <w:r w:rsidRPr="00217311">
        <w:t>We investigate the robustness of our finding that harbinger zip codes enjoy smaller house price increases during these periods</w:t>
      </w:r>
      <w:r w:rsidR="00110AE4">
        <w:t>.</w:t>
      </w:r>
      <w:r w:rsidRPr="00217311">
        <w:t xml:space="preserve"> One explanation for this finding is that these are the zip codes that had lower home values at the start of this period. This turns out to be correct: the house prices of harbinger zip codes at the start of 2002 were lower on average than prices in other zip codes. However, lower prices at the start of 2002 do not imply larger price increases between 2002 and 2006. To understand this relationship, we included starting prices as a control variable in the regressions.</w:t>
      </w:r>
      <w:r w:rsidRPr="00217311">
        <w:rPr>
          <w:vertAlign w:val="superscript"/>
        </w:rPr>
        <w:footnoteReference w:id="6"/>
      </w:r>
      <w:r w:rsidRPr="00217311">
        <w:t xml:space="preserve"> The pattern of findings is unchanged (the coefficients of interest from this model are reported in the table below). Moreover, during periods average prices increased, the increases were actually larger in regions with lower initial prices (the</w:t>
      </w:r>
      <w:r w:rsidRPr="00217311">
        <w:rPr>
          <w:i/>
        </w:rPr>
        <w:t xml:space="preserve"> Starting Price</w:t>
      </w:r>
      <w:r w:rsidRPr="00217311">
        <w:t xml:space="preserve"> coefficients are negative). This indicates that the smaller increase in house prices in harbinger zip codes occurs despite their lower starting values, not because of it.</w:t>
      </w:r>
    </w:p>
    <w:p w:rsidR="00217311" w:rsidRDefault="00217311" w:rsidP="00217311">
      <w:pPr>
        <w:rPr>
          <w:rFonts w:eastAsia="Calibri"/>
        </w:rPr>
      </w:pPr>
      <w:r w:rsidRPr="00217311">
        <w:t xml:space="preserve">Our second robustness check replaces the fixed effects identifying each 3-digit zip code with fixed effects identifying each 4-digit zip code. </w:t>
      </w:r>
      <w:r w:rsidRPr="00217311">
        <w:rPr>
          <w:rFonts w:eastAsia="Calibri"/>
        </w:rPr>
        <w:t>This reduces the price variation to even smaller regions, with at most ten (5 digit) zip codes within each 4-digit zip code. The pattern of findings is again replicated (the coefficients of interest are also reported in the table below).</w:t>
      </w:r>
    </w:p>
    <w:p w:rsidR="00217311" w:rsidRPr="00217311" w:rsidRDefault="00217311" w:rsidP="00217311">
      <w:pPr>
        <w:rPr>
          <w:rFonts w:eastAsia="SimSun" w:cs="Times New Roman"/>
          <w:b/>
          <w:sz w:val="24"/>
          <w:szCs w:val="24"/>
        </w:rPr>
      </w:pPr>
    </w:p>
    <w:tbl>
      <w:tblPr>
        <w:tblStyle w:val="TableGrid1"/>
        <w:tblW w:w="8496"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1728"/>
        <w:gridCol w:w="1728"/>
        <w:gridCol w:w="1728"/>
      </w:tblGrid>
      <w:tr w:rsidR="00217311" w:rsidRPr="00217311" w:rsidTr="00FA3C3C">
        <w:trPr>
          <w:jc w:val="center"/>
        </w:trPr>
        <w:tc>
          <w:tcPr>
            <w:tcW w:w="3312" w:type="dxa"/>
            <w:tcBorders>
              <w:top w:val="double" w:sz="4" w:space="0" w:color="auto"/>
              <w:bottom w:val="single" w:sz="8" w:space="0" w:color="auto"/>
            </w:tcBorders>
            <w:vAlign w:val="center"/>
          </w:tcPr>
          <w:p w:rsidR="00217311" w:rsidRPr="00217311" w:rsidRDefault="00217311" w:rsidP="00217311">
            <w:pPr>
              <w:keepNext/>
              <w:spacing w:before="120" w:after="120"/>
              <w:rPr>
                <w:rFonts w:cs="Times New Roman"/>
              </w:rPr>
            </w:pPr>
          </w:p>
        </w:tc>
        <w:tc>
          <w:tcPr>
            <w:tcW w:w="1728" w:type="dxa"/>
            <w:tcBorders>
              <w:top w:val="double" w:sz="4" w:space="0" w:color="auto"/>
              <w:bottom w:val="single" w:sz="8" w:space="0" w:color="auto"/>
            </w:tcBorders>
            <w:vAlign w:val="center"/>
          </w:tcPr>
          <w:p w:rsidR="00217311" w:rsidRPr="00217311" w:rsidRDefault="00217311" w:rsidP="00217311">
            <w:pPr>
              <w:keepNext/>
              <w:spacing w:before="120" w:after="120"/>
              <w:rPr>
                <w:rFonts w:cs="Times New Roman"/>
                <w:b/>
              </w:rPr>
            </w:pPr>
            <w:r w:rsidRPr="00217311">
              <w:rPr>
                <w:rFonts w:cs="Times New Roman"/>
                <w:b/>
              </w:rPr>
              <w:t>2002 to 2006</w:t>
            </w:r>
          </w:p>
        </w:tc>
        <w:tc>
          <w:tcPr>
            <w:tcW w:w="1728" w:type="dxa"/>
            <w:tcBorders>
              <w:top w:val="double" w:sz="4" w:space="0" w:color="auto"/>
              <w:bottom w:val="single" w:sz="8" w:space="0" w:color="auto"/>
            </w:tcBorders>
            <w:vAlign w:val="center"/>
          </w:tcPr>
          <w:p w:rsidR="00217311" w:rsidRPr="00217311" w:rsidRDefault="00217311" w:rsidP="00217311">
            <w:pPr>
              <w:keepNext/>
              <w:spacing w:before="120" w:after="120"/>
              <w:rPr>
                <w:rFonts w:cs="Times New Roman"/>
                <w:b/>
                <w:vertAlign w:val="superscript"/>
              </w:rPr>
            </w:pPr>
            <w:r w:rsidRPr="00217311">
              <w:rPr>
                <w:rFonts w:cs="Times New Roman"/>
                <w:b/>
              </w:rPr>
              <w:t>2007 to 2011</w:t>
            </w:r>
          </w:p>
        </w:tc>
        <w:tc>
          <w:tcPr>
            <w:tcW w:w="1728" w:type="dxa"/>
            <w:tcBorders>
              <w:top w:val="double" w:sz="4" w:space="0" w:color="auto"/>
              <w:bottom w:val="single" w:sz="8" w:space="0" w:color="auto"/>
            </w:tcBorders>
            <w:vAlign w:val="center"/>
          </w:tcPr>
          <w:p w:rsidR="00217311" w:rsidRPr="00217311" w:rsidRDefault="00217311" w:rsidP="00217311">
            <w:pPr>
              <w:keepNext/>
              <w:spacing w:before="120" w:after="120"/>
              <w:rPr>
                <w:rFonts w:cs="Times New Roman"/>
                <w:b/>
              </w:rPr>
            </w:pPr>
            <w:r w:rsidRPr="00217311">
              <w:rPr>
                <w:rFonts w:cs="Times New Roman"/>
                <w:b/>
              </w:rPr>
              <w:t>2012 to 2015</w:t>
            </w:r>
          </w:p>
        </w:tc>
      </w:tr>
      <w:tr w:rsidR="00217311" w:rsidRPr="00217311" w:rsidTr="00FA3C3C">
        <w:trPr>
          <w:jc w:val="center"/>
        </w:trPr>
        <w:tc>
          <w:tcPr>
            <w:tcW w:w="3312" w:type="dxa"/>
            <w:tcBorders>
              <w:top w:val="nil"/>
              <w:bottom w:val="nil"/>
            </w:tcBorders>
          </w:tcPr>
          <w:p w:rsidR="00217311" w:rsidRPr="00217311" w:rsidRDefault="00217311" w:rsidP="00217311">
            <w:pPr>
              <w:spacing w:before="120" w:after="120"/>
              <w:jc w:val="left"/>
              <w:rPr>
                <w:rFonts w:cs="Times New Roman"/>
              </w:rPr>
            </w:pPr>
            <w:r w:rsidRPr="00217311">
              <w:rPr>
                <w:rFonts w:cs="Times New Roman"/>
              </w:rPr>
              <w:t>Controlling for Starting Price</w:t>
            </w:r>
          </w:p>
        </w:tc>
        <w:tc>
          <w:tcPr>
            <w:tcW w:w="1728" w:type="dxa"/>
            <w:tcBorders>
              <w:top w:val="nil"/>
              <w:bottom w:val="nil"/>
            </w:tcBorders>
          </w:tcPr>
          <w:p w:rsidR="00217311" w:rsidRPr="00217311" w:rsidRDefault="00217311" w:rsidP="00217311">
            <w:pPr>
              <w:tabs>
                <w:tab w:val="decimal" w:pos="599"/>
              </w:tabs>
              <w:spacing w:before="120" w:after="120"/>
              <w:jc w:val="left"/>
              <w:rPr>
                <w:rFonts w:cs="Times New Roman"/>
              </w:rPr>
            </w:pPr>
            <w:r w:rsidRPr="00217311">
              <w:rPr>
                <w:rFonts w:cs="Times New Roman"/>
              </w:rPr>
              <w:t>15.50%</w:t>
            </w:r>
            <w:r w:rsidRPr="00217311">
              <w:rPr>
                <w:rFonts w:cs="Times New Roman"/>
                <w:vertAlign w:val="superscript"/>
              </w:rPr>
              <w:t>*</w:t>
            </w:r>
            <w:r w:rsidRPr="00217311">
              <w:rPr>
                <w:rFonts w:cs="Times New Roman"/>
              </w:rPr>
              <w:t xml:space="preserve">     (6.74%)</w:t>
            </w:r>
          </w:p>
        </w:tc>
        <w:tc>
          <w:tcPr>
            <w:tcW w:w="1728" w:type="dxa"/>
            <w:tcBorders>
              <w:top w:val="nil"/>
              <w:bottom w:val="nil"/>
            </w:tcBorders>
          </w:tcPr>
          <w:p w:rsidR="00217311" w:rsidRPr="00217311" w:rsidRDefault="00217311" w:rsidP="00217311">
            <w:pPr>
              <w:tabs>
                <w:tab w:val="decimal" w:pos="599"/>
              </w:tabs>
              <w:spacing w:before="120" w:after="120"/>
              <w:jc w:val="left"/>
              <w:rPr>
                <w:rFonts w:cs="Times New Roman"/>
              </w:rPr>
            </w:pPr>
            <w:r w:rsidRPr="00217311">
              <w:rPr>
                <w:rFonts w:cs="Times New Roman"/>
              </w:rPr>
              <w:t>-14.66%</w:t>
            </w:r>
            <w:r w:rsidRPr="00217311">
              <w:rPr>
                <w:rFonts w:cs="Times New Roman"/>
                <w:vertAlign w:val="superscript"/>
              </w:rPr>
              <w:t>†</w:t>
            </w:r>
            <w:r w:rsidRPr="00217311">
              <w:rPr>
                <w:rFonts w:cs="Times New Roman"/>
              </w:rPr>
              <w:t xml:space="preserve">      (8.16%)</w:t>
            </w:r>
          </w:p>
        </w:tc>
        <w:tc>
          <w:tcPr>
            <w:tcW w:w="1728" w:type="dxa"/>
            <w:tcBorders>
              <w:top w:val="nil"/>
              <w:bottom w:val="nil"/>
            </w:tcBorders>
          </w:tcPr>
          <w:p w:rsidR="00217311" w:rsidRPr="00217311" w:rsidRDefault="00217311" w:rsidP="00217311">
            <w:pPr>
              <w:tabs>
                <w:tab w:val="decimal" w:pos="653"/>
              </w:tabs>
              <w:spacing w:before="120" w:after="120"/>
              <w:jc w:val="left"/>
              <w:rPr>
                <w:rFonts w:cs="Times New Roman"/>
              </w:rPr>
            </w:pPr>
            <w:r w:rsidRPr="00217311">
              <w:rPr>
                <w:rFonts w:cs="Times New Roman"/>
              </w:rPr>
              <w:t>20.35%</w:t>
            </w:r>
            <w:r w:rsidRPr="00217311">
              <w:rPr>
                <w:rFonts w:cs="Times New Roman"/>
                <w:vertAlign w:val="superscript"/>
              </w:rPr>
              <w:t>**</w:t>
            </w:r>
            <w:r w:rsidRPr="00217311">
              <w:rPr>
                <w:rFonts w:cs="Times New Roman"/>
              </w:rPr>
              <w:t xml:space="preserve">      (6.37%)</w:t>
            </w:r>
          </w:p>
        </w:tc>
      </w:tr>
      <w:tr w:rsidR="00217311" w:rsidRPr="00217311" w:rsidTr="00FA3C3C">
        <w:trPr>
          <w:jc w:val="center"/>
        </w:trPr>
        <w:tc>
          <w:tcPr>
            <w:tcW w:w="3312" w:type="dxa"/>
            <w:tcBorders>
              <w:top w:val="nil"/>
              <w:bottom w:val="double" w:sz="4" w:space="0" w:color="auto"/>
            </w:tcBorders>
          </w:tcPr>
          <w:p w:rsidR="00217311" w:rsidRPr="00217311" w:rsidRDefault="00217311" w:rsidP="00217311">
            <w:pPr>
              <w:spacing w:before="120" w:after="120"/>
              <w:jc w:val="left"/>
              <w:rPr>
                <w:rFonts w:cs="Times New Roman"/>
              </w:rPr>
            </w:pPr>
            <w:r w:rsidRPr="00217311">
              <w:rPr>
                <w:rFonts w:cs="Times New Roman"/>
              </w:rPr>
              <w:t>4-digit Zip Fixed Effects</w:t>
            </w:r>
          </w:p>
        </w:tc>
        <w:tc>
          <w:tcPr>
            <w:tcW w:w="1728" w:type="dxa"/>
            <w:tcBorders>
              <w:top w:val="nil"/>
              <w:bottom w:val="double" w:sz="4" w:space="0" w:color="auto"/>
            </w:tcBorders>
          </w:tcPr>
          <w:p w:rsidR="00217311" w:rsidRPr="00217311" w:rsidRDefault="00217311" w:rsidP="00217311">
            <w:pPr>
              <w:tabs>
                <w:tab w:val="decimal" w:pos="599"/>
              </w:tabs>
              <w:spacing w:before="120" w:after="120"/>
              <w:jc w:val="left"/>
              <w:rPr>
                <w:rFonts w:cs="Times New Roman"/>
              </w:rPr>
            </w:pPr>
            <w:r w:rsidRPr="00217311">
              <w:rPr>
                <w:rFonts w:cs="Times New Roman"/>
              </w:rPr>
              <w:t>16.27%</w:t>
            </w:r>
            <w:r w:rsidRPr="00217311">
              <w:rPr>
                <w:rFonts w:cs="Times New Roman"/>
                <w:vertAlign w:val="superscript"/>
              </w:rPr>
              <w:t>*</w:t>
            </w:r>
            <w:r w:rsidRPr="00217311">
              <w:rPr>
                <w:rFonts w:cs="Times New Roman"/>
              </w:rPr>
              <w:t xml:space="preserve">     (7.97%)</w:t>
            </w:r>
          </w:p>
        </w:tc>
        <w:tc>
          <w:tcPr>
            <w:tcW w:w="1728" w:type="dxa"/>
            <w:tcBorders>
              <w:top w:val="nil"/>
              <w:bottom w:val="double" w:sz="4" w:space="0" w:color="auto"/>
            </w:tcBorders>
          </w:tcPr>
          <w:p w:rsidR="00217311" w:rsidRPr="00217311" w:rsidRDefault="00217311" w:rsidP="00217311">
            <w:pPr>
              <w:tabs>
                <w:tab w:val="decimal" w:pos="599"/>
              </w:tabs>
              <w:spacing w:before="120" w:after="120"/>
              <w:jc w:val="left"/>
              <w:rPr>
                <w:rFonts w:cs="Times New Roman"/>
              </w:rPr>
            </w:pPr>
            <w:r w:rsidRPr="00217311">
              <w:rPr>
                <w:rFonts w:cs="Times New Roman"/>
              </w:rPr>
              <w:t>-24.66%</w:t>
            </w:r>
            <w:r w:rsidRPr="00217311">
              <w:rPr>
                <w:rFonts w:cs="Times New Roman"/>
                <w:vertAlign w:val="superscript"/>
              </w:rPr>
              <w:t>**</w:t>
            </w:r>
            <w:r w:rsidRPr="00217311">
              <w:rPr>
                <w:rFonts w:cs="Times New Roman"/>
              </w:rPr>
              <w:t xml:space="preserve">      (9.27%)</w:t>
            </w:r>
          </w:p>
        </w:tc>
        <w:tc>
          <w:tcPr>
            <w:tcW w:w="1728" w:type="dxa"/>
            <w:tcBorders>
              <w:top w:val="nil"/>
              <w:bottom w:val="double" w:sz="4" w:space="0" w:color="auto"/>
            </w:tcBorders>
          </w:tcPr>
          <w:p w:rsidR="00217311" w:rsidRPr="00217311" w:rsidRDefault="00217311" w:rsidP="00217311">
            <w:pPr>
              <w:tabs>
                <w:tab w:val="decimal" w:pos="653"/>
              </w:tabs>
              <w:spacing w:before="120" w:after="120"/>
              <w:jc w:val="left"/>
              <w:rPr>
                <w:rFonts w:cs="Times New Roman"/>
              </w:rPr>
            </w:pPr>
            <w:r w:rsidRPr="00217311">
              <w:rPr>
                <w:rFonts w:cs="Times New Roman"/>
              </w:rPr>
              <w:t>16.11%</w:t>
            </w:r>
            <w:r w:rsidRPr="00217311">
              <w:rPr>
                <w:rFonts w:cs="Times New Roman"/>
                <w:vertAlign w:val="superscript"/>
              </w:rPr>
              <w:t>*</w:t>
            </w:r>
            <w:r w:rsidRPr="00217311">
              <w:rPr>
                <w:rFonts w:cs="Times New Roman"/>
              </w:rPr>
              <w:t xml:space="preserve">      (0.73%)</w:t>
            </w:r>
          </w:p>
        </w:tc>
      </w:tr>
    </w:tbl>
    <w:p w:rsidR="00217311" w:rsidRPr="00217311" w:rsidRDefault="00217311" w:rsidP="00217311">
      <w:pPr>
        <w:spacing w:before="60" w:line="240" w:lineRule="auto"/>
        <w:ind w:left="446" w:right="274"/>
        <w:rPr>
          <w:rFonts w:eastAsia="SimSun" w:cs="Times New Roman"/>
          <w:sz w:val="24"/>
          <w:szCs w:val="24"/>
        </w:rPr>
      </w:pPr>
      <w:r w:rsidRPr="00217311">
        <w:rPr>
          <w:rFonts w:eastAsia="Calibri" w:cs="Times New Roman"/>
          <w:sz w:val="20"/>
          <w:szCs w:val="20"/>
        </w:rPr>
        <w:t xml:space="preserve">The table reports the </w:t>
      </w:r>
      <w:r w:rsidRPr="00217311">
        <w:rPr>
          <w:rFonts w:eastAsia="Calibri" w:cs="Times New Roman"/>
          <w:i/>
          <w:sz w:val="20"/>
          <w:szCs w:val="20"/>
        </w:rPr>
        <w:t>Average Success Rate</w:t>
      </w:r>
      <w:r w:rsidRPr="00217311">
        <w:rPr>
          <w:rFonts w:eastAsia="Calibri" w:cs="Times New Roman"/>
          <w:sz w:val="20"/>
          <w:szCs w:val="20"/>
        </w:rPr>
        <w:t xml:space="preserve"> coefficients and R</w:t>
      </w:r>
      <w:r w:rsidRPr="00217311">
        <w:rPr>
          <w:rFonts w:eastAsia="Calibri" w:cs="Times New Roman"/>
          <w:sz w:val="20"/>
          <w:szCs w:val="20"/>
          <w:vertAlign w:val="superscript"/>
        </w:rPr>
        <w:t>2</w:t>
      </w:r>
      <w:r w:rsidRPr="00217311">
        <w:rPr>
          <w:rFonts w:eastAsia="Calibri" w:cs="Times New Roman"/>
          <w:sz w:val="20"/>
          <w:szCs w:val="20"/>
        </w:rPr>
        <w:t xml:space="preserve"> values when estimating modified versions of Equation 4 using different time periods. The unit of analysis is a zip code and the sample size for all of the models is 3,837. Standard errors are in parentheses.</w:t>
      </w:r>
    </w:p>
    <w:p w:rsidR="00217311" w:rsidRPr="00217311" w:rsidRDefault="00217311">
      <w:pPr>
        <w:rPr>
          <w:b/>
        </w:rPr>
      </w:pPr>
    </w:p>
    <w:p w:rsidR="00217311" w:rsidRPr="00217311" w:rsidRDefault="00217311">
      <w:pPr>
        <w:rPr>
          <w:b/>
        </w:rPr>
      </w:pPr>
      <w:r w:rsidRPr="00217311">
        <w:rPr>
          <w:b/>
        </w:rPr>
        <w:br w:type="page"/>
      </w:r>
    </w:p>
    <w:p w:rsidR="0034059E" w:rsidRPr="00833B53" w:rsidRDefault="0034059E" w:rsidP="0034059E">
      <w:pPr>
        <w:keepNext/>
        <w:jc w:val="center"/>
        <w:rPr>
          <w:b/>
        </w:rPr>
      </w:pPr>
      <w:r w:rsidRPr="00833B53">
        <w:rPr>
          <w:b/>
        </w:rPr>
        <w:lastRenderedPageBreak/>
        <w:t>Contributions to Winning vs. Losing Candidates</w:t>
      </w:r>
    </w:p>
    <w:p w:rsidR="0034059E" w:rsidRDefault="0034059E" w:rsidP="0034059E">
      <w:r>
        <w:t>W</w:t>
      </w:r>
      <w:r w:rsidRPr="00833B53">
        <w:t>e construct</w:t>
      </w:r>
      <w:r>
        <w:t>ed</w:t>
      </w:r>
      <w:r w:rsidRPr="00833B53">
        <w:t xml:space="preserve"> a binary variable </w:t>
      </w:r>
      <w:r w:rsidRPr="00833B53">
        <w:rPr>
          <w:i/>
        </w:rPr>
        <w:t>Win</w:t>
      </w:r>
      <w:r w:rsidRPr="00833B53">
        <w:rPr>
          <w:i/>
          <w:vertAlign w:val="subscript"/>
        </w:rPr>
        <w:t>cdt</w:t>
      </w:r>
      <w:r w:rsidRPr="00833B53">
        <w:t xml:space="preserve"> indicating whether a candidate won the election for that congressional district in that electoral cycle. We then calculate the “Winning Percentage” as a weighted average of </w:t>
      </w:r>
      <w:r w:rsidRPr="00833B53">
        <w:rPr>
          <w:i/>
        </w:rPr>
        <w:t>Win</w:t>
      </w:r>
      <w:r w:rsidRPr="00833B53">
        <w:t>.  In particular, we average across candidates and congressional districts to calculate a weighted average for each zip code in each election cycle. We weight the total dollar contribution from that zip code to each candidate (</w:t>
      </w:r>
      <w:r>
        <w:rPr>
          <w:i/>
        </w:rPr>
        <w:t>Win %</w:t>
      </w:r>
      <w:r w:rsidRPr="00833B53">
        <w:t xml:space="preserve">).  </w:t>
      </w:r>
      <w:r>
        <w:t xml:space="preserve">To analyze the relationship between </w:t>
      </w:r>
      <w:r w:rsidRPr="00176B2B">
        <w:rPr>
          <w:i/>
        </w:rPr>
        <w:t>Win %</w:t>
      </w:r>
      <w:r>
        <w:t xml:space="preserve"> and </w:t>
      </w:r>
      <w:r w:rsidRPr="00176B2B">
        <w:rPr>
          <w:i/>
        </w:rPr>
        <w:t>Average Success Rate</w:t>
      </w:r>
      <w:r>
        <w:t xml:space="preserve"> of new product purchases at MassStore, we again use Equations 4 and 5.  The findings are reported in the table below.</w:t>
      </w:r>
    </w:p>
    <w:p w:rsidR="00C93E7A" w:rsidRDefault="00C93E7A" w:rsidP="0034059E"/>
    <w:p w:rsidR="00C93E7A" w:rsidRPr="00B03EBD" w:rsidRDefault="00C93E7A" w:rsidP="00C93E7A">
      <w:pPr>
        <w:spacing w:after="120" w:line="240" w:lineRule="auto"/>
        <w:jc w:val="center"/>
        <w:rPr>
          <w:b/>
        </w:rPr>
      </w:pPr>
      <w:r w:rsidRPr="00924221">
        <w:rPr>
          <w:b/>
        </w:rPr>
        <w:t>Donations to Political Candidates</w:t>
      </w:r>
      <w:r>
        <w:rPr>
          <w:b/>
        </w:rPr>
        <w:t>: % of Winning Candidates</w:t>
      </w:r>
    </w:p>
    <w:tbl>
      <w:tblPr>
        <w:tblStyle w:val="TableGrid"/>
        <w:tblW w:w="7488" w:type="dxa"/>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1728"/>
        <w:gridCol w:w="1728"/>
        <w:gridCol w:w="1728"/>
      </w:tblGrid>
      <w:tr w:rsidR="00C93E7A" w:rsidRPr="005F5E21" w:rsidTr="00FA3C3C">
        <w:trPr>
          <w:jc w:val="center"/>
        </w:trPr>
        <w:tc>
          <w:tcPr>
            <w:tcW w:w="2304" w:type="dxa"/>
            <w:tcBorders>
              <w:top w:val="double" w:sz="4" w:space="0" w:color="auto"/>
              <w:bottom w:val="single" w:sz="4" w:space="0" w:color="auto"/>
            </w:tcBorders>
          </w:tcPr>
          <w:p w:rsidR="00C93E7A" w:rsidRDefault="00C93E7A" w:rsidP="00FA3C3C">
            <w:pPr>
              <w:spacing w:before="120" w:after="120"/>
              <w:rPr>
                <w:rFonts w:cs="Times New Roman"/>
                <w:color w:val="000000" w:themeColor="text1"/>
              </w:rPr>
            </w:pPr>
          </w:p>
        </w:tc>
        <w:tc>
          <w:tcPr>
            <w:tcW w:w="1728" w:type="dxa"/>
            <w:tcBorders>
              <w:top w:val="double" w:sz="4" w:space="0" w:color="auto"/>
              <w:bottom w:val="single" w:sz="4" w:space="0" w:color="auto"/>
            </w:tcBorders>
          </w:tcPr>
          <w:p w:rsidR="00C93E7A" w:rsidRPr="00F12489" w:rsidRDefault="00C93E7A" w:rsidP="00FA3C3C">
            <w:pPr>
              <w:tabs>
                <w:tab w:val="decimal" w:pos="558"/>
              </w:tabs>
              <w:spacing w:before="120" w:after="120"/>
              <w:rPr>
                <w:rFonts w:cs="Times New Roman"/>
                <w:b/>
              </w:rPr>
            </w:pPr>
            <w:r>
              <w:rPr>
                <w:rFonts w:cs="Times New Roman"/>
                <w:b/>
                <w:color w:val="000000" w:themeColor="text1"/>
              </w:rPr>
              <w:t>Equation 4</w:t>
            </w:r>
          </w:p>
        </w:tc>
        <w:tc>
          <w:tcPr>
            <w:tcW w:w="1728" w:type="dxa"/>
            <w:tcBorders>
              <w:top w:val="double" w:sz="4" w:space="0" w:color="auto"/>
              <w:bottom w:val="single" w:sz="4" w:space="0" w:color="auto"/>
            </w:tcBorders>
          </w:tcPr>
          <w:p w:rsidR="00C93E7A" w:rsidRPr="00F12489" w:rsidRDefault="00C93E7A" w:rsidP="00FA3C3C">
            <w:pPr>
              <w:tabs>
                <w:tab w:val="decimal" w:pos="558"/>
              </w:tabs>
              <w:spacing w:before="120" w:after="120"/>
              <w:rPr>
                <w:rFonts w:cs="Times New Roman"/>
                <w:b/>
              </w:rPr>
            </w:pPr>
            <w:r>
              <w:rPr>
                <w:rFonts w:cs="Times New Roman"/>
                <w:b/>
                <w:color w:val="000000" w:themeColor="text1"/>
              </w:rPr>
              <w:t>Equation 5</w:t>
            </w:r>
          </w:p>
        </w:tc>
        <w:tc>
          <w:tcPr>
            <w:tcW w:w="1728" w:type="dxa"/>
            <w:tcBorders>
              <w:top w:val="double" w:sz="4" w:space="0" w:color="auto"/>
              <w:bottom w:val="single" w:sz="4" w:space="0" w:color="auto"/>
            </w:tcBorders>
          </w:tcPr>
          <w:p w:rsidR="00C93E7A" w:rsidRDefault="00C93E7A" w:rsidP="00342333">
            <w:pPr>
              <w:tabs>
                <w:tab w:val="decimal" w:pos="558"/>
              </w:tabs>
              <w:spacing w:before="120" w:after="120"/>
              <w:rPr>
                <w:rFonts w:cs="Times New Roman"/>
                <w:b/>
                <w:color w:val="000000" w:themeColor="text1"/>
              </w:rPr>
            </w:pPr>
            <w:r>
              <w:rPr>
                <w:rFonts w:cs="Times New Roman"/>
                <w:b/>
                <w:color w:val="000000" w:themeColor="text1"/>
              </w:rPr>
              <w:t xml:space="preserve">Equation </w:t>
            </w:r>
            <w:r w:rsidR="00342333">
              <w:rPr>
                <w:rFonts w:cs="Times New Roman"/>
                <w:b/>
                <w:color w:val="000000" w:themeColor="text1"/>
              </w:rPr>
              <w:t>A2</w:t>
            </w:r>
          </w:p>
        </w:tc>
      </w:tr>
      <w:tr w:rsidR="00C93E7A" w:rsidRPr="005F5E21" w:rsidTr="00FA3C3C">
        <w:trPr>
          <w:jc w:val="center"/>
        </w:trPr>
        <w:tc>
          <w:tcPr>
            <w:tcW w:w="2304" w:type="dxa"/>
            <w:tcBorders>
              <w:top w:val="single" w:sz="4" w:space="0" w:color="auto"/>
              <w:bottom w:val="nil"/>
            </w:tcBorders>
          </w:tcPr>
          <w:p w:rsidR="00C93E7A" w:rsidRPr="00F12489" w:rsidRDefault="00C93E7A" w:rsidP="00FA3C3C">
            <w:pPr>
              <w:spacing w:before="120" w:after="120"/>
              <w:jc w:val="left"/>
              <w:rPr>
                <w:rFonts w:cs="Times New Roman"/>
                <w:i/>
                <w:color w:val="000000" w:themeColor="text1"/>
              </w:rPr>
            </w:pPr>
            <w:r w:rsidRPr="00F12489">
              <w:rPr>
                <w:rFonts w:cs="Times New Roman"/>
                <w:i/>
                <w:color w:val="000000" w:themeColor="text1"/>
              </w:rPr>
              <w:t>Average Success Rate</w:t>
            </w:r>
          </w:p>
        </w:tc>
        <w:tc>
          <w:tcPr>
            <w:tcW w:w="1728" w:type="dxa"/>
            <w:tcBorders>
              <w:top w:val="single" w:sz="4" w:space="0" w:color="auto"/>
              <w:bottom w:val="nil"/>
            </w:tcBorders>
          </w:tcPr>
          <w:p w:rsidR="00C93E7A" w:rsidRPr="00A24801" w:rsidRDefault="00C93E7A" w:rsidP="00FA3C3C">
            <w:pPr>
              <w:tabs>
                <w:tab w:val="decimal" w:pos="648"/>
              </w:tabs>
              <w:spacing w:before="120" w:after="120"/>
              <w:jc w:val="left"/>
              <w:rPr>
                <w:rFonts w:cs="Times New Roman"/>
              </w:rPr>
            </w:pPr>
            <w:r>
              <w:rPr>
                <w:rFonts w:cs="Times New Roman"/>
              </w:rPr>
              <w:t>30.82%</w:t>
            </w:r>
            <w:r>
              <w:rPr>
                <w:rFonts w:cs="Times New Roman"/>
                <w:vertAlign w:val="superscript"/>
              </w:rPr>
              <w:t>**</w:t>
            </w:r>
            <w:r w:rsidRPr="00A24801">
              <w:rPr>
                <w:rFonts w:cs="Times New Roman"/>
              </w:rPr>
              <w:t xml:space="preserve">          (</w:t>
            </w:r>
            <w:r>
              <w:rPr>
                <w:rFonts w:cs="Times New Roman"/>
              </w:rPr>
              <w:t>11.38%</w:t>
            </w:r>
            <w:r w:rsidRPr="00A24801">
              <w:rPr>
                <w:rFonts w:cs="Times New Roman"/>
              </w:rPr>
              <w:t>)</w:t>
            </w:r>
          </w:p>
        </w:tc>
        <w:tc>
          <w:tcPr>
            <w:tcW w:w="1728" w:type="dxa"/>
            <w:tcBorders>
              <w:top w:val="single" w:sz="4" w:space="0" w:color="auto"/>
              <w:bottom w:val="nil"/>
            </w:tcBorders>
          </w:tcPr>
          <w:p w:rsidR="00C93E7A" w:rsidRPr="005F5E21" w:rsidRDefault="00C93E7A" w:rsidP="00FA3C3C">
            <w:pPr>
              <w:tabs>
                <w:tab w:val="decimal" w:pos="648"/>
              </w:tabs>
              <w:spacing w:before="120" w:after="120"/>
              <w:jc w:val="left"/>
              <w:rPr>
                <w:rFonts w:cs="Times New Roman"/>
              </w:rPr>
            </w:pPr>
          </w:p>
        </w:tc>
        <w:tc>
          <w:tcPr>
            <w:tcW w:w="1728" w:type="dxa"/>
            <w:tcBorders>
              <w:top w:val="single" w:sz="4" w:space="0" w:color="auto"/>
              <w:bottom w:val="nil"/>
            </w:tcBorders>
          </w:tcPr>
          <w:p w:rsidR="00C93E7A" w:rsidRPr="005F5E21" w:rsidRDefault="00C93E7A" w:rsidP="00FA3C3C">
            <w:pPr>
              <w:tabs>
                <w:tab w:val="decimal" w:pos="648"/>
              </w:tabs>
              <w:spacing w:before="120" w:after="120"/>
              <w:rPr>
                <w:rFonts w:cs="Times New Roman"/>
              </w:rPr>
            </w:pPr>
          </w:p>
        </w:tc>
      </w:tr>
      <w:tr w:rsidR="00C93E7A" w:rsidRPr="005F5E21" w:rsidTr="00FA3C3C">
        <w:trPr>
          <w:jc w:val="center"/>
        </w:trPr>
        <w:tc>
          <w:tcPr>
            <w:tcW w:w="2304" w:type="dxa"/>
            <w:tcBorders>
              <w:top w:val="nil"/>
            </w:tcBorders>
          </w:tcPr>
          <w:p w:rsidR="00C93E7A" w:rsidRPr="005776DB" w:rsidRDefault="00C93E7A" w:rsidP="00FA3C3C">
            <w:pPr>
              <w:spacing w:before="120" w:after="120"/>
              <w:jc w:val="left"/>
              <w:rPr>
                <w:rFonts w:cs="Times New Roman"/>
                <w:i/>
                <w:color w:val="000000" w:themeColor="text1"/>
              </w:rPr>
            </w:pPr>
            <w:r w:rsidRPr="005776DB">
              <w:rPr>
                <w:rFonts w:cs="Times New Roman"/>
                <w:i/>
                <w:color w:val="000000" w:themeColor="text1"/>
              </w:rPr>
              <w:t>Group 2</w:t>
            </w:r>
          </w:p>
        </w:tc>
        <w:tc>
          <w:tcPr>
            <w:tcW w:w="1728" w:type="dxa"/>
            <w:tcBorders>
              <w:top w:val="nil"/>
            </w:tcBorders>
          </w:tcPr>
          <w:p w:rsidR="00C93E7A" w:rsidRPr="00A24801" w:rsidRDefault="00C93E7A" w:rsidP="00FA3C3C">
            <w:pPr>
              <w:tabs>
                <w:tab w:val="decimal" w:pos="648"/>
              </w:tabs>
              <w:spacing w:before="120" w:after="120"/>
              <w:jc w:val="left"/>
              <w:rPr>
                <w:rFonts w:cs="Times New Roman"/>
              </w:rPr>
            </w:pPr>
          </w:p>
        </w:tc>
        <w:tc>
          <w:tcPr>
            <w:tcW w:w="1728" w:type="dxa"/>
            <w:tcBorders>
              <w:top w:val="nil"/>
            </w:tcBorders>
          </w:tcPr>
          <w:p w:rsidR="00C93E7A" w:rsidRPr="005F5E21" w:rsidRDefault="00C93E7A" w:rsidP="00FA3C3C">
            <w:pPr>
              <w:tabs>
                <w:tab w:val="decimal" w:pos="648"/>
              </w:tabs>
              <w:spacing w:before="120" w:after="120"/>
              <w:jc w:val="left"/>
              <w:rPr>
                <w:rFonts w:cs="Times New Roman"/>
              </w:rPr>
            </w:pPr>
            <w:r>
              <w:rPr>
                <w:rFonts w:cs="Times New Roman"/>
              </w:rPr>
              <w:t>-0.09</w:t>
            </w:r>
            <w:r w:rsidRPr="005F5E21">
              <w:rPr>
                <w:rFonts w:cs="Times New Roman"/>
              </w:rPr>
              <w:t>%          (</w:t>
            </w:r>
            <w:r>
              <w:rPr>
                <w:rFonts w:cs="Times New Roman"/>
              </w:rPr>
              <w:t>0.62</w:t>
            </w:r>
            <w:r w:rsidRPr="005F5E21">
              <w:rPr>
                <w:rFonts w:cs="Times New Roman"/>
              </w:rPr>
              <w:t>%)</w:t>
            </w:r>
          </w:p>
        </w:tc>
        <w:tc>
          <w:tcPr>
            <w:tcW w:w="1728" w:type="dxa"/>
            <w:tcBorders>
              <w:top w:val="nil"/>
            </w:tcBorders>
          </w:tcPr>
          <w:p w:rsidR="00C93E7A" w:rsidRDefault="00C93E7A" w:rsidP="00FA3C3C">
            <w:pPr>
              <w:tabs>
                <w:tab w:val="decimal" w:pos="648"/>
              </w:tabs>
              <w:spacing w:before="120" w:after="120"/>
              <w:rPr>
                <w:rFonts w:cs="Times New Roman"/>
              </w:rPr>
            </w:pPr>
          </w:p>
        </w:tc>
      </w:tr>
      <w:tr w:rsidR="00C93E7A" w:rsidRPr="005F5E21" w:rsidTr="00FA3C3C">
        <w:trPr>
          <w:jc w:val="center"/>
        </w:trPr>
        <w:tc>
          <w:tcPr>
            <w:tcW w:w="2304" w:type="dxa"/>
            <w:tcBorders>
              <w:top w:val="nil"/>
            </w:tcBorders>
          </w:tcPr>
          <w:p w:rsidR="00C93E7A" w:rsidRPr="005776DB" w:rsidRDefault="00C93E7A" w:rsidP="00FA3C3C">
            <w:pPr>
              <w:spacing w:before="120" w:after="120"/>
              <w:jc w:val="left"/>
              <w:rPr>
                <w:rFonts w:cs="Times New Roman"/>
                <w:i/>
                <w:color w:val="000000" w:themeColor="text1"/>
              </w:rPr>
            </w:pPr>
            <w:r w:rsidRPr="005776DB">
              <w:rPr>
                <w:rFonts w:cs="Times New Roman"/>
                <w:i/>
                <w:color w:val="000000" w:themeColor="text1"/>
              </w:rPr>
              <w:t>Group 3</w:t>
            </w:r>
          </w:p>
        </w:tc>
        <w:tc>
          <w:tcPr>
            <w:tcW w:w="1728" w:type="dxa"/>
            <w:tcBorders>
              <w:top w:val="nil"/>
            </w:tcBorders>
          </w:tcPr>
          <w:p w:rsidR="00C93E7A" w:rsidRPr="00A24801" w:rsidRDefault="00C93E7A" w:rsidP="00FA3C3C">
            <w:pPr>
              <w:tabs>
                <w:tab w:val="decimal" w:pos="648"/>
              </w:tabs>
              <w:spacing w:before="120" w:after="120"/>
              <w:jc w:val="left"/>
              <w:rPr>
                <w:rFonts w:cs="Times New Roman"/>
              </w:rPr>
            </w:pPr>
          </w:p>
        </w:tc>
        <w:tc>
          <w:tcPr>
            <w:tcW w:w="1728" w:type="dxa"/>
            <w:tcBorders>
              <w:top w:val="nil"/>
            </w:tcBorders>
          </w:tcPr>
          <w:p w:rsidR="00C93E7A" w:rsidRPr="005F5E21" w:rsidRDefault="00C93E7A" w:rsidP="00FA3C3C">
            <w:pPr>
              <w:tabs>
                <w:tab w:val="decimal" w:pos="648"/>
              </w:tabs>
              <w:spacing w:before="120" w:after="120"/>
              <w:jc w:val="left"/>
              <w:rPr>
                <w:rFonts w:cs="Times New Roman"/>
              </w:rPr>
            </w:pPr>
            <w:r>
              <w:rPr>
                <w:rFonts w:cs="Times New Roman"/>
              </w:rPr>
              <w:t>-0.01</w:t>
            </w:r>
            <w:r w:rsidRPr="005F5E21">
              <w:rPr>
                <w:rFonts w:cs="Times New Roman"/>
              </w:rPr>
              <w:t>%          (</w:t>
            </w:r>
            <w:r>
              <w:rPr>
                <w:rFonts w:cs="Times New Roman"/>
              </w:rPr>
              <w:t>0.68</w:t>
            </w:r>
            <w:r w:rsidRPr="005F5E21">
              <w:rPr>
                <w:rFonts w:cs="Times New Roman"/>
              </w:rPr>
              <w:t>%)</w:t>
            </w:r>
          </w:p>
        </w:tc>
        <w:tc>
          <w:tcPr>
            <w:tcW w:w="1728" w:type="dxa"/>
            <w:tcBorders>
              <w:top w:val="nil"/>
            </w:tcBorders>
          </w:tcPr>
          <w:p w:rsidR="00C93E7A" w:rsidRDefault="00C93E7A" w:rsidP="00FA3C3C">
            <w:pPr>
              <w:tabs>
                <w:tab w:val="decimal" w:pos="648"/>
              </w:tabs>
              <w:spacing w:before="120" w:after="120"/>
              <w:rPr>
                <w:rFonts w:cs="Times New Roman"/>
              </w:rPr>
            </w:pPr>
          </w:p>
        </w:tc>
      </w:tr>
      <w:tr w:rsidR="00C93E7A" w:rsidRPr="005F5E21" w:rsidTr="00FA3C3C">
        <w:trPr>
          <w:jc w:val="center"/>
        </w:trPr>
        <w:tc>
          <w:tcPr>
            <w:tcW w:w="2304" w:type="dxa"/>
            <w:tcBorders>
              <w:top w:val="nil"/>
            </w:tcBorders>
          </w:tcPr>
          <w:p w:rsidR="00C93E7A" w:rsidRPr="005776DB" w:rsidRDefault="00C93E7A" w:rsidP="00FA3C3C">
            <w:pPr>
              <w:spacing w:before="120" w:after="120"/>
              <w:jc w:val="left"/>
              <w:rPr>
                <w:rFonts w:cs="Times New Roman"/>
                <w:i/>
                <w:color w:val="000000" w:themeColor="text1"/>
              </w:rPr>
            </w:pPr>
            <w:r w:rsidRPr="005776DB">
              <w:rPr>
                <w:rFonts w:cs="Times New Roman"/>
                <w:i/>
                <w:color w:val="000000" w:themeColor="text1"/>
              </w:rPr>
              <w:t>Group 4</w:t>
            </w:r>
          </w:p>
        </w:tc>
        <w:tc>
          <w:tcPr>
            <w:tcW w:w="1728" w:type="dxa"/>
            <w:tcBorders>
              <w:top w:val="nil"/>
            </w:tcBorders>
          </w:tcPr>
          <w:p w:rsidR="00C93E7A" w:rsidRPr="00A24801" w:rsidRDefault="00C93E7A" w:rsidP="00FA3C3C">
            <w:pPr>
              <w:tabs>
                <w:tab w:val="decimal" w:pos="648"/>
              </w:tabs>
              <w:spacing w:before="120" w:after="120"/>
              <w:jc w:val="left"/>
              <w:rPr>
                <w:rFonts w:cs="Times New Roman"/>
              </w:rPr>
            </w:pPr>
          </w:p>
        </w:tc>
        <w:tc>
          <w:tcPr>
            <w:tcW w:w="1728" w:type="dxa"/>
            <w:tcBorders>
              <w:top w:val="nil"/>
            </w:tcBorders>
          </w:tcPr>
          <w:p w:rsidR="00C93E7A" w:rsidRPr="005F5E21" w:rsidRDefault="00C93E7A" w:rsidP="00FA3C3C">
            <w:pPr>
              <w:tabs>
                <w:tab w:val="decimal" w:pos="648"/>
              </w:tabs>
              <w:spacing w:before="120" w:after="120"/>
              <w:jc w:val="left"/>
              <w:rPr>
                <w:rFonts w:cs="Times New Roman"/>
              </w:rPr>
            </w:pPr>
            <w:r>
              <w:rPr>
                <w:rFonts w:cs="Times New Roman"/>
              </w:rPr>
              <w:t>-0.45</w:t>
            </w:r>
            <w:r w:rsidRPr="005F5E21">
              <w:rPr>
                <w:rFonts w:cs="Times New Roman"/>
              </w:rPr>
              <w:t>%          (</w:t>
            </w:r>
            <w:r>
              <w:rPr>
                <w:rFonts w:cs="Times New Roman"/>
              </w:rPr>
              <w:t>0.74</w:t>
            </w:r>
            <w:r w:rsidRPr="005F5E21">
              <w:rPr>
                <w:rFonts w:cs="Times New Roman"/>
              </w:rPr>
              <w:t>%)</w:t>
            </w:r>
          </w:p>
        </w:tc>
        <w:tc>
          <w:tcPr>
            <w:tcW w:w="1728" w:type="dxa"/>
            <w:tcBorders>
              <w:top w:val="nil"/>
            </w:tcBorders>
          </w:tcPr>
          <w:p w:rsidR="00C93E7A" w:rsidRDefault="00C93E7A" w:rsidP="00FA3C3C">
            <w:pPr>
              <w:tabs>
                <w:tab w:val="decimal" w:pos="648"/>
              </w:tabs>
              <w:spacing w:before="120" w:after="120"/>
              <w:rPr>
                <w:rFonts w:cs="Times New Roman"/>
              </w:rPr>
            </w:pPr>
          </w:p>
        </w:tc>
      </w:tr>
      <w:tr w:rsidR="00C93E7A" w:rsidRPr="005F5E21" w:rsidTr="00FA3C3C">
        <w:trPr>
          <w:jc w:val="center"/>
        </w:trPr>
        <w:tc>
          <w:tcPr>
            <w:tcW w:w="2304" w:type="dxa"/>
            <w:tcBorders>
              <w:top w:val="nil"/>
            </w:tcBorders>
          </w:tcPr>
          <w:p w:rsidR="00C93E7A" w:rsidRDefault="00C93E7A" w:rsidP="00FA3C3C">
            <w:pPr>
              <w:spacing w:before="120" w:after="120"/>
              <w:jc w:val="left"/>
              <w:rPr>
                <w:rFonts w:cs="Times New Roman"/>
                <w:i/>
                <w:color w:val="000000" w:themeColor="text1"/>
              </w:rPr>
            </w:pPr>
            <w:r>
              <w:rPr>
                <w:rFonts w:cs="Times New Roman"/>
                <w:i/>
                <w:color w:val="000000" w:themeColor="text1"/>
              </w:rPr>
              <w:t>Percentiles 5% to 10%</w:t>
            </w:r>
          </w:p>
        </w:tc>
        <w:tc>
          <w:tcPr>
            <w:tcW w:w="1728" w:type="dxa"/>
            <w:tcBorders>
              <w:top w:val="nil"/>
            </w:tcBorders>
          </w:tcPr>
          <w:p w:rsidR="00C93E7A" w:rsidRPr="00A24801" w:rsidRDefault="00C93E7A" w:rsidP="00FA3C3C">
            <w:pPr>
              <w:tabs>
                <w:tab w:val="decimal" w:pos="648"/>
              </w:tabs>
              <w:spacing w:after="120"/>
              <w:rPr>
                <w:rFonts w:cs="Times New Roman"/>
              </w:rPr>
            </w:pPr>
          </w:p>
        </w:tc>
        <w:tc>
          <w:tcPr>
            <w:tcW w:w="1728" w:type="dxa"/>
            <w:tcBorders>
              <w:top w:val="nil"/>
            </w:tcBorders>
          </w:tcPr>
          <w:p w:rsidR="00C93E7A" w:rsidRDefault="00C93E7A" w:rsidP="00FA3C3C">
            <w:pPr>
              <w:tabs>
                <w:tab w:val="decimal" w:pos="648"/>
              </w:tabs>
              <w:spacing w:after="120"/>
              <w:rPr>
                <w:rFonts w:cs="Times New Roman"/>
              </w:rPr>
            </w:pPr>
          </w:p>
        </w:tc>
        <w:tc>
          <w:tcPr>
            <w:tcW w:w="1728" w:type="dxa"/>
            <w:tcBorders>
              <w:top w:val="nil"/>
            </w:tcBorders>
          </w:tcPr>
          <w:p w:rsidR="00C93E7A" w:rsidRDefault="00C93E7A" w:rsidP="00FA3C3C">
            <w:pPr>
              <w:tabs>
                <w:tab w:val="decimal" w:pos="648"/>
              </w:tabs>
              <w:spacing w:before="120" w:after="120"/>
              <w:jc w:val="left"/>
              <w:rPr>
                <w:rFonts w:cs="Times New Roman"/>
              </w:rPr>
            </w:pPr>
            <w:r>
              <w:rPr>
                <w:rFonts w:cs="Times New Roman"/>
              </w:rPr>
              <w:t>-0.13</w:t>
            </w:r>
            <w:r w:rsidRPr="005F5E21">
              <w:rPr>
                <w:rFonts w:cs="Times New Roman"/>
              </w:rPr>
              <w:t>%          (</w:t>
            </w:r>
            <w:r>
              <w:rPr>
                <w:rFonts w:cs="Times New Roman"/>
              </w:rPr>
              <w:t>0.90</w:t>
            </w:r>
            <w:r w:rsidRPr="005F5E21">
              <w:rPr>
                <w:rFonts w:cs="Times New Roman"/>
              </w:rPr>
              <w:t>%)</w:t>
            </w:r>
          </w:p>
        </w:tc>
      </w:tr>
      <w:tr w:rsidR="00C93E7A" w:rsidRPr="005F5E21" w:rsidTr="00FA3C3C">
        <w:trPr>
          <w:jc w:val="center"/>
        </w:trPr>
        <w:tc>
          <w:tcPr>
            <w:tcW w:w="2304" w:type="dxa"/>
            <w:tcBorders>
              <w:top w:val="nil"/>
            </w:tcBorders>
          </w:tcPr>
          <w:p w:rsidR="00C93E7A" w:rsidRPr="005776DB" w:rsidRDefault="00C93E7A" w:rsidP="00FA3C3C">
            <w:pPr>
              <w:spacing w:before="120" w:after="120"/>
              <w:jc w:val="left"/>
              <w:rPr>
                <w:rFonts w:cs="Times New Roman"/>
                <w:i/>
                <w:color w:val="000000" w:themeColor="text1"/>
              </w:rPr>
            </w:pPr>
            <w:r>
              <w:rPr>
                <w:rFonts w:cs="Times New Roman"/>
                <w:i/>
                <w:color w:val="000000" w:themeColor="text1"/>
              </w:rPr>
              <w:t xml:space="preserve">Percentiles 0% to 5% </w:t>
            </w:r>
          </w:p>
        </w:tc>
        <w:tc>
          <w:tcPr>
            <w:tcW w:w="1728" w:type="dxa"/>
            <w:tcBorders>
              <w:top w:val="nil"/>
            </w:tcBorders>
          </w:tcPr>
          <w:p w:rsidR="00C93E7A" w:rsidRPr="00A24801" w:rsidRDefault="00C93E7A" w:rsidP="00FA3C3C">
            <w:pPr>
              <w:tabs>
                <w:tab w:val="decimal" w:pos="648"/>
              </w:tabs>
              <w:spacing w:before="120" w:after="120"/>
              <w:rPr>
                <w:rFonts w:cs="Times New Roman"/>
              </w:rPr>
            </w:pPr>
          </w:p>
        </w:tc>
        <w:tc>
          <w:tcPr>
            <w:tcW w:w="1728" w:type="dxa"/>
            <w:tcBorders>
              <w:top w:val="nil"/>
            </w:tcBorders>
          </w:tcPr>
          <w:p w:rsidR="00C93E7A" w:rsidRDefault="00C93E7A" w:rsidP="00FA3C3C">
            <w:pPr>
              <w:tabs>
                <w:tab w:val="decimal" w:pos="648"/>
              </w:tabs>
              <w:spacing w:before="120" w:after="120"/>
              <w:rPr>
                <w:rFonts w:cs="Times New Roman"/>
              </w:rPr>
            </w:pPr>
          </w:p>
        </w:tc>
        <w:tc>
          <w:tcPr>
            <w:tcW w:w="1728" w:type="dxa"/>
            <w:tcBorders>
              <w:top w:val="nil"/>
            </w:tcBorders>
          </w:tcPr>
          <w:p w:rsidR="00C93E7A" w:rsidRDefault="00C93E7A" w:rsidP="00FA3C3C">
            <w:pPr>
              <w:tabs>
                <w:tab w:val="decimal" w:pos="648"/>
              </w:tabs>
              <w:spacing w:before="120" w:after="120"/>
              <w:jc w:val="left"/>
              <w:rPr>
                <w:rFonts w:cs="Times New Roman"/>
              </w:rPr>
            </w:pPr>
            <w:r>
              <w:rPr>
                <w:rFonts w:cs="Times New Roman"/>
              </w:rPr>
              <w:t>-2.85</w:t>
            </w:r>
            <w:r w:rsidRPr="005F5E21">
              <w:rPr>
                <w:rFonts w:cs="Times New Roman"/>
              </w:rPr>
              <w:t>%</w:t>
            </w:r>
            <w:r>
              <w:rPr>
                <w:rFonts w:cs="Times New Roman"/>
                <w:vertAlign w:val="superscript"/>
              </w:rPr>
              <w:t>**</w:t>
            </w:r>
            <w:r w:rsidRPr="005F5E21">
              <w:rPr>
                <w:rFonts w:cs="Times New Roman"/>
              </w:rPr>
              <w:t xml:space="preserve">          (</w:t>
            </w:r>
            <w:r>
              <w:rPr>
                <w:rFonts w:cs="Times New Roman"/>
              </w:rPr>
              <w:t>0.99</w:t>
            </w:r>
            <w:r w:rsidRPr="005F5E21">
              <w:rPr>
                <w:rFonts w:cs="Times New Roman"/>
              </w:rPr>
              <w:t>%)</w:t>
            </w:r>
          </w:p>
        </w:tc>
      </w:tr>
      <w:tr w:rsidR="00C93E7A" w:rsidRPr="005F5E21" w:rsidTr="00FA3C3C">
        <w:trPr>
          <w:jc w:val="center"/>
        </w:trPr>
        <w:tc>
          <w:tcPr>
            <w:tcW w:w="2304" w:type="dxa"/>
            <w:tcBorders>
              <w:top w:val="nil"/>
            </w:tcBorders>
          </w:tcPr>
          <w:p w:rsidR="00C93E7A" w:rsidRPr="00F12489" w:rsidRDefault="00C93E7A" w:rsidP="00FA3C3C">
            <w:pPr>
              <w:spacing w:before="120" w:after="120"/>
              <w:jc w:val="left"/>
              <w:rPr>
                <w:rFonts w:cs="Times New Roman"/>
                <w:color w:val="000000" w:themeColor="text1"/>
                <w:vertAlign w:val="superscript"/>
              </w:rPr>
            </w:pPr>
            <w:r>
              <w:rPr>
                <w:rFonts w:cs="Times New Roman"/>
                <w:color w:val="000000" w:themeColor="text1"/>
              </w:rPr>
              <w:t>R</w:t>
            </w:r>
            <w:r>
              <w:rPr>
                <w:rFonts w:cs="Times New Roman"/>
                <w:color w:val="000000" w:themeColor="text1"/>
                <w:vertAlign w:val="superscript"/>
              </w:rPr>
              <w:t>2</w:t>
            </w:r>
          </w:p>
        </w:tc>
        <w:tc>
          <w:tcPr>
            <w:tcW w:w="1728" w:type="dxa"/>
            <w:tcBorders>
              <w:top w:val="nil"/>
            </w:tcBorders>
          </w:tcPr>
          <w:p w:rsidR="00C93E7A" w:rsidRPr="005F5E21" w:rsidRDefault="00C93E7A" w:rsidP="00FA3C3C">
            <w:pPr>
              <w:spacing w:before="120" w:after="120"/>
              <w:rPr>
                <w:rFonts w:cs="Times New Roman"/>
              </w:rPr>
            </w:pPr>
            <w:r w:rsidRPr="005F5E21">
              <w:rPr>
                <w:rFonts w:cs="Times New Roman"/>
              </w:rPr>
              <w:t>0.</w:t>
            </w:r>
            <w:r>
              <w:rPr>
                <w:rFonts w:cs="Times New Roman"/>
              </w:rPr>
              <w:t>0597</w:t>
            </w:r>
          </w:p>
        </w:tc>
        <w:tc>
          <w:tcPr>
            <w:tcW w:w="1728" w:type="dxa"/>
            <w:tcBorders>
              <w:top w:val="nil"/>
            </w:tcBorders>
          </w:tcPr>
          <w:p w:rsidR="00C93E7A" w:rsidRPr="005F5E21" w:rsidRDefault="00C93E7A" w:rsidP="00FA3C3C">
            <w:pPr>
              <w:spacing w:before="120" w:after="120"/>
              <w:rPr>
                <w:rFonts w:cs="Times New Roman"/>
              </w:rPr>
            </w:pPr>
            <w:r w:rsidRPr="005F5E21">
              <w:rPr>
                <w:rFonts w:cs="Times New Roman"/>
              </w:rPr>
              <w:t>0.</w:t>
            </w:r>
            <w:r>
              <w:rPr>
                <w:rFonts w:cs="Times New Roman"/>
              </w:rPr>
              <w:t>0594</w:t>
            </w:r>
          </w:p>
        </w:tc>
        <w:tc>
          <w:tcPr>
            <w:tcW w:w="1728" w:type="dxa"/>
            <w:tcBorders>
              <w:top w:val="nil"/>
            </w:tcBorders>
          </w:tcPr>
          <w:p w:rsidR="00C93E7A" w:rsidRPr="005F5E21" w:rsidRDefault="00C93E7A" w:rsidP="00FA3C3C">
            <w:pPr>
              <w:spacing w:before="120" w:after="120"/>
              <w:rPr>
                <w:rFonts w:cs="Times New Roman"/>
              </w:rPr>
            </w:pPr>
            <w:r w:rsidRPr="005F5E21">
              <w:rPr>
                <w:rFonts w:cs="Times New Roman"/>
              </w:rPr>
              <w:t>0.</w:t>
            </w:r>
            <w:r>
              <w:rPr>
                <w:rFonts w:cs="Times New Roman"/>
              </w:rPr>
              <w:t>0597</w:t>
            </w:r>
          </w:p>
        </w:tc>
      </w:tr>
    </w:tbl>
    <w:p w:rsidR="00C93E7A" w:rsidRDefault="00C93E7A" w:rsidP="00C93E7A">
      <w:pPr>
        <w:spacing w:before="60" w:line="240" w:lineRule="auto"/>
        <w:ind w:left="720" w:right="746"/>
        <w:rPr>
          <w:rFonts w:cs="Times New Roman"/>
          <w:sz w:val="20"/>
          <w:szCs w:val="20"/>
        </w:rPr>
      </w:pPr>
      <w:r>
        <w:rPr>
          <w:rFonts w:cs="Times New Roman"/>
          <w:sz w:val="20"/>
          <w:szCs w:val="20"/>
        </w:rPr>
        <w:t>T</w:t>
      </w:r>
      <w:r w:rsidRPr="00B966DB">
        <w:rPr>
          <w:rFonts w:cs="Times New Roman"/>
          <w:sz w:val="20"/>
          <w:szCs w:val="20"/>
        </w:rPr>
        <w:t>he table reports the coefficie</w:t>
      </w:r>
      <w:r>
        <w:rPr>
          <w:rFonts w:cs="Times New Roman"/>
          <w:sz w:val="20"/>
          <w:szCs w:val="20"/>
        </w:rPr>
        <w:t xml:space="preserve">nts of interest from estimating Equations 4, 5 and </w:t>
      </w:r>
      <w:r w:rsidR="00342333">
        <w:rPr>
          <w:rFonts w:cs="Times New Roman"/>
          <w:sz w:val="20"/>
          <w:szCs w:val="20"/>
        </w:rPr>
        <w:t>A2</w:t>
      </w:r>
      <w:r>
        <w:rPr>
          <w:rFonts w:cs="Times New Roman"/>
          <w:sz w:val="20"/>
          <w:szCs w:val="20"/>
        </w:rPr>
        <w:t xml:space="preserve">. The dependent variable in both models is </w:t>
      </w:r>
      <w:r w:rsidRPr="00B17A84">
        <w:rPr>
          <w:rFonts w:cs="Times New Roman"/>
          <w:i/>
          <w:sz w:val="20"/>
          <w:szCs w:val="20"/>
        </w:rPr>
        <w:t xml:space="preserve">% </w:t>
      </w:r>
      <w:r>
        <w:rPr>
          <w:rFonts w:cs="Times New Roman"/>
          <w:i/>
          <w:sz w:val="20"/>
          <w:szCs w:val="20"/>
        </w:rPr>
        <w:t>Win</w:t>
      </w:r>
      <w:r w:rsidRPr="00B966DB">
        <w:rPr>
          <w:rFonts w:cs="Times New Roman"/>
          <w:sz w:val="20"/>
          <w:szCs w:val="20"/>
        </w:rPr>
        <w:t xml:space="preserve">. </w:t>
      </w:r>
      <w:r>
        <w:rPr>
          <w:rFonts w:cs="Times New Roman"/>
          <w:sz w:val="20"/>
          <w:szCs w:val="20"/>
        </w:rPr>
        <w:t>Fixed effects at the 3-digit zip code together with coefficients for the control variables are estimated but omitted from the table. T</w:t>
      </w:r>
      <w:r w:rsidRPr="00B966DB">
        <w:rPr>
          <w:rFonts w:cs="Times New Roman"/>
          <w:sz w:val="20"/>
          <w:szCs w:val="20"/>
        </w:rPr>
        <w:t>he unit of analysis</w:t>
      </w:r>
      <w:r>
        <w:rPr>
          <w:rFonts w:cs="Times New Roman"/>
          <w:sz w:val="20"/>
          <w:szCs w:val="20"/>
        </w:rPr>
        <w:t xml:space="preserve"> is</w:t>
      </w:r>
      <w:r w:rsidRPr="00B966DB">
        <w:rPr>
          <w:rFonts w:cs="Times New Roman"/>
          <w:sz w:val="20"/>
          <w:szCs w:val="20"/>
        </w:rPr>
        <w:t xml:space="preserve"> a </w:t>
      </w:r>
      <w:r>
        <w:rPr>
          <w:rFonts w:cs="Times New Roman"/>
          <w:sz w:val="20"/>
          <w:szCs w:val="20"/>
        </w:rPr>
        <w:t xml:space="preserve">zip code x election cycle </w:t>
      </w:r>
      <w:r w:rsidRPr="00B966DB">
        <w:rPr>
          <w:rFonts w:cs="Times New Roman"/>
          <w:sz w:val="20"/>
          <w:szCs w:val="20"/>
        </w:rPr>
        <w:t xml:space="preserve">and the sample size in </w:t>
      </w:r>
      <w:r>
        <w:rPr>
          <w:rFonts w:cs="Times New Roman"/>
          <w:sz w:val="20"/>
          <w:szCs w:val="20"/>
        </w:rPr>
        <w:t>both</w:t>
      </w:r>
      <w:r w:rsidRPr="00B966DB">
        <w:rPr>
          <w:rFonts w:cs="Times New Roman"/>
          <w:sz w:val="20"/>
          <w:szCs w:val="20"/>
        </w:rPr>
        <w:t xml:space="preserve"> models is</w:t>
      </w:r>
      <w:r>
        <w:rPr>
          <w:rFonts w:cs="Times New Roman"/>
          <w:sz w:val="20"/>
          <w:szCs w:val="20"/>
        </w:rPr>
        <w:t xml:space="preserve"> 24,885</w:t>
      </w:r>
      <w:r w:rsidRPr="00B966DB">
        <w:rPr>
          <w:rFonts w:cs="Times New Roman"/>
          <w:sz w:val="20"/>
          <w:szCs w:val="20"/>
        </w:rPr>
        <w:t>. Standard errors are in parentheses.</w:t>
      </w:r>
    </w:p>
    <w:p w:rsidR="00C93E7A" w:rsidRDefault="00C93E7A" w:rsidP="0034059E"/>
    <w:p w:rsidR="0034059E" w:rsidRPr="00FA4679" w:rsidRDefault="0034059E" w:rsidP="0034059E">
      <w:r>
        <w:t xml:space="preserve">It is notable that we see a significant coefficient in Equation 4, but the coefficients are not significant in Equation 5.  Further investigation reveals that the overall effect (Equation 4) is driven by the 5% of zip codes with </w:t>
      </w:r>
      <w:r w:rsidRPr="00FA4679">
        <w:t>the lowest average success rates. To illustrate this</w:t>
      </w:r>
      <w:r>
        <w:t>,</w:t>
      </w:r>
      <w:r w:rsidRPr="00FA4679">
        <w:t xml:space="preserve"> we rank the zip codes using the </w:t>
      </w:r>
      <w:r w:rsidRPr="00FA4679">
        <w:rPr>
          <w:i/>
        </w:rPr>
        <w:t>Average Success Rate</w:t>
      </w:r>
      <w:r w:rsidRPr="00FA4679">
        <w:t xml:space="preserve"> and construct indicator variables identifying the zip codes with lowest </w:t>
      </w:r>
      <w:r w:rsidRPr="00FA4679">
        <w:rPr>
          <w:i/>
        </w:rPr>
        <w:t>Average Success Rate</w:t>
      </w:r>
      <w:r w:rsidRPr="00FA4679">
        <w:t>:</w:t>
      </w:r>
    </w:p>
    <w:p w:rsidR="0034059E" w:rsidRPr="00176B2B" w:rsidRDefault="0034059E" w:rsidP="0034059E">
      <w:pPr>
        <w:pStyle w:val="ListParagraph"/>
        <w:numPr>
          <w:ilvl w:val="0"/>
          <w:numId w:val="6"/>
        </w:numPr>
      </w:pPr>
      <w:r w:rsidRPr="00176B2B">
        <w:lastRenderedPageBreak/>
        <w:t xml:space="preserve">Percentiles 0 to 5 (the 5% of zip codes with the lowest </w:t>
      </w:r>
      <w:r w:rsidRPr="00176B2B">
        <w:rPr>
          <w:i/>
        </w:rPr>
        <w:t>Average Success Rate</w:t>
      </w:r>
      <w:r w:rsidRPr="00176B2B">
        <w:t>)</w:t>
      </w:r>
    </w:p>
    <w:p w:rsidR="0034059E" w:rsidRPr="00176B2B" w:rsidRDefault="0034059E" w:rsidP="0034059E">
      <w:pPr>
        <w:pStyle w:val="ListParagraph"/>
        <w:numPr>
          <w:ilvl w:val="0"/>
          <w:numId w:val="6"/>
        </w:numPr>
      </w:pPr>
      <w:r w:rsidRPr="00176B2B">
        <w:t>Percentiles 5 to 10</w:t>
      </w:r>
    </w:p>
    <w:p w:rsidR="0034059E" w:rsidRDefault="0034059E" w:rsidP="0034059E">
      <w:r w:rsidRPr="00FA4679">
        <w:t xml:space="preserve">We then re-estimate a modified version of Equation 5 to compare the </w:t>
      </w:r>
      <w:r w:rsidRPr="00FA4679">
        <w:rPr>
          <w:rFonts w:eastAsia="SimSun" w:cs="Times New Roman"/>
          <w:i/>
        </w:rPr>
        <w:t>% of Winning Candidates</w:t>
      </w:r>
      <w:r w:rsidRPr="00FA4679">
        <w:t xml:space="preserve"> in these two groups of zip codes with the remai</w:t>
      </w:r>
      <w:r>
        <w:t>ning 90% of zip codes.</w:t>
      </w:r>
    </w:p>
    <w:p w:rsidR="0034059E" w:rsidRPr="00E71E31" w:rsidRDefault="0034059E" w:rsidP="0034059E">
      <w:pPr>
        <w:spacing w:before="240" w:after="200" w:line="432" w:lineRule="auto"/>
        <w:ind w:firstLine="720"/>
        <w:rPr>
          <w:rFonts w:eastAsia="SimSun" w:cs="Times New Roman"/>
        </w:rPr>
      </w:pPr>
      <w:r>
        <w:rPr>
          <w:rFonts w:eastAsia="SimSun" w:cs="Times New Roman"/>
          <w:i/>
        </w:rPr>
        <w:t>% Win</w:t>
      </w:r>
      <w:r w:rsidRPr="00E71E31">
        <w:rPr>
          <w:rFonts w:eastAsia="SimSun" w:cs="Times New Roman"/>
          <w:i/>
          <w:vertAlign w:val="subscript"/>
        </w:rPr>
        <w:t>z</w:t>
      </w:r>
      <w:r w:rsidRPr="00E71E31">
        <w:rPr>
          <w:rFonts w:eastAsia="SimSun" w:cs="Times New Roman"/>
        </w:rPr>
        <w:t xml:space="preserve"> = α + β</w:t>
      </w:r>
      <w:r w:rsidRPr="00E71E31">
        <w:rPr>
          <w:rFonts w:eastAsia="SimSun" w:cs="Times New Roman"/>
          <w:vertAlign w:val="subscript"/>
        </w:rPr>
        <w:t>1</w:t>
      </w:r>
      <w:r w:rsidRPr="00E71E31">
        <w:rPr>
          <w:rFonts w:eastAsia="SimSun" w:cs="Times New Roman"/>
        </w:rPr>
        <w:t xml:space="preserve"> </w:t>
      </w:r>
      <w:r>
        <w:rPr>
          <w:rFonts w:eastAsia="SimSun" w:cs="Times New Roman"/>
          <w:i/>
        </w:rPr>
        <w:t>Percentiles 5 to 10</w:t>
      </w:r>
      <w:r w:rsidRPr="00E71E31">
        <w:rPr>
          <w:rFonts w:eastAsia="SimSun" w:cs="Times New Roman"/>
          <w:i/>
          <w:vertAlign w:val="subscript"/>
        </w:rPr>
        <w:t>z</w:t>
      </w:r>
      <w:r w:rsidRPr="00E71E31">
        <w:rPr>
          <w:rFonts w:eastAsia="SimSun" w:cs="Times New Roman"/>
        </w:rPr>
        <w:t xml:space="preserve"> + β</w:t>
      </w:r>
      <w:r>
        <w:rPr>
          <w:rFonts w:eastAsia="SimSun" w:cs="Times New Roman"/>
          <w:vertAlign w:val="subscript"/>
        </w:rPr>
        <w:t>2</w:t>
      </w:r>
      <w:r w:rsidRPr="00E71E31">
        <w:rPr>
          <w:rFonts w:eastAsia="SimSun" w:cs="Times New Roman"/>
        </w:rPr>
        <w:t xml:space="preserve"> </w:t>
      </w:r>
      <w:r>
        <w:rPr>
          <w:rFonts w:eastAsia="SimSun" w:cs="Times New Roman"/>
          <w:i/>
        </w:rPr>
        <w:t>Percentiles 0 to 5</w:t>
      </w:r>
      <w:r w:rsidRPr="00E71E31">
        <w:rPr>
          <w:rFonts w:eastAsia="SimSun" w:cs="Times New Roman"/>
          <w:i/>
          <w:vertAlign w:val="subscript"/>
        </w:rPr>
        <w:t>z</w:t>
      </w:r>
      <w:r w:rsidRPr="00E71E31">
        <w:rPr>
          <w:rFonts w:eastAsia="SimSun" w:cs="Times New Roman"/>
        </w:rPr>
        <w:t xml:space="preserve"> +</w:t>
      </w:r>
      <w:r>
        <w:rPr>
          <w:rFonts w:eastAsia="SimSun" w:cs="Times New Roman"/>
        </w:rPr>
        <w:t xml:space="preserve"> </w:t>
      </w:r>
      <w:r w:rsidRPr="00A57D6A">
        <w:rPr>
          <w:rFonts w:eastAsia="SimSun" w:cs="Times New Roman"/>
          <w:b/>
        </w:rPr>
        <w:t>β 3-Digit</w:t>
      </w:r>
      <w:r>
        <w:rPr>
          <w:rFonts w:eastAsia="SimSun" w:cs="Times New Roman"/>
        </w:rPr>
        <w:t xml:space="preserve"> + </w:t>
      </w:r>
      <w:r w:rsidRPr="00A57D6A">
        <w:rPr>
          <w:rFonts w:eastAsia="SimSun" w:cs="Times New Roman"/>
          <w:b/>
        </w:rPr>
        <w:t>β</w:t>
      </w:r>
      <w:r>
        <w:rPr>
          <w:rFonts w:eastAsia="SimSun" w:cs="Times New Roman"/>
          <w:b/>
        </w:rPr>
        <w:t>X</w:t>
      </w:r>
      <w:r>
        <w:rPr>
          <w:rFonts w:eastAsia="SimSun" w:cs="Times New Roman"/>
          <w:vertAlign w:val="subscript"/>
        </w:rPr>
        <w:t>z</w:t>
      </w:r>
      <w:r>
        <w:rPr>
          <w:rFonts w:eastAsia="SimSun" w:cs="Times New Roman"/>
        </w:rPr>
        <w:t xml:space="preserve"> +</w:t>
      </w:r>
      <w:r w:rsidRPr="00E71E31">
        <w:rPr>
          <w:rFonts w:eastAsia="SimSun" w:cs="Times New Roman"/>
        </w:rPr>
        <w:t xml:space="preserve"> ε</w:t>
      </w:r>
      <w:r>
        <w:rPr>
          <w:rFonts w:eastAsia="SimSun" w:cs="Times New Roman"/>
          <w:i/>
          <w:vertAlign w:val="subscript"/>
        </w:rPr>
        <w:t xml:space="preserve"> </w:t>
      </w:r>
      <w:r>
        <w:rPr>
          <w:rFonts w:eastAsia="SimSun" w:cs="Times New Roman"/>
        </w:rPr>
        <w:t xml:space="preserve">   </w:t>
      </w:r>
      <w:r>
        <w:rPr>
          <w:rFonts w:eastAsia="SimSun" w:cs="Times New Roman"/>
        </w:rPr>
        <w:tab/>
      </w:r>
      <w:r>
        <w:rPr>
          <w:rFonts w:eastAsia="SimSun" w:cs="Times New Roman"/>
        </w:rPr>
        <w:tab/>
        <w:t>(</w:t>
      </w:r>
      <w:r w:rsidR="00342333">
        <w:rPr>
          <w:rFonts w:eastAsia="SimSun" w:cs="Times New Roman"/>
        </w:rPr>
        <w:t>A2</w:t>
      </w:r>
      <w:r w:rsidRPr="00E71E31">
        <w:rPr>
          <w:rFonts w:eastAsia="SimSun" w:cs="Times New Roman"/>
        </w:rPr>
        <w:t>)</w:t>
      </w:r>
    </w:p>
    <w:p w:rsidR="0034059E" w:rsidRDefault="0034059E" w:rsidP="0034059E">
      <w:r>
        <w:t>Under this specif</w:t>
      </w:r>
      <w:r w:rsidRPr="00A66F7D">
        <w:t xml:space="preserve">ication the outcome in Percentiles 10 to 100 serve as the baseline. The coefficients estimated for the </w:t>
      </w:r>
      <w:r w:rsidRPr="00A66F7D">
        <w:rPr>
          <w:i/>
        </w:rPr>
        <w:t xml:space="preserve">Percentiles 0 to 5 </w:t>
      </w:r>
      <w:r w:rsidRPr="00A66F7D">
        <w:t xml:space="preserve">and </w:t>
      </w:r>
      <w:r w:rsidRPr="00A66F7D">
        <w:rPr>
          <w:i/>
        </w:rPr>
        <w:t>Percentiles 5 to 10</w:t>
      </w:r>
      <w:r w:rsidRPr="00A66F7D">
        <w:t xml:space="preserve"> indicator variables compare the change in the </w:t>
      </w:r>
      <w:r w:rsidRPr="00A66F7D">
        <w:rPr>
          <w:rFonts w:cs="Times New Roman"/>
          <w:i/>
        </w:rPr>
        <w:t xml:space="preserve">% </w:t>
      </w:r>
      <w:r>
        <w:rPr>
          <w:rFonts w:cs="Times New Roman"/>
          <w:i/>
        </w:rPr>
        <w:t>Win</w:t>
      </w:r>
      <w:r w:rsidRPr="00A66F7D">
        <w:t xml:space="preserve"> for zip codes with the lowest </w:t>
      </w:r>
      <w:r w:rsidRPr="00A66F7D">
        <w:rPr>
          <w:i/>
        </w:rPr>
        <w:t>Average Success Rate</w:t>
      </w:r>
      <w:r w:rsidRPr="00A66F7D">
        <w:t xml:space="preserve"> compared to zip codes with a higher </w:t>
      </w:r>
      <w:r w:rsidRPr="00A66F7D">
        <w:rPr>
          <w:i/>
        </w:rPr>
        <w:t>Average Success Rate</w:t>
      </w:r>
      <w:r w:rsidRPr="00A66F7D">
        <w:t xml:space="preserve">.  </w:t>
      </w:r>
      <w:r>
        <w:t>T</w:t>
      </w:r>
      <w:r w:rsidRPr="00A66F7D">
        <w:t xml:space="preserve">he model again includes fixed effects identifying each 3-digit zip code, together with the full </w:t>
      </w:r>
      <w:r>
        <w:t xml:space="preserve">set of control variables. The findings from this model are also reported in the table below. They reveal a sharp decrease in the probability that donations are made to the winning candidates in the zip codes with the lowest 5% of </w:t>
      </w:r>
      <w:r w:rsidRPr="00176B2B">
        <w:rPr>
          <w:i/>
        </w:rPr>
        <w:t>Average Success Rates</w:t>
      </w:r>
      <w:r>
        <w:t xml:space="preserve"> (in new product purchases at MassStore).</w:t>
      </w:r>
    </w:p>
    <w:p w:rsidR="00B86050" w:rsidRDefault="00B86050" w:rsidP="00B86050"/>
    <w:sectPr w:rsidR="00B86050" w:rsidSect="0030217B">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C3E" w:rsidRDefault="00C66C3E" w:rsidP="0030217B">
      <w:pPr>
        <w:spacing w:before="0" w:line="240" w:lineRule="auto"/>
      </w:pPr>
      <w:r>
        <w:separator/>
      </w:r>
    </w:p>
  </w:endnote>
  <w:endnote w:type="continuationSeparator" w:id="0">
    <w:p w:rsidR="00C66C3E" w:rsidRDefault="00C66C3E" w:rsidP="0030217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3C" w:rsidRDefault="00FA3C3C">
    <w:pPr>
      <w:pStyle w:val="Footer"/>
      <w:jc w:val="center"/>
    </w:pPr>
  </w:p>
  <w:p w:rsidR="00FA3C3C" w:rsidRDefault="00FA3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3C" w:rsidRDefault="00FA3C3C">
    <w:pPr>
      <w:pStyle w:val="Footer"/>
      <w:jc w:val="right"/>
    </w:pPr>
  </w:p>
  <w:p w:rsidR="00FA3C3C" w:rsidRDefault="00FA3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924429"/>
      <w:docPartObj>
        <w:docPartGallery w:val="Page Numbers (Bottom of Page)"/>
        <w:docPartUnique/>
      </w:docPartObj>
    </w:sdtPr>
    <w:sdtEndPr>
      <w:rPr>
        <w:rFonts w:asciiTheme="minorHAnsi" w:hAnsiTheme="minorHAnsi"/>
        <w:color w:val="7F7F7F" w:themeColor="background1" w:themeShade="7F"/>
        <w:spacing w:val="60"/>
        <w:sz w:val="20"/>
        <w:szCs w:val="20"/>
      </w:rPr>
    </w:sdtEndPr>
    <w:sdtContent>
      <w:p w:rsidR="00FA3C3C" w:rsidRPr="0030217B" w:rsidRDefault="00FA3C3C">
        <w:pPr>
          <w:pStyle w:val="Footer"/>
          <w:pBdr>
            <w:top w:val="single" w:sz="4" w:space="1" w:color="D9D9D9" w:themeColor="background1" w:themeShade="D9"/>
          </w:pBdr>
          <w:jc w:val="right"/>
          <w:rPr>
            <w:rFonts w:asciiTheme="minorHAnsi" w:hAnsiTheme="minorHAnsi"/>
            <w:sz w:val="20"/>
            <w:szCs w:val="20"/>
          </w:rPr>
        </w:pPr>
        <w:r w:rsidRPr="0030217B">
          <w:rPr>
            <w:rFonts w:asciiTheme="minorHAnsi" w:hAnsiTheme="minorHAnsi"/>
            <w:sz w:val="20"/>
            <w:szCs w:val="20"/>
          </w:rPr>
          <w:fldChar w:fldCharType="begin"/>
        </w:r>
        <w:r w:rsidRPr="0030217B">
          <w:rPr>
            <w:rFonts w:asciiTheme="minorHAnsi" w:hAnsiTheme="minorHAnsi"/>
            <w:sz w:val="20"/>
            <w:szCs w:val="20"/>
          </w:rPr>
          <w:instrText xml:space="preserve"> PAGE   \* MERGEFORMAT </w:instrText>
        </w:r>
        <w:r w:rsidRPr="0030217B">
          <w:rPr>
            <w:rFonts w:asciiTheme="minorHAnsi" w:hAnsiTheme="minorHAnsi"/>
            <w:sz w:val="20"/>
            <w:szCs w:val="20"/>
          </w:rPr>
          <w:fldChar w:fldCharType="separate"/>
        </w:r>
        <w:r w:rsidR="007E7EE7">
          <w:rPr>
            <w:rFonts w:asciiTheme="minorHAnsi" w:hAnsiTheme="minorHAnsi"/>
            <w:noProof/>
            <w:sz w:val="20"/>
            <w:szCs w:val="20"/>
          </w:rPr>
          <w:t>1</w:t>
        </w:r>
        <w:r w:rsidRPr="0030217B">
          <w:rPr>
            <w:rFonts w:asciiTheme="minorHAnsi" w:hAnsiTheme="minorHAnsi"/>
            <w:noProof/>
            <w:sz w:val="20"/>
            <w:szCs w:val="20"/>
          </w:rPr>
          <w:fldChar w:fldCharType="end"/>
        </w:r>
        <w:r w:rsidRPr="0030217B">
          <w:rPr>
            <w:rFonts w:asciiTheme="minorHAnsi" w:hAnsiTheme="minorHAnsi"/>
            <w:sz w:val="20"/>
            <w:szCs w:val="20"/>
          </w:rPr>
          <w:t xml:space="preserve"> | </w:t>
        </w:r>
        <w:r w:rsidRPr="0030217B">
          <w:rPr>
            <w:rFonts w:asciiTheme="minorHAnsi" w:hAnsiTheme="minorHAnsi"/>
            <w:color w:val="7F7F7F" w:themeColor="background1" w:themeShade="7F"/>
            <w:spacing w:val="60"/>
            <w:sz w:val="20"/>
            <w:szCs w:val="20"/>
          </w:rPr>
          <w:t>Page</w:t>
        </w:r>
      </w:p>
    </w:sdtContent>
  </w:sdt>
  <w:p w:rsidR="00FA3C3C" w:rsidRDefault="00FA3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C3E" w:rsidRDefault="00C66C3E" w:rsidP="0030217B">
      <w:pPr>
        <w:spacing w:before="0" w:line="240" w:lineRule="auto"/>
      </w:pPr>
      <w:r>
        <w:separator/>
      </w:r>
    </w:p>
  </w:footnote>
  <w:footnote w:type="continuationSeparator" w:id="0">
    <w:p w:rsidR="00C66C3E" w:rsidRDefault="00C66C3E" w:rsidP="0030217B">
      <w:pPr>
        <w:spacing w:before="0" w:line="240" w:lineRule="auto"/>
      </w:pPr>
      <w:r>
        <w:continuationSeparator/>
      </w:r>
    </w:p>
  </w:footnote>
  <w:footnote w:id="1">
    <w:p w:rsidR="00FA3C3C" w:rsidRPr="0015171A" w:rsidRDefault="00FA3C3C" w:rsidP="0015171A">
      <w:pPr>
        <w:pStyle w:val="FootnoteText"/>
        <w:rPr>
          <w:rFonts w:asciiTheme="minorHAnsi" w:hAnsiTheme="minorHAnsi" w:cs="Times New Roman"/>
        </w:rPr>
      </w:pPr>
      <w:r w:rsidRPr="0015171A">
        <w:rPr>
          <w:rStyle w:val="FootnoteReference"/>
          <w:rFonts w:asciiTheme="minorHAnsi" w:hAnsiTheme="minorHAnsi" w:cs="Times New Roman"/>
        </w:rPr>
        <w:footnoteRef/>
      </w:r>
      <w:r w:rsidRPr="0015171A">
        <w:rPr>
          <w:rFonts w:asciiTheme="minorHAnsi" w:hAnsiTheme="minorHAnsi" w:cs="Times New Roman"/>
        </w:rPr>
        <w:t xml:space="preserve"> We also investigated controlling for the number or depth of discounts (coupons) offered in the first 90 days. However, our data does not allow coupons to be matched to specific products.</w:t>
      </w:r>
    </w:p>
  </w:footnote>
  <w:footnote w:id="2">
    <w:p w:rsidR="00FA3C3C" w:rsidRPr="003947F3" w:rsidRDefault="00FA3C3C" w:rsidP="003947F3">
      <w:pPr>
        <w:pStyle w:val="FootnoteText"/>
        <w:rPr>
          <w:rFonts w:asciiTheme="minorHAnsi" w:hAnsiTheme="minorHAnsi" w:cs="Times New Roman"/>
        </w:rPr>
      </w:pPr>
      <w:r w:rsidRPr="003947F3">
        <w:rPr>
          <w:rStyle w:val="FootnoteReference"/>
          <w:rFonts w:asciiTheme="minorHAnsi" w:hAnsiTheme="minorHAnsi" w:cs="Times New Roman"/>
        </w:rPr>
        <w:footnoteRef/>
      </w:r>
      <w:r w:rsidRPr="003947F3">
        <w:rPr>
          <w:rFonts w:asciiTheme="minorHAnsi" w:hAnsiTheme="minorHAnsi" w:cs="Times New Roman"/>
        </w:rPr>
        <w:t xml:space="preserve"> Chen, McShane and Anderson (2018) propose an approach for endogenously dividing the </w:t>
      </w:r>
      <w:r w:rsidRPr="003947F3">
        <w:rPr>
          <w:rFonts w:asciiTheme="minorHAnsi" w:hAnsiTheme="minorHAnsi" w:cs="Times New Roman"/>
          <w:i/>
        </w:rPr>
        <w:t>Average Success Rate</w:t>
      </w:r>
      <w:r w:rsidRPr="003947F3">
        <w:rPr>
          <w:rFonts w:asciiTheme="minorHAnsi" w:hAnsiTheme="minorHAnsi" w:cs="Times New Roman"/>
        </w:rPr>
        <w:t xml:space="preserve"> measure into groups. Somewhat surprisingly, they find that a more sophisticated approach yields only a small performance improvement (measured in the percentage of variance explained).</w:t>
      </w:r>
    </w:p>
  </w:footnote>
  <w:footnote w:id="3">
    <w:p w:rsidR="00FA3C3C" w:rsidRPr="007B5C92" w:rsidRDefault="00FA3C3C" w:rsidP="00BC4A7D">
      <w:pPr>
        <w:pStyle w:val="FootnoteText"/>
        <w:rPr>
          <w:rFonts w:asciiTheme="minorHAnsi" w:hAnsiTheme="minorHAnsi"/>
        </w:rPr>
      </w:pPr>
      <w:r w:rsidRPr="007B5C92">
        <w:rPr>
          <w:rStyle w:val="FootnoteReference"/>
          <w:rFonts w:asciiTheme="minorHAnsi" w:hAnsiTheme="minorHAnsi"/>
        </w:rPr>
        <w:footnoteRef/>
      </w:r>
      <w:r w:rsidRPr="007B5C92">
        <w:rPr>
          <w:rFonts w:asciiTheme="minorHAnsi" w:hAnsiTheme="minorHAnsi"/>
        </w:rPr>
        <w:t xml:space="preserve"> The digital advertising platforms may have varied content by geography, but the inclusion of 3-digit zip code fixed effects are likely to have controlled for most of this effect.  </w:t>
      </w:r>
    </w:p>
  </w:footnote>
  <w:footnote w:id="4">
    <w:p w:rsidR="00FA3C3C" w:rsidRPr="00A57D6A" w:rsidRDefault="00FA3C3C" w:rsidP="00426DB1">
      <w:pPr>
        <w:pStyle w:val="FootnoteText"/>
        <w:rPr>
          <w:rFonts w:asciiTheme="minorHAnsi" w:hAnsiTheme="minorHAnsi"/>
        </w:rPr>
      </w:pPr>
      <w:r w:rsidRPr="00A57D6A">
        <w:rPr>
          <w:rStyle w:val="FootnoteReference"/>
          <w:rFonts w:asciiTheme="minorHAnsi" w:hAnsiTheme="minorHAnsi"/>
        </w:rPr>
        <w:footnoteRef/>
      </w:r>
      <w:r w:rsidRPr="00A57D6A">
        <w:rPr>
          <w:rFonts w:asciiTheme="minorHAnsi" w:hAnsiTheme="minorHAnsi"/>
        </w:rPr>
        <w:t xml:space="preserve"> </w:t>
      </w:r>
      <w:r>
        <w:rPr>
          <w:rFonts w:asciiTheme="minorHAnsi" w:hAnsiTheme="minorHAnsi" w:cs="Times New Roman"/>
        </w:rPr>
        <w:t>T</w:t>
      </w:r>
      <w:r w:rsidRPr="00A57D6A">
        <w:rPr>
          <w:rFonts w:asciiTheme="minorHAnsi" w:hAnsiTheme="minorHAnsi" w:cs="Times New Roman"/>
        </w:rPr>
        <w:t>he inclusion of the fixed effects</w:t>
      </w:r>
      <w:r>
        <w:rPr>
          <w:rFonts w:asciiTheme="minorHAnsi" w:hAnsiTheme="minorHAnsi" w:cs="Times New Roman"/>
        </w:rPr>
        <w:t xml:space="preserve"> ensures that</w:t>
      </w:r>
      <w:r w:rsidRPr="00A57D6A">
        <w:rPr>
          <w:rFonts w:asciiTheme="minorHAnsi" w:hAnsiTheme="minorHAnsi" w:cs="Times New Roman"/>
        </w:rPr>
        <w:t xml:space="preserve"> β</w:t>
      </w:r>
      <w:r w:rsidRPr="00A57D6A">
        <w:rPr>
          <w:rFonts w:asciiTheme="minorHAnsi" w:hAnsiTheme="minorHAnsi" w:cs="Times New Roman"/>
          <w:vertAlign w:val="subscript"/>
        </w:rPr>
        <w:t>1</w:t>
      </w:r>
      <w:r w:rsidRPr="00A57D6A">
        <w:rPr>
          <w:rFonts w:asciiTheme="minorHAnsi" w:hAnsiTheme="minorHAnsi" w:cs="Times New Roman"/>
        </w:rPr>
        <w:t xml:space="preserve"> is only identified by variation </w:t>
      </w:r>
      <w:r>
        <w:rPr>
          <w:rFonts w:asciiTheme="minorHAnsi" w:hAnsiTheme="minorHAnsi" w:cs="Times New Roman"/>
        </w:rPr>
        <w:t>within each 3-digit zip code (and not by regional variation across 3-digit zip codes).</w:t>
      </w:r>
    </w:p>
  </w:footnote>
  <w:footnote w:id="5">
    <w:p w:rsidR="00FA3C3C" w:rsidRPr="001035E0" w:rsidRDefault="00FA3C3C" w:rsidP="00426DB1">
      <w:pPr>
        <w:pStyle w:val="FootnoteText"/>
        <w:rPr>
          <w:rFonts w:ascii="Calibri" w:hAnsi="Calibri"/>
        </w:rPr>
      </w:pPr>
      <w:r w:rsidRPr="001035E0">
        <w:rPr>
          <w:rStyle w:val="FootnoteReference"/>
        </w:rPr>
        <w:footnoteRef/>
      </w:r>
      <w:r w:rsidRPr="001035E0">
        <w:rPr>
          <w:rFonts w:ascii="Calibri" w:hAnsi="Calibri"/>
        </w:rPr>
        <w:t xml:space="preserve"> More precisely, the households had moved by the time of their first purchase in 2009.  It is possible that the move occurred in 2009 before their first </w:t>
      </w:r>
      <w:r>
        <w:rPr>
          <w:rFonts w:ascii="Calibri" w:hAnsi="Calibri"/>
        </w:rPr>
        <w:t xml:space="preserve">2009 </w:t>
      </w:r>
      <w:r w:rsidRPr="001035E0">
        <w:rPr>
          <w:rFonts w:ascii="Calibri" w:hAnsi="Calibri"/>
        </w:rPr>
        <w:t xml:space="preserve">purchase. </w:t>
      </w:r>
      <w:r>
        <w:rPr>
          <w:rFonts w:ascii="Calibri" w:hAnsi="Calibri"/>
        </w:rPr>
        <w:t xml:space="preserve">Despite this possibility, our measure of the % of niche items purchased in 2009 only measures purchases after households had moved. </w:t>
      </w:r>
    </w:p>
  </w:footnote>
  <w:footnote w:id="6">
    <w:p w:rsidR="00FA3C3C" w:rsidRPr="005438EB" w:rsidRDefault="00FA3C3C" w:rsidP="00217311">
      <w:pPr>
        <w:pStyle w:val="FootnoteText"/>
        <w:rPr>
          <w:rFonts w:cs="Times New Roman"/>
        </w:rPr>
      </w:pPr>
      <w:r w:rsidRPr="005438EB">
        <w:rPr>
          <w:rStyle w:val="FootnoteReference"/>
          <w:rFonts w:cs="Times New Roman"/>
        </w:rPr>
        <w:footnoteRef/>
      </w:r>
      <w:r w:rsidRPr="005438EB">
        <w:rPr>
          <w:rFonts w:cs="Times New Roman"/>
        </w:rPr>
        <w:t xml:space="preserve"> Starting prices appear in both the left and right hand side variables. This is not unusual in a difference model.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4053"/>
    <w:multiLevelType w:val="hybridMultilevel"/>
    <w:tmpl w:val="EEDC0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14505"/>
    <w:multiLevelType w:val="hybridMultilevel"/>
    <w:tmpl w:val="35823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A62FC"/>
    <w:multiLevelType w:val="hybridMultilevel"/>
    <w:tmpl w:val="3668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21D20"/>
    <w:multiLevelType w:val="hybridMultilevel"/>
    <w:tmpl w:val="053A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4328B"/>
    <w:multiLevelType w:val="hybridMultilevel"/>
    <w:tmpl w:val="602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554A7"/>
    <w:multiLevelType w:val="hybridMultilevel"/>
    <w:tmpl w:val="B4BA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41"/>
    <w:rsid w:val="00011BCE"/>
    <w:rsid w:val="00030B2A"/>
    <w:rsid w:val="00032BE1"/>
    <w:rsid w:val="00070EC7"/>
    <w:rsid w:val="000B332B"/>
    <w:rsid w:val="000C75CF"/>
    <w:rsid w:val="000D5855"/>
    <w:rsid w:val="0010537F"/>
    <w:rsid w:val="00110AE4"/>
    <w:rsid w:val="00115ACF"/>
    <w:rsid w:val="00125182"/>
    <w:rsid w:val="00130E33"/>
    <w:rsid w:val="00144E2F"/>
    <w:rsid w:val="00146224"/>
    <w:rsid w:val="0015171A"/>
    <w:rsid w:val="0017199C"/>
    <w:rsid w:val="00173C0C"/>
    <w:rsid w:val="001977CE"/>
    <w:rsid w:val="001E0AAA"/>
    <w:rsid w:val="001E1D69"/>
    <w:rsid w:val="001E4332"/>
    <w:rsid w:val="00213747"/>
    <w:rsid w:val="00217311"/>
    <w:rsid w:val="0021763B"/>
    <w:rsid w:val="00260DE6"/>
    <w:rsid w:val="00285173"/>
    <w:rsid w:val="002A1C74"/>
    <w:rsid w:val="002A3C98"/>
    <w:rsid w:val="002C24BA"/>
    <w:rsid w:val="002C3025"/>
    <w:rsid w:val="002C38A7"/>
    <w:rsid w:val="002D6E5A"/>
    <w:rsid w:val="0030217B"/>
    <w:rsid w:val="0034059E"/>
    <w:rsid w:val="00342333"/>
    <w:rsid w:val="003512CF"/>
    <w:rsid w:val="00354EB2"/>
    <w:rsid w:val="003803B7"/>
    <w:rsid w:val="00385DCE"/>
    <w:rsid w:val="003947F3"/>
    <w:rsid w:val="003A06FF"/>
    <w:rsid w:val="003C07D4"/>
    <w:rsid w:val="003C7066"/>
    <w:rsid w:val="003F1142"/>
    <w:rsid w:val="003F692D"/>
    <w:rsid w:val="00412769"/>
    <w:rsid w:val="00426DB1"/>
    <w:rsid w:val="004B3273"/>
    <w:rsid w:val="004B4196"/>
    <w:rsid w:val="004B6855"/>
    <w:rsid w:val="004D6B46"/>
    <w:rsid w:val="004E3EE1"/>
    <w:rsid w:val="00552E09"/>
    <w:rsid w:val="0058081B"/>
    <w:rsid w:val="005914C2"/>
    <w:rsid w:val="0059683B"/>
    <w:rsid w:val="005C316A"/>
    <w:rsid w:val="005C7F8E"/>
    <w:rsid w:val="005D0FEF"/>
    <w:rsid w:val="0060435F"/>
    <w:rsid w:val="00611182"/>
    <w:rsid w:val="0061571F"/>
    <w:rsid w:val="00630A4D"/>
    <w:rsid w:val="0066582A"/>
    <w:rsid w:val="006700EE"/>
    <w:rsid w:val="00695D3B"/>
    <w:rsid w:val="00696A2A"/>
    <w:rsid w:val="006A4B27"/>
    <w:rsid w:val="006E6692"/>
    <w:rsid w:val="00706051"/>
    <w:rsid w:val="00710805"/>
    <w:rsid w:val="00733397"/>
    <w:rsid w:val="0075653A"/>
    <w:rsid w:val="00760CD9"/>
    <w:rsid w:val="00794AF2"/>
    <w:rsid w:val="0079591C"/>
    <w:rsid w:val="007D0FBC"/>
    <w:rsid w:val="007E7EE7"/>
    <w:rsid w:val="00814463"/>
    <w:rsid w:val="00817359"/>
    <w:rsid w:val="008636BA"/>
    <w:rsid w:val="008707D9"/>
    <w:rsid w:val="00877B87"/>
    <w:rsid w:val="00885E4C"/>
    <w:rsid w:val="008866EE"/>
    <w:rsid w:val="0089249B"/>
    <w:rsid w:val="008972A6"/>
    <w:rsid w:val="008A26B3"/>
    <w:rsid w:val="008A7872"/>
    <w:rsid w:val="008E1694"/>
    <w:rsid w:val="008E7FEC"/>
    <w:rsid w:val="008F08D8"/>
    <w:rsid w:val="009338B0"/>
    <w:rsid w:val="009531BE"/>
    <w:rsid w:val="009607B2"/>
    <w:rsid w:val="00962F7A"/>
    <w:rsid w:val="009732DD"/>
    <w:rsid w:val="009853A2"/>
    <w:rsid w:val="0099201D"/>
    <w:rsid w:val="009C6672"/>
    <w:rsid w:val="009D4748"/>
    <w:rsid w:val="009F51A3"/>
    <w:rsid w:val="00A02B69"/>
    <w:rsid w:val="00A3335E"/>
    <w:rsid w:val="00A358F3"/>
    <w:rsid w:val="00A65113"/>
    <w:rsid w:val="00A856E0"/>
    <w:rsid w:val="00AA1D78"/>
    <w:rsid w:val="00AA509D"/>
    <w:rsid w:val="00AC26A1"/>
    <w:rsid w:val="00AE3BA6"/>
    <w:rsid w:val="00B166B5"/>
    <w:rsid w:val="00B20295"/>
    <w:rsid w:val="00B415E8"/>
    <w:rsid w:val="00B6789D"/>
    <w:rsid w:val="00B84298"/>
    <w:rsid w:val="00B86050"/>
    <w:rsid w:val="00B87D24"/>
    <w:rsid w:val="00B91C48"/>
    <w:rsid w:val="00B970B9"/>
    <w:rsid w:val="00BA2C4B"/>
    <w:rsid w:val="00BB5A68"/>
    <w:rsid w:val="00BC01B1"/>
    <w:rsid w:val="00BC4A7D"/>
    <w:rsid w:val="00C34462"/>
    <w:rsid w:val="00C51425"/>
    <w:rsid w:val="00C515B2"/>
    <w:rsid w:val="00C54EA2"/>
    <w:rsid w:val="00C66C3E"/>
    <w:rsid w:val="00C83AE4"/>
    <w:rsid w:val="00C93975"/>
    <w:rsid w:val="00C93E7A"/>
    <w:rsid w:val="00CA6373"/>
    <w:rsid w:val="00CB5753"/>
    <w:rsid w:val="00CC0DD6"/>
    <w:rsid w:val="00CC22B0"/>
    <w:rsid w:val="00CC45DB"/>
    <w:rsid w:val="00CE5471"/>
    <w:rsid w:val="00D44636"/>
    <w:rsid w:val="00D7136C"/>
    <w:rsid w:val="00D72E85"/>
    <w:rsid w:val="00D90E99"/>
    <w:rsid w:val="00DA6AD4"/>
    <w:rsid w:val="00DA7E04"/>
    <w:rsid w:val="00DB0052"/>
    <w:rsid w:val="00DB28E7"/>
    <w:rsid w:val="00DF3A36"/>
    <w:rsid w:val="00E07767"/>
    <w:rsid w:val="00E12415"/>
    <w:rsid w:val="00E24905"/>
    <w:rsid w:val="00E450B3"/>
    <w:rsid w:val="00E46B85"/>
    <w:rsid w:val="00E5377F"/>
    <w:rsid w:val="00E537F3"/>
    <w:rsid w:val="00EB191A"/>
    <w:rsid w:val="00EB21AC"/>
    <w:rsid w:val="00EC29C8"/>
    <w:rsid w:val="00ED3EA0"/>
    <w:rsid w:val="00F10C64"/>
    <w:rsid w:val="00F13F41"/>
    <w:rsid w:val="00F6341A"/>
    <w:rsid w:val="00F77943"/>
    <w:rsid w:val="00F82C13"/>
    <w:rsid w:val="00FA3C3C"/>
    <w:rsid w:val="00FB2B33"/>
    <w:rsid w:val="00FC0F05"/>
    <w:rsid w:val="00FC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2F85"/>
  <w15:chartTrackingRefBased/>
  <w15:docId w15:val="{8AB66AD6-4B9D-49CD-A822-E94B15D6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F41"/>
    <w:pPr>
      <w:spacing w:before="0" w:line="240" w:lineRule="auto"/>
      <w:jc w:val="center"/>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06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066"/>
    <w:rPr>
      <w:rFonts w:ascii="Segoe UI" w:hAnsi="Segoe UI" w:cs="Segoe UI"/>
      <w:sz w:val="18"/>
      <w:szCs w:val="18"/>
    </w:rPr>
  </w:style>
  <w:style w:type="paragraph" w:styleId="ListParagraph">
    <w:name w:val="List Paragraph"/>
    <w:basedOn w:val="Normal"/>
    <w:uiPriority w:val="34"/>
    <w:qFormat/>
    <w:rsid w:val="00B86050"/>
    <w:pPr>
      <w:ind w:left="720"/>
      <w:contextualSpacing/>
    </w:pPr>
  </w:style>
  <w:style w:type="character" w:styleId="Hyperlink">
    <w:name w:val="Hyperlink"/>
    <w:basedOn w:val="DefaultParagraphFont"/>
    <w:uiPriority w:val="99"/>
    <w:unhideWhenUsed/>
    <w:rsid w:val="00B86050"/>
    <w:rPr>
      <w:color w:val="0563C1" w:themeColor="hyperlink"/>
      <w:u w:val="single"/>
    </w:rPr>
  </w:style>
  <w:style w:type="paragraph" w:styleId="NoSpacing">
    <w:name w:val="No Spacing"/>
    <w:aliases w:val="Table Header"/>
    <w:uiPriority w:val="1"/>
    <w:qFormat/>
    <w:rsid w:val="0030217B"/>
    <w:pPr>
      <w:spacing w:after="120" w:line="240" w:lineRule="auto"/>
      <w:jc w:val="center"/>
    </w:pPr>
    <w:rPr>
      <w:b/>
    </w:rPr>
  </w:style>
  <w:style w:type="paragraph" w:styleId="Footer">
    <w:name w:val="footer"/>
    <w:basedOn w:val="Normal"/>
    <w:link w:val="FooterChar"/>
    <w:uiPriority w:val="99"/>
    <w:unhideWhenUsed/>
    <w:rsid w:val="0030217B"/>
    <w:pPr>
      <w:tabs>
        <w:tab w:val="center" w:pos="4680"/>
        <w:tab w:val="right" w:pos="9360"/>
      </w:tabs>
      <w:spacing w:before="0" w:line="240" w:lineRule="auto"/>
    </w:pPr>
    <w:rPr>
      <w:rFonts w:ascii="Times New Roman" w:eastAsia="SimSun" w:hAnsi="Times New Roman"/>
      <w:sz w:val="24"/>
    </w:rPr>
  </w:style>
  <w:style w:type="character" w:customStyle="1" w:styleId="FooterChar">
    <w:name w:val="Footer Char"/>
    <w:basedOn w:val="DefaultParagraphFont"/>
    <w:link w:val="Footer"/>
    <w:uiPriority w:val="99"/>
    <w:rsid w:val="0030217B"/>
    <w:rPr>
      <w:rFonts w:ascii="Times New Roman" w:eastAsia="SimSun" w:hAnsi="Times New Roman"/>
      <w:sz w:val="24"/>
    </w:rPr>
  </w:style>
  <w:style w:type="paragraph" w:styleId="Header">
    <w:name w:val="header"/>
    <w:basedOn w:val="Normal"/>
    <w:link w:val="HeaderChar"/>
    <w:uiPriority w:val="99"/>
    <w:unhideWhenUsed/>
    <w:rsid w:val="0030217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0217B"/>
  </w:style>
  <w:style w:type="paragraph" w:customStyle="1" w:styleId="Style1">
    <w:name w:val="Style1"/>
    <w:basedOn w:val="Normal"/>
    <w:link w:val="Style1Char"/>
    <w:autoRedefine/>
    <w:qFormat/>
    <w:rsid w:val="00A02B69"/>
    <w:pPr>
      <w:keepNext/>
      <w:spacing w:before="0" w:after="120" w:line="240" w:lineRule="auto"/>
      <w:jc w:val="center"/>
    </w:pPr>
    <w:rPr>
      <w:rFonts w:ascii="Calibri" w:eastAsia="SimSun" w:hAnsi="Calibri" w:cs="Courier New"/>
      <w:b/>
      <w:szCs w:val="21"/>
    </w:rPr>
  </w:style>
  <w:style w:type="character" w:customStyle="1" w:styleId="Style1Char">
    <w:name w:val="Style1 Char"/>
    <w:basedOn w:val="DefaultParagraphFont"/>
    <w:link w:val="Style1"/>
    <w:rsid w:val="00A02B69"/>
    <w:rPr>
      <w:rFonts w:ascii="Calibri" w:eastAsia="SimSun" w:hAnsi="Calibri" w:cs="Courier New"/>
      <w:b/>
      <w:szCs w:val="21"/>
    </w:rPr>
  </w:style>
  <w:style w:type="paragraph" w:customStyle="1" w:styleId="StyleBodyTextIndentRight038Before3pt">
    <w:name w:val="Style Body Text Indent + Right:  0.38&quot; Before:  3 pt"/>
    <w:basedOn w:val="BodyTextIndent"/>
    <w:next w:val="TableBoldTitle"/>
    <w:rsid w:val="004E3EE1"/>
    <w:pPr>
      <w:keepNext/>
      <w:spacing w:before="60" w:after="0" w:line="240" w:lineRule="auto"/>
      <w:ind w:left="720" w:right="547"/>
    </w:pPr>
    <w:rPr>
      <w:rFonts w:ascii="Calibri" w:eastAsia="Times New Roman" w:hAnsi="Calibri" w:cs="Times New Roman"/>
      <w:sz w:val="20"/>
      <w:szCs w:val="20"/>
    </w:rPr>
  </w:style>
  <w:style w:type="paragraph" w:customStyle="1" w:styleId="TableBoldTitle">
    <w:name w:val="Table Bold Title"/>
    <w:basedOn w:val="Normal"/>
    <w:qFormat/>
    <w:rsid w:val="004E3EE1"/>
    <w:pPr>
      <w:keepNext/>
      <w:spacing w:after="120" w:line="240" w:lineRule="auto"/>
      <w:jc w:val="center"/>
    </w:pPr>
    <w:rPr>
      <w:rFonts w:ascii="Calibri" w:eastAsia="Times New Roman" w:hAnsi="Calibri" w:cs="Times New Roman"/>
      <w:b/>
      <w:sz w:val="24"/>
      <w:szCs w:val="20"/>
    </w:rPr>
  </w:style>
  <w:style w:type="paragraph" w:styleId="BodyTextIndent">
    <w:name w:val="Body Text Indent"/>
    <w:basedOn w:val="Normal"/>
    <w:link w:val="BodyTextIndentChar"/>
    <w:uiPriority w:val="99"/>
    <w:semiHidden/>
    <w:unhideWhenUsed/>
    <w:rsid w:val="004E3EE1"/>
    <w:pPr>
      <w:spacing w:after="120"/>
      <w:ind w:left="360"/>
    </w:pPr>
  </w:style>
  <w:style w:type="character" w:customStyle="1" w:styleId="BodyTextIndentChar">
    <w:name w:val="Body Text Indent Char"/>
    <w:basedOn w:val="DefaultParagraphFont"/>
    <w:link w:val="BodyTextIndent"/>
    <w:uiPriority w:val="99"/>
    <w:semiHidden/>
    <w:rsid w:val="004E3EE1"/>
  </w:style>
  <w:style w:type="character" w:styleId="PlaceholderText">
    <w:name w:val="Placeholder Text"/>
    <w:basedOn w:val="DefaultParagraphFont"/>
    <w:uiPriority w:val="99"/>
    <w:semiHidden/>
    <w:rsid w:val="006700EE"/>
    <w:rPr>
      <w:color w:val="808080"/>
    </w:rPr>
  </w:style>
  <w:style w:type="paragraph" w:styleId="FootnoteText">
    <w:name w:val="footnote text"/>
    <w:basedOn w:val="Normal"/>
    <w:link w:val="FootnoteTextChar"/>
    <w:uiPriority w:val="99"/>
    <w:unhideWhenUsed/>
    <w:rsid w:val="00BC4A7D"/>
    <w:pPr>
      <w:spacing w:before="0" w:line="240" w:lineRule="auto"/>
    </w:pPr>
    <w:rPr>
      <w:rFonts w:ascii="Times New Roman" w:eastAsia="SimSun" w:hAnsi="Times New Roman"/>
      <w:sz w:val="20"/>
      <w:szCs w:val="20"/>
    </w:rPr>
  </w:style>
  <w:style w:type="character" w:customStyle="1" w:styleId="FootnoteTextChar">
    <w:name w:val="Footnote Text Char"/>
    <w:basedOn w:val="DefaultParagraphFont"/>
    <w:link w:val="FootnoteText"/>
    <w:uiPriority w:val="99"/>
    <w:rsid w:val="00BC4A7D"/>
    <w:rPr>
      <w:rFonts w:ascii="Times New Roman" w:eastAsia="SimSun" w:hAnsi="Times New Roman"/>
      <w:sz w:val="20"/>
      <w:szCs w:val="20"/>
    </w:rPr>
  </w:style>
  <w:style w:type="character" w:styleId="FootnoteReference">
    <w:name w:val="footnote reference"/>
    <w:basedOn w:val="DefaultParagraphFont"/>
    <w:uiPriority w:val="99"/>
    <w:semiHidden/>
    <w:unhideWhenUsed/>
    <w:rsid w:val="00BC4A7D"/>
    <w:rPr>
      <w:vertAlign w:val="superscript"/>
    </w:rPr>
  </w:style>
  <w:style w:type="table" w:customStyle="1" w:styleId="TableGrid1">
    <w:name w:val="Table Grid1"/>
    <w:basedOn w:val="TableNormal"/>
    <w:next w:val="TableGrid"/>
    <w:uiPriority w:val="39"/>
    <w:rsid w:val="00217311"/>
    <w:pPr>
      <w:spacing w:before="0" w:line="240" w:lineRule="auto"/>
      <w:jc w:val="center"/>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224478">
      <w:bodyDiv w:val="1"/>
      <w:marLeft w:val="0"/>
      <w:marRight w:val="0"/>
      <w:marTop w:val="0"/>
      <w:marBottom w:val="0"/>
      <w:divBdr>
        <w:top w:val="none" w:sz="0" w:space="0" w:color="auto"/>
        <w:left w:val="none" w:sz="0" w:space="0" w:color="auto"/>
        <w:bottom w:val="none" w:sz="0" w:space="0" w:color="auto"/>
        <w:right w:val="none" w:sz="0" w:space="0" w:color="auto"/>
      </w:divBdr>
      <w:divsChild>
        <w:div w:id="769277199">
          <w:marLeft w:val="0"/>
          <w:marRight w:val="0"/>
          <w:marTop w:val="0"/>
          <w:marBottom w:val="0"/>
          <w:divBdr>
            <w:top w:val="single" w:sz="6" w:space="8" w:color="AAAAAA"/>
            <w:left w:val="single" w:sz="6" w:space="8" w:color="AAAAAA"/>
            <w:bottom w:val="single" w:sz="6" w:space="8" w:color="AAAAAA"/>
            <w:right w:val="single" w:sz="6" w:space="8" w:color="AAAAA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geo/reference/zctas.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census.gov/geo/reference/ua/uafaq.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ECAFB-B518-4A00-8B32-829138E4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7579</Words>
  <Characters>43206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MIT Sloan School of Management</Company>
  <LinksUpToDate>false</LinksUpToDate>
  <CharactersWithSpaces>50684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Technology Services</dc:creator>
  <cp:keywords/>
  <dc:description/>
  <cp:lastModifiedBy>simester</cp:lastModifiedBy>
  <cp:revision>3</cp:revision>
  <cp:lastPrinted>2018-12-18T23:16:00Z</cp:lastPrinted>
  <dcterms:created xsi:type="dcterms:W3CDTF">2019-07-12T15:48:00Z</dcterms:created>
  <dcterms:modified xsi:type="dcterms:W3CDTF">2019-07-16T18:43:00Z</dcterms:modified>
</cp:coreProperties>
</file>