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E6E44" w14:textId="64BE5642" w:rsidR="00755DA4" w:rsidRDefault="00755DA4" w:rsidP="00755DA4">
      <w:pPr>
        <w:spacing w:line="480" w:lineRule="auto"/>
        <w:jc w:val="center"/>
        <w:rPr>
          <w:b/>
        </w:rPr>
      </w:pPr>
      <w:r>
        <w:rPr>
          <w:b/>
        </w:rPr>
        <w:t>Supplemental Materials</w:t>
      </w:r>
    </w:p>
    <w:p w14:paraId="1B9D3067" w14:textId="534A8F37" w:rsidR="00755DA4" w:rsidRDefault="00755DA4" w:rsidP="00755DA4">
      <w:r>
        <w:t xml:space="preserve">Table </w:t>
      </w:r>
      <w:r w:rsidR="00265AE4">
        <w:t>S</w:t>
      </w:r>
      <w:r>
        <w:t xml:space="preserve">1 </w:t>
      </w:r>
    </w:p>
    <w:p w14:paraId="7856992F" w14:textId="77777777" w:rsidR="00755DA4" w:rsidRDefault="00755DA4" w:rsidP="00755DA4"/>
    <w:p w14:paraId="2D3FA200" w14:textId="6C4FFA84" w:rsidR="00755DA4" w:rsidRDefault="00755DA4" w:rsidP="00755DA4">
      <w:pPr>
        <w:rPr>
          <w:i/>
        </w:rPr>
      </w:pPr>
      <w:r>
        <w:rPr>
          <w:i/>
        </w:rPr>
        <w:t>Sample Characteristics</w:t>
      </w:r>
      <w:r w:rsidR="00265AE4">
        <w:rPr>
          <w:i/>
        </w:rPr>
        <w:t xml:space="preserve"> of Couples Coping with Low Desire </w:t>
      </w:r>
    </w:p>
    <w:p w14:paraId="7D36B2A3" w14:textId="77777777" w:rsidR="00755DA4" w:rsidRDefault="00755DA4" w:rsidP="00755DA4"/>
    <w:tbl>
      <w:tblPr>
        <w:tblW w:w="106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2267"/>
        <w:gridCol w:w="1276"/>
        <w:gridCol w:w="2409"/>
        <w:gridCol w:w="1136"/>
      </w:tblGrid>
      <w:tr w:rsidR="00755DA4" w:rsidRPr="00A610B3" w14:paraId="5D38001A" w14:textId="77777777" w:rsidTr="000E24E3">
        <w:trPr>
          <w:trHeight w:val="280"/>
        </w:trPr>
        <w:tc>
          <w:tcPr>
            <w:tcW w:w="3544" w:type="dxa"/>
            <w:tcBorders>
              <w:left w:val="nil"/>
              <w:bottom w:val="nil"/>
              <w:right w:val="nil"/>
            </w:tcBorders>
          </w:tcPr>
          <w:p w14:paraId="367012D9" w14:textId="77777777" w:rsidR="00755DA4" w:rsidRPr="0032355B" w:rsidRDefault="00755DA4" w:rsidP="000E24E3">
            <w:pPr>
              <w:spacing w:line="360" w:lineRule="auto"/>
            </w:pPr>
          </w:p>
        </w:tc>
        <w:tc>
          <w:tcPr>
            <w:tcW w:w="3543" w:type="dxa"/>
            <w:gridSpan w:val="2"/>
            <w:tcBorders>
              <w:left w:val="nil"/>
              <w:bottom w:val="single" w:sz="4" w:space="0" w:color="000000"/>
              <w:right w:val="nil"/>
            </w:tcBorders>
          </w:tcPr>
          <w:p w14:paraId="048FDD96" w14:textId="77777777" w:rsidR="00755DA4" w:rsidRPr="0032355B" w:rsidRDefault="00755DA4" w:rsidP="000E24E3">
            <w:pPr>
              <w:spacing w:line="360" w:lineRule="auto"/>
            </w:pPr>
            <w:r w:rsidRPr="0032355B">
              <w:t>Women</w:t>
            </w:r>
          </w:p>
        </w:tc>
        <w:tc>
          <w:tcPr>
            <w:tcW w:w="3545" w:type="dxa"/>
            <w:gridSpan w:val="2"/>
            <w:tcBorders>
              <w:left w:val="nil"/>
              <w:bottom w:val="single" w:sz="4" w:space="0" w:color="000000"/>
              <w:right w:val="nil"/>
            </w:tcBorders>
          </w:tcPr>
          <w:p w14:paraId="1E34734D" w14:textId="77777777" w:rsidR="00755DA4" w:rsidRPr="0032355B" w:rsidRDefault="00755DA4" w:rsidP="000E24E3">
            <w:pPr>
              <w:spacing w:line="360" w:lineRule="auto"/>
            </w:pPr>
            <w:r w:rsidRPr="0032355B">
              <w:t>Partners</w:t>
            </w:r>
          </w:p>
        </w:tc>
      </w:tr>
      <w:tr w:rsidR="00755DA4" w:rsidRPr="00A610B3" w14:paraId="3781324D" w14:textId="77777777" w:rsidTr="000E24E3">
        <w:trPr>
          <w:trHeight w:val="260"/>
        </w:trPr>
        <w:tc>
          <w:tcPr>
            <w:tcW w:w="3544" w:type="dxa"/>
            <w:tcBorders>
              <w:top w:val="nil"/>
              <w:left w:val="nil"/>
              <w:right w:val="nil"/>
            </w:tcBorders>
          </w:tcPr>
          <w:p w14:paraId="4868C8F3" w14:textId="77777777" w:rsidR="00755DA4" w:rsidRPr="0032355B" w:rsidRDefault="00755DA4" w:rsidP="000E24E3">
            <w:pPr>
              <w:spacing w:line="360" w:lineRule="auto"/>
            </w:pPr>
          </w:p>
        </w:tc>
        <w:tc>
          <w:tcPr>
            <w:tcW w:w="2267" w:type="dxa"/>
            <w:tcBorders>
              <w:left w:val="nil"/>
              <w:right w:val="nil"/>
            </w:tcBorders>
          </w:tcPr>
          <w:p w14:paraId="76F1F481" w14:textId="77777777" w:rsidR="00755DA4" w:rsidRPr="0032355B" w:rsidRDefault="00755DA4" w:rsidP="000E24E3">
            <w:pPr>
              <w:spacing w:line="360" w:lineRule="auto"/>
            </w:pPr>
            <w:r w:rsidRPr="0032355B">
              <w:rPr>
                <w:i/>
              </w:rPr>
              <w:t>M</w:t>
            </w:r>
            <w:r w:rsidRPr="0032355B">
              <w:t xml:space="preserve"> (range) or </w:t>
            </w:r>
            <w:r w:rsidRPr="0032355B">
              <w:rPr>
                <w:i/>
              </w:rPr>
              <w:t>n</w:t>
            </w:r>
          </w:p>
        </w:tc>
        <w:tc>
          <w:tcPr>
            <w:tcW w:w="1276" w:type="dxa"/>
            <w:tcBorders>
              <w:left w:val="nil"/>
              <w:right w:val="nil"/>
            </w:tcBorders>
          </w:tcPr>
          <w:p w14:paraId="3B3DFE16" w14:textId="77777777" w:rsidR="00755DA4" w:rsidRPr="0032355B" w:rsidRDefault="00755DA4" w:rsidP="000E24E3">
            <w:pPr>
              <w:spacing w:line="360" w:lineRule="auto"/>
            </w:pPr>
            <w:r w:rsidRPr="0032355B">
              <w:rPr>
                <w:i/>
              </w:rPr>
              <w:t>SD</w:t>
            </w:r>
            <w:r w:rsidRPr="0032355B">
              <w:t xml:space="preserve"> or %</w:t>
            </w:r>
          </w:p>
        </w:tc>
        <w:tc>
          <w:tcPr>
            <w:tcW w:w="2409" w:type="dxa"/>
            <w:tcBorders>
              <w:left w:val="nil"/>
              <w:right w:val="nil"/>
            </w:tcBorders>
          </w:tcPr>
          <w:p w14:paraId="54496A55" w14:textId="77777777" w:rsidR="00755DA4" w:rsidRPr="0032355B" w:rsidRDefault="00755DA4" w:rsidP="000E24E3">
            <w:pPr>
              <w:spacing w:line="360" w:lineRule="auto"/>
            </w:pPr>
            <w:r w:rsidRPr="0032355B">
              <w:rPr>
                <w:i/>
              </w:rPr>
              <w:t>M</w:t>
            </w:r>
            <w:r w:rsidRPr="0032355B">
              <w:t xml:space="preserve"> (range) or </w:t>
            </w:r>
            <w:r w:rsidRPr="0032355B">
              <w:rPr>
                <w:i/>
              </w:rPr>
              <w:t>n</w:t>
            </w:r>
          </w:p>
        </w:tc>
        <w:tc>
          <w:tcPr>
            <w:tcW w:w="1136" w:type="dxa"/>
            <w:tcBorders>
              <w:left w:val="nil"/>
              <w:right w:val="nil"/>
            </w:tcBorders>
          </w:tcPr>
          <w:p w14:paraId="1F811EA4" w14:textId="77777777" w:rsidR="00755DA4" w:rsidRPr="0032355B" w:rsidRDefault="00755DA4" w:rsidP="000E24E3">
            <w:pPr>
              <w:spacing w:line="360" w:lineRule="auto"/>
            </w:pPr>
            <w:r w:rsidRPr="0032355B">
              <w:rPr>
                <w:i/>
              </w:rPr>
              <w:t>SD</w:t>
            </w:r>
            <w:r w:rsidRPr="0032355B">
              <w:t xml:space="preserve"> or %</w:t>
            </w:r>
          </w:p>
        </w:tc>
      </w:tr>
      <w:tr w:rsidR="00755DA4" w:rsidRPr="00A610B3" w14:paraId="474AA9A1" w14:textId="77777777" w:rsidTr="000E24E3">
        <w:trPr>
          <w:trHeight w:val="260"/>
        </w:trPr>
        <w:tc>
          <w:tcPr>
            <w:tcW w:w="3544" w:type="dxa"/>
            <w:tcBorders>
              <w:left w:val="nil"/>
              <w:bottom w:val="nil"/>
              <w:right w:val="nil"/>
            </w:tcBorders>
          </w:tcPr>
          <w:p w14:paraId="72737AB4" w14:textId="77777777" w:rsidR="00755DA4" w:rsidRPr="0032355B" w:rsidRDefault="00755DA4" w:rsidP="000E24E3">
            <w:pPr>
              <w:spacing w:line="360" w:lineRule="auto"/>
            </w:pPr>
            <w:r w:rsidRPr="0032355B">
              <w:t>Characteristic</w:t>
            </w:r>
          </w:p>
        </w:tc>
        <w:tc>
          <w:tcPr>
            <w:tcW w:w="2267" w:type="dxa"/>
            <w:tcBorders>
              <w:left w:val="nil"/>
              <w:bottom w:val="nil"/>
              <w:right w:val="nil"/>
            </w:tcBorders>
          </w:tcPr>
          <w:p w14:paraId="53373736" w14:textId="77777777" w:rsidR="00755DA4" w:rsidRPr="0032355B" w:rsidRDefault="00755DA4" w:rsidP="000E24E3">
            <w:pPr>
              <w:spacing w:line="360" w:lineRule="auto"/>
            </w:pPr>
          </w:p>
        </w:tc>
        <w:tc>
          <w:tcPr>
            <w:tcW w:w="1276" w:type="dxa"/>
            <w:tcBorders>
              <w:left w:val="nil"/>
              <w:bottom w:val="nil"/>
              <w:right w:val="nil"/>
            </w:tcBorders>
          </w:tcPr>
          <w:p w14:paraId="084DFB25" w14:textId="77777777" w:rsidR="00755DA4" w:rsidRPr="0032355B" w:rsidRDefault="00755DA4" w:rsidP="000E24E3">
            <w:pPr>
              <w:spacing w:line="360" w:lineRule="auto"/>
            </w:pPr>
          </w:p>
        </w:tc>
        <w:tc>
          <w:tcPr>
            <w:tcW w:w="2409" w:type="dxa"/>
            <w:tcBorders>
              <w:left w:val="nil"/>
              <w:bottom w:val="nil"/>
              <w:right w:val="nil"/>
            </w:tcBorders>
          </w:tcPr>
          <w:p w14:paraId="32A87CD4" w14:textId="77777777" w:rsidR="00755DA4" w:rsidRPr="00A610B3" w:rsidRDefault="00755DA4" w:rsidP="000E24E3">
            <w:pPr>
              <w:spacing w:line="360" w:lineRule="auto"/>
              <w:rPr>
                <w:highlight w:val="yellow"/>
              </w:rPr>
            </w:pPr>
          </w:p>
        </w:tc>
        <w:tc>
          <w:tcPr>
            <w:tcW w:w="1136" w:type="dxa"/>
            <w:tcBorders>
              <w:left w:val="nil"/>
              <w:bottom w:val="nil"/>
              <w:right w:val="nil"/>
            </w:tcBorders>
          </w:tcPr>
          <w:p w14:paraId="04C9A850" w14:textId="77777777" w:rsidR="00755DA4" w:rsidRPr="00A610B3" w:rsidRDefault="00755DA4" w:rsidP="000E24E3">
            <w:pPr>
              <w:spacing w:line="360" w:lineRule="auto"/>
              <w:rPr>
                <w:highlight w:val="yellow"/>
              </w:rPr>
            </w:pPr>
          </w:p>
        </w:tc>
      </w:tr>
      <w:tr w:rsidR="00755DA4" w:rsidRPr="00A610B3" w14:paraId="029FCEFD" w14:textId="77777777" w:rsidTr="000E24E3">
        <w:trPr>
          <w:trHeight w:val="280"/>
        </w:trPr>
        <w:tc>
          <w:tcPr>
            <w:tcW w:w="3544" w:type="dxa"/>
            <w:tcBorders>
              <w:top w:val="nil"/>
              <w:left w:val="nil"/>
              <w:bottom w:val="nil"/>
              <w:right w:val="nil"/>
            </w:tcBorders>
          </w:tcPr>
          <w:p w14:paraId="165A518B" w14:textId="77777777" w:rsidR="00755DA4" w:rsidRPr="0032355B" w:rsidRDefault="00755DA4" w:rsidP="000E24E3">
            <w:pPr>
              <w:spacing w:line="360" w:lineRule="auto"/>
            </w:pPr>
            <w:r w:rsidRPr="0032355B">
              <w:t>Age (years)</w:t>
            </w:r>
          </w:p>
        </w:tc>
        <w:tc>
          <w:tcPr>
            <w:tcW w:w="2267" w:type="dxa"/>
            <w:tcBorders>
              <w:top w:val="nil"/>
              <w:left w:val="nil"/>
              <w:bottom w:val="nil"/>
              <w:right w:val="nil"/>
            </w:tcBorders>
          </w:tcPr>
          <w:p w14:paraId="21F702FC" w14:textId="77777777" w:rsidR="00755DA4" w:rsidRPr="0032355B" w:rsidRDefault="00755DA4" w:rsidP="000E24E3">
            <w:pPr>
              <w:spacing w:line="360" w:lineRule="auto"/>
            </w:pPr>
            <w:r w:rsidRPr="0032355B">
              <w:t>31.03 (19.1 – 57.5)</w:t>
            </w:r>
          </w:p>
        </w:tc>
        <w:tc>
          <w:tcPr>
            <w:tcW w:w="1276" w:type="dxa"/>
            <w:tcBorders>
              <w:top w:val="nil"/>
              <w:left w:val="nil"/>
              <w:bottom w:val="nil"/>
              <w:right w:val="nil"/>
            </w:tcBorders>
          </w:tcPr>
          <w:p w14:paraId="1C3A4DF3" w14:textId="77777777" w:rsidR="00755DA4" w:rsidRPr="0032355B" w:rsidRDefault="00755DA4" w:rsidP="000E24E3">
            <w:pPr>
              <w:spacing w:line="360" w:lineRule="auto"/>
            </w:pPr>
            <w:r w:rsidRPr="0032355B">
              <w:t>7.73</w:t>
            </w:r>
          </w:p>
        </w:tc>
        <w:tc>
          <w:tcPr>
            <w:tcW w:w="2409" w:type="dxa"/>
            <w:tcBorders>
              <w:top w:val="nil"/>
              <w:left w:val="nil"/>
              <w:bottom w:val="nil"/>
              <w:right w:val="nil"/>
            </w:tcBorders>
          </w:tcPr>
          <w:p w14:paraId="03CD12F0" w14:textId="77777777" w:rsidR="00755DA4" w:rsidRPr="0032355B" w:rsidRDefault="00755DA4" w:rsidP="000E24E3">
            <w:pPr>
              <w:spacing w:line="360" w:lineRule="auto"/>
            </w:pPr>
            <w:r w:rsidRPr="0032355B">
              <w:t>32.25 (19.1 – 70.34)</w:t>
            </w:r>
          </w:p>
        </w:tc>
        <w:tc>
          <w:tcPr>
            <w:tcW w:w="1136" w:type="dxa"/>
            <w:tcBorders>
              <w:top w:val="nil"/>
              <w:left w:val="nil"/>
              <w:bottom w:val="nil"/>
              <w:right w:val="nil"/>
            </w:tcBorders>
          </w:tcPr>
          <w:p w14:paraId="6D5C2261" w14:textId="77777777" w:rsidR="00755DA4" w:rsidRPr="0032355B" w:rsidRDefault="00755DA4" w:rsidP="000E24E3">
            <w:pPr>
              <w:spacing w:line="360" w:lineRule="auto"/>
            </w:pPr>
            <w:r w:rsidRPr="0032355B">
              <w:t>9.27</w:t>
            </w:r>
          </w:p>
        </w:tc>
      </w:tr>
      <w:tr w:rsidR="00755DA4" w:rsidRPr="00A610B3" w14:paraId="5020D82D" w14:textId="77777777" w:rsidTr="000E24E3">
        <w:trPr>
          <w:trHeight w:val="280"/>
        </w:trPr>
        <w:tc>
          <w:tcPr>
            <w:tcW w:w="3544" w:type="dxa"/>
            <w:tcBorders>
              <w:top w:val="nil"/>
              <w:left w:val="nil"/>
              <w:bottom w:val="nil"/>
              <w:right w:val="nil"/>
            </w:tcBorders>
          </w:tcPr>
          <w:p w14:paraId="47D47B2E" w14:textId="77777777" w:rsidR="00755DA4" w:rsidRPr="0032355B" w:rsidRDefault="00755DA4" w:rsidP="000E24E3">
            <w:pPr>
              <w:spacing w:line="360" w:lineRule="auto"/>
            </w:pPr>
            <w:r w:rsidRPr="0032355B">
              <w:t>Ethnicity</w:t>
            </w:r>
          </w:p>
        </w:tc>
        <w:tc>
          <w:tcPr>
            <w:tcW w:w="2267" w:type="dxa"/>
            <w:tcBorders>
              <w:top w:val="nil"/>
              <w:left w:val="nil"/>
              <w:bottom w:val="nil"/>
              <w:right w:val="nil"/>
            </w:tcBorders>
          </w:tcPr>
          <w:p w14:paraId="3D866131" w14:textId="77777777" w:rsidR="00755DA4" w:rsidRPr="0032355B" w:rsidRDefault="00755DA4" w:rsidP="000E24E3">
            <w:pPr>
              <w:spacing w:line="360" w:lineRule="auto"/>
            </w:pPr>
          </w:p>
        </w:tc>
        <w:tc>
          <w:tcPr>
            <w:tcW w:w="1276" w:type="dxa"/>
            <w:tcBorders>
              <w:top w:val="nil"/>
              <w:left w:val="nil"/>
              <w:bottom w:val="nil"/>
              <w:right w:val="nil"/>
            </w:tcBorders>
          </w:tcPr>
          <w:p w14:paraId="674B583C" w14:textId="77777777" w:rsidR="00755DA4" w:rsidRPr="0032355B" w:rsidRDefault="00755DA4" w:rsidP="000E24E3">
            <w:pPr>
              <w:spacing w:line="360" w:lineRule="auto"/>
            </w:pPr>
          </w:p>
        </w:tc>
        <w:tc>
          <w:tcPr>
            <w:tcW w:w="2409" w:type="dxa"/>
            <w:tcBorders>
              <w:top w:val="nil"/>
              <w:left w:val="nil"/>
              <w:bottom w:val="nil"/>
              <w:right w:val="nil"/>
            </w:tcBorders>
          </w:tcPr>
          <w:p w14:paraId="5084E1EB" w14:textId="77777777" w:rsidR="00755DA4" w:rsidRPr="00A610B3" w:rsidRDefault="00755DA4" w:rsidP="000E24E3">
            <w:pPr>
              <w:spacing w:line="360" w:lineRule="auto"/>
              <w:rPr>
                <w:highlight w:val="yellow"/>
              </w:rPr>
            </w:pPr>
          </w:p>
        </w:tc>
        <w:tc>
          <w:tcPr>
            <w:tcW w:w="1136" w:type="dxa"/>
            <w:tcBorders>
              <w:top w:val="nil"/>
              <w:left w:val="nil"/>
              <w:bottom w:val="nil"/>
              <w:right w:val="nil"/>
            </w:tcBorders>
          </w:tcPr>
          <w:p w14:paraId="14DBD256" w14:textId="77777777" w:rsidR="00755DA4" w:rsidRPr="00A610B3" w:rsidRDefault="00755DA4" w:rsidP="000E24E3">
            <w:pPr>
              <w:spacing w:line="360" w:lineRule="auto"/>
              <w:rPr>
                <w:highlight w:val="yellow"/>
              </w:rPr>
            </w:pPr>
          </w:p>
        </w:tc>
      </w:tr>
      <w:tr w:rsidR="00755DA4" w:rsidRPr="00A610B3" w14:paraId="45FBC87A" w14:textId="77777777" w:rsidTr="000E24E3">
        <w:trPr>
          <w:trHeight w:val="280"/>
        </w:trPr>
        <w:tc>
          <w:tcPr>
            <w:tcW w:w="3544" w:type="dxa"/>
            <w:tcBorders>
              <w:top w:val="nil"/>
              <w:left w:val="nil"/>
              <w:bottom w:val="nil"/>
              <w:right w:val="nil"/>
            </w:tcBorders>
          </w:tcPr>
          <w:p w14:paraId="17121343" w14:textId="77777777" w:rsidR="00755DA4" w:rsidRPr="0032355B" w:rsidRDefault="00755DA4" w:rsidP="000E24E3">
            <w:pPr>
              <w:spacing w:line="360" w:lineRule="auto"/>
            </w:pPr>
            <w:r w:rsidRPr="0032355B">
              <w:t xml:space="preserve">     Asian American/Asian</w:t>
            </w:r>
          </w:p>
        </w:tc>
        <w:tc>
          <w:tcPr>
            <w:tcW w:w="2267" w:type="dxa"/>
            <w:tcBorders>
              <w:top w:val="nil"/>
              <w:left w:val="nil"/>
              <w:bottom w:val="nil"/>
              <w:right w:val="nil"/>
            </w:tcBorders>
          </w:tcPr>
          <w:p w14:paraId="2B79ADCF" w14:textId="77777777" w:rsidR="00755DA4" w:rsidRPr="0032355B" w:rsidRDefault="00755DA4" w:rsidP="000E24E3">
            <w:pPr>
              <w:spacing w:line="360" w:lineRule="auto"/>
            </w:pPr>
            <w:r w:rsidRPr="0032355B">
              <w:t>9</w:t>
            </w:r>
          </w:p>
        </w:tc>
        <w:tc>
          <w:tcPr>
            <w:tcW w:w="1276" w:type="dxa"/>
            <w:tcBorders>
              <w:top w:val="nil"/>
              <w:left w:val="nil"/>
              <w:bottom w:val="nil"/>
              <w:right w:val="nil"/>
            </w:tcBorders>
          </w:tcPr>
          <w:p w14:paraId="760DA813" w14:textId="77777777" w:rsidR="00755DA4" w:rsidRPr="0032355B" w:rsidRDefault="00755DA4" w:rsidP="000E24E3">
            <w:pPr>
              <w:spacing w:line="360" w:lineRule="auto"/>
            </w:pPr>
            <w:r w:rsidRPr="0032355B">
              <w:t>9.4%</w:t>
            </w:r>
          </w:p>
        </w:tc>
        <w:tc>
          <w:tcPr>
            <w:tcW w:w="2409" w:type="dxa"/>
            <w:tcBorders>
              <w:top w:val="nil"/>
              <w:left w:val="nil"/>
              <w:bottom w:val="nil"/>
              <w:right w:val="nil"/>
            </w:tcBorders>
          </w:tcPr>
          <w:p w14:paraId="04F5E4DB" w14:textId="77777777" w:rsidR="00755DA4" w:rsidRPr="0032355B" w:rsidRDefault="00755DA4" w:rsidP="000E24E3">
            <w:pPr>
              <w:spacing w:line="360" w:lineRule="auto"/>
            </w:pPr>
            <w:r w:rsidRPr="0032355B">
              <w:t>9</w:t>
            </w:r>
          </w:p>
        </w:tc>
        <w:tc>
          <w:tcPr>
            <w:tcW w:w="1136" w:type="dxa"/>
            <w:tcBorders>
              <w:top w:val="nil"/>
              <w:left w:val="nil"/>
              <w:bottom w:val="nil"/>
              <w:right w:val="nil"/>
            </w:tcBorders>
          </w:tcPr>
          <w:p w14:paraId="68595416" w14:textId="77777777" w:rsidR="00755DA4" w:rsidRPr="0032355B" w:rsidRDefault="00755DA4" w:rsidP="000E24E3">
            <w:pPr>
              <w:spacing w:line="360" w:lineRule="auto"/>
            </w:pPr>
            <w:r w:rsidRPr="0032355B">
              <w:t>9.3%</w:t>
            </w:r>
          </w:p>
        </w:tc>
      </w:tr>
      <w:tr w:rsidR="00755DA4" w:rsidRPr="00A610B3" w14:paraId="1733AD39" w14:textId="77777777" w:rsidTr="000E24E3">
        <w:trPr>
          <w:trHeight w:val="280"/>
        </w:trPr>
        <w:tc>
          <w:tcPr>
            <w:tcW w:w="3544" w:type="dxa"/>
            <w:tcBorders>
              <w:top w:val="nil"/>
              <w:left w:val="nil"/>
              <w:bottom w:val="nil"/>
              <w:right w:val="nil"/>
            </w:tcBorders>
          </w:tcPr>
          <w:p w14:paraId="6746CD28" w14:textId="77777777" w:rsidR="00755DA4" w:rsidRPr="0032355B" w:rsidRDefault="00755DA4" w:rsidP="000E24E3">
            <w:pPr>
              <w:spacing w:line="360" w:lineRule="auto"/>
            </w:pPr>
            <w:r w:rsidRPr="0032355B">
              <w:t xml:space="preserve">     Caucasian/White</w:t>
            </w:r>
          </w:p>
        </w:tc>
        <w:tc>
          <w:tcPr>
            <w:tcW w:w="2267" w:type="dxa"/>
            <w:tcBorders>
              <w:top w:val="nil"/>
              <w:left w:val="nil"/>
              <w:bottom w:val="nil"/>
              <w:right w:val="nil"/>
            </w:tcBorders>
          </w:tcPr>
          <w:p w14:paraId="22395365" w14:textId="77777777" w:rsidR="00755DA4" w:rsidRPr="0032355B" w:rsidRDefault="00755DA4" w:rsidP="000E24E3">
            <w:pPr>
              <w:spacing w:line="360" w:lineRule="auto"/>
            </w:pPr>
            <w:r w:rsidRPr="0032355B">
              <w:t>69</w:t>
            </w:r>
          </w:p>
        </w:tc>
        <w:tc>
          <w:tcPr>
            <w:tcW w:w="1276" w:type="dxa"/>
            <w:tcBorders>
              <w:top w:val="nil"/>
              <w:left w:val="nil"/>
              <w:bottom w:val="nil"/>
              <w:right w:val="nil"/>
            </w:tcBorders>
          </w:tcPr>
          <w:p w14:paraId="0C4117B2" w14:textId="77777777" w:rsidR="00755DA4" w:rsidRPr="0032355B" w:rsidRDefault="00755DA4" w:rsidP="000E24E3">
            <w:pPr>
              <w:spacing w:line="360" w:lineRule="auto"/>
            </w:pPr>
            <w:r w:rsidRPr="0032355B">
              <w:t>71.9%</w:t>
            </w:r>
          </w:p>
        </w:tc>
        <w:tc>
          <w:tcPr>
            <w:tcW w:w="2409" w:type="dxa"/>
            <w:tcBorders>
              <w:top w:val="nil"/>
              <w:left w:val="nil"/>
              <w:bottom w:val="nil"/>
              <w:right w:val="nil"/>
            </w:tcBorders>
          </w:tcPr>
          <w:p w14:paraId="3836BE83" w14:textId="77777777" w:rsidR="00755DA4" w:rsidRPr="0032355B" w:rsidRDefault="00755DA4" w:rsidP="000E24E3">
            <w:pPr>
              <w:spacing w:line="360" w:lineRule="auto"/>
            </w:pPr>
            <w:r w:rsidRPr="0032355B">
              <w:t>75</w:t>
            </w:r>
          </w:p>
        </w:tc>
        <w:tc>
          <w:tcPr>
            <w:tcW w:w="1136" w:type="dxa"/>
            <w:tcBorders>
              <w:top w:val="nil"/>
              <w:left w:val="nil"/>
              <w:bottom w:val="nil"/>
              <w:right w:val="nil"/>
            </w:tcBorders>
          </w:tcPr>
          <w:p w14:paraId="27377FEF" w14:textId="77777777" w:rsidR="00755DA4" w:rsidRPr="0032355B" w:rsidRDefault="00755DA4" w:rsidP="000E24E3">
            <w:pPr>
              <w:spacing w:line="360" w:lineRule="auto"/>
            </w:pPr>
            <w:r w:rsidRPr="0032355B">
              <w:t>77.3%</w:t>
            </w:r>
          </w:p>
        </w:tc>
      </w:tr>
      <w:tr w:rsidR="00755DA4" w:rsidRPr="00A610B3" w14:paraId="2A353AF8" w14:textId="77777777" w:rsidTr="000E24E3">
        <w:trPr>
          <w:trHeight w:val="280"/>
        </w:trPr>
        <w:tc>
          <w:tcPr>
            <w:tcW w:w="3544" w:type="dxa"/>
            <w:tcBorders>
              <w:top w:val="nil"/>
              <w:left w:val="nil"/>
              <w:bottom w:val="nil"/>
              <w:right w:val="nil"/>
            </w:tcBorders>
          </w:tcPr>
          <w:p w14:paraId="34891C6E" w14:textId="77777777" w:rsidR="00755DA4" w:rsidRPr="0032355B" w:rsidRDefault="00755DA4" w:rsidP="000E24E3">
            <w:pPr>
              <w:spacing w:line="360" w:lineRule="auto"/>
            </w:pPr>
            <w:r w:rsidRPr="0032355B">
              <w:t xml:space="preserve">     Other</w:t>
            </w:r>
          </w:p>
        </w:tc>
        <w:tc>
          <w:tcPr>
            <w:tcW w:w="2267" w:type="dxa"/>
            <w:tcBorders>
              <w:top w:val="nil"/>
              <w:left w:val="nil"/>
              <w:bottom w:val="nil"/>
              <w:right w:val="nil"/>
            </w:tcBorders>
          </w:tcPr>
          <w:p w14:paraId="0B146EB2" w14:textId="77777777" w:rsidR="00755DA4" w:rsidRPr="0032355B" w:rsidRDefault="00755DA4" w:rsidP="000E24E3">
            <w:pPr>
              <w:spacing w:line="360" w:lineRule="auto"/>
            </w:pPr>
            <w:r w:rsidRPr="0032355B">
              <w:t>18</w:t>
            </w:r>
          </w:p>
        </w:tc>
        <w:tc>
          <w:tcPr>
            <w:tcW w:w="1276" w:type="dxa"/>
            <w:tcBorders>
              <w:top w:val="nil"/>
              <w:left w:val="nil"/>
              <w:bottom w:val="nil"/>
              <w:right w:val="nil"/>
            </w:tcBorders>
          </w:tcPr>
          <w:p w14:paraId="29E76820" w14:textId="77777777" w:rsidR="00755DA4" w:rsidRPr="0032355B" w:rsidRDefault="00755DA4" w:rsidP="000E24E3">
            <w:pPr>
              <w:spacing w:line="360" w:lineRule="auto"/>
            </w:pPr>
            <w:r w:rsidRPr="0032355B">
              <w:t>18.7%</w:t>
            </w:r>
          </w:p>
        </w:tc>
        <w:tc>
          <w:tcPr>
            <w:tcW w:w="2409" w:type="dxa"/>
            <w:tcBorders>
              <w:top w:val="nil"/>
              <w:left w:val="nil"/>
              <w:bottom w:val="nil"/>
              <w:right w:val="nil"/>
            </w:tcBorders>
          </w:tcPr>
          <w:p w14:paraId="2D9255B7" w14:textId="77777777" w:rsidR="00755DA4" w:rsidRPr="0032355B" w:rsidRDefault="00755DA4" w:rsidP="000E24E3">
            <w:pPr>
              <w:spacing w:line="360" w:lineRule="auto"/>
            </w:pPr>
            <w:r w:rsidRPr="0032355B">
              <w:t>13</w:t>
            </w:r>
          </w:p>
        </w:tc>
        <w:tc>
          <w:tcPr>
            <w:tcW w:w="1136" w:type="dxa"/>
            <w:tcBorders>
              <w:top w:val="nil"/>
              <w:left w:val="nil"/>
              <w:bottom w:val="nil"/>
              <w:right w:val="nil"/>
            </w:tcBorders>
          </w:tcPr>
          <w:p w14:paraId="61EF08E6" w14:textId="77777777" w:rsidR="00755DA4" w:rsidRPr="0032355B" w:rsidRDefault="00755DA4" w:rsidP="000E24E3">
            <w:pPr>
              <w:spacing w:line="360" w:lineRule="auto"/>
            </w:pPr>
            <w:r w:rsidRPr="0032355B">
              <w:t>13.5%</w:t>
            </w:r>
          </w:p>
        </w:tc>
      </w:tr>
      <w:tr w:rsidR="00755DA4" w:rsidRPr="00A610B3" w14:paraId="6FD4765A" w14:textId="77777777" w:rsidTr="000E24E3">
        <w:trPr>
          <w:trHeight w:val="280"/>
        </w:trPr>
        <w:tc>
          <w:tcPr>
            <w:tcW w:w="3544" w:type="dxa"/>
            <w:tcBorders>
              <w:top w:val="nil"/>
              <w:left w:val="nil"/>
              <w:bottom w:val="nil"/>
              <w:right w:val="nil"/>
            </w:tcBorders>
          </w:tcPr>
          <w:p w14:paraId="572406A5" w14:textId="77777777" w:rsidR="00755DA4" w:rsidRPr="0032355B" w:rsidRDefault="00755DA4" w:rsidP="000E24E3">
            <w:pPr>
              <w:spacing w:line="360" w:lineRule="auto"/>
            </w:pPr>
            <w:r w:rsidRPr="0032355B">
              <w:t>Annual income (household)</w:t>
            </w:r>
          </w:p>
        </w:tc>
        <w:tc>
          <w:tcPr>
            <w:tcW w:w="2267" w:type="dxa"/>
            <w:tcBorders>
              <w:top w:val="nil"/>
              <w:left w:val="nil"/>
              <w:bottom w:val="nil"/>
              <w:right w:val="nil"/>
            </w:tcBorders>
          </w:tcPr>
          <w:p w14:paraId="1C1FDDE2" w14:textId="77777777" w:rsidR="00755DA4" w:rsidRPr="0032355B" w:rsidRDefault="00755DA4" w:rsidP="000E24E3">
            <w:pPr>
              <w:spacing w:line="360" w:lineRule="auto"/>
            </w:pPr>
          </w:p>
        </w:tc>
        <w:tc>
          <w:tcPr>
            <w:tcW w:w="1276" w:type="dxa"/>
            <w:tcBorders>
              <w:top w:val="nil"/>
              <w:left w:val="nil"/>
              <w:bottom w:val="nil"/>
              <w:right w:val="nil"/>
            </w:tcBorders>
          </w:tcPr>
          <w:p w14:paraId="0D8FD6D6" w14:textId="77777777" w:rsidR="00755DA4" w:rsidRPr="0032355B" w:rsidRDefault="00755DA4" w:rsidP="000E24E3">
            <w:pPr>
              <w:spacing w:line="360" w:lineRule="auto"/>
            </w:pPr>
          </w:p>
        </w:tc>
        <w:tc>
          <w:tcPr>
            <w:tcW w:w="2409" w:type="dxa"/>
            <w:tcBorders>
              <w:top w:val="nil"/>
              <w:left w:val="nil"/>
              <w:bottom w:val="nil"/>
              <w:right w:val="nil"/>
            </w:tcBorders>
          </w:tcPr>
          <w:p w14:paraId="623177E7" w14:textId="77777777" w:rsidR="00755DA4" w:rsidRPr="00A610B3" w:rsidRDefault="00755DA4" w:rsidP="000E24E3">
            <w:pPr>
              <w:spacing w:line="360" w:lineRule="auto"/>
              <w:rPr>
                <w:highlight w:val="yellow"/>
              </w:rPr>
            </w:pPr>
          </w:p>
        </w:tc>
        <w:tc>
          <w:tcPr>
            <w:tcW w:w="1136" w:type="dxa"/>
            <w:tcBorders>
              <w:top w:val="nil"/>
              <w:left w:val="nil"/>
              <w:bottom w:val="nil"/>
              <w:right w:val="nil"/>
            </w:tcBorders>
          </w:tcPr>
          <w:p w14:paraId="1ED1C08C" w14:textId="77777777" w:rsidR="00755DA4" w:rsidRPr="00A610B3" w:rsidRDefault="00755DA4" w:rsidP="000E24E3">
            <w:pPr>
              <w:spacing w:line="360" w:lineRule="auto"/>
              <w:rPr>
                <w:highlight w:val="yellow"/>
              </w:rPr>
            </w:pPr>
          </w:p>
        </w:tc>
      </w:tr>
      <w:tr w:rsidR="00755DA4" w:rsidRPr="00A610B3" w14:paraId="0432D68B" w14:textId="77777777" w:rsidTr="000E24E3">
        <w:trPr>
          <w:trHeight w:val="280"/>
        </w:trPr>
        <w:tc>
          <w:tcPr>
            <w:tcW w:w="3544" w:type="dxa"/>
            <w:tcBorders>
              <w:top w:val="nil"/>
              <w:left w:val="nil"/>
              <w:bottom w:val="nil"/>
              <w:right w:val="nil"/>
            </w:tcBorders>
          </w:tcPr>
          <w:p w14:paraId="44CD3D14" w14:textId="77777777" w:rsidR="00755DA4" w:rsidRPr="0032355B" w:rsidRDefault="00755DA4" w:rsidP="000E24E3">
            <w:pPr>
              <w:spacing w:line="360" w:lineRule="auto"/>
            </w:pPr>
            <w:r w:rsidRPr="0032355B">
              <w:t xml:space="preserve">     $0—19,999</w:t>
            </w:r>
          </w:p>
        </w:tc>
        <w:tc>
          <w:tcPr>
            <w:tcW w:w="2267" w:type="dxa"/>
            <w:tcBorders>
              <w:top w:val="nil"/>
              <w:left w:val="nil"/>
              <w:bottom w:val="nil"/>
              <w:right w:val="nil"/>
            </w:tcBorders>
          </w:tcPr>
          <w:p w14:paraId="10ACEEC7" w14:textId="77777777" w:rsidR="00755DA4" w:rsidRPr="0032355B" w:rsidRDefault="00755DA4" w:rsidP="000E24E3">
            <w:pPr>
              <w:spacing w:line="360" w:lineRule="auto"/>
            </w:pPr>
            <w:r w:rsidRPr="0032355B">
              <w:t>13</w:t>
            </w:r>
          </w:p>
        </w:tc>
        <w:tc>
          <w:tcPr>
            <w:tcW w:w="1276" w:type="dxa"/>
            <w:tcBorders>
              <w:top w:val="nil"/>
              <w:left w:val="nil"/>
              <w:bottom w:val="nil"/>
              <w:right w:val="nil"/>
            </w:tcBorders>
          </w:tcPr>
          <w:p w14:paraId="5550F8D8" w14:textId="77777777" w:rsidR="00755DA4" w:rsidRPr="0032355B" w:rsidRDefault="00755DA4" w:rsidP="000E24E3">
            <w:pPr>
              <w:spacing w:line="360" w:lineRule="auto"/>
            </w:pPr>
            <w:r w:rsidRPr="0032355B">
              <w:t>13.6%</w:t>
            </w:r>
          </w:p>
        </w:tc>
        <w:tc>
          <w:tcPr>
            <w:tcW w:w="2409" w:type="dxa"/>
            <w:tcBorders>
              <w:top w:val="nil"/>
              <w:left w:val="nil"/>
              <w:bottom w:val="nil"/>
              <w:right w:val="nil"/>
            </w:tcBorders>
          </w:tcPr>
          <w:p w14:paraId="1E676B49"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008B89D1" w14:textId="77777777" w:rsidR="00755DA4" w:rsidRPr="0032355B" w:rsidRDefault="00755DA4" w:rsidP="000E24E3">
            <w:pPr>
              <w:spacing w:line="360" w:lineRule="auto"/>
              <w:jc w:val="center"/>
            </w:pPr>
            <w:r w:rsidRPr="0032355B">
              <w:t>-</w:t>
            </w:r>
          </w:p>
        </w:tc>
      </w:tr>
      <w:tr w:rsidR="00755DA4" w:rsidRPr="00A610B3" w14:paraId="3F6D10EA" w14:textId="77777777" w:rsidTr="000E24E3">
        <w:trPr>
          <w:trHeight w:val="280"/>
        </w:trPr>
        <w:tc>
          <w:tcPr>
            <w:tcW w:w="3544" w:type="dxa"/>
            <w:tcBorders>
              <w:top w:val="nil"/>
              <w:left w:val="nil"/>
              <w:bottom w:val="nil"/>
              <w:right w:val="nil"/>
            </w:tcBorders>
          </w:tcPr>
          <w:p w14:paraId="2D5D4E24" w14:textId="77777777" w:rsidR="00755DA4" w:rsidRPr="0032355B" w:rsidRDefault="00755DA4" w:rsidP="000E24E3">
            <w:pPr>
              <w:spacing w:line="360" w:lineRule="auto"/>
            </w:pPr>
            <w:r w:rsidRPr="0032355B">
              <w:t xml:space="preserve">     $20,000—39,999</w:t>
            </w:r>
          </w:p>
        </w:tc>
        <w:tc>
          <w:tcPr>
            <w:tcW w:w="2267" w:type="dxa"/>
            <w:tcBorders>
              <w:top w:val="nil"/>
              <w:left w:val="nil"/>
              <w:bottom w:val="nil"/>
              <w:right w:val="nil"/>
            </w:tcBorders>
          </w:tcPr>
          <w:p w14:paraId="6F8B9087" w14:textId="77777777" w:rsidR="00755DA4" w:rsidRPr="0032355B" w:rsidRDefault="00755DA4" w:rsidP="000E24E3">
            <w:pPr>
              <w:spacing w:line="360" w:lineRule="auto"/>
            </w:pPr>
            <w:r w:rsidRPr="0032355B">
              <w:t>16</w:t>
            </w:r>
          </w:p>
        </w:tc>
        <w:tc>
          <w:tcPr>
            <w:tcW w:w="1276" w:type="dxa"/>
            <w:tcBorders>
              <w:top w:val="nil"/>
              <w:left w:val="nil"/>
              <w:bottom w:val="nil"/>
              <w:right w:val="nil"/>
            </w:tcBorders>
          </w:tcPr>
          <w:p w14:paraId="5834769A" w14:textId="77777777" w:rsidR="00755DA4" w:rsidRPr="0032355B" w:rsidRDefault="00755DA4" w:rsidP="000E24E3">
            <w:pPr>
              <w:spacing w:line="360" w:lineRule="auto"/>
            </w:pPr>
            <w:r w:rsidRPr="0032355B">
              <w:t>16.7%</w:t>
            </w:r>
          </w:p>
        </w:tc>
        <w:tc>
          <w:tcPr>
            <w:tcW w:w="2409" w:type="dxa"/>
            <w:tcBorders>
              <w:top w:val="nil"/>
              <w:left w:val="nil"/>
              <w:bottom w:val="nil"/>
              <w:right w:val="nil"/>
            </w:tcBorders>
          </w:tcPr>
          <w:p w14:paraId="6FB6D539"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541EDF65" w14:textId="77777777" w:rsidR="00755DA4" w:rsidRPr="0032355B" w:rsidRDefault="00755DA4" w:rsidP="000E24E3">
            <w:pPr>
              <w:spacing w:line="360" w:lineRule="auto"/>
              <w:jc w:val="center"/>
            </w:pPr>
            <w:r w:rsidRPr="0032355B">
              <w:t>-</w:t>
            </w:r>
          </w:p>
        </w:tc>
      </w:tr>
      <w:tr w:rsidR="00755DA4" w:rsidRPr="00A610B3" w14:paraId="198CA05D" w14:textId="77777777" w:rsidTr="000E24E3">
        <w:trPr>
          <w:trHeight w:val="280"/>
        </w:trPr>
        <w:tc>
          <w:tcPr>
            <w:tcW w:w="3544" w:type="dxa"/>
            <w:tcBorders>
              <w:top w:val="nil"/>
              <w:left w:val="nil"/>
              <w:bottom w:val="nil"/>
              <w:right w:val="nil"/>
            </w:tcBorders>
          </w:tcPr>
          <w:p w14:paraId="562EB813" w14:textId="77777777" w:rsidR="00755DA4" w:rsidRPr="0032355B" w:rsidRDefault="00755DA4" w:rsidP="000E24E3">
            <w:pPr>
              <w:spacing w:line="360" w:lineRule="auto"/>
            </w:pPr>
            <w:r w:rsidRPr="0032355B">
              <w:t xml:space="preserve">     $40,000—59,999</w:t>
            </w:r>
          </w:p>
        </w:tc>
        <w:tc>
          <w:tcPr>
            <w:tcW w:w="2267" w:type="dxa"/>
            <w:tcBorders>
              <w:top w:val="nil"/>
              <w:left w:val="nil"/>
              <w:bottom w:val="nil"/>
              <w:right w:val="nil"/>
            </w:tcBorders>
          </w:tcPr>
          <w:p w14:paraId="59588D4A" w14:textId="77777777" w:rsidR="00755DA4" w:rsidRPr="0032355B" w:rsidRDefault="00755DA4" w:rsidP="000E24E3">
            <w:pPr>
              <w:spacing w:line="360" w:lineRule="auto"/>
            </w:pPr>
            <w:r w:rsidRPr="0032355B">
              <w:t>15</w:t>
            </w:r>
          </w:p>
        </w:tc>
        <w:tc>
          <w:tcPr>
            <w:tcW w:w="1276" w:type="dxa"/>
            <w:tcBorders>
              <w:top w:val="nil"/>
              <w:left w:val="nil"/>
              <w:bottom w:val="nil"/>
              <w:right w:val="nil"/>
            </w:tcBorders>
          </w:tcPr>
          <w:p w14:paraId="3531284D" w14:textId="77777777" w:rsidR="00755DA4" w:rsidRPr="0032355B" w:rsidRDefault="00755DA4" w:rsidP="000E24E3">
            <w:pPr>
              <w:spacing w:line="360" w:lineRule="auto"/>
            </w:pPr>
            <w:r w:rsidRPr="0032355B">
              <w:t>15.7%</w:t>
            </w:r>
          </w:p>
        </w:tc>
        <w:tc>
          <w:tcPr>
            <w:tcW w:w="2409" w:type="dxa"/>
            <w:tcBorders>
              <w:top w:val="nil"/>
              <w:left w:val="nil"/>
              <w:bottom w:val="nil"/>
              <w:right w:val="nil"/>
            </w:tcBorders>
          </w:tcPr>
          <w:p w14:paraId="39E3D256"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74090834" w14:textId="77777777" w:rsidR="00755DA4" w:rsidRPr="0032355B" w:rsidRDefault="00755DA4" w:rsidP="000E24E3">
            <w:pPr>
              <w:spacing w:line="360" w:lineRule="auto"/>
              <w:jc w:val="center"/>
            </w:pPr>
            <w:r w:rsidRPr="0032355B">
              <w:t>-</w:t>
            </w:r>
          </w:p>
        </w:tc>
      </w:tr>
      <w:tr w:rsidR="00755DA4" w:rsidRPr="00A610B3" w14:paraId="3DAEA1E2" w14:textId="77777777" w:rsidTr="000E24E3">
        <w:trPr>
          <w:trHeight w:val="280"/>
        </w:trPr>
        <w:tc>
          <w:tcPr>
            <w:tcW w:w="3544" w:type="dxa"/>
            <w:tcBorders>
              <w:top w:val="nil"/>
              <w:left w:val="nil"/>
              <w:bottom w:val="nil"/>
              <w:right w:val="nil"/>
            </w:tcBorders>
          </w:tcPr>
          <w:p w14:paraId="42F0D1CC" w14:textId="77777777" w:rsidR="00755DA4" w:rsidRPr="0032355B" w:rsidRDefault="00755DA4" w:rsidP="000E24E3">
            <w:pPr>
              <w:spacing w:line="360" w:lineRule="auto"/>
            </w:pPr>
            <w:r w:rsidRPr="0032355B">
              <w:t xml:space="preserve">     $60,000—79,999</w:t>
            </w:r>
          </w:p>
        </w:tc>
        <w:tc>
          <w:tcPr>
            <w:tcW w:w="2267" w:type="dxa"/>
            <w:tcBorders>
              <w:top w:val="nil"/>
              <w:left w:val="nil"/>
              <w:bottom w:val="nil"/>
              <w:right w:val="nil"/>
            </w:tcBorders>
          </w:tcPr>
          <w:p w14:paraId="2BAD59ED" w14:textId="77777777" w:rsidR="00755DA4" w:rsidRPr="0032355B" w:rsidRDefault="00755DA4" w:rsidP="000E24E3">
            <w:pPr>
              <w:spacing w:line="360" w:lineRule="auto"/>
            </w:pPr>
            <w:r w:rsidRPr="0032355B">
              <w:t>20</w:t>
            </w:r>
          </w:p>
        </w:tc>
        <w:tc>
          <w:tcPr>
            <w:tcW w:w="1276" w:type="dxa"/>
            <w:tcBorders>
              <w:top w:val="nil"/>
              <w:left w:val="nil"/>
              <w:bottom w:val="nil"/>
              <w:right w:val="nil"/>
            </w:tcBorders>
          </w:tcPr>
          <w:p w14:paraId="345F9245" w14:textId="77777777" w:rsidR="00755DA4" w:rsidRPr="0032355B" w:rsidRDefault="00755DA4" w:rsidP="000E24E3">
            <w:pPr>
              <w:spacing w:line="360" w:lineRule="auto"/>
            </w:pPr>
            <w:r w:rsidRPr="0032355B">
              <w:t>20.8%</w:t>
            </w:r>
          </w:p>
        </w:tc>
        <w:tc>
          <w:tcPr>
            <w:tcW w:w="2409" w:type="dxa"/>
            <w:tcBorders>
              <w:top w:val="nil"/>
              <w:left w:val="nil"/>
              <w:bottom w:val="nil"/>
              <w:right w:val="nil"/>
            </w:tcBorders>
          </w:tcPr>
          <w:p w14:paraId="517B2B3F"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7D36E2FB" w14:textId="77777777" w:rsidR="00755DA4" w:rsidRPr="0032355B" w:rsidRDefault="00755DA4" w:rsidP="000E24E3">
            <w:pPr>
              <w:spacing w:line="360" w:lineRule="auto"/>
              <w:jc w:val="center"/>
            </w:pPr>
            <w:r w:rsidRPr="0032355B">
              <w:t>-</w:t>
            </w:r>
          </w:p>
        </w:tc>
      </w:tr>
      <w:tr w:rsidR="00755DA4" w:rsidRPr="00A610B3" w14:paraId="5BA794FD" w14:textId="77777777" w:rsidTr="000E24E3">
        <w:trPr>
          <w:trHeight w:val="280"/>
        </w:trPr>
        <w:tc>
          <w:tcPr>
            <w:tcW w:w="3544" w:type="dxa"/>
            <w:tcBorders>
              <w:top w:val="nil"/>
              <w:left w:val="nil"/>
              <w:bottom w:val="nil"/>
              <w:right w:val="nil"/>
            </w:tcBorders>
          </w:tcPr>
          <w:p w14:paraId="6F8527C0" w14:textId="77777777" w:rsidR="00755DA4" w:rsidRPr="0032355B" w:rsidRDefault="00755DA4" w:rsidP="000E24E3">
            <w:pPr>
              <w:spacing w:line="360" w:lineRule="auto"/>
            </w:pPr>
            <w:r w:rsidRPr="0032355B">
              <w:t xml:space="preserve">     $80,000—99,999</w:t>
            </w:r>
          </w:p>
        </w:tc>
        <w:tc>
          <w:tcPr>
            <w:tcW w:w="2267" w:type="dxa"/>
            <w:tcBorders>
              <w:top w:val="nil"/>
              <w:left w:val="nil"/>
              <w:bottom w:val="nil"/>
              <w:right w:val="nil"/>
            </w:tcBorders>
          </w:tcPr>
          <w:p w14:paraId="6252E9FB" w14:textId="77777777" w:rsidR="00755DA4" w:rsidRPr="0032355B" w:rsidRDefault="00755DA4" w:rsidP="000E24E3">
            <w:pPr>
              <w:spacing w:line="360" w:lineRule="auto"/>
            </w:pPr>
            <w:r w:rsidRPr="0032355B">
              <w:t>11</w:t>
            </w:r>
          </w:p>
        </w:tc>
        <w:tc>
          <w:tcPr>
            <w:tcW w:w="1276" w:type="dxa"/>
            <w:tcBorders>
              <w:top w:val="nil"/>
              <w:left w:val="nil"/>
              <w:bottom w:val="nil"/>
              <w:right w:val="nil"/>
            </w:tcBorders>
          </w:tcPr>
          <w:p w14:paraId="21E73E7E" w14:textId="77777777" w:rsidR="00755DA4" w:rsidRPr="0032355B" w:rsidRDefault="00755DA4" w:rsidP="000E24E3">
            <w:pPr>
              <w:spacing w:line="360" w:lineRule="auto"/>
            </w:pPr>
            <w:r w:rsidRPr="0032355B">
              <w:t>11.5%</w:t>
            </w:r>
          </w:p>
        </w:tc>
        <w:tc>
          <w:tcPr>
            <w:tcW w:w="2409" w:type="dxa"/>
            <w:tcBorders>
              <w:top w:val="nil"/>
              <w:left w:val="nil"/>
              <w:bottom w:val="nil"/>
              <w:right w:val="nil"/>
            </w:tcBorders>
          </w:tcPr>
          <w:p w14:paraId="3F55285D"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40FA414A" w14:textId="77777777" w:rsidR="00755DA4" w:rsidRPr="0032355B" w:rsidRDefault="00755DA4" w:rsidP="000E24E3">
            <w:pPr>
              <w:spacing w:line="360" w:lineRule="auto"/>
              <w:jc w:val="center"/>
            </w:pPr>
            <w:r w:rsidRPr="0032355B">
              <w:t>-</w:t>
            </w:r>
          </w:p>
        </w:tc>
      </w:tr>
      <w:tr w:rsidR="00755DA4" w:rsidRPr="00A610B3" w14:paraId="724FFE4B" w14:textId="77777777" w:rsidTr="000E24E3">
        <w:trPr>
          <w:trHeight w:val="280"/>
        </w:trPr>
        <w:tc>
          <w:tcPr>
            <w:tcW w:w="3544" w:type="dxa"/>
            <w:tcBorders>
              <w:top w:val="nil"/>
              <w:left w:val="nil"/>
              <w:bottom w:val="nil"/>
              <w:right w:val="nil"/>
            </w:tcBorders>
          </w:tcPr>
          <w:p w14:paraId="470B9756" w14:textId="77777777" w:rsidR="00755DA4" w:rsidRPr="0032355B" w:rsidRDefault="00755DA4" w:rsidP="000E24E3">
            <w:pPr>
              <w:pBdr>
                <w:top w:val="nil"/>
                <w:left w:val="nil"/>
                <w:bottom w:val="nil"/>
                <w:right w:val="nil"/>
                <w:between w:val="nil"/>
              </w:pBdr>
              <w:spacing w:line="360" w:lineRule="auto"/>
              <w:rPr>
                <w:color w:val="000000"/>
              </w:rPr>
            </w:pPr>
            <w:r w:rsidRPr="0032355B">
              <w:rPr>
                <w:rFonts w:eastAsia="Gungsuh"/>
                <w:color w:val="000000"/>
              </w:rPr>
              <w:t xml:space="preserve">     ≥ $100,000</w:t>
            </w:r>
          </w:p>
        </w:tc>
        <w:tc>
          <w:tcPr>
            <w:tcW w:w="2267" w:type="dxa"/>
            <w:tcBorders>
              <w:top w:val="nil"/>
              <w:left w:val="nil"/>
              <w:bottom w:val="nil"/>
              <w:right w:val="nil"/>
            </w:tcBorders>
          </w:tcPr>
          <w:p w14:paraId="22B98786" w14:textId="77777777" w:rsidR="00755DA4" w:rsidRPr="0032355B" w:rsidRDefault="00755DA4" w:rsidP="000E24E3">
            <w:pPr>
              <w:spacing w:line="360" w:lineRule="auto"/>
            </w:pPr>
            <w:r w:rsidRPr="0032355B">
              <w:t>21</w:t>
            </w:r>
          </w:p>
        </w:tc>
        <w:tc>
          <w:tcPr>
            <w:tcW w:w="1276" w:type="dxa"/>
            <w:tcBorders>
              <w:top w:val="nil"/>
              <w:left w:val="nil"/>
              <w:bottom w:val="nil"/>
              <w:right w:val="nil"/>
            </w:tcBorders>
          </w:tcPr>
          <w:p w14:paraId="4290EBE2" w14:textId="77777777" w:rsidR="00755DA4" w:rsidRPr="0032355B" w:rsidRDefault="00755DA4" w:rsidP="000E24E3">
            <w:pPr>
              <w:spacing w:line="360" w:lineRule="auto"/>
            </w:pPr>
            <w:r w:rsidRPr="0032355B">
              <w:t>21.9%</w:t>
            </w:r>
          </w:p>
        </w:tc>
        <w:tc>
          <w:tcPr>
            <w:tcW w:w="2409" w:type="dxa"/>
            <w:tcBorders>
              <w:top w:val="nil"/>
              <w:left w:val="nil"/>
              <w:bottom w:val="nil"/>
              <w:right w:val="nil"/>
            </w:tcBorders>
          </w:tcPr>
          <w:p w14:paraId="4CB60C86"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7F0B5F32" w14:textId="77777777" w:rsidR="00755DA4" w:rsidRPr="0032355B" w:rsidRDefault="00755DA4" w:rsidP="000E24E3">
            <w:pPr>
              <w:spacing w:line="360" w:lineRule="auto"/>
              <w:jc w:val="center"/>
            </w:pPr>
            <w:r w:rsidRPr="0032355B">
              <w:t>-</w:t>
            </w:r>
          </w:p>
        </w:tc>
      </w:tr>
      <w:tr w:rsidR="00755DA4" w:rsidRPr="00A610B3" w14:paraId="14211DB6" w14:textId="77777777" w:rsidTr="000E24E3">
        <w:trPr>
          <w:trHeight w:val="280"/>
        </w:trPr>
        <w:tc>
          <w:tcPr>
            <w:tcW w:w="3544" w:type="dxa"/>
            <w:tcBorders>
              <w:top w:val="nil"/>
              <w:left w:val="nil"/>
              <w:bottom w:val="nil"/>
              <w:right w:val="nil"/>
            </w:tcBorders>
          </w:tcPr>
          <w:p w14:paraId="01DB6A47"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Relationship status</w:t>
            </w:r>
          </w:p>
        </w:tc>
        <w:tc>
          <w:tcPr>
            <w:tcW w:w="2267" w:type="dxa"/>
            <w:tcBorders>
              <w:top w:val="nil"/>
              <w:left w:val="nil"/>
              <w:bottom w:val="nil"/>
              <w:right w:val="nil"/>
            </w:tcBorders>
          </w:tcPr>
          <w:p w14:paraId="5988CFFA" w14:textId="77777777" w:rsidR="00755DA4" w:rsidRPr="0032355B" w:rsidRDefault="00755DA4" w:rsidP="000E24E3">
            <w:pPr>
              <w:spacing w:line="360" w:lineRule="auto"/>
            </w:pPr>
          </w:p>
        </w:tc>
        <w:tc>
          <w:tcPr>
            <w:tcW w:w="1276" w:type="dxa"/>
            <w:tcBorders>
              <w:top w:val="nil"/>
              <w:left w:val="nil"/>
              <w:bottom w:val="nil"/>
              <w:right w:val="nil"/>
            </w:tcBorders>
          </w:tcPr>
          <w:p w14:paraId="709F8DC6" w14:textId="77777777" w:rsidR="00755DA4" w:rsidRPr="0032355B" w:rsidRDefault="00755DA4" w:rsidP="000E24E3">
            <w:pPr>
              <w:spacing w:line="360" w:lineRule="auto"/>
            </w:pPr>
          </w:p>
        </w:tc>
        <w:tc>
          <w:tcPr>
            <w:tcW w:w="2409" w:type="dxa"/>
            <w:tcBorders>
              <w:top w:val="nil"/>
              <w:left w:val="nil"/>
              <w:bottom w:val="nil"/>
              <w:right w:val="nil"/>
            </w:tcBorders>
          </w:tcPr>
          <w:p w14:paraId="340EE19D" w14:textId="77777777" w:rsidR="00755DA4" w:rsidRPr="0032355B" w:rsidRDefault="00755DA4" w:rsidP="000E24E3">
            <w:pPr>
              <w:spacing w:line="360" w:lineRule="auto"/>
              <w:jc w:val="center"/>
            </w:pPr>
          </w:p>
        </w:tc>
        <w:tc>
          <w:tcPr>
            <w:tcW w:w="1136" w:type="dxa"/>
            <w:tcBorders>
              <w:top w:val="nil"/>
              <w:left w:val="nil"/>
              <w:bottom w:val="nil"/>
              <w:right w:val="nil"/>
            </w:tcBorders>
          </w:tcPr>
          <w:p w14:paraId="39F2011A" w14:textId="77777777" w:rsidR="00755DA4" w:rsidRPr="0032355B" w:rsidRDefault="00755DA4" w:rsidP="000E24E3">
            <w:pPr>
              <w:spacing w:line="360" w:lineRule="auto"/>
              <w:jc w:val="center"/>
            </w:pPr>
          </w:p>
        </w:tc>
      </w:tr>
      <w:tr w:rsidR="00755DA4" w:rsidRPr="00A610B3" w14:paraId="0A815E50" w14:textId="77777777" w:rsidTr="000E24E3">
        <w:trPr>
          <w:trHeight w:val="280"/>
        </w:trPr>
        <w:tc>
          <w:tcPr>
            <w:tcW w:w="3544" w:type="dxa"/>
            <w:tcBorders>
              <w:top w:val="nil"/>
              <w:left w:val="nil"/>
              <w:bottom w:val="nil"/>
              <w:right w:val="nil"/>
            </w:tcBorders>
          </w:tcPr>
          <w:p w14:paraId="557D8BBC"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 xml:space="preserve">     Dating</w:t>
            </w:r>
          </w:p>
        </w:tc>
        <w:tc>
          <w:tcPr>
            <w:tcW w:w="2267" w:type="dxa"/>
            <w:tcBorders>
              <w:top w:val="nil"/>
              <w:left w:val="nil"/>
              <w:bottom w:val="nil"/>
              <w:right w:val="nil"/>
            </w:tcBorders>
          </w:tcPr>
          <w:p w14:paraId="4C66831D" w14:textId="77777777" w:rsidR="00755DA4" w:rsidRPr="0032355B" w:rsidRDefault="00755DA4" w:rsidP="000E24E3">
            <w:pPr>
              <w:spacing w:line="360" w:lineRule="auto"/>
            </w:pPr>
            <w:r w:rsidRPr="0032355B">
              <w:t>10</w:t>
            </w:r>
          </w:p>
        </w:tc>
        <w:tc>
          <w:tcPr>
            <w:tcW w:w="1276" w:type="dxa"/>
            <w:tcBorders>
              <w:top w:val="nil"/>
              <w:left w:val="nil"/>
              <w:bottom w:val="nil"/>
              <w:right w:val="nil"/>
            </w:tcBorders>
          </w:tcPr>
          <w:p w14:paraId="13C0C4E2" w14:textId="77777777" w:rsidR="00755DA4" w:rsidRPr="0032355B" w:rsidRDefault="00755DA4" w:rsidP="000E24E3">
            <w:pPr>
              <w:spacing w:line="360" w:lineRule="auto"/>
            </w:pPr>
            <w:r w:rsidRPr="0032355B">
              <w:t>10.3%</w:t>
            </w:r>
          </w:p>
        </w:tc>
        <w:tc>
          <w:tcPr>
            <w:tcW w:w="2409" w:type="dxa"/>
            <w:tcBorders>
              <w:top w:val="nil"/>
              <w:left w:val="nil"/>
              <w:bottom w:val="nil"/>
              <w:right w:val="nil"/>
            </w:tcBorders>
          </w:tcPr>
          <w:p w14:paraId="654DC14E"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72FDB7CE" w14:textId="77777777" w:rsidR="00755DA4" w:rsidRPr="0032355B" w:rsidRDefault="00755DA4" w:rsidP="000E24E3">
            <w:pPr>
              <w:spacing w:line="360" w:lineRule="auto"/>
              <w:jc w:val="center"/>
            </w:pPr>
            <w:r w:rsidRPr="0032355B">
              <w:t>-</w:t>
            </w:r>
          </w:p>
        </w:tc>
      </w:tr>
      <w:tr w:rsidR="00755DA4" w:rsidRPr="00A610B3" w14:paraId="75E00677" w14:textId="77777777" w:rsidTr="000E24E3">
        <w:trPr>
          <w:trHeight w:val="280"/>
        </w:trPr>
        <w:tc>
          <w:tcPr>
            <w:tcW w:w="3544" w:type="dxa"/>
            <w:tcBorders>
              <w:top w:val="nil"/>
              <w:left w:val="nil"/>
              <w:bottom w:val="nil"/>
              <w:right w:val="nil"/>
            </w:tcBorders>
          </w:tcPr>
          <w:p w14:paraId="200BDBEF"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 xml:space="preserve">     Cohabitating</w:t>
            </w:r>
          </w:p>
        </w:tc>
        <w:tc>
          <w:tcPr>
            <w:tcW w:w="2267" w:type="dxa"/>
            <w:tcBorders>
              <w:top w:val="nil"/>
              <w:left w:val="nil"/>
              <w:bottom w:val="nil"/>
              <w:right w:val="nil"/>
            </w:tcBorders>
          </w:tcPr>
          <w:p w14:paraId="0201347F" w14:textId="77777777" w:rsidR="00755DA4" w:rsidRPr="0032355B" w:rsidRDefault="00755DA4" w:rsidP="000E24E3">
            <w:pPr>
              <w:spacing w:line="360" w:lineRule="auto"/>
            </w:pPr>
            <w:r w:rsidRPr="0032355B">
              <w:t>26</w:t>
            </w:r>
          </w:p>
        </w:tc>
        <w:tc>
          <w:tcPr>
            <w:tcW w:w="1276" w:type="dxa"/>
            <w:tcBorders>
              <w:top w:val="nil"/>
              <w:left w:val="nil"/>
              <w:bottom w:val="nil"/>
              <w:right w:val="nil"/>
            </w:tcBorders>
          </w:tcPr>
          <w:p w14:paraId="0347A95B" w14:textId="77777777" w:rsidR="00755DA4" w:rsidRPr="0032355B" w:rsidRDefault="00755DA4" w:rsidP="000E24E3">
            <w:pPr>
              <w:spacing w:line="360" w:lineRule="auto"/>
            </w:pPr>
            <w:r w:rsidRPr="0032355B">
              <w:t>26.8%</w:t>
            </w:r>
          </w:p>
        </w:tc>
        <w:tc>
          <w:tcPr>
            <w:tcW w:w="2409" w:type="dxa"/>
            <w:tcBorders>
              <w:top w:val="nil"/>
              <w:left w:val="nil"/>
              <w:bottom w:val="nil"/>
              <w:right w:val="nil"/>
            </w:tcBorders>
          </w:tcPr>
          <w:p w14:paraId="6F38CAE5"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70CCA4ED" w14:textId="77777777" w:rsidR="00755DA4" w:rsidRPr="0032355B" w:rsidRDefault="00755DA4" w:rsidP="000E24E3">
            <w:pPr>
              <w:spacing w:line="360" w:lineRule="auto"/>
              <w:jc w:val="center"/>
            </w:pPr>
            <w:r w:rsidRPr="0032355B">
              <w:t>-</w:t>
            </w:r>
          </w:p>
        </w:tc>
      </w:tr>
      <w:tr w:rsidR="00755DA4" w:rsidRPr="00A610B3" w14:paraId="20316D48" w14:textId="77777777" w:rsidTr="000E24E3">
        <w:trPr>
          <w:trHeight w:val="280"/>
        </w:trPr>
        <w:tc>
          <w:tcPr>
            <w:tcW w:w="3544" w:type="dxa"/>
            <w:tcBorders>
              <w:top w:val="nil"/>
              <w:left w:val="nil"/>
              <w:bottom w:val="nil"/>
              <w:right w:val="nil"/>
            </w:tcBorders>
          </w:tcPr>
          <w:p w14:paraId="2E64F280"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 xml:space="preserve">     Common-law</w:t>
            </w:r>
          </w:p>
        </w:tc>
        <w:tc>
          <w:tcPr>
            <w:tcW w:w="2267" w:type="dxa"/>
            <w:tcBorders>
              <w:top w:val="nil"/>
              <w:left w:val="nil"/>
              <w:bottom w:val="nil"/>
              <w:right w:val="nil"/>
            </w:tcBorders>
          </w:tcPr>
          <w:p w14:paraId="71B7E84C" w14:textId="77777777" w:rsidR="00755DA4" w:rsidRPr="0032355B" w:rsidRDefault="00755DA4" w:rsidP="000E24E3">
            <w:pPr>
              <w:spacing w:line="360" w:lineRule="auto"/>
            </w:pPr>
            <w:r w:rsidRPr="0032355B">
              <w:t>13</w:t>
            </w:r>
          </w:p>
        </w:tc>
        <w:tc>
          <w:tcPr>
            <w:tcW w:w="1276" w:type="dxa"/>
            <w:tcBorders>
              <w:top w:val="nil"/>
              <w:left w:val="nil"/>
              <w:bottom w:val="nil"/>
              <w:right w:val="nil"/>
            </w:tcBorders>
          </w:tcPr>
          <w:p w14:paraId="3757969C" w14:textId="77777777" w:rsidR="00755DA4" w:rsidRPr="0032355B" w:rsidRDefault="00755DA4" w:rsidP="000E24E3">
            <w:pPr>
              <w:spacing w:line="360" w:lineRule="auto"/>
            </w:pPr>
            <w:r w:rsidRPr="0032355B">
              <w:t>13.4%</w:t>
            </w:r>
          </w:p>
        </w:tc>
        <w:tc>
          <w:tcPr>
            <w:tcW w:w="2409" w:type="dxa"/>
            <w:tcBorders>
              <w:top w:val="nil"/>
              <w:left w:val="nil"/>
              <w:bottom w:val="nil"/>
              <w:right w:val="nil"/>
            </w:tcBorders>
          </w:tcPr>
          <w:p w14:paraId="3639A0D6"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5BDBF421" w14:textId="77777777" w:rsidR="00755DA4" w:rsidRPr="0032355B" w:rsidRDefault="00755DA4" w:rsidP="000E24E3">
            <w:pPr>
              <w:spacing w:line="360" w:lineRule="auto"/>
              <w:jc w:val="center"/>
            </w:pPr>
            <w:r w:rsidRPr="0032355B">
              <w:t>-</w:t>
            </w:r>
          </w:p>
        </w:tc>
      </w:tr>
      <w:tr w:rsidR="00755DA4" w:rsidRPr="00A610B3" w14:paraId="2BE5AEB3" w14:textId="77777777" w:rsidTr="000E24E3">
        <w:trPr>
          <w:trHeight w:val="280"/>
        </w:trPr>
        <w:tc>
          <w:tcPr>
            <w:tcW w:w="3544" w:type="dxa"/>
            <w:tcBorders>
              <w:top w:val="nil"/>
              <w:left w:val="nil"/>
              <w:bottom w:val="nil"/>
              <w:right w:val="nil"/>
            </w:tcBorders>
          </w:tcPr>
          <w:p w14:paraId="233A2E16"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 xml:space="preserve">     Engaged</w:t>
            </w:r>
          </w:p>
        </w:tc>
        <w:tc>
          <w:tcPr>
            <w:tcW w:w="2267" w:type="dxa"/>
            <w:tcBorders>
              <w:top w:val="nil"/>
              <w:left w:val="nil"/>
              <w:bottom w:val="nil"/>
              <w:right w:val="nil"/>
            </w:tcBorders>
          </w:tcPr>
          <w:p w14:paraId="0A06CE0C" w14:textId="77777777" w:rsidR="00755DA4" w:rsidRPr="0032355B" w:rsidRDefault="00755DA4" w:rsidP="000E24E3">
            <w:pPr>
              <w:spacing w:line="360" w:lineRule="auto"/>
            </w:pPr>
            <w:r w:rsidRPr="0032355B">
              <w:t>7</w:t>
            </w:r>
          </w:p>
        </w:tc>
        <w:tc>
          <w:tcPr>
            <w:tcW w:w="1276" w:type="dxa"/>
            <w:tcBorders>
              <w:top w:val="nil"/>
              <w:left w:val="nil"/>
              <w:bottom w:val="nil"/>
              <w:right w:val="nil"/>
            </w:tcBorders>
          </w:tcPr>
          <w:p w14:paraId="421B63D9" w14:textId="77777777" w:rsidR="00755DA4" w:rsidRPr="0032355B" w:rsidRDefault="00755DA4" w:rsidP="000E24E3">
            <w:pPr>
              <w:spacing w:line="360" w:lineRule="auto"/>
            </w:pPr>
            <w:r w:rsidRPr="0032355B">
              <w:t>7.2%</w:t>
            </w:r>
          </w:p>
        </w:tc>
        <w:tc>
          <w:tcPr>
            <w:tcW w:w="2409" w:type="dxa"/>
            <w:tcBorders>
              <w:top w:val="nil"/>
              <w:left w:val="nil"/>
              <w:bottom w:val="nil"/>
              <w:right w:val="nil"/>
            </w:tcBorders>
          </w:tcPr>
          <w:p w14:paraId="2FD24C3B"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31C34974" w14:textId="77777777" w:rsidR="00755DA4" w:rsidRPr="0032355B" w:rsidRDefault="00755DA4" w:rsidP="000E24E3">
            <w:pPr>
              <w:spacing w:line="360" w:lineRule="auto"/>
              <w:jc w:val="center"/>
            </w:pPr>
            <w:r w:rsidRPr="0032355B">
              <w:t>-</w:t>
            </w:r>
          </w:p>
        </w:tc>
      </w:tr>
      <w:tr w:rsidR="00755DA4" w:rsidRPr="00A610B3" w14:paraId="18AEAB13" w14:textId="77777777" w:rsidTr="000E24E3">
        <w:trPr>
          <w:trHeight w:val="280"/>
        </w:trPr>
        <w:tc>
          <w:tcPr>
            <w:tcW w:w="3544" w:type="dxa"/>
            <w:tcBorders>
              <w:top w:val="nil"/>
              <w:left w:val="nil"/>
              <w:bottom w:val="nil"/>
              <w:right w:val="nil"/>
            </w:tcBorders>
          </w:tcPr>
          <w:p w14:paraId="256BCE6A"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 xml:space="preserve">     Married</w:t>
            </w:r>
          </w:p>
        </w:tc>
        <w:tc>
          <w:tcPr>
            <w:tcW w:w="2267" w:type="dxa"/>
            <w:tcBorders>
              <w:top w:val="nil"/>
              <w:left w:val="nil"/>
              <w:bottom w:val="nil"/>
              <w:right w:val="nil"/>
            </w:tcBorders>
          </w:tcPr>
          <w:p w14:paraId="33DA73A1" w14:textId="77777777" w:rsidR="00755DA4" w:rsidRPr="0032355B" w:rsidRDefault="00755DA4" w:rsidP="000E24E3">
            <w:pPr>
              <w:spacing w:line="360" w:lineRule="auto"/>
            </w:pPr>
            <w:r w:rsidRPr="0032355B">
              <w:t>41</w:t>
            </w:r>
          </w:p>
        </w:tc>
        <w:tc>
          <w:tcPr>
            <w:tcW w:w="1276" w:type="dxa"/>
            <w:tcBorders>
              <w:top w:val="nil"/>
              <w:left w:val="nil"/>
              <w:bottom w:val="nil"/>
              <w:right w:val="nil"/>
            </w:tcBorders>
          </w:tcPr>
          <w:p w14:paraId="5E92A707" w14:textId="77777777" w:rsidR="00755DA4" w:rsidRPr="0032355B" w:rsidRDefault="00755DA4" w:rsidP="000E24E3">
            <w:pPr>
              <w:spacing w:line="360" w:lineRule="auto"/>
            </w:pPr>
            <w:r w:rsidRPr="0032355B">
              <w:t>42.3%</w:t>
            </w:r>
          </w:p>
        </w:tc>
        <w:tc>
          <w:tcPr>
            <w:tcW w:w="2409" w:type="dxa"/>
            <w:tcBorders>
              <w:top w:val="nil"/>
              <w:left w:val="nil"/>
              <w:bottom w:val="nil"/>
              <w:right w:val="nil"/>
            </w:tcBorders>
          </w:tcPr>
          <w:p w14:paraId="3B1E9295"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1EEA2C35" w14:textId="77777777" w:rsidR="00755DA4" w:rsidRPr="0032355B" w:rsidRDefault="00755DA4" w:rsidP="000E24E3">
            <w:pPr>
              <w:spacing w:line="360" w:lineRule="auto"/>
              <w:jc w:val="center"/>
            </w:pPr>
            <w:r w:rsidRPr="0032355B">
              <w:t>-</w:t>
            </w:r>
          </w:p>
        </w:tc>
      </w:tr>
      <w:tr w:rsidR="00755DA4" w:rsidRPr="00A610B3" w14:paraId="591B9006" w14:textId="77777777" w:rsidTr="000E24E3">
        <w:trPr>
          <w:trHeight w:val="280"/>
        </w:trPr>
        <w:tc>
          <w:tcPr>
            <w:tcW w:w="3544" w:type="dxa"/>
            <w:tcBorders>
              <w:top w:val="nil"/>
              <w:left w:val="nil"/>
              <w:bottom w:val="nil"/>
              <w:right w:val="nil"/>
            </w:tcBorders>
          </w:tcPr>
          <w:p w14:paraId="7FE5A5C1"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Relationship duration (months)</w:t>
            </w:r>
          </w:p>
        </w:tc>
        <w:tc>
          <w:tcPr>
            <w:tcW w:w="2267" w:type="dxa"/>
            <w:tcBorders>
              <w:top w:val="nil"/>
              <w:left w:val="nil"/>
              <w:bottom w:val="nil"/>
              <w:right w:val="nil"/>
            </w:tcBorders>
          </w:tcPr>
          <w:p w14:paraId="2814E39D"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92.03 (7.5 – 419)</w:t>
            </w:r>
          </w:p>
        </w:tc>
        <w:tc>
          <w:tcPr>
            <w:tcW w:w="1276" w:type="dxa"/>
            <w:tcBorders>
              <w:top w:val="nil"/>
              <w:left w:val="nil"/>
              <w:bottom w:val="nil"/>
              <w:right w:val="nil"/>
            </w:tcBorders>
          </w:tcPr>
          <w:p w14:paraId="446CB34F" w14:textId="77777777" w:rsidR="00755DA4" w:rsidRPr="0032355B" w:rsidRDefault="00755DA4" w:rsidP="000E24E3">
            <w:pPr>
              <w:spacing w:line="360" w:lineRule="auto"/>
            </w:pPr>
            <w:r w:rsidRPr="0032355B">
              <w:t>85.25</w:t>
            </w:r>
          </w:p>
        </w:tc>
        <w:tc>
          <w:tcPr>
            <w:tcW w:w="2409" w:type="dxa"/>
            <w:tcBorders>
              <w:top w:val="nil"/>
              <w:left w:val="nil"/>
              <w:bottom w:val="nil"/>
              <w:right w:val="nil"/>
            </w:tcBorders>
          </w:tcPr>
          <w:p w14:paraId="1927BD29"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2490911B" w14:textId="77777777" w:rsidR="00755DA4" w:rsidRPr="0032355B" w:rsidRDefault="00755DA4" w:rsidP="000E24E3">
            <w:pPr>
              <w:spacing w:line="360" w:lineRule="auto"/>
              <w:jc w:val="center"/>
            </w:pPr>
            <w:r w:rsidRPr="0032355B">
              <w:t>-</w:t>
            </w:r>
          </w:p>
        </w:tc>
      </w:tr>
      <w:tr w:rsidR="00755DA4" w:rsidRPr="00A610B3" w14:paraId="6B12F50C" w14:textId="77777777" w:rsidTr="000E24E3">
        <w:trPr>
          <w:trHeight w:val="280"/>
        </w:trPr>
        <w:tc>
          <w:tcPr>
            <w:tcW w:w="3544" w:type="dxa"/>
            <w:tcBorders>
              <w:top w:val="nil"/>
              <w:left w:val="nil"/>
              <w:bottom w:val="nil"/>
              <w:right w:val="nil"/>
            </w:tcBorders>
          </w:tcPr>
          <w:p w14:paraId="11712082"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Problem duration (months)</w:t>
            </w:r>
          </w:p>
        </w:tc>
        <w:tc>
          <w:tcPr>
            <w:tcW w:w="2267" w:type="dxa"/>
            <w:tcBorders>
              <w:top w:val="nil"/>
              <w:left w:val="nil"/>
              <w:bottom w:val="nil"/>
              <w:right w:val="nil"/>
            </w:tcBorders>
          </w:tcPr>
          <w:p w14:paraId="3BF8C50A" w14:textId="77777777" w:rsidR="00755DA4" w:rsidRPr="0032355B" w:rsidRDefault="00755DA4" w:rsidP="000E24E3">
            <w:pPr>
              <w:spacing w:line="360" w:lineRule="auto"/>
            </w:pPr>
            <w:r w:rsidRPr="0032355B">
              <w:t>54.65 (3 – 372)</w:t>
            </w:r>
          </w:p>
        </w:tc>
        <w:tc>
          <w:tcPr>
            <w:tcW w:w="1276" w:type="dxa"/>
            <w:tcBorders>
              <w:top w:val="nil"/>
              <w:left w:val="nil"/>
              <w:bottom w:val="nil"/>
              <w:right w:val="nil"/>
            </w:tcBorders>
          </w:tcPr>
          <w:p w14:paraId="51ABD1BF" w14:textId="77777777" w:rsidR="00755DA4" w:rsidRPr="0032355B" w:rsidRDefault="00755DA4" w:rsidP="000E24E3">
            <w:pPr>
              <w:spacing w:line="360" w:lineRule="auto"/>
            </w:pPr>
            <w:r w:rsidRPr="0032355B">
              <w:t>63.14</w:t>
            </w:r>
          </w:p>
        </w:tc>
        <w:tc>
          <w:tcPr>
            <w:tcW w:w="2409" w:type="dxa"/>
            <w:tcBorders>
              <w:top w:val="nil"/>
              <w:left w:val="nil"/>
              <w:bottom w:val="nil"/>
              <w:right w:val="nil"/>
            </w:tcBorders>
          </w:tcPr>
          <w:p w14:paraId="479A604E" w14:textId="77777777" w:rsidR="00755DA4" w:rsidRPr="0032355B" w:rsidRDefault="00755DA4" w:rsidP="000E24E3">
            <w:pPr>
              <w:spacing w:line="360" w:lineRule="auto"/>
              <w:jc w:val="center"/>
            </w:pPr>
            <w:r w:rsidRPr="0032355B">
              <w:t>-</w:t>
            </w:r>
          </w:p>
        </w:tc>
        <w:tc>
          <w:tcPr>
            <w:tcW w:w="1136" w:type="dxa"/>
            <w:tcBorders>
              <w:top w:val="nil"/>
              <w:left w:val="nil"/>
              <w:bottom w:val="nil"/>
              <w:right w:val="nil"/>
            </w:tcBorders>
          </w:tcPr>
          <w:p w14:paraId="086D7AF6" w14:textId="77777777" w:rsidR="00755DA4" w:rsidRPr="0032355B" w:rsidRDefault="00755DA4" w:rsidP="000E24E3">
            <w:pPr>
              <w:spacing w:line="360" w:lineRule="auto"/>
              <w:jc w:val="center"/>
            </w:pPr>
            <w:r w:rsidRPr="0032355B">
              <w:t>-</w:t>
            </w:r>
          </w:p>
        </w:tc>
      </w:tr>
      <w:tr w:rsidR="00755DA4" w:rsidRPr="00826035" w14:paraId="4E85EC3E" w14:textId="77777777" w:rsidTr="000E24E3">
        <w:trPr>
          <w:trHeight w:val="280"/>
        </w:trPr>
        <w:tc>
          <w:tcPr>
            <w:tcW w:w="3544" w:type="dxa"/>
            <w:tcBorders>
              <w:top w:val="nil"/>
              <w:left w:val="nil"/>
              <w:bottom w:val="single" w:sz="4" w:space="0" w:color="000000"/>
              <w:right w:val="nil"/>
            </w:tcBorders>
          </w:tcPr>
          <w:p w14:paraId="514FCAB7" w14:textId="77777777" w:rsidR="00755DA4" w:rsidRPr="0032355B" w:rsidRDefault="00755DA4" w:rsidP="000E24E3">
            <w:pPr>
              <w:pBdr>
                <w:top w:val="nil"/>
                <w:left w:val="nil"/>
                <w:bottom w:val="nil"/>
                <w:right w:val="nil"/>
                <w:between w:val="nil"/>
              </w:pBdr>
              <w:spacing w:line="360" w:lineRule="auto"/>
              <w:rPr>
                <w:color w:val="000000"/>
              </w:rPr>
            </w:pPr>
            <w:r w:rsidRPr="0032355B">
              <w:rPr>
                <w:color w:val="000000"/>
              </w:rPr>
              <w:t>Couple sexual frequency</w:t>
            </w:r>
          </w:p>
        </w:tc>
        <w:tc>
          <w:tcPr>
            <w:tcW w:w="2267" w:type="dxa"/>
            <w:tcBorders>
              <w:top w:val="nil"/>
              <w:left w:val="nil"/>
              <w:bottom w:val="single" w:sz="4" w:space="0" w:color="000000"/>
              <w:right w:val="nil"/>
            </w:tcBorders>
          </w:tcPr>
          <w:p w14:paraId="7D20A3F8" w14:textId="77777777" w:rsidR="00755DA4" w:rsidRPr="0032355B" w:rsidRDefault="00755DA4" w:rsidP="000E24E3">
            <w:pPr>
              <w:spacing w:line="360" w:lineRule="auto"/>
            </w:pPr>
            <w:r w:rsidRPr="0032355B">
              <w:t>1.22 (0 – 4)</w:t>
            </w:r>
          </w:p>
        </w:tc>
        <w:tc>
          <w:tcPr>
            <w:tcW w:w="1276" w:type="dxa"/>
            <w:tcBorders>
              <w:top w:val="nil"/>
              <w:left w:val="nil"/>
              <w:bottom w:val="single" w:sz="4" w:space="0" w:color="000000"/>
              <w:right w:val="nil"/>
            </w:tcBorders>
          </w:tcPr>
          <w:p w14:paraId="683F6AF6" w14:textId="77777777" w:rsidR="00755DA4" w:rsidRPr="0032355B" w:rsidRDefault="00755DA4" w:rsidP="000E24E3">
            <w:pPr>
              <w:spacing w:line="360" w:lineRule="auto"/>
            </w:pPr>
            <w:r w:rsidRPr="0032355B">
              <w:t>.89</w:t>
            </w:r>
          </w:p>
        </w:tc>
        <w:tc>
          <w:tcPr>
            <w:tcW w:w="2409" w:type="dxa"/>
            <w:tcBorders>
              <w:top w:val="nil"/>
              <w:left w:val="nil"/>
              <w:bottom w:val="single" w:sz="4" w:space="0" w:color="000000"/>
              <w:right w:val="nil"/>
            </w:tcBorders>
          </w:tcPr>
          <w:p w14:paraId="63F74199" w14:textId="77777777" w:rsidR="00755DA4" w:rsidRPr="0032355B" w:rsidRDefault="00755DA4" w:rsidP="000E24E3">
            <w:pPr>
              <w:spacing w:line="360" w:lineRule="auto"/>
              <w:jc w:val="center"/>
            </w:pPr>
            <w:r w:rsidRPr="0032355B">
              <w:t>-</w:t>
            </w:r>
          </w:p>
        </w:tc>
        <w:tc>
          <w:tcPr>
            <w:tcW w:w="1136" w:type="dxa"/>
            <w:tcBorders>
              <w:top w:val="nil"/>
              <w:left w:val="nil"/>
              <w:bottom w:val="single" w:sz="4" w:space="0" w:color="000000"/>
              <w:right w:val="nil"/>
            </w:tcBorders>
          </w:tcPr>
          <w:p w14:paraId="1F9C6972" w14:textId="77777777" w:rsidR="00755DA4" w:rsidRPr="0032355B" w:rsidRDefault="00755DA4" w:rsidP="000E24E3">
            <w:pPr>
              <w:spacing w:line="360" w:lineRule="auto"/>
              <w:jc w:val="center"/>
            </w:pPr>
            <w:r w:rsidRPr="0032355B">
              <w:t>-</w:t>
            </w:r>
          </w:p>
        </w:tc>
      </w:tr>
    </w:tbl>
    <w:p w14:paraId="02C4D859" w14:textId="77777777" w:rsidR="00755DA4" w:rsidRPr="00826035" w:rsidRDefault="00755DA4" w:rsidP="00755DA4">
      <w:pPr>
        <w:rPr>
          <w:i/>
        </w:rPr>
      </w:pPr>
      <w:r w:rsidRPr="00826035">
        <w:rPr>
          <w:i/>
        </w:rPr>
        <w:br/>
      </w:r>
    </w:p>
    <w:p w14:paraId="351203CE" w14:textId="5972B8AE" w:rsidR="00951B39" w:rsidRPr="00423A15" w:rsidRDefault="00755DA4" w:rsidP="00951B39">
      <w:pPr>
        <w:spacing w:line="480" w:lineRule="auto"/>
      </w:pPr>
      <w:bookmarkStart w:id="0" w:name="_gjdgxs" w:colFirst="0" w:colLast="0"/>
      <w:bookmarkEnd w:id="0"/>
      <w:r w:rsidRPr="00826035">
        <w:rPr>
          <w:i/>
        </w:rPr>
        <w:lastRenderedPageBreak/>
        <w:t>Note</w:t>
      </w:r>
      <w:r w:rsidRPr="00826035">
        <w:t xml:space="preserve">: ‘Other’ includes participants who did not identify with one of the presented categories, as well as all ethnicities representing 5% or less of the sample (i.e., African American/Black, East Indian, Hispanic/Latino/Latina, Middle Eastern/Central Asian, Biracial/Multiracial). Variables that </w:t>
      </w:r>
      <w:r>
        <w:t>were consistent</w:t>
      </w:r>
      <w:r w:rsidRPr="008C237E">
        <w:t xml:space="preserve"> </w:t>
      </w:r>
      <w:r w:rsidRPr="00826035">
        <w:t>between partners (i.e., annual income, relationship status, relationship duration</w:t>
      </w:r>
      <w:r>
        <w:t>, and sexual frequency</w:t>
      </w:r>
      <w:r w:rsidRPr="00826035">
        <w:t>) are reported in the women’s column and denoted with a dash (-) in the partner’s column. Problem duration is only reported in the women’s column because partner’s responses were not assessed.</w:t>
      </w:r>
      <w:r>
        <w:t xml:space="preserve"> </w:t>
      </w:r>
      <w:r w:rsidR="00951B39">
        <w:t xml:space="preserve">Percentages may not add up to 100% due to a small amount of missing data. </w:t>
      </w:r>
    </w:p>
    <w:p w14:paraId="38B1374C" w14:textId="77777777" w:rsidR="00755DA4" w:rsidRDefault="00755DA4" w:rsidP="00755DA4">
      <w:pPr>
        <w:spacing w:line="480" w:lineRule="auto"/>
        <w:jc w:val="center"/>
        <w:rPr>
          <w:b/>
        </w:rPr>
      </w:pPr>
    </w:p>
    <w:p w14:paraId="2282A61A" w14:textId="1F090929" w:rsidR="00755DA4" w:rsidRPr="00621DD8" w:rsidRDefault="00F74977" w:rsidP="00755DA4">
      <w:pPr>
        <w:spacing w:line="480" w:lineRule="auto"/>
        <w:jc w:val="center"/>
        <w:rPr>
          <w:b/>
        </w:rPr>
      </w:pPr>
      <w:r w:rsidRPr="00621DD8">
        <w:rPr>
          <w:b/>
        </w:rPr>
        <w:t>Comparison of Couples Coping with Low Desire to Community Couples</w:t>
      </w:r>
    </w:p>
    <w:p w14:paraId="2408609B" w14:textId="7EDCBCB6" w:rsidR="00F74977" w:rsidRPr="00621DD8" w:rsidRDefault="00F74977" w:rsidP="00F74977">
      <w:pPr>
        <w:spacing w:line="480" w:lineRule="auto"/>
      </w:pPr>
      <w:r w:rsidRPr="00621DD8">
        <w:tab/>
        <w:t xml:space="preserve">To determine whether there were differences in the strength of the associations between couples coping with low sexual desire and community couples, we compared the sample presented in the main paper (couples in which the woman is coping with clinically low sexual desire) to a sample of community couples. </w:t>
      </w:r>
    </w:p>
    <w:p w14:paraId="706ED92C" w14:textId="77777777" w:rsidR="00F74977" w:rsidRPr="00621DD8" w:rsidRDefault="00F74977" w:rsidP="00F74977">
      <w:pPr>
        <w:spacing w:line="480" w:lineRule="auto"/>
        <w:jc w:val="center"/>
      </w:pPr>
      <w:r w:rsidRPr="00621DD8">
        <w:rPr>
          <w:b/>
        </w:rPr>
        <w:t>Method</w:t>
      </w:r>
    </w:p>
    <w:p w14:paraId="678E5608" w14:textId="77777777" w:rsidR="00F74977" w:rsidRPr="00621DD8" w:rsidRDefault="00F74977" w:rsidP="00F74977">
      <w:pPr>
        <w:spacing w:line="480" w:lineRule="auto"/>
        <w:rPr>
          <w:b/>
        </w:rPr>
      </w:pPr>
      <w:r w:rsidRPr="00621DD8">
        <w:rPr>
          <w:b/>
        </w:rPr>
        <w:t>Community Sample of Couples</w:t>
      </w:r>
    </w:p>
    <w:p w14:paraId="171CA717" w14:textId="7D123B87" w:rsidR="00F74977" w:rsidRPr="00FF2E34" w:rsidRDefault="00F74977" w:rsidP="00F74977">
      <w:pPr>
        <w:spacing w:line="480" w:lineRule="auto"/>
        <w:rPr>
          <w:b/>
        </w:rPr>
      </w:pPr>
      <w:r w:rsidRPr="00621DD8">
        <w:tab/>
        <w:t>We used an existing sample of community couples who were recruited as part of a larger study through online (e.g., Reddit, Kijiji, Facebook, Craigslist) and physical (e.g., Canadian university campuses, public transportation centers) advertisements in Canada and the United States between February 2018 to July 2018.</w:t>
      </w:r>
      <w:r w:rsidRPr="00621DD8">
        <w:rPr>
          <w:position w:val="8"/>
        </w:rPr>
        <w:t xml:space="preserve"> </w:t>
      </w:r>
      <w:r w:rsidRPr="00621DD8">
        <w:t xml:space="preserve">Eligible couples </w:t>
      </w:r>
      <w:r w:rsidR="004C7104">
        <w:t xml:space="preserve">were </w:t>
      </w:r>
      <w:r w:rsidRPr="00621DD8">
        <w:t>18 years of age or older, currently living together, sexually active in their current relationship, resid</w:t>
      </w:r>
      <w:r w:rsidR="004C7104">
        <w:t>ing</w:t>
      </w:r>
      <w:r w:rsidRPr="00621DD8">
        <w:t xml:space="preserve"> in Canada or the United States, able to read and understand English, </w:t>
      </w:r>
      <w:r w:rsidR="004C7104">
        <w:t>had</w:t>
      </w:r>
      <w:r w:rsidR="004C7104" w:rsidRPr="00621DD8">
        <w:t xml:space="preserve"> </w:t>
      </w:r>
      <w:r w:rsidRPr="00621DD8">
        <w:t>daily access to a computer with internet, and both partners agreed to participate</w:t>
      </w:r>
      <w:r w:rsidRPr="00150BD2">
        <w:t xml:space="preserve">. </w:t>
      </w:r>
      <w:r w:rsidRPr="00A610B3">
        <w:t>The final sample comprised 11</w:t>
      </w:r>
      <w:r w:rsidR="00C7377E" w:rsidRPr="00A610B3">
        <w:t>9</w:t>
      </w:r>
      <w:r w:rsidRPr="00A610B3">
        <w:t xml:space="preserve"> couples (i.e., all couples </w:t>
      </w:r>
      <w:r w:rsidRPr="00A610B3">
        <w:lastRenderedPageBreak/>
        <w:t xml:space="preserve">included a woman, </w:t>
      </w:r>
      <w:r w:rsidR="00C7377E" w:rsidRPr="00A610B3">
        <w:t>112</w:t>
      </w:r>
      <w:r w:rsidRPr="00A610B3">
        <w:t xml:space="preserve"> of the partners were men, </w:t>
      </w:r>
      <w:r w:rsidR="00C7377E" w:rsidRPr="00A610B3">
        <w:t>5</w:t>
      </w:r>
      <w:r w:rsidRPr="00A610B3">
        <w:t xml:space="preserve"> were women, and </w:t>
      </w:r>
      <w:r w:rsidR="00C7377E" w:rsidRPr="00A610B3">
        <w:t>2</w:t>
      </w:r>
      <w:r w:rsidRPr="00A610B3">
        <w:t xml:space="preserve"> identified as “other”) ranging in age from 20–78 years of age (</w:t>
      </w:r>
      <w:r w:rsidRPr="00FF2E34">
        <w:rPr>
          <w:i/>
          <w:iCs/>
        </w:rPr>
        <w:t>M</w:t>
      </w:r>
      <w:r w:rsidRPr="00FF2E34">
        <w:rPr>
          <w:position w:val="-4"/>
          <w:vertAlign w:val="subscript"/>
        </w:rPr>
        <w:t xml:space="preserve">years </w:t>
      </w:r>
      <w:r w:rsidRPr="00FF2E34">
        <w:t>= 3</w:t>
      </w:r>
      <w:r w:rsidR="00C7377E" w:rsidRPr="00FF2E34">
        <w:t>2</w:t>
      </w:r>
      <w:r w:rsidRPr="00FF2E34">
        <w:t>.</w:t>
      </w:r>
      <w:r w:rsidR="00C7377E" w:rsidRPr="00FF2E34">
        <w:t>63</w:t>
      </w:r>
      <w:r w:rsidRPr="00FF2E34">
        <w:t xml:space="preserve">, </w:t>
      </w:r>
      <w:r w:rsidRPr="00FF2E34">
        <w:rPr>
          <w:i/>
          <w:iCs/>
        </w:rPr>
        <w:t>SD</w:t>
      </w:r>
      <w:r w:rsidRPr="00FF2E34">
        <w:rPr>
          <w:position w:val="-4"/>
          <w:vertAlign w:val="subscript"/>
        </w:rPr>
        <w:t>years</w:t>
      </w:r>
      <w:r w:rsidRPr="00FF2E34">
        <w:rPr>
          <w:position w:val="-4"/>
        </w:rPr>
        <w:t xml:space="preserve"> </w:t>
      </w:r>
      <w:r w:rsidRPr="00FF2E34">
        <w:t>= 10.</w:t>
      </w:r>
      <w:r w:rsidR="00C7377E" w:rsidRPr="00FF2E34">
        <w:t>17</w:t>
      </w:r>
      <w:r w:rsidRPr="00FF2E34">
        <w:t xml:space="preserve">). Couples were in relationships lasting </w:t>
      </w:r>
      <w:r w:rsidR="00C7377E" w:rsidRPr="00FF2E34">
        <w:t>1.5</w:t>
      </w:r>
      <w:r w:rsidRPr="00FF2E34">
        <w:t xml:space="preserve"> to 58</w:t>
      </w:r>
      <w:r w:rsidR="00C7377E" w:rsidRPr="00FF2E34">
        <w:t>.25</w:t>
      </w:r>
      <w:r w:rsidRPr="00FF2E34">
        <w:t xml:space="preserve"> years (</w:t>
      </w:r>
      <w:r w:rsidRPr="00FF2E34">
        <w:rPr>
          <w:i/>
          <w:iCs/>
        </w:rPr>
        <w:t>M</w:t>
      </w:r>
      <w:r w:rsidRPr="00FF2E34">
        <w:rPr>
          <w:position w:val="-4"/>
          <w:vertAlign w:val="subscript"/>
        </w:rPr>
        <w:t>years</w:t>
      </w:r>
      <w:r w:rsidRPr="00FF2E34">
        <w:rPr>
          <w:position w:val="-4"/>
        </w:rPr>
        <w:t xml:space="preserve"> </w:t>
      </w:r>
      <w:r w:rsidRPr="00FF2E34">
        <w:t>= 8.</w:t>
      </w:r>
      <w:r w:rsidR="00C7377E" w:rsidRPr="00FF2E34">
        <w:t>59</w:t>
      </w:r>
      <w:r w:rsidRPr="00FF2E34">
        <w:t xml:space="preserve">, </w:t>
      </w:r>
      <w:r w:rsidRPr="00FF2E34">
        <w:rPr>
          <w:i/>
          <w:iCs/>
        </w:rPr>
        <w:t>SD</w:t>
      </w:r>
      <w:r w:rsidRPr="00FF2E34">
        <w:rPr>
          <w:position w:val="-4"/>
          <w:vertAlign w:val="subscript"/>
        </w:rPr>
        <w:t xml:space="preserve">years </w:t>
      </w:r>
      <w:r w:rsidRPr="00FF2E34">
        <w:t>= 8.</w:t>
      </w:r>
      <w:r w:rsidR="00C7377E" w:rsidRPr="00FF2E34">
        <w:t>45</w:t>
      </w:r>
      <w:r w:rsidRPr="00FF2E34">
        <w:t>). Participants were ethnically and racially diverse: White (6</w:t>
      </w:r>
      <w:r w:rsidR="00150BD2" w:rsidRPr="00FF2E34">
        <w:t>5</w:t>
      </w:r>
      <w:r w:rsidRPr="00FF2E34">
        <w:t>.</w:t>
      </w:r>
      <w:r w:rsidR="00150BD2" w:rsidRPr="00FF2E34">
        <w:t>4</w:t>
      </w:r>
      <w:r w:rsidRPr="00FF2E34">
        <w:t>%), Black (4.6%), East Asian (8.</w:t>
      </w:r>
      <w:r w:rsidR="00150BD2" w:rsidRPr="00FF2E34">
        <w:t>4</w:t>
      </w:r>
      <w:r w:rsidRPr="00FF2E34">
        <w:t>%), South Asian (7.</w:t>
      </w:r>
      <w:r w:rsidR="00150BD2" w:rsidRPr="00FF2E34">
        <w:t>6</w:t>
      </w:r>
      <w:r w:rsidRPr="00FF2E34">
        <w:t>%), Latin American (4.</w:t>
      </w:r>
      <w:r w:rsidR="00150BD2" w:rsidRPr="00FF2E34">
        <w:t>2</w:t>
      </w:r>
      <w:r w:rsidRPr="00FF2E34">
        <w:t>%), bi- or multi-ethnic or racial (</w:t>
      </w:r>
      <w:r w:rsidR="00150BD2" w:rsidRPr="00FF2E34">
        <w:t>5</w:t>
      </w:r>
      <w:r w:rsidRPr="00FF2E34">
        <w:t>.</w:t>
      </w:r>
      <w:r w:rsidR="00150BD2" w:rsidRPr="00FF2E34">
        <w:t>5</w:t>
      </w:r>
      <w:r w:rsidRPr="00FF2E34">
        <w:t>%), or other (4.</w:t>
      </w:r>
      <w:r w:rsidR="00150BD2" w:rsidRPr="00FF2E34">
        <w:t>2</w:t>
      </w:r>
      <w:r w:rsidRPr="00FF2E34">
        <w:t>%). Finally, couples were</w:t>
      </w:r>
      <w:r w:rsidR="00150BD2" w:rsidRPr="00FF2E34">
        <w:t xml:space="preserve"> dating (1.3%),</w:t>
      </w:r>
      <w:r w:rsidRPr="00FF2E34">
        <w:t xml:space="preserve"> living together (2</w:t>
      </w:r>
      <w:r w:rsidR="00150BD2" w:rsidRPr="00FF2E34">
        <w:t>9</w:t>
      </w:r>
      <w:r w:rsidRPr="00FF2E34">
        <w:t>.</w:t>
      </w:r>
      <w:r w:rsidR="00150BD2" w:rsidRPr="00FF2E34">
        <w:t>2</w:t>
      </w:r>
      <w:r w:rsidRPr="00FF2E34">
        <w:t>%), common-law (13.</w:t>
      </w:r>
      <w:r w:rsidR="00150BD2" w:rsidRPr="00FF2E34">
        <w:t>1</w:t>
      </w:r>
      <w:r w:rsidRPr="00FF2E34">
        <w:t>%), married (</w:t>
      </w:r>
      <w:r w:rsidR="00150BD2" w:rsidRPr="00FF2E34">
        <w:t>47</w:t>
      </w:r>
      <w:r w:rsidRPr="00FF2E34">
        <w:t>.</w:t>
      </w:r>
      <w:r w:rsidR="00150BD2" w:rsidRPr="00FF2E34">
        <w:t>9</w:t>
      </w:r>
      <w:r w:rsidRPr="00FF2E34">
        <w:t>%), engaged (</w:t>
      </w:r>
      <w:r w:rsidR="00150BD2" w:rsidRPr="00FF2E34">
        <w:t>8</w:t>
      </w:r>
      <w:r w:rsidRPr="00FF2E34">
        <w:t>.</w:t>
      </w:r>
      <w:r w:rsidR="00150BD2" w:rsidRPr="00FF2E34">
        <w:t>1</w:t>
      </w:r>
      <w:r w:rsidRPr="00FF2E34">
        <w:t xml:space="preserve">%), or other (i.e., did not specify; .4%). </w:t>
      </w:r>
    </w:p>
    <w:p w14:paraId="4142E2AA" w14:textId="77777777" w:rsidR="00F74977" w:rsidRPr="00BB79AF" w:rsidRDefault="00F74977" w:rsidP="00F74977">
      <w:pPr>
        <w:spacing w:line="480" w:lineRule="auto"/>
        <w:rPr>
          <w:b/>
        </w:rPr>
      </w:pPr>
      <w:r w:rsidRPr="00BB79AF">
        <w:rPr>
          <w:b/>
        </w:rPr>
        <w:t>Procedure</w:t>
      </w:r>
    </w:p>
    <w:p w14:paraId="64D93717" w14:textId="6DD8F10C" w:rsidR="00F74977" w:rsidRPr="00A610B3" w:rsidRDefault="00F74977" w:rsidP="00F74977">
      <w:pPr>
        <w:spacing w:line="480" w:lineRule="auto"/>
        <w:ind w:firstLine="720"/>
      </w:pPr>
      <w:r w:rsidRPr="00BB79AF">
        <w:t xml:space="preserve">Couples were pre-screened for eligibility via e-mail and telephone. Eligible participants received an individualized link to the informed consent form, and once consent was provided, they were instructed to begin the online survey. The survey included the current measures, as well as additional measures not relevant to the current study. Using Qualtrics online survey software, partners were required to complete the survey separately without discussing their responses with each other. After the entire study was completed, online resources for sexuality and relationships were provided to participants. Each partner was compensated up to $8 CAD ($7 USD) for completing </w:t>
      </w:r>
      <w:r w:rsidRPr="00A610B3">
        <w:t>the background in-take survey which was used in the current analyses.</w:t>
      </w:r>
    </w:p>
    <w:p w14:paraId="7C234804" w14:textId="77777777" w:rsidR="00F74977" w:rsidRPr="00A610B3" w:rsidRDefault="00F74977" w:rsidP="00F74977">
      <w:pPr>
        <w:spacing w:line="480" w:lineRule="auto"/>
        <w:jc w:val="center"/>
        <w:rPr>
          <w:b/>
        </w:rPr>
      </w:pPr>
      <w:r w:rsidRPr="00A610B3">
        <w:rPr>
          <w:b/>
        </w:rPr>
        <w:t>Measures</w:t>
      </w:r>
    </w:p>
    <w:p w14:paraId="2E6BEA01" w14:textId="45EF9024" w:rsidR="00F74977" w:rsidRPr="00A610B3" w:rsidRDefault="00F74977" w:rsidP="00F74977">
      <w:pPr>
        <w:pStyle w:val="NormalWeb"/>
        <w:spacing w:before="0" w:beforeAutospacing="0" w:after="0" w:afterAutospacing="0" w:line="480" w:lineRule="auto"/>
        <w:ind w:firstLine="720"/>
      </w:pPr>
      <w:r w:rsidRPr="00A610B3">
        <w:rPr>
          <w:rFonts w:eastAsia="Calibri"/>
          <w:b/>
        </w:rPr>
        <w:t xml:space="preserve">Self-expansion. </w:t>
      </w:r>
      <w:r w:rsidRPr="00A610B3">
        <w:t>The same items were used to assess self-expansion as were used for couples coping with low desire. Women reported a mean of 5.4</w:t>
      </w:r>
      <w:r w:rsidR="00C60606" w:rsidRPr="00A610B3">
        <w:t>8</w:t>
      </w:r>
      <w:r w:rsidRPr="00A610B3">
        <w:t xml:space="preserve"> (</w:t>
      </w:r>
      <w:r w:rsidRPr="00A610B3">
        <w:rPr>
          <w:i/>
        </w:rPr>
        <w:t>SD</w:t>
      </w:r>
      <w:r w:rsidRPr="00A610B3">
        <w:t xml:space="preserve"> = 1.1</w:t>
      </w:r>
      <w:r w:rsidR="00C60606" w:rsidRPr="00A610B3">
        <w:t>7</w:t>
      </w:r>
      <w:r w:rsidRPr="00A610B3">
        <w:t>), and their partners reported a mean of 5.6</w:t>
      </w:r>
      <w:r w:rsidR="00C60606" w:rsidRPr="00A610B3">
        <w:t>1</w:t>
      </w:r>
      <w:r w:rsidRPr="00A610B3">
        <w:t xml:space="preserve"> (</w:t>
      </w:r>
      <w:r w:rsidRPr="00A610B3">
        <w:rPr>
          <w:i/>
        </w:rPr>
        <w:t>SD</w:t>
      </w:r>
      <w:r w:rsidRPr="00A610B3">
        <w:t xml:space="preserve"> = .9</w:t>
      </w:r>
      <w:r w:rsidR="00C60606" w:rsidRPr="00A610B3">
        <w:t>6</w:t>
      </w:r>
      <w:r w:rsidRPr="00A610B3">
        <w:t xml:space="preserve">).  </w:t>
      </w:r>
    </w:p>
    <w:p w14:paraId="11391757" w14:textId="2450B195" w:rsidR="00F74977" w:rsidRPr="00A610B3" w:rsidRDefault="00F74977" w:rsidP="00F74977">
      <w:pPr>
        <w:pStyle w:val="NormalWeb"/>
        <w:spacing w:before="0" w:beforeAutospacing="0" w:after="0" w:afterAutospacing="0" w:line="480" w:lineRule="auto"/>
        <w:outlineLvl w:val="0"/>
      </w:pPr>
      <w:r w:rsidRPr="00A610B3">
        <w:rPr>
          <w:rFonts w:eastAsia="Calibri"/>
          <w:b/>
        </w:rPr>
        <w:tab/>
        <w:t>Sexual desire</w:t>
      </w:r>
      <w:r w:rsidRPr="00A610B3">
        <w:rPr>
          <w:rFonts w:eastAsia="Calibri"/>
        </w:rPr>
        <w:t xml:space="preserve">. </w:t>
      </w:r>
      <w:r w:rsidRPr="00A610B3">
        <w:t>The same items were used to assess sexual desire as were used for couples coping with low desire. Women reported a mean of 3.5</w:t>
      </w:r>
      <w:r w:rsidR="00C60606" w:rsidRPr="00A610B3">
        <w:t>5</w:t>
      </w:r>
      <w:r w:rsidRPr="00A610B3">
        <w:t xml:space="preserve"> (</w:t>
      </w:r>
      <w:r w:rsidRPr="00A610B3">
        <w:rPr>
          <w:i/>
        </w:rPr>
        <w:t>SD</w:t>
      </w:r>
      <w:r w:rsidRPr="00A610B3">
        <w:t xml:space="preserve"> = .8</w:t>
      </w:r>
      <w:r w:rsidR="00C60606" w:rsidRPr="00A610B3">
        <w:t>9</w:t>
      </w:r>
      <w:r w:rsidRPr="00A610B3">
        <w:t xml:space="preserve">), and their partners reported a </w:t>
      </w:r>
      <w:r w:rsidRPr="00A610B3">
        <w:lastRenderedPageBreak/>
        <w:t>mean of 4.0</w:t>
      </w:r>
      <w:r w:rsidR="00C60606" w:rsidRPr="00A610B3">
        <w:t>3</w:t>
      </w:r>
      <w:r w:rsidRPr="00A610B3">
        <w:t xml:space="preserve"> (</w:t>
      </w:r>
      <w:r w:rsidRPr="00A610B3">
        <w:rPr>
          <w:i/>
        </w:rPr>
        <w:t>SD</w:t>
      </w:r>
      <w:r w:rsidRPr="00A610B3">
        <w:t xml:space="preserve"> = .8</w:t>
      </w:r>
      <w:r w:rsidR="00C60606" w:rsidRPr="00A610B3">
        <w:t>5</w:t>
      </w:r>
      <w:r w:rsidRPr="00A610B3">
        <w:t xml:space="preserve">). In </w:t>
      </w:r>
      <w:r w:rsidR="00B43A0D" w:rsidRPr="00A610B3">
        <w:t>both</w:t>
      </w:r>
      <w:r w:rsidRPr="00A610B3">
        <w:t xml:space="preserve"> sample</w:t>
      </w:r>
      <w:r w:rsidR="00B43A0D" w:rsidRPr="00A610B3">
        <w:t>s</w:t>
      </w:r>
      <w:r w:rsidRPr="00A610B3">
        <w:t xml:space="preserve">, response options were </w:t>
      </w:r>
      <w:proofErr w:type="gramStart"/>
      <w:r w:rsidRPr="00A610B3">
        <w:t>reverse-scored</w:t>
      </w:r>
      <w:proofErr w:type="gramEnd"/>
      <w:r w:rsidRPr="00A610B3">
        <w:t xml:space="preserve"> so that higher scores indicated higher sexual desire in both samples. </w:t>
      </w:r>
    </w:p>
    <w:p w14:paraId="1DE90567" w14:textId="780AD099" w:rsidR="00F74977" w:rsidRPr="00A610B3" w:rsidRDefault="00F74977" w:rsidP="00F74977">
      <w:pPr>
        <w:pStyle w:val="NormalWeb"/>
        <w:spacing w:before="0" w:beforeAutospacing="0" w:after="0" w:afterAutospacing="0" w:line="480" w:lineRule="auto"/>
        <w:outlineLvl w:val="0"/>
      </w:pPr>
      <w:r w:rsidRPr="00A610B3">
        <w:rPr>
          <w:b/>
        </w:rPr>
        <w:tab/>
      </w:r>
      <w:r w:rsidRPr="00A610B3">
        <w:rPr>
          <w:rFonts w:eastAsia="Calibri"/>
          <w:b/>
        </w:rPr>
        <w:t xml:space="preserve">Sexual satisfaction. </w:t>
      </w:r>
      <w:r w:rsidRPr="00A610B3">
        <w:t>The same items were used to assess sexual satisfaction as were used for couples coping with low desire. Women reported a mean of 30.</w:t>
      </w:r>
      <w:r w:rsidR="00C60606" w:rsidRPr="00A610B3">
        <w:t>14</w:t>
      </w:r>
      <w:r w:rsidRPr="00A610B3">
        <w:t xml:space="preserve"> (</w:t>
      </w:r>
      <w:r w:rsidRPr="00A610B3">
        <w:rPr>
          <w:i/>
        </w:rPr>
        <w:t>SD</w:t>
      </w:r>
      <w:r w:rsidRPr="00A610B3">
        <w:t xml:space="preserve"> = 7.1</w:t>
      </w:r>
      <w:r w:rsidR="00C60606" w:rsidRPr="00A610B3">
        <w:t>6</w:t>
      </w:r>
      <w:r w:rsidRPr="00A610B3">
        <w:t xml:space="preserve">), and their partners reported a mean of </w:t>
      </w:r>
      <w:r w:rsidR="00C60606" w:rsidRPr="00A610B3">
        <w:t>29.67</w:t>
      </w:r>
      <w:r w:rsidRPr="00A610B3">
        <w:t xml:space="preserve"> (</w:t>
      </w:r>
      <w:r w:rsidRPr="00A610B3">
        <w:rPr>
          <w:i/>
        </w:rPr>
        <w:t>SD</w:t>
      </w:r>
      <w:r w:rsidRPr="00A610B3">
        <w:t xml:space="preserve"> = 7.</w:t>
      </w:r>
      <w:r w:rsidR="00C60606" w:rsidRPr="00A610B3">
        <w:t>37</w:t>
      </w:r>
      <w:r w:rsidRPr="00A610B3">
        <w:t xml:space="preserve">).  </w:t>
      </w:r>
    </w:p>
    <w:p w14:paraId="62279DB4" w14:textId="38FCC468" w:rsidR="00F74977" w:rsidRPr="00A610B3" w:rsidRDefault="00F74977" w:rsidP="00F74977">
      <w:pPr>
        <w:pStyle w:val="NormalWeb"/>
        <w:spacing w:before="0" w:beforeAutospacing="0" w:after="0" w:afterAutospacing="0" w:line="480" w:lineRule="auto"/>
        <w:ind w:firstLine="720"/>
        <w:outlineLvl w:val="0"/>
      </w:pPr>
      <w:r w:rsidRPr="00A610B3">
        <w:rPr>
          <w:rFonts w:eastAsia="Calibri"/>
          <w:b/>
        </w:rPr>
        <w:t>Sexual distress.</w:t>
      </w:r>
      <w:r w:rsidRPr="00A610B3">
        <w:rPr>
          <w:rFonts w:eastAsia="Calibri"/>
        </w:rPr>
        <w:t xml:space="preserve"> </w:t>
      </w:r>
      <w:r w:rsidRPr="00A610B3">
        <w:t>To have a comparable assessment of sexual distress across samples, in the community sample, we used the following item: “In the past 4 weeks, how often did you feel distressed about your sex life?” Response options range from 0 (</w:t>
      </w:r>
      <w:r w:rsidRPr="00A610B3">
        <w:rPr>
          <w:i/>
          <w:iCs/>
        </w:rPr>
        <w:t>never</w:t>
      </w:r>
      <w:r w:rsidRPr="00A610B3">
        <w:t>) to 4 (</w:t>
      </w:r>
      <w:r w:rsidRPr="00A610B3">
        <w:rPr>
          <w:i/>
          <w:iCs/>
        </w:rPr>
        <w:t>always</w:t>
      </w:r>
      <w:r w:rsidRPr="00A610B3">
        <w:t>). Women reported a mean of 1.1</w:t>
      </w:r>
      <w:r w:rsidR="00D60AAF" w:rsidRPr="00A610B3">
        <w:t>7</w:t>
      </w:r>
      <w:r w:rsidRPr="00A610B3">
        <w:t xml:space="preserve"> (</w:t>
      </w:r>
      <w:r w:rsidRPr="00A610B3">
        <w:rPr>
          <w:i/>
        </w:rPr>
        <w:t>SD</w:t>
      </w:r>
      <w:r w:rsidRPr="00A610B3">
        <w:t xml:space="preserve"> = 1.0</w:t>
      </w:r>
      <w:r w:rsidR="00D60AAF" w:rsidRPr="00A610B3">
        <w:t>4</w:t>
      </w:r>
      <w:r w:rsidRPr="00A610B3">
        <w:t>), and their partners reported a mean of 1.</w:t>
      </w:r>
      <w:r w:rsidR="00D60AAF" w:rsidRPr="00A610B3">
        <w:t>19</w:t>
      </w:r>
      <w:r w:rsidRPr="00A610B3">
        <w:t xml:space="preserve"> (</w:t>
      </w:r>
      <w:r w:rsidRPr="00A610B3">
        <w:rPr>
          <w:i/>
        </w:rPr>
        <w:t>SD</w:t>
      </w:r>
      <w:r w:rsidRPr="00A610B3">
        <w:t xml:space="preserve"> = 1.0</w:t>
      </w:r>
      <w:r w:rsidR="00D60AAF" w:rsidRPr="00A610B3">
        <w:t>7</w:t>
      </w:r>
      <w:r w:rsidRPr="00A610B3">
        <w:t>). In the sample of couples coping with low desire, we used a similar item from the</w:t>
      </w:r>
      <w:r w:rsidRPr="00A610B3">
        <w:rPr>
          <w:rFonts w:eastAsia="Calibri"/>
        </w:rPr>
        <w:t xml:space="preserve"> </w:t>
      </w:r>
      <w:r w:rsidRPr="00A610B3">
        <w:t>Female Sexual Distress Scale-Revised (</w:t>
      </w:r>
      <w:proofErr w:type="spellStart"/>
      <w:r w:rsidRPr="00A610B3">
        <w:rPr>
          <w:noProof/>
        </w:rPr>
        <w:t>Derogatis</w:t>
      </w:r>
      <w:proofErr w:type="spellEnd"/>
      <w:r w:rsidRPr="00A610B3">
        <w:rPr>
          <w:noProof/>
        </w:rPr>
        <w:t xml:space="preserve">, </w:t>
      </w:r>
      <w:r w:rsidRPr="00FF2E34">
        <w:rPr>
          <w:noProof/>
        </w:rPr>
        <w:t>Clayton, Lewis-D’Agostino, Wunderlich, &amp; Fu, 2008): “In the past 30 days, how often did you feel distressed about your sex life?”</w:t>
      </w:r>
      <w:r w:rsidRPr="00FF2E34">
        <w:t xml:space="preserve"> Again, response options range from 0 (</w:t>
      </w:r>
      <w:r w:rsidRPr="00FF2E34">
        <w:rPr>
          <w:i/>
          <w:iCs/>
        </w:rPr>
        <w:t>never</w:t>
      </w:r>
      <w:r w:rsidRPr="00FF2E34">
        <w:t>) to 4 (</w:t>
      </w:r>
      <w:r w:rsidRPr="00FF2E34">
        <w:rPr>
          <w:i/>
          <w:iCs/>
        </w:rPr>
        <w:t>always</w:t>
      </w:r>
      <w:r w:rsidRPr="00FF2E34">
        <w:t>). Higher</w:t>
      </w:r>
      <w:r w:rsidRPr="00A610B3">
        <w:t xml:space="preserve"> scores for both items indicate higher sexual distress. For couples coping with low desire, women reported a mean of 2.45 (</w:t>
      </w:r>
      <w:r w:rsidRPr="00A610B3">
        <w:rPr>
          <w:i/>
        </w:rPr>
        <w:t>SD</w:t>
      </w:r>
      <w:r w:rsidRPr="00A610B3">
        <w:t xml:space="preserve"> = .85), and their partners reported a mean of 1.99 (</w:t>
      </w:r>
      <w:r w:rsidRPr="00A610B3">
        <w:rPr>
          <w:i/>
        </w:rPr>
        <w:t>SD</w:t>
      </w:r>
      <w:r w:rsidRPr="00A610B3">
        <w:t xml:space="preserve"> = 1.00). </w:t>
      </w:r>
    </w:p>
    <w:p w14:paraId="5A015A22" w14:textId="792FE61F" w:rsidR="00F74977" w:rsidRPr="00A610B3" w:rsidRDefault="00F74977" w:rsidP="00F74977">
      <w:pPr>
        <w:pStyle w:val="NormalWeb"/>
        <w:spacing w:before="0" w:beforeAutospacing="0" w:after="0" w:afterAutospacing="0" w:line="480" w:lineRule="auto"/>
        <w:outlineLvl w:val="0"/>
      </w:pPr>
      <w:r w:rsidRPr="00A610B3">
        <w:rPr>
          <w:b/>
        </w:rPr>
        <w:tab/>
      </w:r>
      <w:r w:rsidRPr="00A610B3">
        <w:rPr>
          <w:rFonts w:eastAsia="Calibri"/>
          <w:b/>
        </w:rPr>
        <w:t>Relationship satisfaction.</w:t>
      </w:r>
      <w:r w:rsidRPr="00A610B3">
        <w:t xml:space="preserve"> To have a comparable assessment of relationship satisfaction across samples, in the community sample, we used one item from the Perceived Relationship Quality Component (“How satisfied are you with your relationship?”; Fletcher, Simpson, &amp; Thomas, 2000). Response options range from 1 (</w:t>
      </w:r>
      <w:r w:rsidRPr="00A610B3">
        <w:rPr>
          <w:i/>
          <w:iCs/>
        </w:rPr>
        <w:t>not at all</w:t>
      </w:r>
      <w:r w:rsidRPr="00A610B3">
        <w:t>) to 7 (</w:t>
      </w:r>
      <w:r w:rsidRPr="00FF2E34">
        <w:rPr>
          <w:i/>
          <w:iCs/>
        </w:rPr>
        <w:t>extremely</w:t>
      </w:r>
      <w:r w:rsidRPr="00FF2E34">
        <w:t>). Higher scores indicate higher relationship satisfaction (</w:t>
      </w:r>
      <w:r w:rsidR="00A60856" w:rsidRPr="00FF2E34">
        <w:t>w</w:t>
      </w:r>
      <w:r w:rsidRPr="00FF2E34">
        <w:t xml:space="preserve">omen: </w:t>
      </w:r>
      <w:r w:rsidRPr="00FF2E34">
        <w:rPr>
          <w:i/>
        </w:rPr>
        <w:t>M</w:t>
      </w:r>
      <w:r w:rsidRPr="00FF2E34">
        <w:t xml:space="preserve"> = 6.0</w:t>
      </w:r>
      <w:r w:rsidR="00167F11" w:rsidRPr="00FF2E34">
        <w:t>4</w:t>
      </w:r>
      <w:r w:rsidRPr="00FF2E34">
        <w:t xml:space="preserve">, </w:t>
      </w:r>
      <w:r w:rsidRPr="00FF2E34">
        <w:rPr>
          <w:i/>
        </w:rPr>
        <w:t>SD</w:t>
      </w:r>
      <w:r w:rsidRPr="00FF2E34">
        <w:t xml:space="preserve"> = 1.00; </w:t>
      </w:r>
      <w:r w:rsidR="00A60856" w:rsidRPr="00FF2E34">
        <w:t>p</w:t>
      </w:r>
      <w:r w:rsidRPr="00FF2E34">
        <w:t xml:space="preserve">artners: </w:t>
      </w:r>
      <w:r w:rsidRPr="00FF2E34">
        <w:rPr>
          <w:i/>
        </w:rPr>
        <w:t>M</w:t>
      </w:r>
      <w:r w:rsidRPr="00FF2E34">
        <w:t xml:space="preserve"> = 6.10, </w:t>
      </w:r>
      <w:r w:rsidRPr="00FF2E34">
        <w:rPr>
          <w:i/>
        </w:rPr>
        <w:t>SD</w:t>
      </w:r>
      <w:r w:rsidRPr="00FF2E34">
        <w:t xml:space="preserve"> = .9</w:t>
      </w:r>
      <w:r w:rsidR="00167F11" w:rsidRPr="00FF2E34">
        <w:t>3</w:t>
      </w:r>
      <w:r w:rsidRPr="00FF2E34">
        <w:t xml:space="preserve">). In the sample of couples coping with low desire, we used a similar item from the Couple Satisfaction Index (“In general, how satisfied </w:t>
      </w:r>
      <w:proofErr w:type="gramStart"/>
      <w:r w:rsidRPr="00FF2E34">
        <w:t>are you with your relationship</w:t>
      </w:r>
      <w:proofErr w:type="gramEnd"/>
      <w:r w:rsidRPr="00FF2E34">
        <w:t>?”; Funk &amp; Rogge, 2007). Response options range from 0 (</w:t>
      </w:r>
      <w:r w:rsidRPr="00FF2E34">
        <w:rPr>
          <w:i/>
          <w:iCs/>
        </w:rPr>
        <w:t>not at all</w:t>
      </w:r>
      <w:r w:rsidRPr="00FF2E34">
        <w:t>) to 5 (</w:t>
      </w:r>
      <w:r w:rsidRPr="00FF2E34">
        <w:rPr>
          <w:i/>
          <w:iCs/>
        </w:rPr>
        <w:t>completely</w:t>
      </w:r>
      <w:r w:rsidRPr="00FF2E34">
        <w:t>). Higher</w:t>
      </w:r>
      <w:r w:rsidRPr="00A610B3">
        <w:t xml:space="preserve"> scores also indicate </w:t>
      </w:r>
      <w:r w:rsidRPr="00A610B3">
        <w:lastRenderedPageBreak/>
        <w:t xml:space="preserve">higher relationship </w:t>
      </w:r>
      <w:r w:rsidRPr="00FF2E34">
        <w:t>satisfaction (</w:t>
      </w:r>
      <w:r w:rsidR="00A60856" w:rsidRPr="00FF2E34">
        <w:t>w</w:t>
      </w:r>
      <w:r w:rsidRPr="00FF2E34">
        <w:t xml:space="preserve">omen: </w:t>
      </w:r>
      <w:r w:rsidRPr="00FF2E34">
        <w:rPr>
          <w:i/>
        </w:rPr>
        <w:t>M</w:t>
      </w:r>
      <w:r w:rsidRPr="00FF2E34">
        <w:t xml:space="preserve"> = 3.52, </w:t>
      </w:r>
      <w:r w:rsidRPr="00FF2E34">
        <w:rPr>
          <w:i/>
        </w:rPr>
        <w:t>SD</w:t>
      </w:r>
      <w:r w:rsidRPr="00FF2E34">
        <w:t xml:space="preserve"> = 1.06; </w:t>
      </w:r>
      <w:r w:rsidR="00A60856" w:rsidRPr="00FF2E34">
        <w:t>p</w:t>
      </w:r>
      <w:r w:rsidRPr="00FF2E34">
        <w:t xml:space="preserve">artners: </w:t>
      </w:r>
      <w:r w:rsidRPr="00FF2E34">
        <w:rPr>
          <w:i/>
        </w:rPr>
        <w:t>M</w:t>
      </w:r>
      <w:r w:rsidRPr="00FF2E34">
        <w:t xml:space="preserve"> = 3.79, </w:t>
      </w:r>
      <w:r w:rsidRPr="00FF2E34">
        <w:rPr>
          <w:i/>
        </w:rPr>
        <w:t>SD</w:t>
      </w:r>
      <w:r w:rsidRPr="00FF2E34">
        <w:t xml:space="preserve"> = .94). Because items were on different scales, items</w:t>
      </w:r>
      <w:r w:rsidR="00B43A0D" w:rsidRPr="00FF2E34">
        <w:t xml:space="preserve"> were standardized to enable</w:t>
      </w:r>
      <w:r w:rsidRPr="00FF2E34">
        <w:t xml:space="preserve"> compar</w:t>
      </w:r>
      <w:r w:rsidR="00B43A0D" w:rsidRPr="00FF2E34">
        <w:t xml:space="preserve">isons of </w:t>
      </w:r>
      <w:r w:rsidRPr="00FF2E34">
        <w:t>effects</w:t>
      </w:r>
      <w:r w:rsidRPr="00A610B3">
        <w:t xml:space="preserve"> between samples. </w:t>
      </w:r>
    </w:p>
    <w:p w14:paraId="6B0C7D36" w14:textId="68F83A73" w:rsidR="00F74977" w:rsidRPr="00A610B3" w:rsidRDefault="00F74977" w:rsidP="00F74977">
      <w:pPr>
        <w:pStyle w:val="NormalWeb"/>
        <w:spacing w:before="0" w:beforeAutospacing="0" w:after="0" w:afterAutospacing="0" w:line="480" w:lineRule="auto"/>
        <w:ind w:firstLine="720"/>
        <w:outlineLvl w:val="0"/>
      </w:pPr>
      <w:r w:rsidRPr="00A610B3">
        <w:rPr>
          <w:b/>
        </w:rPr>
        <w:t>Dyadic</w:t>
      </w:r>
      <w:r w:rsidRPr="00A610B3">
        <w:t xml:space="preserve"> </w:t>
      </w:r>
      <w:r w:rsidRPr="00A610B3">
        <w:rPr>
          <w:rFonts w:eastAsia="Calibri"/>
          <w:b/>
        </w:rPr>
        <w:t>Conflict.</w:t>
      </w:r>
      <w:r w:rsidRPr="00A610B3">
        <w:rPr>
          <w:rFonts w:eastAsia="Calibri"/>
        </w:rPr>
        <w:t xml:space="preserve"> </w:t>
      </w:r>
      <w:r w:rsidRPr="00A610B3">
        <w:t xml:space="preserve">To have a comparable assessment of conflict across samples, in the community sample, we used </w:t>
      </w:r>
      <w:r w:rsidRPr="00FF2E34">
        <w:t>the following item: “How often do you and your partner argue with each other?” Response options range from 1 (</w:t>
      </w:r>
      <w:r w:rsidRPr="00FF2E34">
        <w:rPr>
          <w:i/>
          <w:iCs/>
        </w:rPr>
        <w:t>not very often</w:t>
      </w:r>
      <w:r w:rsidRPr="00FF2E34">
        <w:t>) to 9 (</w:t>
      </w:r>
      <w:r w:rsidRPr="00FF2E34">
        <w:rPr>
          <w:i/>
          <w:iCs/>
        </w:rPr>
        <w:t>very often</w:t>
      </w:r>
      <w:r w:rsidRPr="00FF2E34">
        <w:t xml:space="preserve">; </w:t>
      </w:r>
      <w:r w:rsidR="00A60856" w:rsidRPr="00FF2E34">
        <w:t>w</w:t>
      </w:r>
      <w:r w:rsidRPr="00FF2E34">
        <w:t xml:space="preserve">omen: </w:t>
      </w:r>
      <w:r w:rsidRPr="00FF2E34">
        <w:rPr>
          <w:i/>
        </w:rPr>
        <w:t>M</w:t>
      </w:r>
      <w:r w:rsidRPr="00FF2E34">
        <w:t xml:space="preserve"> = 3.5</w:t>
      </w:r>
      <w:r w:rsidR="00167F11" w:rsidRPr="00FF2E34">
        <w:t>5</w:t>
      </w:r>
      <w:r w:rsidRPr="00FF2E34">
        <w:t xml:space="preserve">, </w:t>
      </w:r>
      <w:r w:rsidRPr="00FF2E34">
        <w:rPr>
          <w:i/>
        </w:rPr>
        <w:t>SD</w:t>
      </w:r>
      <w:r w:rsidRPr="00FF2E34">
        <w:t xml:space="preserve"> = 2.</w:t>
      </w:r>
      <w:r w:rsidR="00167F11" w:rsidRPr="00FF2E34">
        <w:t>20</w:t>
      </w:r>
      <w:r w:rsidRPr="00FF2E34">
        <w:t xml:space="preserve">; </w:t>
      </w:r>
      <w:r w:rsidR="00A60856" w:rsidRPr="00FF2E34">
        <w:t>p</w:t>
      </w:r>
      <w:r w:rsidRPr="00FF2E34">
        <w:t xml:space="preserve">artners: </w:t>
      </w:r>
      <w:r w:rsidRPr="00FF2E34">
        <w:rPr>
          <w:i/>
        </w:rPr>
        <w:t>M</w:t>
      </w:r>
      <w:r w:rsidRPr="00FF2E34">
        <w:t xml:space="preserve"> = 3.</w:t>
      </w:r>
      <w:r w:rsidR="00167F11" w:rsidRPr="00FF2E34">
        <w:t>60</w:t>
      </w:r>
      <w:r w:rsidRPr="00FF2E34">
        <w:t xml:space="preserve">, </w:t>
      </w:r>
      <w:r w:rsidRPr="00FF2E34">
        <w:rPr>
          <w:i/>
        </w:rPr>
        <w:t>SD</w:t>
      </w:r>
      <w:r w:rsidRPr="00FF2E34">
        <w:t xml:space="preserve"> = 2.1</w:t>
      </w:r>
      <w:r w:rsidR="00167F11" w:rsidRPr="00FF2E34">
        <w:t>1</w:t>
      </w:r>
      <w:r w:rsidRPr="00FF2E34">
        <w:t>). In the sample of couples coping with low desire, we used a similar item from the Dyadic Adjustment Scale (“</w:t>
      </w:r>
      <w:r w:rsidRPr="00FF2E34">
        <w:rPr>
          <w:lang w:eastAsia="en-CA"/>
        </w:rPr>
        <w:t>How often do you and your partner quarrel [i.e., argue, disagree, conflict]?</w:t>
      </w:r>
      <w:r w:rsidRPr="00FF2E34">
        <w:t xml:space="preserve">”; </w:t>
      </w:r>
      <w:r w:rsidR="00A60856" w:rsidRPr="00FF2E34">
        <w:t>w</w:t>
      </w:r>
      <w:r w:rsidRPr="00FF2E34">
        <w:t xml:space="preserve">omen: </w:t>
      </w:r>
      <w:r w:rsidRPr="00FF2E34">
        <w:rPr>
          <w:i/>
        </w:rPr>
        <w:t>M</w:t>
      </w:r>
      <w:r w:rsidRPr="00FF2E34">
        <w:t xml:space="preserve"> = 1.90, </w:t>
      </w:r>
      <w:r w:rsidRPr="00FF2E34">
        <w:rPr>
          <w:i/>
        </w:rPr>
        <w:t>SD</w:t>
      </w:r>
      <w:r w:rsidRPr="00FF2E34">
        <w:t xml:space="preserve"> = .78; </w:t>
      </w:r>
      <w:r w:rsidR="00A60856" w:rsidRPr="00FF2E34">
        <w:t>p</w:t>
      </w:r>
      <w:r w:rsidRPr="00FF2E34">
        <w:t xml:space="preserve">artners: </w:t>
      </w:r>
      <w:r w:rsidRPr="00FF2E34">
        <w:rPr>
          <w:i/>
        </w:rPr>
        <w:t>M</w:t>
      </w:r>
      <w:r w:rsidRPr="00FF2E34">
        <w:t xml:space="preserve"> = 1.78, </w:t>
      </w:r>
      <w:r w:rsidRPr="00FF2E34">
        <w:rPr>
          <w:i/>
        </w:rPr>
        <w:t>SD</w:t>
      </w:r>
      <w:r w:rsidRPr="00FF2E34">
        <w:t xml:space="preserve"> =</w:t>
      </w:r>
      <w:r w:rsidR="004C7104" w:rsidRPr="00FF2E34">
        <w:t xml:space="preserve"> </w:t>
      </w:r>
      <w:r w:rsidRPr="00FF2E34">
        <w:t xml:space="preserve">.70; </w:t>
      </w:r>
      <w:r w:rsidRPr="00FF2E34">
        <w:rPr>
          <w:rFonts w:eastAsia="Calibri"/>
        </w:rPr>
        <w:t>Busby, Christensen, Crane, &amp; Larson, 1995</w:t>
      </w:r>
      <w:r w:rsidRPr="00FF2E34">
        <w:t>). Response options range from 0 (</w:t>
      </w:r>
      <w:r w:rsidRPr="00FF2E34">
        <w:rPr>
          <w:i/>
          <w:iCs/>
        </w:rPr>
        <w:t>all the time</w:t>
      </w:r>
      <w:r w:rsidRPr="00FF2E34">
        <w:t>) to 5 (</w:t>
      </w:r>
      <w:r w:rsidRPr="00FF2E34">
        <w:rPr>
          <w:i/>
          <w:iCs/>
        </w:rPr>
        <w:t>never</w:t>
      </w:r>
      <w:r w:rsidRPr="00FF2E34">
        <w:t xml:space="preserve">), but they were </w:t>
      </w:r>
      <w:r w:rsidR="00B2749A" w:rsidRPr="00FF2E34">
        <w:t>reverse scored</w:t>
      </w:r>
      <w:r w:rsidRPr="00FF2E34">
        <w:t xml:space="preserve"> so that higher</w:t>
      </w:r>
      <w:r w:rsidRPr="00A610B3">
        <w:t xml:space="preserve"> values indicated more frequent conflict in both samples. Because items were on different scales, we standardized the items to compare effects between samples.</w:t>
      </w:r>
    </w:p>
    <w:p w14:paraId="1A096494" w14:textId="177F0C4A" w:rsidR="00F74977" w:rsidRPr="00A610B3" w:rsidRDefault="00F74977" w:rsidP="00F74977">
      <w:pPr>
        <w:pStyle w:val="NormalWeb"/>
        <w:spacing w:before="0" w:beforeAutospacing="0" w:after="0" w:afterAutospacing="0" w:line="480" w:lineRule="auto"/>
        <w:ind w:firstLine="720"/>
        <w:outlineLvl w:val="0"/>
      </w:pPr>
      <w:r w:rsidRPr="00A610B3">
        <w:rPr>
          <w:rFonts w:eastAsia="Calibri"/>
          <w:b/>
        </w:rPr>
        <w:t xml:space="preserve">Affection Frequency. </w:t>
      </w:r>
      <w:r w:rsidRPr="00A610B3">
        <w:t>To have a comparable assessment of affection frequency across samples, in the community sample, we calculated the average of partners’ scores on two items assessing the frequency in wh</w:t>
      </w:r>
      <w:bookmarkStart w:id="1" w:name="_GoBack"/>
      <w:bookmarkEnd w:id="1"/>
      <w:r w:rsidRPr="00A610B3">
        <w:t xml:space="preserve">ich couples kissed and caressed/touched in the past 30 days. Response options range </w:t>
      </w:r>
      <w:r w:rsidRPr="00C80CEA">
        <w:t xml:space="preserve">from </w:t>
      </w:r>
      <w:r w:rsidR="00EA0A5F">
        <w:t>0</w:t>
      </w:r>
      <w:r w:rsidRPr="00C80CEA">
        <w:t xml:space="preserve"> (</w:t>
      </w:r>
      <w:r w:rsidRPr="00C80CEA">
        <w:rPr>
          <w:i/>
          <w:iCs/>
        </w:rPr>
        <w:t>not at all</w:t>
      </w:r>
      <w:r w:rsidRPr="00C80CEA">
        <w:t>) to 6 (</w:t>
      </w:r>
      <w:r w:rsidRPr="00C80CEA">
        <w:rPr>
          <w:i/>
          <w:iCs/>
        </w:rPr>
        <w:t>more than once a day</w:t>
      </w:r>
      <w:r w:rsidRPr="00C80CEA">
        <w:t xml:space="preserve">; </w:t>
      </w:r>
      <w:r w:rsidR="00A60856" w:rsidRPr="00C80CEA">
        <w:t>c</w:t>
      </w:r>
      <w:r w:rsidRPr="00C80CEA">
        <w:t xml:space="preserve">ouples: </w:t>
      </w:r>
      <w:r w:rsidRPr="00C80CEA">
        <w:rPr>
          <w:i/>
        </w:rPr>
        <w:t>M</w:t>
      </w:r>
      <w:r w:rsidRPr="00C80CEA">
        <w:t xml:space="preserve"> = 5.1</w:t>
      </w:r>
      <w:r w:rsidR="00167F11" w:rsidRPr="00C80CEA">
        <w:t>5</w:t>
      </w:r>
      <w:r w:rsidRPr="00C80CEA">
        <w:t xml:space="preserve">, </w:t>
      </w:r>
      <w:r w:rsidRPr="00C80CEA">
        <w:rPr>
          <w:i/>
        </w:rPr>
        <w:t>SD</w:t>
      </w:r>
      <w:r w:rsidRPr="00C80CEA">
        <w:t xml:space="preserve"> = 1.1</w:t>
      </w:r>
      <w:r w:rsidR="00167F11" w:rsidRPr="00C80CEA">
        <w:t>8</w:t>
      </w:r>
      <w:r w:rsidRPr="00C80CEA">
        <w:t>). We did not modify the</w:t>
      </w:r>
      <w:r w:rsidRPr="00A610B3">
        <w:t xml:space="preserve"> original measure in the sample of couple coping with low desire (</w:t>
      </w:r>
      <w:r w:rsidRPr="00A610B3">
        <w:rPr>
          <w:rFonts w:eastAsia="Calibri"/>
        </w:rPr>
        <w:t xml:space="preserve">Light, </w:t>
      </w:r>
      <w:proofErr w:type="spellStart"/>
      <w:r w:rsidRPr="00A610B3">
        <w:rPr>
          <w:rFonts w:eastAsia="Calibri"/>
        </w:rPr>
        <w:t>Grewen</w:t>
      </w:r>
      <w:proofErr w:type="spellEnd"/>
      <w:r w:rsidRPr="00A610B3">
        <w:rPr>
          <w:rFonts w:eastAsia="Calibri"/>
        </w:rPr>
        <w:t>, &amp; Amico, 2005</w:t>
      </w:r>
      <w:r w:rsidR="003F1121" w:rsidRPr="00A610B3">
        <w:rPr>
          <w:rFonts w:eastAsia="Calibri"/>
        </w:rPr>
        <w:t>;</w:t>
      </w:r>
      <w:r w:rsidRPr="00A610B3">
        <w:rPr>
          <w:rFonts w:eastAsia="Calibri"/>
        </w:rPr>
        <w:t xml:space="preserve"> adapted from Diamond, 2000)</w:t>
      </w:r>
      <w:r w:rsidRPr="00A610B3">
        <w:t>. However, given that items were on different scales, we standardized the scales to compare effects between samples.</w:t>
      </w:r>
    </w:p>
    <w:p w14:paraId="75644C64" w14:textId="77777777" w:rsidR="00F74977" w:rsidRPr="00A610B3" w:rsidRDefault="00F74977" w:rsidP="00F74977">
      <w:pPr>
        <w:pStyle w:val="NormalWeb"/>
        <w:tabs>
          <w:tab w:val="center" w:pos="4680"/>
          <w:tab w:val="left" w:pos="7013"/>
        </w:tabs>
        <w:spacing w:before="0" w:beforeAutospacing="0" w:after="0" w:afterAutospacing="0" w:line="480" w:lineRule="auto"/>
        <w:outlineLvl w:val="0"/>
        <w:rPr>
          <w:b/>
        </w:rPr>
      </w:pPr>
      <w:r w:rsidRPr="00A610B3">
        <w:rPr>
          <w:b/>
        </w:rPr>
        <w:tab/>
        <w:t>Analyses</w:t>
      </w:r>
      <w:r w:rsidRPr="00A610B3">
        <w:rPr>
          <w:b/>
        </w:rPr>
        <w:tab/>
      </w:r>
    </w:p>
    <w:p w14:paraId="0710F0D9" w14:textId="10BBFC3A" w:rsidR="00F74977" w:rsidRPr="00621DD8" w:rsidRDefault="00F74977" w:rsidP="00F74977">
      <w:pPr>
        <w:spacing w:line="480" w:lineRule="auto"/>
      </w:pPr>
      <w:r w:rsidRPr="00A610B3">
        <w:rPr>
          <w:b/>
        </w:rPr>
        <w:tab/>
      </w:r>
      <w:r w:rsidRPr="00A610B3">
        <w:t>Statistical analyses were conducted with SPSS version 23.0. “Sample”</w:t>
      </w:r>
      <w:r w:rsidRPr="00621DD8">
        <w:t xml:space="preserve"> differentiated the low desire couple vs. the community sample, whereas “Role” differentiated women with low </w:t>
      </w:r>
      <w:r w:rsidRPr="00621DD8">
        <w:lastRenderedPageBreak/>
        <w:t xml:space="preserve">desire/women in the control </w:t>
      </w:r>
      <w:r>
        <w:t>sample</w:t>
      </w:r>
      <w:r w:rsidRPr="00621DD8">
        <w:t xml:space="preserve"> vs. their partner. In the case of same-sex female couples, Role = 1 was assigned to the woman who completed the eligibility screening questions first; Role = 2 was assigned to their partner. Same-sex male </w:t>
      </w:r>
      <w:r w:rsidR="00D60AAF">
        <w:t xml:space="preserve">couples </w:t>
      </w:r>
      <w:r w:rsidRPr="00621DD8">
        <w:t>from the community sample (</w:t>
      </w:r>
      <w:r w:rsidRPr="00621DD8">
        <w:rPr>
          <w:i/>
        </w:rPr>
        <w:t>N</w:t>
      </w:r>
      <w:r w:rsidRPr="00621DD8">
        <w:t xml:space="preserve"> = 2) were not included in the analyses</w:t>
      </w:r>
      <w:r w:rsidR="008D1E3E">
        <w:t>, and one couple was excluded due to an unreported response for gender (the gender that was reported for one participant was male; thus, we could not code their partner as Role = 1)</w:t>
      </w:r>
      <w:r w:rsidRPr="00621DD8">
        <w:t xml:space="preserve">. Data between samples were combined prior to analyses and measures were modified (e.g., </w:t>
      </w:r>
      <w:r w:rsidR="004C7104">
        <w:t xml:space="preserve">we selected the most </w:t>
      </w:r>
      <w:r w:rsidR="004C7104" w:rsidRPr="00621DD8">
        <w:t>similar items</w:t>
      </w:r>
      <w:r w:rsidR="004C7104">
        <w:t xml:space="preserve"> across studies</w:t>
      </w:r>
      <w:r w:rsidRPr="00621DD8">
        <w:t xml:space="preserve">) in each </w:t>
      </w:r>
      <w:r>
        <w:t>sample</w:t>
      </w:r>
      <w:r w:rsidRPr="00621DD8">
        <w:t xml:space="preserve"> to ensure </w:t>
      </w:r>
      <w:r>
        <w:t>samples</w:t>
      </w:r>
      <w:r w:rsidRPr="00621DD8">
        <w:t xml:space="preserve"> were compared as accurately as possible. </w:t>
      </w:r>
    </w:p>
    <w:p w14:paraId="49337D43" w14:textId="16C8095A" w:rsidR="00BA2C83" w:rsidRPr="00BA2C83" w:rsidRDefault="00F74977" w:rsidP="00BA2C83">
      <w:pPr>
        <w:spacing w:line="480" w:lineRule="auto"/>
        <w:ind w:firstLine="720"/>
      </w:pPr>
      <w:r w:rsidRPr="00621DD8">
        <w:t xml:space="preserve">Given that our control sample was not specifically screened for the absence of desire issues, we wanted to first assess whether women in the low desire </w:t>
      </w:r>
      <w:r>
        <w:t>sample</w:t>
      </w:r>
      <w:r w:rsidRPr="00621DD8">
        <w:t xml:space="preserve"> were, in fact, lower in sexual desire than women in the control </w:t>
      </w:r>
      <w:r>
        <w:t>sample</w:t>
      </w:r>
      <w:r w:rsidRPr="00621DD8">
        <w:t xml:space="preserve">. To test this, we conducted independent-samples t-tests to compare mean scores of sexual </w:t>
      </w:r>
      <w:proofErr w:type="gramStart"/>
      <w:r w:rsidRPr="00621DD8">
        <w:t>desire</w:t>
      </w:r>
      <w:proofErr w:type="gramEnd"/>
      <w:r w:rsidRPr="00621DD8">
        <w:t xml:space="preserve"> for women and partners across </w:t>
      </w:r>
      <w:r>
        <w:t>samples</w:t>
      </w:r>
      <w:r w:rsidRPr="00621DD8">
        <w:t>.</w:t>
      </w:r>
      <w:r>
        <w:t xml:space="preserve"> We repeated these analyses for reports of self-expansion.</w:t>
      </w:r>
      <w:r w:rsidRPr="00621DD8">
        <w:t xml:space="preserve"> Then, using multilevel modeling guided by the Actor</w:t>
      </w:r>
      <w:r w:rsidR="004C7104">
        <w:t>-</w:t>
      </w:r>
      <w:r w:rsidRPr="00621DD8">
        <w:t xml:space="preserve">Partner Interdependence Model (Kenny, </w:t>
      </w:r>
      <w:proofErr w:type="spellStart"/>
      <w:r w:rsidRPr="00621DD8">
        <w:t>Kashy</w:t>
      </w:r>
      <w:proofErr w:type="spellEnd"/>
      <w:r w:rsidRPr="00621DD8">
        <w:t>, &amp; Cook, 2006) with mixed models in SPSS where partners were nested within couples, we tested the associations between self-expansion and sexual and relationship well-being</w:t>
      </w:r>
      <w:r>
        <w:t xml:space="preserve"> outcomes</w:t>
      </w:r>
      <w:r w:rsidRPr="00621DD8">
        <w:t xml:space="preserve"> in the combined dataset. We ran distinguishable dyads with separate intercepts for women and partners. Our key goal was to test whether any of the effects were moderated by </w:t>
      </w:r>
      <w:r>
        <w:t>sample</w:t>
      </w:r>
      <w:r w:rsidRPr="00621DD8">
        <w:t xml:space="preserve"> (</w:t>
      </w:r>
      <w:r w:rsidRPr="00A60856">
        <w:rPr>
          <w:i/>
          <w:iCs/>
        </w:rPr>
        <w:t>couples with low sexual desire</w:t>
      </w:r>
      <w:r w:rsidRPr="00621DD8">
        <w:t xml:space="preserve"> = 1, </w:t>
      </w:r>
      <w:r w:rsidRPr="00A60856">
        <w:rPr>
          <w:i/>
          <w:iCs/>
        </w:rPr>
        <w:t>community couples</w:t>
      </w:r>
      <w:r w:rsidRPr="00621DD8">
        <w:t xml:space="preserve"> = </w:t>
      </w:r>
      <w:r w:rsidR="00B43A0D">
        <w:t>0</w:t>
      </w:r>
      <w:r w:rsidRPr="00621DD8">
        <w:t>). We probed significant</w:t>
      </w:r>
      <w:r w:rsidRPr="00621DD8">
        <w:rPr>
          <w:bCs/>
        </w:rPr>
        <w:t xml:space="preserve"> interactions by calculating simple slope effects using dummy codes for each </w:t>
      </w:r>
      <w:r>
        <w:rPr>
          <w:bCs/>
        </w:rPr>
        <w:t>sample</w:t>
      </w:r>
      <w:r w:rsidR="00BA2C83">
        <w:rPr>
          <w:bCs/>
        </w:rPr>
        <w:t xml:space="preserve"> (</w:t>
      </w:r>
      <w:proofErr w:type="spellStart"/>
      <w:r w:rsidR="00BA2C83">
        <w:rPr>
          <w:bCs/>
        </w:rPr>
        <w:t>Holmbeck</w:t>
      </w:r>
      <w:proofErr w:type="spellEnd"/>
      <w:r w:rsidR="00BA2C83">
        <w:rPr>
          <w:bCs/>
        </w:rPr>
        <w:t>, 2002)</w:t>
      </w:r>
      <w:r w:rsidRPr="00621DD8">
        <w:rPr>
          <w:bCs/>
        </w:rPr>
        <w:t xml:space="preserve">. </w:t>
      </w:r>
    </w:p>
    <w:p w14:paraId="7719D9B1" w14:textId="77777777" w:rsidR="00F74977" w:rsidRPr="00621DD8" w:rsidRDefault="00F74977" w:rsidP="00F74977">
      <w:pPr>
        <w:spacing w:line="480" w:lineRule="auto"/>
        <w:jc w:val="center"/>
        <w:rPr>
          <w:b/>
        </w:rPr>
      </w:pPr>
      <w:r w:rsidRPr="00621DD8">
        <w:rPr>
          <w:b/>
        </w:rPr>
        <w:t>Results</w:t>
      </w:r>
    </w:p>
    <w:p w14:paraId="35C16266" w14:textId="77777777" w:rsidR="00F74977" w:rsidRPr="00621DD8" w:rsidRDefault="00F74977" w:rsidP="00F74977">
      <w:pPr>
        <w:spacing w:line="480" w:lineRule="auto"/>
        <w:rPr>
          <w:b/>
        </w:rPr>
      </w:pPr>
      <w:r w:rsidRPr="00621DD8">
        <w:rPr>
          <w:b/>
        </w:rPr>
        <w:t xml:space="preserve">Mean Comparison of Sexual Desire Between Samples </w:t>
      </w:r>
    </w:p>
    <w:p w14:paraId="36C38FF9" w14:textId="659A2A1D" w:rsidR="00F74977" w:rsidRPr="00D11FA4" w:rsidRDefault="00F74977" w:rsidP="00F74977">
      <w:pPr>
        <w:spacing w:line="480" w:lineRule="auto"/>
      </w:pPr>
      <w:r w:rsidRPr="00621DD8">
        <w:lastRenderedPageBreak/>
        <w:tab/>
      </w:r>
      <w:r w:rsidRPr="00D11FA4">
        <w:t xml:space="preserve">The means and standard deviations for all study variables are reported separately by role and sample (see Measures section above). </w:t>
      </w:r>
      <w:r w:rsidRPr="00D11FA4">
        <w:rPr>
          <w:color w:val="000000"/>
          <w:shd w:val="clear" w:color="auto" w:fill="FFFFFF"/>
        </w:rPr>
        <w:t xml:space="preserve">Independent-samples t-tests were conducted to compare sexual desire and self-expansion between couples coping with low sexual desire and the community sample of couples. </w:t>
      </w:r>
      <w:r w:rsidR="008D1E3E" w:rsidRPr="00D11FA4">
        <w:rPr>
          <w:color w:val="000000"/>
          <w:shd w:val="clear" w:color="auto" w:fill="FFFFFF"/>
        </w:rPr>
        <w:t>As expected, women in the low desire sample (</w:t>
      </w:r>
      <w:r w:rsidR="008D1E3E" w:rsidRPr="00D11FA4">
        <w:rPr>
          <w:i/>
        </w:rPr>
        <w:t>M</w:t>
      </w:r>
      <w:r w:rsidR="008D1E3E" w:rsidRPr="00D11FA4">
        <w:t xml:space="preserve"> = 1.79, </w:t>
      </w:r>
      <w:r w:rsidR="008D1E3E" w:rsidRPr="00D11FA4">
        <w:rPr>
          <w:i/>
        </w:rPr>
        <w:t>SD</w:t>
      </w:r>
      <w:r w:rsidR="008D1E3E" w:rsidRPr="00D11FA4">
        <w:t xml:space="preserve"> = .70)</w:t>
      </w:r>
      <w:r w:rsidR="008D1E3E" w:rsidRPr="00D11FA4">
        <w:rPr>
          <w:color w:val="000000"/>
          <w:shd w:val="clear" w:color="auto" w:fill="FFFFFF"/>
        </w:rPr>
        <w:t xml:space="preserve"> reported significantly lower sexual desire compared to women in the community sample (</w:t>
      </w:r>
      <w:r w:rsidR="008D1E3E" w:rsidRPr="00D11FA4">
        <w:rPr>
          <w:i/>
          <w:color w:val="000000"/>
          <w:shd w:val="clear" w:color="auto" w:fill="FFFFFF"/>
        </w:rPr>
        <w:t>M</w:t>
      </w:r>
      <w:r w:rsidR="008D1E3E" w:rsidRPr="00D11FA4">
        <w:rPr>
          <w:color w:val="000000"/>
          <w:shd w:val="clear" w:color="auto" w:fill="FFFFFF"/>
        </w:rPr>
        <w:t xml:space="preserve"> = 3.55, </w:t>
      </w:r>
      <w:r w:rsidR="008D1E3E" w:rsidRPr="00D11FA4">
        <w:rPr>
          <w:i/>
          <w:color w:val="000000"/>
          <w:shd w:val="clear" w:color="auto" w:fill="FFFFFF"/>
        </w:rPr>
        <w:t>SD</w:t>
      </w:r>
      <w:r w:rsidR="008D1E3E" w:rsidRPr="00D11FA4">
        <w:rPr>
          <w:color w:val="000000"/>
          <w:shd w:val="clear" w:color="auto" w:fill="FFFFFF"/>
        </w:rPr>
        <w:t xml:space="preserve"> = </w:t>
      </w:r>
      <w:r w:rsidR="008D1E3E" w:rsidRPr="00D11FA4">
        <w:t xml:space="preserve">.89 </w:t>
      </w:r>
      <w:r w:rsidR="008D1E3E" w:rsidRPr="00D11FA4">
        <w:rPr>
          <w:color w:val="000000"/>
          <w:shd w:val="clear" w:color="auto" w:fill="FFFFFF"/>
        </w:rPr>
        <w:t xml:space="preserve">=, </w:t>
      </w:r>
      <w:proofErr w:type="gramStart"/>
      <w:r w:rsidR="004C7104" w:rsidRPr="00D11FA4">
        <w:rPr>
          <w:i/>
          <w:color w:val="000000"/>
          <w:shd w:val="clear" w:color="auto" w:fill="FFFFFF"/>
        </w:rPr>
        <w:t>t</w:t>
      </w:r>
      <w:r w:rsidR="004C7104" w:rsidRPr="00D11FA4">
        <w:rPr>
          <w:color w:val="000000"/>
          <w:shd w:val="clear" w:color="auto" w:fill="FFFFFF"/>
        </w:rPr>
        <w:t>[</w:t>
      </w:r>
      <w:proofErr w:type="gramEnd"/>
      <w:r w:rsidR="004C7104" w:rsidRPr="00D11FA4">
        <w:rPr>
          <w:color w:val="000000"/>
          <w:shd w:val="clear" w:color="auto" w:fill="FFFFFF"/>
        </w:rPr>
        <w:t>213.76] = 16.23</w:t>
      </w:r>
      <w:r w:rsidR="008D1E3E" w:rsidRPr="00D11FA4">
        <w:rPr>
          <w:color w:val="000000"/>
          <w:shd w:val="clear" w:color="auto" w:fill="FFFFFF"/>
        </w:rPr>
        <w:t xml:space="preserve">, </w:t>
      </w:r>
      <w:r w:rsidR="008D1E3E" w:rsidRPr="00D11FA4">
        <w:rPr>
          <w:i/>
          <w:color w:val="000000"/>
          <w:shd w:val="clear" w:color="auto" w:fill="FFFFFF"/>
        </w:rPr>
        <w:t>p</w:t>
      </w:r>
      <w:r w:rsidR="008D1E3E" w:rsidRPr="00D11FA4">
        <w:rPr>
          <w:color w:val="000000"/>
          <w:shd w:val="clear" w:color="auto" w:fill="FFFFFF"/>
        </w:rPr>
        <w:t xml:space="preserve"> &lt; .001). Women with low desire also reported lower self-expansion (</w:t>
      </w:r>
      <w:r w:rsidR="008D1E3E" w:rsidRPr="00D11FA4">
        <w:rPr>
          <w:i/>
        </w:rPr>
        <w:t>M</w:t>
      </w:r>
      <w:r w:rsidR="008D1E3E" w:rsidRPr="00D11FA4">
        <w:t xml:space="preserve"> = 4.79, </w:t>
      </w:r>
      <w:r w:rsidR="008D1E3E" w:rsidRPr="00D11FA4">
        <w:rPr>
          <w:i/>
        </w:rPr>
        <w:t>SD</w:t>
      </w:r>
      <w:r w:rsidR="008D1E3E" w:rsidRPr="00D11FA4">
        <w:t xml:space="preserve"> = 1.33</w:t>
      </w:r>
      <w:r w:rsidR="008D1E3E" w:rsidRPr="00D11FA4">
        <w:rPr>
          <w:color w:val="000000"/>
          <w:shd w:val="clear" w:color="auto" w:fill="FFFFFF"/>
        </w:rPr>
        <w:t>) than women in the community sample (</w:t>
      </w:r>
      <w:r w:rsidR="008D1E3E" w:rsidRPr="00D11FA4">
        <w:rPr>
          <w:i/>
          <w:color w:val="000000"/>
          <w:shd w:val="clear" w:color="auto" w:fill="FFFFFF"/>
        </w:rPr>
        <w:t>M</w:t>
      </w:r>
      <w:r w:rsidR="008D1E3E" w:rsidRPr="00D11FA4">
        <w:rPr>
          <w:color w:val="000000"/>
          <w:shd w:val="clear" w:color="auto" w:fill="FFFFFF"/>
        </w:rPr>
        <w:t xml:space="preserve"> = </w:t>
      </w:r>
      <w:r w:rsidR="008D1E3E" w:rsidRPr="00D11FA4">
        <w:t xml:space="preserve">5.48, </w:t>
      </w:r>
      <w:r w:rsidR="008D1E3E" w:rsidRPr="00D11FA4">
        <w:rPr>
          <w:i/>
          <w:color w:val="000000"/>
          <w:shd w:val="clear" w:color="auto" w:fill="FFFFFF"/>
        </w:rPr>
        <w:t>SD</w:t>
      </w:r>
      <w:r w:rsidR="008D1E3E" w:rsidRPr="00D11FA4">
        <w:rPr>
          <w:color w:val="000000"/>
          <w:shd w:val="clear" w:color="auto" w:fill="FFFFFF"/>
        </w:rPr>
        <w:t xml:space="preserve"> = </w:t>
      </w:r>
      <w:r w:rsidR="008D1E3E" w:rsidRPr="00D11FA4">
        <w:t>1.17</w:t>
      </w:r>
      <w:r w:rsidR="008D1E3E" w:rsidRPr="00D11FA4">
        <w:rPr>
          <w:color w:val="000000"/>
          <w:shd w:val="clear" w:color="auto" w:fill="FFFFFF"/>
        </w:rPr>
        <w:t xml:space="preserve">, </w:t>
      </w:r>
      <w:proofErr w:type="gramStart"/>
      <w:r w:rsidR="008D1E3E" w:rsidRPr="00D11FA4">
        <w:rPr>
          <w:i/>
          <w:color w:val="000000"/>
          <w:shd w:val="clear" w:color="auto" w:fill="FFFFFF"/>
        </w:rPr>
        <w:t>t</w:t>
      </w:r>
      <w:r w:rsidR="008D1E3E" w:rsidRPr="00D11FA4">
        <w:rPr>
          <w:color w:val="000000"/>
          <w:shd w:val="clear" w:color="auto" w:fill="FFFFFF"/>
        </w:rPr>
        <w:t>[</w:t>
      </w:r>
      <w:proofErr w:type="gramEnd"/>
      <w:r w:rsidR="008D1E3E" w:rsidRPr="00D11FA4">
        <w:rPr>
          <w:color w:val="000000"/>
          <w:shd w:val="clear" w:color="auto" w:fill="FFFFFF"/>
        </w:rPr>
        <w:t xml:space="preserve">214] = 4.03, </w:t>
      </w:r>
      <w:r w:rsidR="008D1E3E" w:rsidRPr="00D11FA4">
        <w:rPr>
          <w:i/>
          <w:color w:val="000000"/>
          <w:shd w:val="clear" w:color="auto" w:fill="FFFFFF"/>
        </w:rPr>
        <w:t>p</w:t>
      </w:r>
      <w:r w:rsidR="008D1E3E" w:rsidRPr="00D11FA4">
        <w:rPr>
          <w:color w:val="000000"/>
          <w:shd w:val="clear" w:color="auto" w:fill="FFFFFF"/>
        </w:rPr>
        <w:t xml:space="preserve"> &lt; .001). </w:t>
      </w:r>
      <w:r w:rsidRPr="00D11FA4">
        <w:rPr>
          <w:color w:val="000000"/>
          <w:shd w:val="clear" w:color="auto" w:fill="FFFFFF"/>
        </w:rPr>
        <w:t xml:space="preserve">Compared to partners in the community sample, </w:t>
      </w:r>
      <w:r w:rsidRPr="00D11FA4">
        <w:t>there were no significant differences in the sexual desire (</w:t>
      </w:r>
      <w:proofErr w:type="spellStart"/>
      <w:r w:rsidRPr="00D11FA4">
        <w:rPr>
          <w:i/>
          <w:color w:val="000000"/>
          <w:shd w:val="clear" w:color="auto" w:fill="FFFFFF"/>
        </w:rPr>
        <w:t>M</w:t>
      </w:r>
      <w:r w:rsidRPr="00D11FA4">
        <w:rPr>
          <w:color w:val="000000"/>
          <w:shd w:val="clear" w:color="auto" w:fill="FFFFFF"/>
          <w:vertAlign w:val="subscript"/>
        </w:rPr>
        <w:t>lowdesire</w:t>
      </w:r>
      <w:proofErr w:type="spellEnd"/>
      <w:r w:rsidRPr="00D11FA4">
        <w:rPr>
          <w:color w:val="000000"/>
          <w:shd w:val="clear" w:color="auto" w:fill="FFFFFF"/>
        </w:rPr>
        <w:t xml:space="preserve"> = 3.95; </w:t>
      </w:r>
      <w:proofErr w:type="spellStart"/>
      <w:r w:rsidRPr="00D11FA4">
        <w:rPr>
          <w:i/>
          <w:color w:val="000000"/>
          <w:shd w:val="clear" w:color="auto" w:fill="FFFFFF"/>
        </w:rPr>
        <w:t>SD</w:t>
      </w:r>
      <w:r w:rsidRPr="00D11FA4">
        <w:rPr>
          <w:color w:val="000000"/>
          <w:shd w:val="clear" w:color="auto" w:fill="FFFFFF"/>
          <w:vertAlign w:val="subscript"/>
        </w:rPr>
        <w:t>lowdesire</w:t>
      </w:r>
      <w:proofErr w:type="spellEnd"/>
      <w:r w:rsidRPr="00D11FA4">
        <w:rPr>
          <w:color w:val="000000"/>
          <w:shd w:val="clear" w:color="auto" w:fill="FFFFFF"/>
          <w:vertAlign w:val="subscript"/>
        </w:rPr>
        <w:t xml:space="preserve"> </w:t>
      </w:r>
      <w:r w:rsidRPr="00D11FA4">
        <w:rPr>
          <w:color w:val="000000"/>
          <w:shd w:val="clear" w:color="auto" w:fill="FFFFFF"/>
        </w:rPr>
        <w:t xml:space="preserve">= .89; </w:t>
      </w:r>
      <w:proofErr w:type="spellStart"/>
      <w:r w:rsidRPr="00D11FA4">
        <w:rPr>
          <w:i/>
          <w:color w:val="000000"/>
          <w:shd w:val="clear" w:color="auto" w:fill="FFFFFF"/>
        </w:rPr>
        <w:t>M</w:t>
      </w:r>
      <w:r w:rsidRPr="00D11FA4">
        <w:rPr>
          <w:color w:val="000000"/>
          <w:shd w:val="clear" w:color="auto" w:fill="FFFFFF"/>
          <w:vertAlign w:val="subscript"/>
        </w:rPr>
        <w:t>control</w:t>
      </w:r>
      <w:proofErr w:type="spellEnd"/>
      <w:r w:rsidRPr="00D11FA4">
        <w:rPr>
          <w:color w:val="000000"/>
          <w:shd w:val="clear" w:color="auto" w:fill="FFFFFF"/>
        </w:rPr>
        <w:t xml:space="preserve"> = 4.0</w:t>
      </w:r>
      <w:r w:rsidR="007A7FD6" w:rsidRPr="00D11FA4">
        <w:rPr>
          <w:color w:val="000000"/>
          <w:shd w:val="clear" w:color="auto" w:fill="FFFFFF"/>
        </w:rPr>
        <w:t>3</w:t>
      </w:r>
      <w:r w:rsidRPr="00D11FA4">
        <w:rPr>
          <w:color w:val="000000"/>
          <w:shd w:val="clear" w:color="auto" w:fill="FFFFFF"/>
        </w:rPr>
        <w:t xml:space="preserve">; </w:t>
      </w:r>
      <w:proofErr w:type="spellStart"/>
      <w:r w:rsidRPr="00D11FA4">
        <w:rPr>
          <w:i/>
          <w:color w:val="000000"/>
          <w:shd w:val="clear" w:color="auto" w:fill="FFFFFF"/>
        </w:rPr>
        <w:t>SD</w:t>
      </w:r>
      <w:r w:rsidRPr="00D11FA4">
        <w:rPr>
          <w:color w:val="000000"/>
          <w:shd w:val="clear" w:color="auto" w:fill="FFFFFF"/>
          <w:vertAlign w:val="subscript"/>
        </w:rPr>
        <w:t>control</w:t>
      </w:r>
      <w:proofErr w:type="spellEnd"/>
      <w:r w:rsidRPr="00D11FA4">
        <w:rPr>
          <w:color w:val="000000"/>
          <w:shd w:val="clear" w:color="auto" w:fill="FFFFFF"/>
        </w:rPr>
        <w:t xml:space="preserve"> = .8</w:t>
      </w:r>
      <w:r w:rsidR="007A7FD6" w:rsidRPr="00D11FA4">
        <w:rPr>
          <w:color w:val="000000"/>
          <w:shd w:val="clear" w:color="auto" w:fill="FFFFFF"/>
        </w:rPr>
        <w:t>5</w:t>
      </w:r>
      <w:r w:rsidRPr="00D11FA4">
        <w:rPr>
          <w:color w:val="000000"/>
          <w:shd w:val="clear" w:color="auto" w:fill="FFFFFF"/>
        </w:rPr>
        <w:t xml:space="preserve">; </w:t>
      </w:r>
      <w:r w:rsidRPr="00D11FA4">
        <w:rPr>
          <w:i/>
          <w:color w:val="000000"/>
          <w:shd w:val="clear" w:color="auto" w:fill="FFFFFF"/>
        </w:rPr>
        <w:t>t</w:t>
      </w:r>
      <w:r w:rsidRPr="00D11FA4">
        <w:rPr>
          <w:color w:val="000000"/>
          <w:shd w:val="clear" w:color="auto" w:fill="FFFFFF"/>
        </w:rPr>
        <w:t>[21</w:t>
      </w:r>
      <w:r w:rsidR="007A7FD6" w:rsidRPr="00D11FA4">
        <w:rPr>
          <w:color w:val="000000"/>
          <w:shd w:val="clear" w:color="auto" w:fill="FFFFFF"/>
        </w:rPr>
        <w:t>4</w:t>
      </w:r>
      <w:r w:rsidRPr="00D11FA4">
        <w:rPr>
          <w:color w:val="000000"/>
          <w:shd w:val="clear" w:color="auto" w:fill="FFFFFF"/>
        </w:rPr>
        <w:t>] = .</w:t>
      </w:r>
      <w:r w:rsidR="007A7FD6" w:rsidRPr="00D11FA4">
        <w:rPr>
          <w:color w:val="000000"/>
          <w:shd w:val="clear" w:color="auto" w:fill="FFFFFF"/>
        </w:rPr>
        <w:t>60</w:t>
      </w:r>
      <w:r w:rsidRPr="00D11FA4">
        <w:rPr>
          <w:color w:val="000000"/>
          <w:shd w:val="clear" w:color="auto" w:fill="FFFFFF"/>
        </w:rPr>
        <w:t xml:space="preserve">, </w:t>
      </w:r>
      <w:r w:rsidRPr="00D11FA4">
        <w:rPr>
          <w:i/>
          <w:color w:val="000000"/>
          <w:shd w:val="clear" w:color="auto" w:fill="FFFFFF"/>
        </w:rPr>
        <w:t>p</w:t>
      </w:r>
      <w:r w:rsidRPr="00D11FA4">
        <w:rPr>
          <w:color w:val="000000"/>
          <w:shd w:val="clear" w:color="auto" w:fill="FFFFFF"/>
        </w:rPr>
        <w:t xml:space="preserve"> = </w:t>
      </w:r>
      <w:proofErr w:type="spellStart"/>
      <w:r w:rsidRPr="00D11FA4">
        <w:rPr>
          <w:color w:val="000000"/>
          <w:shd w:val="clear" w:color="auto" w:fill="FFFFFF"/>
        </w:rPr>
        <w:t>n.s</w:t>
      </w:r>
      <w:proofErr w:type="spellEnd"/>
      <w:r w:rsidRPr="00D11FA4">
        <w:rPr>
          <w:color w:val="000000"/>
          <w:shd w:val="clear" w:color="auto" w:fill="FFFFFF"/>
        </w:rPr>
        <w:t xml:space="preserve">.) or self-expansion </w:t>
      </w:r>
      <w:r w:rsidRPr="00D11FA4">
        <w:t>(</w:t>
      </w:r>
      <w:proofErr w:type="spellStart"/>
      <w:r w:rsidRPr="00D11FA4">
        <w:rPr>
          <w:i/>
          <w:color w:val="000000"/>
          <w:shd w:val="clear" w:color="auto" w:fill="FFFFFF"/>
        </w:rPr>
        <w:t>M</w:t>
      </w:r>
      <w:r w:rsidRPr="00D11FA4">
        <w:rPr>
          <w:color w:val="000000"/>
          <w:shd w:val="clear" w:color="auto" w:fill="FFFFFF"/>
          <w:vertAlign w:val="subscript"/>
        </w:rPr>
        <w:t>lowdesire</w:t>
      </w:r>
      <w:proofErr w:type="spellEnd"/>
      <w:r w:rsidRPr="00D11FA4">
        <w:rPr>
          <w:color w:val="000000"/>
          <w:shd w:val="clear" w:color="auto" w:fill="FFFFFF"/>
        </w:rPr>
        <w:t xml:space="preserve"> = 5.36; </w:t>
      </w:r>
      <w:proofErr w:type="spellStart"/>
      <w:r w:rsidRPr="00D11FA4">
        <w:rPr>
          <w:i/>
          <w:color w:val="000000"/>
          <w:shd w:val="clear" w:color="auto" w:fill="FFFFFF"/>
        </w:rPr>
        <w:t>SD</w:t>
      </w:r>
      <w:r w:rsidRPr="00D11FA4">
        <w:rPr>
          <w:color w:val="000000"/>
          <w:shd w:val="clear" w:color="auto" w:fill="FFFFFF"/>
          <w:vertAlign w:val="subscript"/>
        </w:rPr>
        <w:t>lowdesire</w:t>
      </w:r>
      <w:proofErr w:type="spellEnd"/>
      <w:r w:rsidRPr="00D11FA4">
        <w:rPr>
          <w:color w:val="000000"/>
          <w:shd w:val="clear" w:color="auto" w:fill="FFFFFF"/>
          <w:vertAlign w:val="subscript"/>
        </w:rPr>
        <w:t xml:space="preserve"> </w:t>
      </w:r>
      <w:r w:rsidRPr="00D11FA4">
        <w:rPr>
          <w:color w:val="000000"/>
          <w:shd w:val="clear" w:color="auto" w:fill="FFFFFF"/>
        </w:rPr>
        <w:t xml:space="preserve">= 1.31; </w:t>
      </w:r>
      <w:proofErr w:type="spellStart"/>
      <w:r w:rsidRPr="00D11FA4">
        <w:rPr>
          <w:i/>
          <w:color w:val="000000"/>
          <w:shd w:val="clear" w:color="auto" w:fill="FFFFFF"/>
        </w:rPr>
        <w:t>M</w:t>
      </w:r>
      <w:r w:rsidRPr="00D11FA4">
        <w:rPr>
          <w:color w:val="000000"/>
          <w:shd w:val="clear" w:color="auto" w:fill="FFFFFF"/>
          <w:vertAlign w:val="subscript"/>
        </w:rPr>
        <w:t>control</w:t>
      </w:r>
      <w:proofErr w:type="spellEnd"/>
      <w:r w:rsidRPr="00D11FA4">
        <w:rPr>
          <w:color w:val="000000"/>
          <w:shd w:val="clear" w:color="auto" w:fill="FFFFFF"/>
        </w:rPr>
        <w:t xml:space="preserve"> = 5.6</w:t>
      </w:r>
      <w:r w:rsidR="007A7FD6" w:rsidRPr="00D11FA4">
        <w:rPr>
          <w:color w:val="000000"/>
          <w:shd w:val="clear" w:color="auto" w:fill="FFFFFF"/>
        </w:rPr>
        <w:t>1</w:t>
      </w:r>
      <w:r w:rsidRPr="00D11FA4">
        <w:rPr>
          <w:color w:val="000000"/>
          <w:shd w:val="clear" w:color="auto" w:fill="FFFFFF"/>
        </w:rPr>
        <w:t xml:space="preserve">; </w:t>
      </w:r>
      <w:proofErr w:type="spellStart"/>
      <w:r w:rsidRPr="00D11FA4">
        <w:rPr>
          <w:i/>
          <w:color w:val="000000"/>
          <w:shd w:val="clear" w:color="auto" w:fill="FFFFFF"/>
        </w:rPr>
        <w:t>SD</w:t>
      </w:r>
      <w:r w:rsidRPr="00D11FA4">
        <w:rPr>
          <w:color w:val="000000"/>
          <w:shd w:val="clear" w:color="auto" w:fill="FFFFFF"/>
          <w:vertAlign w:val="subscript"/>
        </w:rPr>
        <w:t>control</w:t>
      </w:r>
      <w:proofErr w:type="spellEnd"/>
      <w:r w:rsidRPr="00D11FA4">
        <w:rPr>
          <w:color w:val="000000"/>
          <w:shd w:val="clear" w:color="auto" w:fill="FFFFFF"/>
        </w:rPr>
        <w:t xml:space="preserve"> .9</w:t>
      </w:r>
      <w:r w:rsidR="007A7FD6" w:rsidRPr="00D11FA4">
        <w:rPr>
          <w:color w:val="000000"/>
          <w:shd w:val="clear" w:color="auto" w:fill="FFFFFF"/>
        </w:rPr>
        <w:t>6</w:t>
      </w:r>
      <w:r w:rsidRPr="00D11FA4">
        <w:rPr>
          <w:color w:val="000000"/>
          <w:shd w:val="clear" w:color="auto" w:fill="FFFFFF"/>
        </w:rPr>
        <w:t xml:space="preserve"> = ; </w:t>
      </w:r>
      <w:r w:rsidR="004C7104" w:rsidRPr="00D11FA4">
        <w:rPr>
          <w:i/>
          <w:color w:val="000000"/>
          <w:shd w:val="clear" w:color="auto" w:fill="FFFFFF"/>
        </w:rPr>
        <w:t>t</w:t>
      </w:r>
      <w:r w:rsidR="004C7104" w:rsidRPr="00D11FA4">
        <w:rPr>
          <w:color w:val="000000"/>
          <w:shd w:val="clear" w:color="auto" w:fill="FFFFFF"/>
        </w:rPr>
        <w:t>[170.86] = 1.55</w:t>
      </w:r>
      <w:r w:rsidRPr="00D11FA4">
        <w:rPr>
          <w:color w:val="000000"/>
          <w:shd w:val="clear" w:color="auto" w:fill="FFFFFF"/>
        </w:rPr>
        <w:t xml:space="preserve">, </w:t>
      </w:r>
      <w:r w:rsidRPr="00D11FA4">
        <w:rPr>
          <w:i/>
          <w:color w:val="000000"/>
          <w:shd w:val="clear" w:color="auto" w:fill="FFFFFF"/>
        </w:rPr>
        <w:t>p</w:t>
      </w:r>
      <w:r w:rsidRPr="00D11FA4">
        <w:rPr>
          <w:color w:val="000000"/>
          <w:shd w:val="clear" w:color="auto" w:fill="FFFFFF"/>
        </w:rPr>
        <w:t xml:space="preserve"> = </w:t>
      </w:r>
      <w:proofErr w:type="spellStart"/>
      <w:r w:rsidRPr="00D11FA4">
        <w:rPr>
          <w:color w:val="000000"/>
          <w:shd w:val="clear" w:color="auto" w:fill="FFFFFF"/>
        </w:rPr>
        <w:t>n.s</w:t>
      </w:r>
      <w:proofErr w:type="spellEnd"/>
      <w:r w:rsidRPr="00D11FA4">
        <w:rPr>
          <w:color w:val="000000"/>
          <w:shd w:val="clear" w:color="auto" w:fill="FFFFFF"/>
        </w:rPr>
        <w:t xml:space="preserve">.) </w:t>
      </w:r>
      <w:r w:rsidRPr="00D11FA4">
        <w:t>for partners of women coping with low desire.</w:t>
      </w:r>
    </w:p>
    <w:p w14:paraId="077709AB" w14:textId="77777777" w:rsidR="00F74977" w:rsidRPr="00621DD8" w:rsidRDefault="00F74977" w:rsidP="00F74977">
      <w:pPr>
        <w:spacing w:line="480" w:lineRule="auto"/>
        <w:rPr>
          <w:b/>
        </w:rPr>
      </w:pPr>
      <w:r w:rsidRPr="00D11FA4">
        <w:rPr>
          <w:b/>
        </w:rPr>
        <w:t>Moderation by Sample</w:t>
      </w:r>
    </w:p>
    <w:p w14:paraId="7CBAA029" w14:textId="0C60328C" w:rsidR="00F74977" w:rsidRPr="00BB79AF" w:rsidRDefault="00F74977" w:rsidP="00F74977">
      <w:pPr>
        <w:spacing w:line="480" w:lineRule="auto"/>
        <w:ind w:firstLine="720"/>
        <w:rPr>
          <w:rFonts w:eastAsia="Calibri"/>
        </w:rPr>
      </w:pPr>
      <w:r w:rsidRPr="00D11FA4">
        <w:t xml:space="preserve">In the combined data set (i.e., all participants across samples), all effects that were significant in the original data only consisting of couples with low desire remained significant in the combined data (see Table </w:t>
      </w:r>
      <w:r w:rsidR="00A60856" w:rsidRPr="00D11FA4">
        <w:t>S</w:t>
      </w:r>
      <w:r w:rsidRPr="00D11FA4">
        <w:t xml:space="preserve">2 and Table </w:t>
      </w:r>
      <w:r w:rsidR="00A60856" w:rsidRPr="00D11FA4">
        <w:t>S</w:t>
      </w:r>
      <w:r w:rsidRPr="00D11FA4">
        <w:t xml:space="preserve">3). However, </w:t>
      </w:r>
      <w:r w:rsidRPr="00D11FA4">
        <w:rPr>
          <w:rFonts w:eastAsia="Calibri"/>
        </w:rPr>
        <w:t>o</w:t>
      </w:r>
      <w:r w:rsidRPr="00D11FA4">
        <w:rPr>
          <w:color w:val="222222"/>
          <w:shd w:val="clear" w:color="auto" w:fill="FFFFFF"/>
        </w:rPr>
        <w:t xml:space="preserve">f the original effects found for couples coping with low desire, one </w:t>
      </w:r>
      <w:r w:rsidRPr="00BB79AF">
        <w:rPr>
          <w:color w:val="222222"/>
          <w:shd w:val="clear" w:color="auto" w:fill="FFFFFF"/>
        </w:rPr>
        <w:t xml:space="preserve">effect was moderated by sample (i.e., low desire couples versus community </w:t>
      </w:r>
      <w:r w:rsidRPr="00BB79AF">
        <w:rPr>
          <w:color w:val="000000"/>
          <w:shd w:val="clear" w:color="auto" w:fill="FFFFFF"/>
        </w:rPr>
        <w:t>couples</w:t>
      </w:r>
      <w:r w:rsidRPr="00BB79AF">
        <w:rPr>
          <w:color w:val="222222"/>
          <w:shd w:val="clear" w:color="auto" w:fill="FFFFFF"/>
        </w:rPr>
        <w:t xml:space="preserve">). </w:t>
      </w:r>
      <w:r w:rsidRPr="00BB79AF">
        <w:t xml:space="preserve">The association between </w:t>
      </w:r>
      <w:r w:rsidR="005B3480" w:rsidRPr="00BB79AF">
        <w:t xml:space="preserve">partner’s </w:t>
      </w:r>
      <w:r w:rsidRPr="00BB79AF">
        <w:t xml:space="preserve">self-expansion and their </w:t>
      </w:r>
      <w:r w:rsidR="005B3480" w:rsidRPr="00BB79AF">
        <w:t>conflict</w:t>
      </w:r>
      <w:r w:rsidRPr="00BB79AF">
        <w:t xml:space="preserve"> was significantly moderated by </w:t>
      </w:r>
      <w:r w:rsidRPr="00BB79AF">
        <w:rPr>
          <w:color w:val="000000"/>
          <w:shd w:val="clear" w:color="auto" w:fill="FFFFFF"/>
        </w:rPr>
        <w:t>sample</w:t>
      </w:r>
      <w:r w:rsidRPr="00BB79AF">
        <w:t xml:space="preserve">, </w:t>
      </w:r>
      <w:r w:rsidRPr="00BB79AF">
        <w:rPr>
          <w:rFonts w:eastAsia="Calibri"/>
          <w:i/>
        </w:rPr>
        <w:t>b</w:t>
      </w:r>
      <w:r w:rsidRPr="00BB79AF">
        <w:rPr>
          <w:rFonts w:eastAsia="Calibri"/>
        </w:rPr>
        <w:t xml:space="preserve"> = -.</w:t>
      </w:r>
      <w:r w:rsidR="005B3480" w:rsidRPr="00BB79AF">
        <w:rPr>
          <w:rFonts w:eastAsia="Calibri"/>
        </w:rPr>
        <w:t>25</w:t>
      </w:r>
      <w:r w:rsidRPr="00BB79AF">
        <w:rPr>
          <w:rFonts w:eastAsia="Calibri"/>
        </w:rPr>
        <w:t xml:space="preserve">, </w:t>
      </w:r>
      <w:r w:rsidRPr="00BB79AF">
        <w:rPr>
          <w:rFonts w:eastAsia="Calibri"/>
          <w:i/>
        </w:rPr>
        <w:t>SE</w:t>
      </w:r>
      <w:r w:rsidRPr="00BB79AF">
        <w:rPr>
          <w:rFonts w:eastAsia="Calibri"/>
        </w:rPr>
        <w:t xml:space="preserve"> = .</w:t>
      </w:r>
      <w:r w:rsidR="005B3480" w:rsidRPr="00BB79AF">
        <w:rPr>
          <w:rFonts w:eastAsia="Calibri"/>
        </w:rPr>
        <w:t>12</w:t>
      </w:r>
      <w:r w:rsidRPr="00BB79AF">
        <w:rPr>
          <w:rFonts w:eastAsia="Calibri"/>
        </w:rPr>
        <w:t xml:space="preserve">, </w:t>
      </w:r>
      <w:proofErr w:type="gramStart"/>
      <w:r w:rsidRPr="00BB79AF">
        <w:rPr>
          <w:rFonts w:eastAsia="Calibri"/>
          <w:i/>
        </w:rPr>
        <w:t>t</w:t>
      </w:r>
      <w:r w:rsidRPr="00BB79AF">
        <w:rPr>
          <w:rFonts w:eastAsia="Calibri"/>
        </w:rPr>
        <w:t>(</w:t>
      </w:r>
      <w:proofErr w:type="gramEnd"/>
      <w:r w:rsidR="005B3480" w:rsidRPr="00BB79AF">
        <w:rPr>
          <w:rFonts w:eastAsia="Calibri"/>
        </w:rPr>
        <w:t>209.43</w:t>
      </w:r>
      <w:r w:rsidRPr="00BB79AF">
        <w:rPr>
          <w:rFonts w:eastAsia="Calibri"/>
        </w:rPr>
        <w:t>) = -2.</w:t>
      </w:r>
      <w:r w:rsidR="005B3480" w:rsidRPr="00BB79AF">
        <w:rPr>
          <w:rFonts w:eastAsia="Calibri"/>
        </w:rPr>
        <w:t>11</w:t>
      </w:r>
      <w:r w:rsidRPr="00BB79AF">
        <w:rPr>
          <w:rFonts w:eastAsia="Calibri"/>
        </w:rPr>
        <w:t xml:space="preserve">, </w:t>
      </w:r>
      <w:r w:rsidRPr="00BB79AF">
        <w:rPr>
          <w:rFonts w:eastAsia="Calibri"/>
          <w:i/>
        </w:rPr>
        <w:t>p</w:t>
      </w:r>
      <w:r w:rsidRPr="00BB79AF">
        <w:rPr>
          <w:rFonts w:eastAsia="Calibri"/>
        </w:rPr>
        <w:t xml:space="preserve"> = .0</w:t>
      </w:r>
      <w:r w:rsidR="005B3480" w:rsidRPr="00BB79AF">
        <w:rPr>
          <w:rFonts w:eastAsia="Calibri"/>
        </w:rPr>
        <w:t>4</w:t>
      </w:r>
      <w:r w:rsidRPr="00BB79AF">
        <w:t xml:space="preserve">. For </w:t>
      </w:r>
      <w:r w:rsidR="005B3480" w:rsidRPr="00BB79AF">
        <w:t>partners</w:t>
      </w:r>
      <w:r w:rsidR="001437CC" w:rsidRPr="00BB79AF">
        <w:t xml:space="preserve"> of women</w:t>
      </w:r>
      <w:r w:rsidR="005B3480" w:rsidRPr="00BB79AF">
        <w:t xml:space="preserve"> in the</w:t>
      </w:r>
      <w:r w:rsidRPr="00BB79AF">
        <w:t xml:space="preserve"> low desire</w:t>
      </w:r>
      <w:r w:rsidR="005B3480" w:rsidRPr="00BB79AF">
        <w:t xml:space="preserve"> sample</w:t>
      </w:r>
      <w:r w:rsidRPr="00BB79AF">
        <w:t xml:space="preserve">, higher self-expansion was associated with </w:t>
      </w:r>
      <w:r w:rsidR="005B3480" w:rsidRPr="00BB79AF">
        <w:t>lower conflict</w:t>
      </w:r>
      <w:r w:rsidRPr="00BB79AF">
        <w:t xml:space="preserve"> (</w:t>
      </w:r>
      <w:r w:rsidRPr="00BB79AF">
        <w:rPr>
          <w:rFonts w:eastAsia="Calibri"/>
          <w:i/>
        </w:rPr>
        <w:t>b</w:t>
      </w:r>
      <w:r w:rsidRPr="00BB79AF">
        <w:rPr>
          <w:rFonts w:eastAsia="Calibri"/>
        </w:rPr>
        <w:t xml:space="preserve"> =</w:t>
      </w:r>
      <w:r w:rsidR="005B3480" w:rsidRPr="00BB79AF">
        <w:rPr>
          <w:rFonts w:eastAsia="Calibri"/>
        </w:rPr>
        <w:t xml:space="preserve"> -.28</w:t>
      </w:r>
      <w:r w:rsidRPr="00BB79AF">
        <w:rPr>
          <w:rFonts w:eastAsia="Calibri"/>
        </w:rPr>
        <w:t xml:space="preserve">, </w:t>
      </w:r>
      <w:r w:rsidRPr="00BB79AF">
        <w:rPr>
          <w:rFonts w:eastAsia="Calibri"/>
          <w:i/>
        </w:rPr>
        <w:t>SE</w:t>
      </w:r>
      <w:r w:rsidRPr="00BB79AF">
        <w:rPr>
          <w:rFonts w:eastAsia="Calibri"/>
        </w:rPr>
        <w:t xml:space="preserve"> = .0</w:t>
      </w:r>
      <w:r w:rsidR="005B3480" w:rsidRPr="00BB79AF">
        <w:rPr>
          <w:rFonts w:eastAsia="Calibri"/>
        </w:rPr>
        <w:t>7</w:t>
      </w:r>
      <w:r w:rsidRPr="00BB79AF">
        <w:rPr>
          <w:rFonts w:eastAsia="Calibri"/>
        </w:rPr>
        <w:t xml:space="preserve">, </w:t>
      </w:r>
      <w:proofErr w:type="gramStart"/>
      <w:r w:rsidRPr="00BB79AF">
        <w:rPr>
          <w:rFonts w:eastAsia="Calibri"/>
          <w:i/>
        </w:rPr>
        <w:t>t</w:t>
      </w:r>
      <w:r w:rsidRPr="00BB79AF">
        <w:rPr>
          <w:rFonts w:eastAsia="Calibri"/>
        </w:rPr>
        <w:t>[</w:t>
      </w:r>
      <w:proofErr w:type="gramEnd"/>
      <w:r w:rsidR="005B3480" w:rsidRPr="00BB79AF">
        <w:rPr>
          <w:rFonts w:eastAsia="Calibri"/>
        </w:rPr>
        <w:t>209.74</w:t>
      </w:r>
      <w:r w:rsidRPr="00BB79AF">
        <w:rPr>
          <w:rFonts w:eastAsia="Calibri"/>
        </w:rPr>
        <w:t xml:space="preserve">] = </w:t>
      </w:r>
      <w:r w:rsidR="005B3480" w:rsidRPr="00BB79AF">
        <w:rPr>
          <w:rFonts w:eastAsia="Calibri"/>
        </w:rPr>
        <w:t>-3.83</w:t>
      </w:r>
      <w:r w:rsidRPr="00BB79AF">
        <w:rPr>
          <w:rFonts w:eastAsia="Calibri"/>
        </w:rPr>
        <w:t xml:space="preserve">, </w:t>
      </w:r>
      <w:r w:rsidRPr="00BB79AF">
        <w:rPr>
          <w:rFonts w:eastAsia="Calibri"/>
          <w:i/>
        </w:rPr>
        <w:t>p</w:t>
      </w:r>
      <w:r w:rsidRPr="00BB79AF">
        <w:rPr>
          <w:rFonts w:eastAsia="Calibri"/>
        </w:rPr>
        <w:t xml:space="preserve"> &lt; .001). </w:t>
      </w:r>
      <w:r w:rsidRPr="00BB79AF">
        <w:t xml:space="preserve">This effect was </w:t>
      </w:r>
      <w:r w:rsidR="005B3480" w:rsidRPr="00BB79AF">
        <w:t xml:space="preserve">not </w:t>
      </w:r>
      <w:r w:rsidRPr="00BB79AF">
        <w:t>significant</w:t>
      </w:r>
      <w:r w:rsidR="005B3480" w:rsidRPr="00BB79AF">
        <w:t xml:space="preserve"> </w:t>
      </w:r>
      <w:r w:rsidRPr="00BB79AF">
        <w:t xml:space="preserve">for </w:t>
      </w:r>
      <w:r w:rsidR="005B3480" w:rsidRPr="00BB79AF">
        <w:t xml:space="preserve">partners </w:t>
      </w:r>
      <w:r w:rsidRPr="00BB79AF">
        <w:t xml:space="preserve">in the community </w:t>
      </w:r>
      <w:r w:rsidRPr="00BB79AF">
        <w:rPr>
          <w:color w:val="000000"/>
          <w:shd w:val="clear" w:color="auto" w:fill="FFFFFF"/>
        </w:rPr>
        <w:t>sample</w:t>
      </w:r>
      <w:r w:rsidRPr="00BB79AF">
        <w:t xml:space="preserve"> (</w:t>
      </w:r>
      <w:r w:rsidRPr="00BB79AF">
        <w:rPr>
          <w:rFonts w:eastAsia="Calibri"/>
          <w:i/>
        </w:rPr>
        <w:t>b</w:t>
      </w:r>
      <w:r w:rsidRPr="00BB79AF">
        <w:rPr>
          <w:rFonts w:eastAsia="Calibri"/>
        </w:rPr>
        <w:t xml:space="preserve"> = </w:t>
      </w:r>
      <w:r w:rsidR="005B3480" w:rsidRPr="00BB79AF">
        <w:rPr>
          <w:rFonts w:eastAsia="Calibri"/>
        </w:rPr>
        <w:t>-.03</w:t>
      </w:r>
      <w:r w:rsidRPr="00BB79AF">
        <w:rPr>
          <w:rFonts w:eastAsia="Calibri"/>
        </w:rPr>
        <w:t xml:space="preserve">, </w:t>
      </w:r>
      <w:r w:rsidRPr="00BB79AF">
        <w:rPr>
          <w:rFonts w:eastAsia="Calibri"/>
          <w:i/>
        </w:rPr>
        <w:t>SE</w:t>
      </w:r>
      <w:r w:rsidRPr="00BB79AF">
        <w:rPr>
          <w:rFonts w:eastAsia="Calibri"/>
        </w:rPr>
        <w:t xml:space="preserve"> = .0</w:t>
      </w:r>
      <w:r w:rsidR="005B3480" w:rsidRPr="00BB79AF">
        <w:rPr>
          <w:rFonts w:eastAsia="Calibri"/>
        </w:rPr>
        <w:t>9</w:t>
      </w:r>
      <w:r w:rsidRPr="00BB79AF">
        <w:rPr>
          <w:rFonts w:eastAsia="Calibri"/>
        </w:rPr>
        <w:t xml:space="preserve">, </w:t>
      </w:r>
      <w:proofErr w:type="gramStart"/>
      <w:r w:rsidRPr="00BB79AF">
        <w:rPr>
          <w:rFonts w:eastAsia="Calibri"/>
          <w:i/>
        </w:rPr>
        <w:t>t</w:t>
      </w:r>
      <w:r w:rsidRPr="00BB79AF">
        <w:rPr>
          <w:rFonts w:eastAsia="Calibri"/>
        </w:rPr>
        <w:t>[</w:t>
      </w:r>
      <w:proofErr w:type="gramEnd"/>
      <w:r w:rsidR="005B3480" w:rsidRPr="00BB79AF">
        <w:rPr>
          <w:rFonts w:eastAsia="Calibri"/>
        </w:rPr>
        <w:t>209.24</w:t>
      </w:r>
      <w:r w:rsidRPr="00BB79AF">
        <w:rPr>
          <w:rFonts w:eastAsia="Calibri"/>
        </w:rPr>
        <w:t xml:space="preserve">] = </w:t>
      </w:r>
      <w:r w:rsidR="00BA2C83" w:rsidRPr="00BB79AF">
        <w:rPr>
          <w:rFonts w:eastAsia="Calibri"/>
        </w:rPr>
        <w:t>-.27</w:t>
      </w:r>
      <w:r w:rsidRPr="00BB79AF">
        <w:rPr>
          <w:rFonts w:eastAsia="Calibri"/>
        </w:rPr>
        <w:t xml:space="preserve">, </w:t>
      </w:r>
      <w:r w:rsidRPr="00BB79AF">
        <w:rPr>
          <w:rFonts w:eastAsia="Calibri"/>
          <w:i/>
        </w:rPr>
        <w:t>p</w:t>
      </w:r>
      <w:r w:rsidRPr="00BB79AF">
        <w:rPr>
          <w:rFonts w:eastAsia="Calibri"/>
        </w:rPr>
        <w:t xml:space="preserve"> = .</w:t>
      </w:r>
      <w:r w:rsidR="00BA2C83" w:rsidRPr="00BB79AF">
        <w:rPr>
          <w:rFonts w:eastAsia="Calibri"/>
        </w:rPr>
        <w:t>79</w:t>
      </w:r>
      <w:r w:rsidRPr="00BB79AF">
        <w:rPr>
          <w:rFonts w:eastAsia="Calibri"/>
        </w:rPr>
        <w:t xml:space="preserve">). </w:t>
      </w:r>
    </w:p>
    <w:p w14:paraId="72CAA9A0" w14:textId="1A2CC5F6" w:rsidR="00F74977" w:rsidRPr="00F74977" w:rsidRDefault="005B3480" w:rsidP="005B3480">
      <w:pPr>
        <w:spacing w:line="480" w:lineRule="auto"/>
        <w:ind w:firstLine="720"/>
      </w:pPr>
      <w:r w:rsidRPr="00D11FA4">
        <w:rPr>
          <w:color w:val="222222"/>
          <w:shd w:val="clear" w:color="auto" w:fill="FFFFFF"/>
        </w:rPr>
        <w:t xml:space="preserve">Two </w:t>
      </w:r>
      <w:r w:rsidR="00F74977" w:rsidRPr="00D11FA4">
        <w:rPr>
          <w:color w:val="222222"/>
          <w:shd w:val="clear" w:color="auto" w:fill="FFFFFF"/>
        </w:rPr>
        <w:t xml:space="preserve">additional effects that were not originally significant in the sample of couples coping with low desire were moderated by </w:t>
      </w:r>
      <w:r w:rsidR="00F74977" w:rsidRPr="00D11FA4">
        <w:rPr>
          <w:color w:val="000000"/>
          <w:shd w:val="clear" w:color="auto" w:fill="FFFFFF"/>
        </w:rPr>
        <w:t>sample</w:t>
      </w:r>
      <w:r w:rsidR="00F74977" w:rsidRPr="00D11FA4">
        <w:rPr>
          <w:color w:val="222222"/>
          <w:shd w:val="clear" w:color="auto" w:fill="FFFFFF"/>
        </w:rPr>
        <w:t xml:space="preserve">. </w:t>
      </w:r>
      <w:r w:rsidR="00F74977" w:rsidRPr="00D11FA4">
        <w:t>First, the association between women’s self-</w:t>
      </w:r>
      <w:r w:rsidR="00F74977" w:rsidRPr="00D11FA4">
        <w:lastRenderedPageBreak/>
        <w:t xml:space="preserve">expansion and their partner’s relationship satisfaction was significantly moderated by </w:t>
      </w:r>
      <w:r w:rsidR="00F74977" w:rsidRPr="00D11FA4">
        <w:rPr>
          <w:color w:val="000000"/>
          <w:shd w:val="clear" w:color="auto" w:fill="FFFFFF"/>
        </w:rPr>
        <w:t>sample</w:t>
      </w:r>
      <w:r w:rsidR="00F74977" w:rsidRPr="00D11FA4">
        <w:t xml:space="preserve">, </w:t>
      </w:r>
      <w:r w:rsidR="00F74977" w:rsidRPr="00D11FA4">
        <w:rPr>
          <w:rFonts w:eastAsia="Calibri"/>
          <w:i/>
        </w:rPr>
        <w:t>b</w:t>
      </w:r>
      <w:r w:rsidR="00F74977" w:rsidRPr="00D11FA4">
        <w:rPr>
          <w:rFonts w:eastAsia="Calibri"/>
        </w:rPr>
        <w:t xml:space="preserve"> = -.</w:t>
      </w:r>
      <w:r w:rsidRPr="00D11FA4">
        <w:rPr>
          <w:rFonts w:eastAsia="Calibri"/>
        </w:rPr>
        <w:t>2</w:t>
      </w:r>
      <w:r w:rsidR="00F74977" w:rsidRPr="00D11FA4">
        <w:rPr>
          <w:rFonts w:eastAsia="Calibri"/>
        </w:rPr>
        <w:t xml:space="preserve">1, </w:t>
      </w:r>
      <w:r w:rsidR="00F74977" w:rsidRPr="00D11FA4">
        <w:rPr>
          <w:rFonts w:eastAsia="Calibri"/>
          <w:i/>
        </w:rPr>
        <w:t>SE</w:t>
      </w:r>
      <w:r w:rsidR="00F74977" w:rsidRPr="00D11FA4">
        <w:rPr>
          <w:rFonts w:eastAsia="Calibri"/>
        </w:rPr>
        <w:t xml:space="preserve"> = .0</w:t>
      </w:r>
      <w:r w:rsidRPr="00D11FA4">
        <w:rPr>
          <w:rFonts w:eastAsia="Calibri"/>
        </w:rPr>
        <w:t>9</w:t>
      </w:r>
      <w:r w:rsidR="00F74977" w:rsidRPr="00D11FA4">
        <w:rPr>
          <w:rFonts w:eastAsia="Calibri"/>
        </w:rPr>
        <w:t xml:space="preserve">, </w:t>
      </w:r>
      <w:proofErr w:type="gramStart"/>
      <w:r w:rsidR="00F74977" w:rsidRPr="00D11FA4">
        <w:rPr>
          <w:rFonts w:eastAsia="Calibri"/>
          <w:i/>
        </w:rPr>
        <w:t>t</w:t>
      </w:r>
      <w:r w:rsidR="00F74977" w:rsidRPr="00D11FA4">
        <w:rPr>
          <w:rFonts w:eastAsia="Calibri"/>
        </w:rPr>
        <w:t>(</w:t>
      </w:r>
      <w:proofErr w:type="gramEnd"/>
      <w:r w:rsidRPr="00D11FA4">
        <w:rPr>
          <w:rFonts w:eastAsia="Calibri"/>
        </w:rPr>
        <w:t>209.50</w:t>
      </w:r>
      <w:r w:rsidR="00F74977" w:rsidRPr="00D11FA4">
        <w:rPr>
          <w:rFonts w:eastAsia="Calibri"/>
        </w:rPr>
        <w:t>) = -2.</w:t>
      </w:r>
      <w:r w:rsidRPr="00D11FA4">
        <w:rPr>
          <w:rFonts w:eastAsia="Calibri"/>
        </w:rPr>
        <w:t>30</w:t>
      </w:r>
      <w:r w:rsidR="00F74977" w:rsidRPr="00D11FA4">
        <w:rPr>
          <w:rFonts w:eastAsia="Calibri"/>
        </w:rPr>
        <w:t xml:space="preserve">, </w:t>
      </w:r>
      <w:r w:rsidR="00F74977" w:rsidRPr="00D11FA4">
        <w:rPr>
          <w:rFonts w:eastAsia="Calibri"/>
          <w:i/>
        </w:rPr>
        <w:t>p</w:t>
      </w:r>
      <w:r w:rsidR="00F74977" w:rsidRPr="00D11FA4">
        <w:rPr>
          <w:rFonts w:eastAsia="Calibri"/>
        </w:rPr>
        <w:t xml:space="preserve"> = .</w:t>
      </w:r>
      <w:r w:rsidR="00F74977" w:rsidRPr="00BB79AF">
        <w:rPr>
          <w:rFonts w:eastAsia="Calibri"/>
        </w:rPr>
        <w:t xml:space="preserve">02. The simple effects revealed that women’s higher self-expansion was significantly associated with a partner’s higher relationship satisfaction for </w:t>
      </w:r>
      <w:r w:rsidR="00D60AAF" w:rsidRPr="00BB79AF">
        <w:rPr>
          <w:rFonts w:eastAsia="Calibri"/>
        </w:rPr>
        <w:t xml:space="preserve">couples </w:t>
      </w:r>
      <w:r w:rsidRPr="00BB79AF">
        <w:rPr>
          <w:rFonts w:eastAsia="Calibri"/>
        </w:rPr>
        <w:t xml:space="preserve">in the community sample </w:t>
      </w:r>
      <w:r w:rsidR="00F74977" w:rsidRPr="00BB79AF">
        <w:rPr>
          <w:rFonts w:eastAsia="Calibri"/>
        </w:rPr>
        <w:t>(</w:t>
      </w:r>
      <w:r w:rsidR="00F74977" w:rsidRPr="00BB79AF">
        <w:rPr>
          <w:rFonts w:eastAsia="Calibri"/>
          <w:i/>
        </w:rPr>
        <w:t>b</w:t>
      </w:r>
      <w:r w:rsidR="00F74977" w:rsidRPr="00BB79AF">
        <w:rPr>
          <w:rFonts w:eastAsia="Calibri"/>
        </w:rPr>
        <w:t xml:space="preserve"> = .1</w:t>
      </w:r>
      <w:r w:rsidRPr="00BB79AF">
        <w:rPr>
          <w:rFonts w:eastAsia="Calibri"/>
        </w:rPr>
        <w:t>4</w:t>
      </w:r>
      <w:r w:rsidR="00F74977" w:rsidRPr="00BB79AF">
        <w:rPr>
          <w:rFonts w:eastAsia="Calibri"/>
        </w:rPr>
        <w:t xml:space="preserve">, </w:t>
      </w:r>
      <w:r w:rsidR="00F74977" w:rsidRPr="00BB79AF">
        <w:rPr>
          <w:rFonts w:eastAsia="Calibri"/>
          <w:i/>
        </w:rPr>
        <w:t>SE</w:t>
      </w:r>
      <w:r w:rsidR="00F74977" w:rsidRPr="00BB79AF">
        <w:rPr>
          <w:rFonts w:eastAsia="Calibri"/>
        </w:rPr>
        <w:t xml:space="preserve"> = .07, </w:t>
      </w:r>
      <w:proofErr w:type="gramStart"/>
      <w:r w:rsidR="00F74977" w:rsidRPr="00BB79AF">
        <w:rPr>
          <w:rFonts w:eastAsia="Calibri"/>
          <w:i/>
        </w:rPr>
        <w:t>t</w:t>
      </w:r>
      <w:r w:rsidR="00521663" w:rsidRPr="00BB79AF">
        <w:rPr>
          <w:rFonts w:eastAsia="Calibri"/>
        </w:rPr>
        <w:t>[</w:t>
      </w:r>
      <w:proofErr w:type="gramEnd"/>
      <w:r w:rsidRPr="00BB79AF">
        <w:rPr>
          <w:rFonts w:eastAsia="Calibri"/>
        </w:rPr>
        <w:t>209.18</w:t>
      </w:r>
      <w:r w:rsidR="00521663" w:rsidRPr="00BB79AF">
        <w:rPr>
          <w:rFonts w:eastAsia="Calibri"/>
        </w:rPr>
        <w:t>]</w:t>
      </w:r>
      <w:r w:rsidR="00F74977" w:rsidRPr="00BB79AF">
        <w:rPr>
          <w:rFonts w:eastAsia="Calibri"/>
        </w:rPr>
        <w:t xml:space="preserve"> = 2.</w:t>
      </w:r>
      <w:r w:rsidRPr="00BB79AF">
        <w:rPr>
          <w:rFonts w:eastAsia="Calibri"/>
        </w:rPr>
        <w:t>05</w:t>
      </w:r>
      <w:r w:rsidR="00F74977" w:rsidRPr="00BB79AF">
        <w:rPr>
          <w:rFonts w:eastAsia="Calibri"/>
        </w:rPr>
        <w:t xml:space="preserve">, </w:t>
      </w:r>
      <w:r w:rsidR="00F74977" w:rsidRPr="00BB79AF">
        <w:rPr>
          <w:rFonts w:eastAsia="Calibri"/>
          <w:i/>
        </w:rPr>
        <w:t>p</w:t>
      </w:r>
      <w:r w:rsidR="00F74977" w:rsidRPr="00BB79AF">
        <w:rPr>
          <w:rFonts w:eastAsia="Calibri"/>
        </w:rPr>
        <w:t xml:space="preserve"> = .0</w:t>
      </w:r>
      <w:r w:rsidRPr="00BB79AF">
        <w:rPr>
          <w:rFonts w:eastAsia="Calibri"/>
        </w:rPr>
        <w:t>4</w:t>
      </w:r>
      <w:r w:rsidR="00BE1BF9" w:rsidRPr="00BB79AF">
        <w:rPr>
          <w:rFonts w:eastAsia="Calibri"/>
        </w:rPr>
        <w:t>)</w:t>
      </w:r>
      <w:r w:rsidR="00F74977" w:rsidRPr="00BB79AF">
        <w:rPr>
          <w:rFonts w:eastAsia="Calibri"/>
        </w:rPr>
        <w:t xml:space="preserve">, but the association was not significant for </w:t>
      </w:r>
      <w:r w:rsidR="00D60AAF" w:rsidRPr="00BB79AF">
        <w:rPr>
          <w:rFonts w:eastAsia="Calibri"/>
        </w:rPr>
        <w:t xml:space="preserve">couples </w:t>
      </w:r>
      <w:r w:rsidRPr="00BB79AF">
        <w:rPr>
          <w:rFonts w:eastAsia="Calibri"/>
        </w:rPr>
        <w:t>coping with low desire</w:t>
      </w:r>
      <w:r w:rsidR="00F74977" w:rsidRPr="00BB79AF">
        <w:rPr>
          <w:rFonts w:eastAsia="Calibri"/>
        </w:rPr>
        <w:t xml:space="preserve">. Second, the </w:t>
      </w:r>
      <w:r w:rsidR="00F74977" w:rsidRPr="00BB79AF">
        <w:t xml:space="preserve">association between women’s self-expansion and their partner’s report of conflict was significantly moderated by </w:t>
      </w:r>
      <w:r w:rsidR="00F74977" w:rsidRPr="00BB79AF">
        <w:rPr>
          <w:color w:val="000000"/>
          <w:shd w:val="clear" w:color="auto" w:fill="FFFFFF"/>
        </w:rPr>
        <w:t>sample</w:t>
      </w:r>
      <w:r w:rsidR="00F74977" w:rsidRPr="00BB79AF">
        <w:t xml:space="preserve">, </w:t>
      </w:r>
      <w:r w:rsidR="00F74977" w:rsidRPr="00BB79AF">
        <w:rPr>
          <w:rFonts w:eastAsia="Calibri"/>
          <w:i/>
        </w:rPr>
        <w:t>b</w:t>
      </w:r>
      <w:r w:rsidR="00F74977" w:rsidRPr="00BB79AF">
        <w:rPr>
          <w:rFonts w:eastAsia="Calibri"/>
        </w:rPr>
        <w:t xml:space="preserve"> = .</w:t>
      </w:r>
      <w:r w:rsidRPr="00BB79AF">
        <w:rPr>
          <w:rFonts w:eastAsia="Calibri"/>
        </w:rPr>
        <w:t>22</w:t>
      </w:r>
      <w:r w:rsidR="00F74977" w:rsidRPr="00BB79AF">
        <w:rPr>
          <w:rFonts w:eastAsia="Calibri"/>
        </w:rPr>
        <w:t xml:space="preserve">, </w:t>
      </w:r>
      <w:r w:rsidR="00F74977" w:rsidRPr="00BB79AF">
        <w:rPr>
          <w:rFonts w:eastAsia="Calibri"/>
          <w:i/>
        </w:rPr>
        <w:t>SE</w:t>
      </w:r>
      <w:r w:rsidR="00F74977" w:rsidRPr="00BB79AF">
        <w:rPr>
          <w:rFonts w:eastAsia="Calibri"/>
        </w:rPr>
        <w:t xml:space="preserve"> = .</w:t>
      </w:r>
      <w:r w:rsidRPr="00BB79AF">
        <w:rPr>
          <w:rFonts w:eastAsia="Calibri"/>
        </w:rPr>
        <w:t>11</w:t>
      </w:r>
      <w:r w:rsidR="00F74977" w:rsidRPr="00BB79AF">
        <w:rPr>
          <w:rFonts w:eastAsia="Calibri"/>
        </w:rPr>
        <w:t xml:space="preserve">, </w:t>
      </w:r>
      <w:proofErr w:type="gramStart"/>
      <w:r w:rsidR="00F74977" w:rsidRPr="00BB79AF">
        <w:rPr>
          <w:rFonts w:eastAsia="Calibri"/>
          <w:i/>
        </w:rPr>
        <w:t>t</w:t>
      </w:r>
      <w:r w:rsidR="00F74977" w:rsidRPr="00BB79AF">
        <w:rPr>
          <w:rFonts w:eastAsia="Calibri"/>
        </w:rPr>
        <w:t>(</w:t>
      </w:r>
      <w:proofErr w:type="gramEnd"/>
      <w:r w:rsidRPr="00BB79AF">
        <w:rPr>
          <w:rFonts w:eastAsia="Calibri"/>
        </w:rPr>
        <w:t>210.17</w:t>
      </w:r>
      <w:r w:rsidR="00F74977" w:rsidRPr="00BB79AF">
        <w:rPr>
          <w:rFonts w:eastAsia="Calibri"/>
        </w:rPr>
        <w:t>) = 2.</w:t>
      </w:r>
      <w:r w:rsidRPr="00BB79AF">
        <w:rPr>
          <w:rFonts w:eastAsia="Calibri"/>
        </w:rPr>
        <w:t>11</w:t>
      </w:r>
      <w:r w:rsidR="00F74977" w:rsidRPr="00BB79AF">
        <w:rPr>
          <w:rFonts w:eastAsia="Calibri"/>
        </w:rPr>
        <w:t xml:space="preserve">, </w:t>
      </w:r>
      <w:r w:rsidR="00F74977" w:rsidRPr="00BB79AF">
        <w:rPr>
          <w:rFonts w:eastAsia="Calibri"/>
          <w:i/>
        </w:rPr>
        <w:t>p</w:t>
      </w:r>
      <w:r w:rsidR="00F74977" w:rsidRPr="00BB79AF">
        <w:rPr>
          <w:rFonts w:eastAsia="Calibri"/>
        </w:rPr>
        <w:t xml:space="preserve"> = .0</w:t>
      </w:r>
      <w:r w:rsidRPr="00BB79AF">
        <w:rPr>
          <w:rFonts w:eastAsia="Calibri"/>
        </w:rPr>
        <w:t>4</w:t>
      </w:r>
      <w:r w:rsidR="00F74977" w:rsidRPr="00BB79AF">
        <w:rPr>
          <w:rFonts w:eastAsia="Calibri"/>
        </w:rPr>
        <w:t>. The simple effects revealed that women’s higher self-expansion was significantly associated with a partner’s report of lower conflict for couples</w:t>
      </w:r>
      <w:r w:rsidRPr="00BB79AF">
        <w:rPr>
          <w:rFonts w:eastAsia="Calibri"/>
        </w:rPr>
        <w:t xml:space="preserve"> in the community sample</w:t>
      </w:r>
      <w:r w:rsidR="00F74977" w:rsidRPr="00BB79AF">
        <w:rPr>
          <w:rFonts w:eastAsia="Calibri"/>
        </w:rPr>
        <w:t xml:space="preserve"> (</w:t>
      </w:r>
      <w:r w:rsidR="00F74977" w:rsidRPr="00BB79AF">
        <w:rPr>
          <w:rFonts w:eastAsia="Calibri"/>
          <w:i/>
        </w:rPr>
        <w:t>b</w:t>
      </w:r>
      <w:r w:rsidR="00F74977" w:rsidRPr="00BB79AF">
        <w:rPr>
          <w:rFonts w:eastAsia="Calibri"/>
        </w:rPr>
        <w:t xml:space="preserve"> = -.2</w:t>
      </w:r>
      <w:r w:rsidRPr="00BB79AF">
        <w:rPr>
          <w:rFonts w:eastAsia="Calibri"/>
        </w:rPr>
        <w:t>2</w:t>
      </w:r>
      <w:r w:rsidR="00F74977" w:rsidRPr="00BB79AF">
        <w:rPr>
          <w:rFonts w:eastAsia="Calibri"/>
        </w:rPr>
        <w:t xml:space="preserve">, </w:t>
      </w:r>
      <w:r w:rsidR="00F74977" w:rsidRPr="00BB79AF">
        <w:rPr>
          <w:rFonts w:eastAsia="Calibri"/>
          <w:i/>
        </w:rPr>
        <w:t>SE</w:t>
      </w:r>
      <w:r w:rsidR="00F74977" w:rsidRPr="00BB79AF">
        <w:rPr>
          <w:rFonts w:eastAsia="Calibri"/>
        </w:rPr>
        <w:t xml:space="preserve"> = .08, </w:t>
      </w:r>
      <w:r w:rsidR="00F74977" w:rsidRPr="00BB79AF">
        <w:rPr>
          <w:rFonts w:eastAsia="Calibri"/>
          <w:i/>
        </w:rPr>
        <w:t>t</w:t>
      </w:r>
      <w:r w:rsidR="00521663" w:rsidRPr="00BB79AF">
        <w:rPr>
          <w:rFonts w:eastAsia="Calibri"/>
        </w:rPr>
        <w:t>[</w:t>
      </w:r>
      <w:r w:rsidRPr="00BB79AF">
        <w:rPr>
          <w:rFonts w:eastAsia="Calibri"/>
        </w:rPr>
        <w:t>209.24</w:t>
      </w:r>
      <w:r w:rsidR="00521663" w:rsidRPr="00BB79AF">
        <w:rPr>
          <w:rFonts w:eastAsia="Calibri"/>
        </w:rPr>
        <w:t>]</w:t>
      </w:r>
      <w:r w:rsidR="00F74977" w:rsidRPr="00BB79AF">
        <w:rPr>
          <w:rFonts w:eastAsia="Calibri"/>
        </w:rPr>
        <w:t xml:space="preserve"> = -2.</w:t>
      </w:r>
      <w:r w:rsidRPr="00BB79AF">
        <w:rPr>
          <w:rFonts w:eastAsia="Calibri"/>
        </w:rPr>
        <w:t>80</w:t>
      </w:r>
      <w:r w:rsidR="00F74977" w:rsidRPr="00BB79AF">
        <w:rPr>
          <w:rFonts w:eastAsia="Calibri"/>
        </w:rPr>
        <w:t xml:space="preserve">, </w:t>
      </w:r>
      <w:r w:rsidR="00F74977" w:rsidRPr="00BB79AF">
        <w:rPr>
          <w:rFonts w:eastAsia="Calibri"/>
          <w:i/>
        </w:rPr>
        <w:t>p</w:t>
      </w:r>
      <w:r w:rsidR="00F74977" w:rsidRPr="00BB79AF">
        <w:rPr>
          <w:rFonts w:eastAsia="Calibri"/>
        </w:rPr>
        <w:t xml:space="preserve"> = .0</w:t>
      </w:r>
      <w:r w:rsidRPr="00BB79AF">
        <w:rPr>
          <w:rFonts w:eastAsia="Calibri"/>
        </w:rPr>
        <w:t>1</w:t>
      </w:r>
      <w:r w:rsidR="00F74977" w:rsidRPr="00BB79AF">
        <w:rPr>
          <w:rFonts w:eastAsia="Calibri"/>
        </w:rPr>
        <w:t xml:space="preserve">), but this association was not significant for people </w:t>
      </w:r>
      <w:r w:rsidRPr="00BB79AF">
        <w:rPr>
          <w:rFonts w:eastAsia="Calibri"/>
        </w:rPr>
        <w:t>coping with low desire</w:t>
      </w:r>
      <w:r w:rsidR="00F74977" w:rsidRPr="00BB79AF">
        <w:rPr>
          <w:rFonts w:eastAsia="Calibri"/>
        </w:rPr>
        <w:t>.</w:t>
      </w:r>
      <w:r w:rsidR="00F74977" w:rsidRPr="00621DD8">
        <w:rPr>
          <w:rFonts w:eastAsia="Calibri"/>
        </w:rPr>
        <w:t xml:space="preserve"> </w:t>
      </w:r>
    </w:p>
    <w:p w14:paraId="4C4342F0" w14:textId="4050859B" w:rsidR="00F74977" w:rsidRPr="003D456E" w:rsidRDefault="00F74977" w:rsidP="00F74977">
      <w:pPr>
        <w:spacing w:line="480" w:lineRule="auto"/>
        <w:jc w:val="center"/>
        <w:rPr>
          <w:rFonts w:eastAsia="Calibri"/>
          <w:b/>
        </w:rPr>
      </w:pPr>
      <w:r>
        <w:rPr>
          <w:rFonts w:eastAsia="Calibri"/>
          <w:b/>
        </w:rPr>
        <w:t>Discussion and Limitations</w:t>
      </w:r>
    </w:p>
    <w:p w14:paraId="4B6BD4C4" w14:textId="202DEC7C" w:rsidR="00F74977" w:rsidRPr="00621DD8" w:rsidRDefault="00F74977" w:rsidP="00F74977">
      <w:pPr>
        <w:spacing w:line="480" w:lineRule="auto"/>
        <w:ind w:firstLine="720"/>
        <w:rPr>
          <w:rFonts w:eastAsia="Calibri"/>
        </w:rPr>
      </w:pPr>
      <w:r w:rsidRPr="00621DD8">
        <w:rPr>
          <w:rFonts w:eastAsia="Calibri"/>
        </w:rPr>
        <w:t xml:space="preserve">In sum, the results suggest that when couples coping with low desire report higher self-expansion in their relationship, the associations with greater relationship and sexual well-being are similar in magnitude to those reported by community couples. However, the association between </w:t>
      </w:r>
      <w:r w:rsidR="00BA2C83">
        <w:rPr>
          <w:rFonts w:eastAsia="Calibri"/>
        </w:rPr>
        <w:t>partner’s</w:t>
      </w:r>
      <w:r w:rsidR="00BA2C83" w:rsidRPr="00621DD8">
        <w:rPr>
          <w:rFonts w:eastAsia="Calibri"/>
        </w:rPr>
        <w:t xml:space="preserve"> </w:t>
      </w:r>
      <w:r w:rsidRPr="00621DD8">
        <w:rPr>
          <w:rFonts w:eastAsia="Calibri"/>
        </w:rPr>
        <w:t xml:space="preserve">self-expansion and their own </w:t>
      </w:r>
      <w:r w:rsidR="00BA2C83">
        <w:rPr>
          <w:rFonts w:eastAsia="Calibri"/>
        </w:rPr>
        <w:t>conflict</w:t>
      </w:r>
      <w:r w:rsidRPr="00621DD8">
        <w:rPr>
          <w:rFonts w:eastAsia="Calibri"/>
        </w:rPr>
        <w:t xml:space="preserve"> was </w:t>
      </w:r>
      <w:r w:rsidR="00BA2C83">
        <w:rPr>
          <w:rFonts w:eastAsia="Calibri"/>
        </w:rPr>
        <w:t>only significant</w:t>
      </w:r>
      <w:r w:rsidR="00BA2C83" w:rsidRPr="00621DD8">
        <w:rPr>
          <w:rFonts w:eastAsia="Calibri"/>
        </w:rPr>
        <w:t xml:space="preserve"> </w:t>
      </w:r>
      <w:r w:rsidRPr="00621DD8">
        <w:rPr>
          <w:rFonts w:eastAsia="Calibri"/>
        </w:rPr>
        <w:t xml:space="preserve">for </w:t>
      </w:r>
      <w:r w:rsidR="00BA2C83">
        <w:rPr>
          <w:rFonts w:eastAsia="Calibri"/>
        </w:rPr>
        <w:t>partners in the low desire sample</w:t>
      </w:r>
      <w:r w:rsidRPr="00621DD8">
        <w:rPr>
          <w:rFonts w:eastAsia="Calibri"/>
        </w:rPr>
        <w:t xml:space="preserve">. This </w:t>
      </w:r>
      <w:r>
        <w:rPr>
          <w:rFonts w:eastAsia="Calibri"/>
        </w:rPr>
        <w:t xml:space="preserve">result </w:t>
      </w:r>
      <w:r w:rsidRPr="00621DD8">
        <w:rPr>
          <w:rFonts w:eastAsia="Calibri"/>
        </w:rPr>
        <w:t>suggests that</w:t>
      </w:r>
      <w:r w:rsidR="00D60AAF">
        <w:rPr>
          <w:rFonts w:eastAsia="Calibri"/>
        </w:rPr>
        <w:t xml:space="preserve"> self-expansion is as beneficial for couples coping with low sexual desire as for community couples, and if anything, it might help mitigate conflict reported by partners of women coping with low desire. </w:t>
      </w:r>
    </w:p>
    <w:p w14:paraId="02CE4C68" w14:textId="4F1E3E5B" w:rsidR="00F74977" w:rsidRPr="00621DD8" w:rsidRDefault="00F74977" w:rsidP="00F74977">
      <w:pPr>
        <w:spacing w:line="480" w:lineRule="auto"/>
        <w:sectPr w:rsidR="00F74977" w:rsidRPr="00621DD8" w:rsidSect="005B3480">
          <w:headerReference w:type="default" r:id="rId6"/>
          <w:headerReference w:type="first" r:id="rId7"/>
          <w:pgSz w:w="12240" w:h="15840"/>
          <w:pgMar w:top="1440" w:right="1440" w:bottom="1440" w:left="1440" w:header="708" w:footer="708" w:gutter="0"/>
          <w:cols w:space="708"/>
          <w:titlePg/>
          <w:docGrid w:linePitch="360"/>
        </w:sectPr>
      </w:pPr>
      <w:r w:rsidRPr="00621DD8">
        <w:rPr>
          <w:rFonts w:eastAsia="Calibri"/>
        </w:rPr>
        <w:tab/>
      </w:r>
      <w:r w:rsidR="00BA2C83">
        <w:rPr>
          <w:rFonts w:eastAsia="Calibri"/>
        </w:rPr>
        <w:t>We</w:t>
      </w:r>
      <w:r w:rsidRPr="00621DD8">
        <w:rPr>
          <w:rFonts w:eastAsia="Calibri"/>
        </w:rPr>
        <w:t xml:space="preserve"> </w:t>
      </w:r>
      <w:r w:rsidR="00BA2C83">
        <w:rPr>
          <w:rFonts w:eastAsia="Calibri"/>
        </w:rPr>
        <w:t>would like</w:t>
      </w:r>
      <w:r w:rsidRPr="00621DD8">
        <w:rPr>
          <w:rFonts w:eastAsia="Calibri"/>
        </w:rPr>
        <w:t xml:space="preserve"> to point out </w:t>
      </w:r>
      <w:r w:rsidR="00BA2C83">
        <w:rPr>
          <w:rFonts w:eastAsia="Calibri"/>
        </w:rPr>
        <w:t>that</w:t>
      </w:r>
      <w:r w:rsidR="00BA2C83" w:rsidRPr="00621DD8">
        <w:rPr>
          <w:rFonts w:eastAsia="Calibri"/>
        </w:rPr>
        <w:t xml:space="preserve"> </w:t>
      </w:r>
      <w:r w:rsidRPr="00621DD8">
        <w:rPr>
          <w:rFonts w:eastAsia="Calibri"/>
        </w:rPr>
        <w:t xml:space="preserve">the community sample used here was collected as part of another study and not as a </w:t>
      </w:r>
      <w:r>
        <w:rPr>
          <w:rFonts w:eastAsia="Calibri"/>
        </w:rPr>
        <w:t xml:space="preserve">specific </w:t>
      </w:r>
      <w:r w:rsidRPr="00621DD8">
        <w:rPr>
          <w:rFonts w:eastAsia="Calibri"/>
        </w:rPr>
        <w:t xml:space="preserve">comparison sample. Therefore, the community sample was not specifically screened for the absence of a </w:t>
      </w:r>
      <w:r w:rsidRPr="00A60856">
        <w:rPr>
          <w:rFonts w:eastAsia="Calibri"/>
        </w:rPr>
        <w:t xml:space="preserve">sexual dysfunction. </w:t>
      </w:r>
      <w:r w:rsidRPr="00A60856">
        <w:t>Given the high prevalence of sexual dysfunctions in the general population (</w:t>
      </w:r>
      <w:r w:rsidR="00A60856" w:rsidRPr="00A60856">
        <w:t xml:space="preserve">e.g., </w:t>
      </w:r>
      <w:r w:rsidRPr="00A60856">
        <w:t>Mitchell et al., 2013), this is a limitation</w:t>
      </w:r>
      <w:r>
        <w:t xml:space="preserve"> for </w:t>
      </w:r>
      <w:r>
        <w:lastRenderedPageBreak/>
        <w:t xml:space="preserve">the control sample: it is possible </w:t>
      </w:r>
      <w:r w:rsidRPr="0090370B">
        <w:t xml:space="preserve">that </w:t>
      </w:r>
      <w:r>
        <w:t xml:space="preserve">we might see even larger differences in the associations if we screened for and excluded people with a sexual dysfunction. </w:t>
      </w:r>
    </w:p>
    <w:p w14:paraId="3F55E628" w14:textId="6E651528" w:rsidR="00F74977" w:rsidRPr="00621DD8" w:rsidRDefault="00F74977" w:rsidP="00190B52">
      <w:pPr>
        <w:spacing w:line="480" w:lineRule="auto"/>
        <w:ind w:right="-81"/>
      </w:pPr>
      <w:r w:rsidRPr="00621DD8">
        <w:lastRenderedPageBreak/>
        <w:t xml:space="preserve">Table </w:t>
      </w:r>
      <w:r w:rsidR="00265AE4">
        <w:t>S</w:t>
      </w:r>
      <w:r w:rsidRPr="00621DD8">
        <w:t>2</w:t>
      </w:r>
    </w:p>
    <w:p w14:paraId="5D6B6519" w14:textId="77777777" w:rsidR="00F74977" w:rsidRPr="00621DD8" w:rsidRDefault="00F74977" w:rsidP="00190B52">
      <w:pPr>
        <w:spacing w:line="480" w:lineRule="auto"/>
        <w:ind w:right="-81"/>
        <w:rPr>
          <w:i/>
        </w:rPr>
      </w:pPr>
      <w:r w:rsidRPr="00621DD8">
        <w:rPr>
          <w:i/>
        </w:rPr>
        <w:t>Associations Between Self-Expansion and Sexual Well-Being Across Couple Coping with Low Desire and Community Couples (Combined Dataset)</w:t>
      </w:r>
    </w:p>
    <w:tbl>
      <w:tblPr>
        <w:tblStyle w:val="TableGrid"/>
        <w:tblW w:w="13608" w:type="dxa"/>
        <w:tblLayout w:type="fixed"/>
        <w:tblLook w:val="04A0" w:firstRow="1" w:lastRow="0" w:firstColumn="1" w:lastColumn="0" w:noHBand="0" w:noVBand="1"/>
      </w:tblPr>
      <w:tblGrid>
        <w:gridCol w:w="1574"/>
        <w:gridCol w:w="1001"/>
        <w:gridCol w:w="969"/>
        <w:gridCol w:w="992"/>
        <w:gridCol w:w="709"/>
        <w:gridCol w:w="1134"/>
        <w:gridCol w:w="992"/>
        <w:gridCol w:w="1134"/>
        <w:gridCol w:w="993"/>
        <w:gridCol w:w="992"/>
        <w:gridCol w:w="992"/>
        <w:gridCol w:w="992"/>
        <w:gridCol w:w="1134"/>
      </w:tblGrid>
      <w:tr w:rsidR="00F74977" w:rsidRPr="00D11FA4" w14:paraId="6F152C35" w14:textId="77777777" w:rsidTr="00EC237A">
        <w:trPr>
          <w:trHeight w:val="302"/>
        </w:trPr>
        <w:tc>
          <w:tcPr>
            <w:tcW w:w="1574" w:type="dxa"/>
            <w:tcBorders>
              <w:left w:val="nil"/>
              <w:bottom w:val="nil"/>
              <w:right w:val="nil"/>
            </w:tcBorders>
          </w:tcPr>
          <w:p w14:paraId="7C125562" w14:textId="77777777" w:rsidR="00F74977" w:rsidRPr="00D11FA4" w:rsidRDefault="00F74977" w:rsidP="005B3480">
            <w:pPr>
              <w:spacing w:before="120" w:after="120"/>
              <w:ind w:right="-79"/>
            </w:pPr>
          </w:p>
        </w:tc>
        <w:tc>
          <w:tcPr>
            <w:tcW w:w="1970" w:type="dxa"/>
            <w:gridSpan w:val="2"/>
            <w:tcBorders>
              <w:left w:val="nil"/>
              <w:right w:val="nil"/>
            </w:tcBorders>
          </w:tcPr>
          <w:p w14:paraId="6662809E" w14:textId="77777777" w:rsidR="00F74977" w:rsidRPr="00D11FA4" w:rsidRDefault="00F74977" w:rsidP="005B3480">
            <w:pPr>
              <w:spacing w:before="120" w:after="120"/>
              <w:ind w:right="-79"/>
            </w:pPr>
            <w:r w:rsidRPr="00D11FA4">
              <w:t>Women’s</w:t>
            </w:r>
          </w:p>
          <w:p w14:paraId="6BED1C84" w14:textId="77777777" w:rsidR="00F74977" w:rsidRPr="00D11FA4" w:rsidRDefault="00F74977" w:rsidP="005B3480">
            <w:pPr>
              <w:spacing w:before="120" w:after="120"/>
              <w:ind w:right="-79"/>
            </w:pPr>
            <w:r w:rsidRPr="00D11FA4">
              <w:t xml:space="preserve">sexual </w:t>
            </w:r>
          </w:p>
          <w:p w14:paraId="026BDC1C" w14:textId="77777777" w:rsidR="00F74977" w:rsidRPr="00D11FA4" w:rsidRDefault="00F74977" w:rsidP="005B3480">
            <w:pPr>
              <w:spacing w:before="120" w:after="120"/>
              <w:ind w:right="-79"/>
            </w:pPr>
            <w:r w:rsidRPr="00D11FA4">
              <w:t>desire</w:t>
            </w:r>
          </w:p>
        </w:tc>
        <w:tc>
          <w:tcPr>
            <w:tcW w:w="1701" w:type="dxa"/>
            <w:gridSpan w:val="2"/>
            <w:tcBorders>
              <w:left w:val="nil"/>
              <w:right w:val="nil"/>
            </w:tcBorders>
          </w:tcPr>
          <w:p w14:paraId="7EE7BDDD" w14:textId="77777777" w:rsidR="00F74977" w:rsidRPr="00D11FA4" w:rsidRDefault="00F74977" w:rsidP="005B3480">
            <w:pPr>
              <w:spacing w:before="120" w:after="120"/>
              <w:ind w:right="-79"/>
            </w:pPr>
            <w:r w:rsidRPr="00D11FA4">
              <w:t>Partner’s</w:t>
            </w:r>
          </w:p>
          <w:p w14:paraId="1B6BC120" w14:textId="77777777" w:rsidR="00F74977" w:rsidRPr="00D11FA4" w:rsidRDefault="00F74977" w:rsidP="005B3480">
            <w:pPr>
              <w:spacing w:before="120" w:after="120"/>
              <w:ind w:right="-79"/>
            </w:pPr>
            <w:r w:rsidRPr="00D11FA4">
              <w:t xml:space="preserve">sexual      </w:t>
            </w:r>
          </w:p>
          <w:p w14:paraId="0FDC9A28" w14:textId="77777777" w:rsidR="00F74977" w:rsidRPr="00D11FA4" w:rsidRDefault="00F74977" w:rsidP="005B3480">
            <w:pPr>
              <w:spacing w:before="120" w:after="120"/>
              <w:ind w:right="-79"/>
            </w:pPr>
            <w:r w:rsidRPr="00D11FA4">
              <w:t>desire</w:t>
            </w:r>
          </w:p>
        </w:tc>
        <w:tc>
          <w:tcPr>
            <w:tcW w:w="2126" w:type="dxa"/>
            <w:gridSpan w:val="2"/>
            <w:tcBorders>
              <w:left w:val="nil"/>
              <w:right w:val="nil"/>
            </w:tcBorders>
          </w:tcPr>
          <w:p w14:paraId="1D12A67B" w14:textId="77777777" w:rsidR="00F74977" w:rsidRPr="00D11FA4" w:rsidRDefault="00F74977" w:rsidP="005B3480">
            <w:pPr>
              <w:spacing w:before="120" w:after="120"/>
              <w:ind w:right="-79"/>
            </w:pPr>
            <w:r w:rsidRPr="00D11FA4">
              <w:t>Women’s</w:t>
            </w:r>
          </w:p>
          <w:p w14:paraId="6F898E21" w14:textId="77777777" w:rsidR="00F74977" w:rsidRPr="00D11FA4" w:rsidRDefault="00F74977" w:rsidP="005B3480">
            <w:pPr>
              <w:spacing w:before="120" w:after="120"/>
              <w:ind w:right="-79"/>
            </w:pPr>
            <w:r w:rsidRPr="00D11FA4">
              <w:t xml:space="preserve">sexual </w:t>
            </w:r>
          </w:p>
          <w:p w14:paraId="0B1E72D7" w14:textId="77777777" w:rsidR="00F74977" w:rsidRPr="00D11FA4" w:rsidRDefault="00F74977" w:rsidP="005B3480">
            <w:pPr>
              <w:spacing w:before="120" w:after="120"/>
              <w:ind w:right="-79"/>
            </w:pPr>
            <w:r w:rsidRPr="00D11FA4">
              <w:t>satisfaction</w:t>
            </w:r>
          </w:p>
        </w:tc>
        <w:tc>
          <w:tcPr>
            <w:tcW w:w="2127" w:type="dxa"/>
            <w:gridSpan w:val="2"/>
            <w:tcBorders>
              <w:left w:val="nil"/>
              <w:right w:val="nil"/>
            </w:tcBorders>
          </w:tcPr>
          <w:p w14:paraId="2A28567B" w14:textId="77777777" w:rsidR="00F74977" w:rsidRPr="00D11FA4" w:rsidRDefault="00F74977" w:rsidP="005B3480">
            <w:pPr>
              <w:spacing w:before="120" w:after="120"/>
              <w:ind w:right="-79"/>
            </w:pPr>
            <w:r w:rsidRPr="00D11FA4">
              <w:t>Partner’s</w:t>
            </w:r>
          </w:p>
          <w:p w14:paraId="688A853F" w14:textId="77777777" w:rsidR="00F74977" w:rsidRPr="00D11FA4" w:rsidRDefault="00F74977" w:rsidP="005B3480">
            <w:pPr>
              <w:spacing w:before="120" w:after="120"/>
              <w:ind w:right="-79"/>
            </w:pPr>
            <w:r w:rsidRPr="00D11FA4">
              <w:t xml:space="preserve">sexual </w:t>
            </w:r>
          </w:p>
          <w:p w14:paraId="2526B68D" w14:textId="77777777" w:rsidR="00F74977" w:rsidRPr="00D11FA4" w:rsidRDefault="00F74977" w:rsidP="005B3480">
            <w:pPr>
              <w:spacing w:before="120" w:after="120"/>
              <w:ind w:right="-79"/>
            </w:pPr>
            <w:r w:rsidRPr="00D11FA4">
              <w:t>satisfaction</w:t>
            </w:r>
          </w:p>
        </w:tc>
        <w:tc>
          <w:tcPr>
            <w:tcW w:w="1984" w:type="dxa"/>
            <w:gridSpan w:val="2"/>
            <w:tcBorders>
              <w:left w:val="nil"/>
              <w:right w:val="nil"/>
            </w:tcBorders>
          </w:tcPr>
          <w:p w14:paraId="593611F1" w14:textId="77777777" w:rsidR="00F74977" w:rsidRPr="00D11FA4" w:rsidRDefault="00F74977" w:rsidP="005B3480">
            <w:pPr>
              <w:spacing w:before="120" w:after="120"/>
              <w:ind w:right="-79"/>
            </w:pPr>
            <w:r w:rsidRPr="00D11FA4">
              <w:t>Women’s</w:t>
            </w:r>
          </w:p>
          <w:p w14:paraId="0A5B38C6" w14:textId="77777777" w:rsidR="00F74977" w:rsidRPr="00D11FA4" w:rsidRDefault="00F74977" w:rsidP="005B3480">
            <w:pPr>
              <w:spacing w:before="120" w:after="120"/>
              <w:ind w:right="-79"/>
            </w:pPr>
            <w:r w:rsidRPr="00D11FA4">
              <w:t xml:space="preserve">sexual </w:t>
            </w:r>
          </w:p>
          <w:p w14:paraId="689DBED2" w14:textId="77777777" w:rsidR="00F74977" w:rsidRPr="00D11FA4" w:rsidRDefault="00F74977" w:rsidP="005B3480">
            <w:pPr>
              <w:spacing w:before="120" w:after="120"/>
              <w:ind w:right="-79"/>
            </w:pPr>
            <w:r w:rsidRPr="00D11FA4">
              <w:t>distress</w:t>
            </w:r>
          </w:p>
        </w:tc>
        <w:tc>
          <w:tcPr>
            <w:tcW w:w="2126" w:type="dxa"/>
            <w:gridSpan w:val="2"/>
            <w:tcBorders>
              <w:left w:val="nil"/>
              <w:right w:val="nil"/>
            </w:tcBorders>
          </w:tcPr>
          <w:p w14:paraId="06AE75A7" w14:textId="77777777" w:rsidR="00F74977" w:rsidRPr="00D11FA4" w:rsidRDefault="00F74977" w:rsidP="005B3480">
            <w:pPr>
              <w:spacing w:before="120" w:after="120"/>
              <w:ind w:right="-79"/>
            </w:pPr>
            <w:r w:rsidRPr="00D11FA4">
              <w:t>Partner’s</w:t>
            </w:r>
          </w:p>
          <w:p w14:paraId="6DE448B4" w14:textId="77777777" w:rsidR="00F74977" w:rsidRPr="00D11FA4" w:rsidRDefault="00F74977" w:rsidP="005B3480">
            <w:pPr>
              <w:spacing w:before="120" w:after="120"/>
              <w:ind w:right="-79"/>
            </w:pPr>
            <w:r w:rsidRPr="00D11FA4">
              <w:t xml:space="preserve">sexual </w:t>
            </w:r>
          </w:p>
          <w:p w14:paraId="69C614B4" w14:textId="77777777" w:rsidR="00F74977" w:rsidRPr="00D11FA4" w:rsidRDefault="00F74977" w:rsidP="005B3480">
            <w:pPr>
              <w:spacing w:before="120" w:after="120"/>
              <w:ind w:right="-79"/>
            </w:pPr>
            <w:r w:rsidRPr="00D11FA4">
              <w:t>distress</w:t>
            </w:r>
          </w:p>
        </w:tc>
      </w:tr>
      <w:tr w:rsidR="007A7FD6" w:rsidRPr="00D11FA4" w14:paraId="5C5C4BF6" w14:textId="77777777" w:rsidTr="007A7FD6">
        <w:trPr>
          <w:trHeight w:val="139"/>
        </w:trPr>
        <w:tc>
          <w:tcPr>
            <w:tcW w:w="1574" w:type="dxa"/>
            <w:tcBorders>
              <w:top w:val="nil"/>
              <w:left w:val="nil"/>
              <w:bottom w:val="single" w:sz="4" w:space="0" w:color="auto"/>
              <w:right w:val="nil"/>
            </w:tcBorders>
          </w:tcPr>
          <w:p w14:paraId="1A4DDFE6" w14:textId="77777777" w:rsidR="00F74977" w:rsidRPr="00D11FA4" w:rsidRDefault="00F74977" w:rsidP="005B3480">
            <w:pPr>
              <w:spacing w:before="120" w:after="120"/>
              <w:ind w:right="-79"/>
            </w:pPr>
          </w:p>
        </w:tc>
        <w:tc>
          <w:tcPr>
            <w:tcW w:w="1001" w:type="dxa"/>
            <w:tcBorders>
              <w:left w:val="nil"/>
              <w:bottom w:val="single" w:sz="4" w:space="0" w:color="auto"/>
              <w:right w:val="nil"/>
            </w:tcBorders>
          </w:tcPr>
          <w:p w14:paraId="38932ABC" w14:textId="77777777" w:rsidR="00F74977" w:rsidRPr="00D11FA4" w:rsidRDefault="00F74977" w:rsidP="005B3480">
            <w:pPr>
              <w:spacing w:before="120" w:after="120"/>
              <w:ind w:right="-79"/>
            </w:pPr>
            <w:r w:rsidRPr="00D11FA4">
              <w:rPr>
                <w:i/>
              </w:rPr>
              <w:t>b</w:t>
            </w:r>
            <w:r w:rsidRPr="00D11FA4">
              <w:t>(SE)</w:t>
            </w:r>
          </w:p>
        </w:tc>
        <w:tc>
          <w:tcPr>
            <w:tcW w:w="969" w:type="dxa"/>
            <w:tcBorders>
              <w:left w:val="nil"/>
              <w:bottom w:val="single" w:sz="4" w:space="0" w:color="auto"/>
              <w:right w:val="nil"/>
            </w:tcBorders>
          </w:tcPr>
          <w:p w14:paraId="00DB4046" w14:textId="77777777" w:rsidR="00F74977" w:rsidRPr="00D11FA4" w:rsidRDefault="00F74977" w:rsidP="005B3480">
            <w:pPr>
              <w:spacing w:before="120" w:after="120"/>
              <w:ind w:right="-79"/>
              <w:rPr>
                <w:i/>
              </w:rPr>
            </w:pPr>
            <w:r w:rsidRPr="00D11FA4">
              <w:rPr>
                <w:i/>
              </w:rPr>
              <w:t>t</w:t>
            </w:r>
          </w:p>
        </w:tc>
        <w:tc>
          <w:tcPr>
            <w:tcW w:w="992" w:type="dxa"/>
            <w:tcBorders>
              <w:left w:val="nil"/>
              <w:bottom w:val="single" w:sz="4" w:space="0" w:color="auto"/>
              <w:right w:val="nil"/>
            </w:tcBorders>
          </w:tcPr>
          <w:p w14:paraId="763D65F7" w14:textId="77777777" w:rsidR="00F74977" w:rsidRPr="00D11FA4" w:rsidRDefault="00F74977" w:rsidP="005B3480">
            <w:pPr>
              <w:spacing w:before="120" w:after="120"/>
              <w:ind w:right="-79"/>
            </w:pPr>
            <w:r w:rsidRPr="00D11FA4">
              <w:rPr>
                <w:i/>
              </w:rPr>
              <w:t>b</w:t>
            </w:r>
            <w:r w:rsidRPr="00D11FA4">
              <w:t>(SE)</w:t>
            </w:r>
          </w:p>
        </w:tc>
        <w:tc>
          <w:tcPr>
            <w:tcW w:w="709" w:type="dxa"/>
            <w:tcBorders>
              <w:left w:val="nil"/>
              <w:bottom w:val="single" w:sz="4" w:space="0" w:color="auto"/>
              <w:right w:val="nil"/>
            </w:tcBorders>
          </w:tcPr>
          <w:p w14:paraId="2C7D98D6" w14:textId="77777777" w:rsidR="00F74977" w:rsidRPr="00D11FA4" w:rsidRDefault="00F74977" w:rsidP="005B3480">
            <w:pPr>
              <w:spacing w:before="120" w:after="120"/>
              <w:ind w:right="-79"/>
            </w:pPr>
            <w:r w:rsidRPr="00D11FA4">
              <w:rPr>
                <w:i/>
              </w:rPr>
              <w:t>t</w:t>
            </w:r>
          </w:p>
        </w:tc>
        <w:tc>
          <w:tcPr>
            <w:tcW w:w="1134" w:type="dxa"/>
            <w:tcBorders>
              <w:left w:val="nil"/>
              <w:bottom w:val="single" w:sz="4" w:space="0" w:color="auto"/>
              <w:right w:val="nil"/>
            </w:tcBorders>
          </w:tcPr>
          <w:p w14:paraId="695D2288" w14:textId="77777777" w:rsidR="00F74977" w:rsidRPr="00D11FA4" w:rsidRDefault="00F74977" w:rsidP="005B3480">
            <w:pPr>
              <w:spacing w:before="120" w:after="120"/>
              <w:ind w:right="-79"/>
            </w:pPr>
            <w:r w:rsidRPr="00D11FA4">
              <w:rPr>
                <w:i/>
              </w:rPr>
              <w:t>b</w:t>
            </w:r>
            <w:r w:rsidRPr="00D11FA4">
              <w:t>(SE)</w:t>
            </w:r>
          </w:p>
        </w:tc>
        <w:tc>
          <w:tcPr>
            <w:tcW w:w="992" w:type="dxa"/>
            <w:tcBorders>
              <w:left w:val="nil"/>
              <w:bottom w:val="single" w:sz="4" w:space="0" w:color="auto"/>
              <w:right w:val="nil"/>
            </w:tcBorders>
          </w:tcPr>
          <w:p w14:paraId="35029E9D" w14:textId="77777777" w:rsidR="00F74977" w:rsidRPr="00D11FA4" w:rsidRDefault="00F74977" w:rsidP="005B3480">
            <w:pPr>
              <w:spacing w:before="120" w:after="120"/>
              <w:ind w:right="-79"/>
            </w:pPr>
            <w:r w:rsidRPr="00D11FA4">
              <w:rPr>
                <w:i/>
              </w:rPr>
              <w:t>t</w:t>
            </w:r>
          </w:p>
        </w:tc>
        <w:tc>
          <w:tcPr>
            <w:tcW w:w="1134" w:type="dxa"/>
            <w:tcBorders>
              <w:left w:val="nil"/>
              <w:bottom w:val="single" w:sz="4" w:space="0" w:color="auto"/>
              <w:right w:val="nil"/>
            </w:tcBorders>
          </w:tcPr>
          <w:p w14:paraId="408BB365" w14:textId="77777777" w:rsidR="00F74977" w:rsidRPr="00D11FA4" w:rsidRDefault="00F74977" w:rsidP="005B3480">
            <w:pPr>
              <w:spacing w:before="120" w:after="120"/>
              <w:ind w:right="-79"/>
              <w:rPr>
                <w:i/>
              </w:rPr>
            </w:pPr>
            <w:r w:rsidRPr="00D11FA4">
              <w:rPr>
                <w:i/>
              </w:rPr>
              <w:t xml:space="preserve"> b</w:t>
            </w:r>
            <w:r w:rsidRPr="00D11FA4">
              <w:t>(SE)</w:t>
            </w:r>
          </w:p>
        </w:tc>
        <w:tc>
          <w:tcPr>
            <w:tcW w:w="993" w:type="dxa"/>
            <w:tcBorders>
              <w:left w:val="nil"/>
              <w:bottom w:val="single" w:sz="4" w:space="0" w:color="auto"/>
              <w:right w:val="nil"/>
            </w:tcBorders>
          </w:tcPr>
          <w:p w14:paraId="4A6DF2AC" w14:textId="77777777" w:rsidR="00F74977" w:rsidRPr="00D11FA4" w:rsidRDefault="00F74977" w:rsidP="005B3480">
            <w:pPr>
              <w:spacing w:before="120" w:after="120"/>
              <w:ind w:right="-79"/>
              <w:rPr>
                <w:i/>
              </w:rPr>
            </w:pPr>
            <w:r w:rsidRPr="00D11FA4">
              <w:rPr>
                <w:i/>
              </w:rPr>
              <w:t>t</w:t>
            </w:r>
          </w:p>
        </w:tc>
        <w:tc>
          <w:tcPr>
            <w:tcW w:w="992" w:type="dxa"/>
            <w:tcBorders>
              <w:left w:val="nil"/>
              <w:bottom w:val="single" w:sz="4" w:space="0" w:color="auto"/>
              <w:right w:val="nil"/>
            </w:tcBorders>
          </w:tcPr>
          <w:p w14:paraId="7703872C" w14:textId="77777777" w:rsidR="00F74977" w:rsidRPr="00D11FA4" w:rsidRDefault="00F74977" w:rsidP="005B3480">
            <w:pPr>
              <w:spacing w:before="120" w:after="120"/>
              <w:ind w:right="-79"/>
              <w:rPr>
                <w:i/>
              </w:rPr>
            </w:pPr>
            <w:r w:rsidRPr="00D11FA4">
              <w:rPr>
                <w:i/>
              </w:rPr>
              <w:t>b</w:t>
            </w:r>
            <w:r w:rsidRPr="00D11FA4">
              <w:t>(SE)</w:t>
            </w:r>
          </w:p>
        </w:tc>
        <w:tc>
          <w:tcPr>
            <w:tcW w:w="992" w:type="dxa"/>
            <w:tcBorders>
              <w:left w:val="nil"/>
              <w:bottom w:val="single" w:sz="4" w:space="0" w:color="auto"/>
              <w:right w:val="nil"/>
            </w:tcBorders>
          </w:tcPr>
          <w:p w14:paraId="5D65A941" w14:textId="77777777" w:rsidR="00F74977" w:rsidRPr="00D11FA4" w:rsidRDefault="00F74977" w:rsidP="005B3480">
            <w:pPr>
              <w:spacing w:before="120" w:after="120"/>
              <w:ind w:right="-79"/>
              <w:rPr>
                <w:i/>
              </w:rPr>
            </w:pPr>
            <w:r w:rsidRPr="00D11FA4">
              <w:rPr>
                <w:i/>
              </w:rPr>
              <w:t>t</w:t>
            </w:r>
          </w:p>
        </w:tc>
        <w:tc>
          <w:tcPr>
            <w:tcW w:w="992" w:type="dxa"/>
            <w:tcBorders>
              <w:left w:val="nil"/>
              <w:bottom w:val="single" w:sz="4" w:space="0" w:color="auto"/>
              <w:right w:val="nil"/>
            </w:tcBorders>
          </w:tcPr>
          <w:p w14:paraId="201B0FA3" w14:textId="77777777" w:rsidR="00F74977" w:rsidRPr="00D11FA4" w:rsidRDefault="00F74977" w:rsidP="005B3480">
            <w:pPr>
              <w:spacing w:before="120" w:after="120"/>
              <w:ind w:right="-79"/>
              <w:rPr>
                <w:i/>
              </w:rPr>
            </w:pPr>
            <w:r w:rsidRPr="00D11FA4">
              <w:rPr>
                <w:i/>
              </w:rPr>
              <w:t>b</w:t>
            </w:r>
            <w:r w:rsidRPr="00D11FA4">
              <w:t>(SE)</w:t>
            </w:r>
          </w:p>
        </w:tc>
        <w:tc>
          <w:tcPr>
            <w:tcW w:w="1134" w:type="dxa"/>
            <w:tcBorders>
              <w:left w:val="nil"/>
              <w:bottom w:val="single" w:sz="4" w:space="0" w:color="auto"/>
              <w:right w:val="nil"/>
            </w:tcBorders>
          </w:tcPr>
          <w:p w14:paraId="49339EB4" w14:textId="77777777" w:rsidR="00F74977" w:rsidRPr="00D11FA4" w:rsidRDefault="00F74977" w:rsidP="005B3480">
            <w:pPr>
              <w:spacing w:before="120" w:after="120"/>
              <w:ind w:right="-79"/>
              <w:rPr>
                <w:i/>
              </w:rPr>
            </w:pPr>
            <w:r w:rsidRPr="00D11FA4">
              <w:rPr>
                <w:i/>
              </w:rPr>
              <w:t>t</w:t>
            </w:r>
          </w:p>
        </w:tc>
      </w:tr>
      <w:tr w:rsidR="007A7FD6" w:rsidRPr="00D11FA4" w14:paraId="1200DE0E" w14:textId="77777777" w:rsidTr="007A7FD6">
        <w:trPr>
          <w:trHeight w:val="351"/>
        </w:trPr>
        <w:tc>
          <w:tcPr>
            <w:tcW w:w="1574" w:type="dxa"/>
            <w:tcBorders>
              <w:left w:val="nil"/>
              <w:bottom w:val="nil"/>
              <w:right w:val="nil"/>
            </w:tcBorders>
          </w:tcPr>
          <w:p w14:paraId="5BDAFDC6" w14:textId="77777777" w:rsidR="00F74977" w:rsidRPr="00D11FA4" w:rsidRDefault="00F74977" w:rsidP="005B3480">
            <w:pPr>
              <w:spacing w:before="120" w:after="120"/>
              <w:ind w:right="-79"/>
            </w:pPr>
            <w:r w:rsidRPr="00D11FA4">
              <w:t>Women’s S-E</w:t>
            </w:r>
          </w:p>
        </w:tc>
        <w:tc>
          <w:tcPr>
            <w:tcW w:w="1001" w:type="dxa"/>
            <w:tcBorders>
              <w:left w:val="nil"/>
              <w:bottom w:val="nil"/>
              <w:right w:val="nil"/>
            </w:tcBorders>
          </w:tcPr>
          <w:p w14:paraId="7B4673DC" w14:textId="46AEC6E6" w:rsidR="00F74977" w:rsidRPr="00D11FA4" w:rsidRDefault="00F74977" w:rsidP="005B3480">
            <w:pPr>
              <w:spacing w:before="120" w:after="120"/>
              <w:ind w:right="-79"/>
            </w:pPr>
            <w:r w:rsidRPr="00D11FA4">
              <w:t>.3</w:t>
            </w:r>
            <w:r w:rsidR="00955A7A" w:rsidRPr="00D11FA4">
              <w:t>7</w:t>
            </w:r>
            <w:r w:rsidRPr="00D11FA4">
              <w:t>(.06)</w:t>
            </w:r>
          </w:p>
        </w:tc>
        <w:tc>
          <w:tcPr>
            <w:tcW w:w="969" w:type="dxa"/>
            <w:tcBorders>
              <w:left w:val="nil"/>
              <w:bottom w:val="nil"/>
              <w:right w:val="nil"/>
            </w:tcBorders>
          </w:tcPr>
          <w:p w14:paraId="58D7C471" w14:textId="3A112D7D" w:rsidR="00F74977" w:rsidRPr="00D11FA4" w:rsidRDefault="00F74977" w:rsidP="005B3480">
            <w:pPr>
              <w:spacing w:before="120" w:after="120"/>
              <w:ind w:right="-79"/>
            </w:pPr>
            <w:r w:rsidRPr="00D11FA4">
              <w:t>6.</w:t>
            </w:r>
            <w:r w:rsidR="00955A7A" w:rsidRPr="00D11FA4">
              <w:t>35</w:t>
            </w:r>
            <w:r w:rsidRPr="00D11FA4">
              <w:t>***</w:t>
            </w:r>
          </w:p>
        </w:tc>
        <w:tc>
          <w:tcPr>
            <w:tcW w:w="992" w:type="dxa"/>
            <w:tcBorders>
              <w:left w:val="nil"/>
              <w:bottom w:val="nil"/>
              <w:right w:val="nil"/>
            </w:tcBorders>
          </w:tcPr>
          <w:p w14:paraId="68981743" w14:textId="7ACB084E" w:rsidR="00F74977" w:rsidRPr="00D11FA4" w:rsidRDefault="00F74977" w:rsidP="005B3480">
            <w:pPr>
              <w:spacing w:before="120" w:after="120"/>
              <w:ind w:right="-79"/>
            </w:pPr>
            <w:r w:rsidRPr="00D11FA4">
              <w:t>.0</w:t>
            </w:r>
            <w:r w:rsidR="007A7FD6" w:rsidRPr="00D11FA4">
              <w:t>3</w:t>
            </w:r>
            <w:r w:rsidRPr="00D11FA4">
              <w:t>(.0</w:t>
            </w:r>
            <w:r w:rsidR="007A7FD6" w:rsidRPr="00D11FA4">
              <w:t>5</w:t>
            </w:r>
            <w:r w:rsidRPr="00D11FA4">
              <w:t>)</w:t>
            </w:r>
          </w:p>
        </w:tc>
        <w:tc>
          <w:tcPr>
            <w:tcW w:w="709" w:type="dxa"/>
            <w:tcBorders>
              <w:left w:val="nil"/>
              <w:bottom w:val="nil"/>
              <w:right w:val="nil"/>
            </w:tcBorders>
          </w:tcPr>
          <w:p w14:paraId="2DC15AFB" w14:textId="5A0A801C" w:rsidR="00F74977" w:rsidRPr="00D11FA4" w:rsidRDefault="00F74977" w:rsidP="005B3480">
            <w:pPr>
              <w:spacing w:before="120" w:after="120"/>
              <w:ind w:right="-79"/>
            </w:pPr>
            <w:r w:rsidRPr="00D11FA4">
              <w:t>.</w:t>
            </w:r>
            <w:r w:rsidR="007A7FD6" w:rsidRPr="00D11FA4">
              <w:t>62</w:t>
            </w:r>
          </w:p>
        </w:tc>
        <w:tc>
          <w:tcPr>
            <w:tcW w:w="1134" w:type="dxa"/>
            <w:tcBorders>
              <w:left w:val="nil"/>
              <w:bottom w:val="nil"/>
              <w:right w:val="nil"/>
            </w:tcBorders>
          </w:tcPr>
          <w:p w14:paraId="6DCC0967" w14:textId="6E123ABD" w:rsidR="00F74977" w:rsidRPr="00D11FA4" w:rsidRDefault="00F74977" w:rsidP="005B3480">
            <w:pPr>
              <w:spacing w:before="120" w:after="120"/>
              <w:ind w:right="-79"/>
            </w:pPr>
            <w:r w:rsidRPr="00D11FA4">
              <w:t>2.</w:t>
            </w:r>
            <w:r w:rsidR="007A7FD6" w:rsidRPr="00D11FA4">
              <w:t>14</w:t>
            </w:r>
            <w:r w:rsidRPr="00D11FA4">
              <w:t>(.</w:t>
            </w:r>
            <w:r w:rsidR="007A7FD6" w:rsidRPr="00D11FA4">
              <w:t>39</w:t>
            </w:r>
            <w:r w:rsidRPr="00D11FA4">
              <w:t>)</w:t>
            </w:r>
          </w:p>
        </w:tc>
        <w:tc>
          <w:tcPr>
            <w:tcW w:w="992" w:type="dxa"/>
            <w:tcBorders>
              <w:left w:val="nil"/>
              <w:bottom w:val="nil"/>
              <w:right w:val="nil"/>
            </w:tcBorders>
          </w:tcPr>
          <w:p w14:paraId="4791936D" w14:textId="4C644E15" w:rsidR="00F74977" w:rsidRPr="00D11FA4" w:rsidRDefault="00F74977" w:rsidP="005B3480">
            <w:pPr>
              <w:spacing w:before="120" w:after="120"/>
              <w:ind w:right="-79"/>
            </w:pPr>
            <w:r w:rsidRPr="00D11FA4">
              <w:t>5.</w:t>
            </w:r>
            <w:r w:rsidR="007A7FD6" w:rsidRPr="00D11FA4">
              <w:t>44</w:t>
            </w:r>
            <w:r w:rsidRPr="00D11FA4">
              <w:t>***</w:t>
            </w:r>
          </w:p>
        </w:tc>
        <w:tc>
          <w:tcPr>
            <w:tcW w:w="1134" w:type="dxa"/>
            <w:tcBorders>
              <w:left w:val="nil"/>
              <w:bottom w:val="nil"/>
              <w:right w:val="nil"/>
            </w:tcBorders>
          </w:tcPr>
          <w:p w14:paraId="36D1A2BA" w14:textId="3F146B59" w:rsidR="00F74977" w:rsidRPr="00D11FA4" w:rsidRDefault="00F74977" w:rsidP="005B3480">
            <w:pPr>
              <w:spacing w:before="120" w:after="120"/>
              <w:ind w:right="-79"/>
            </w:pPr>
            <w:r w:rsidRPr="00D11FA4">
              <w:t>1.3</w:t>
            </w:r>
            <w:r w:rsidR="007A7FD6" w:rsidRPr="00D11FA4">
              <w:t>7</w:t>
            </w:r>
            <w:r w:rsidRPr="00D11FA4">
              <w:t>(.37)</w:t>
            </w:r>
          </w:p>
        </w:tc>
        <w:tc>
          <w:tcPr>
            <w:tcW w:w="993" w:type="dxa"/>
            <w:tcBorders>
              <w:left w:val="nil"/>
              <w:bottom w:val="nil"/>
              <w:right w:val="nil"/>
            </w:tcBorders>
          </w:tcPr>
          <w:p w14:paraId="235C8327" w14:textId="0D670881" w:rsidR="00F74977" w:rsidRPr="00D11FA4" w:rsidRDefault="00F74977" w:rsidP="005B3480">
            <w:pPr>
              <w:spacing w:before="120" w:after="120"/>
              <w:ind w:right="-79"/>
            </w:pPr>
            <w:r w:rsidRPr="00D11FA4">
              <w:t>3.</w:t>
            </w:r>
            <w:r w:rsidR="007A7FD6" w:rsidRPr="00D11FA4">
              <w:t>72</w:t>
            </w:r>
            <w:r w:rsidRPr="00D11FA4">
              <w:t>***</w:t>
            </w:r>
          </w:p>
        </w:tc>
        <w:tc>
          <w:tcPr>
            <w:tcW w:w="992" w:type="dxa"/>
            <w:tcBorders>
              <w:left w:val="nil"/>
              <w:bottom w:val="nil"/>
              <w:right w:val="nil"/>
            </w:tcBorders>
          </w:tcPr>
          <w:p w14:paraId="2F2030E2" w14:textId="44BE082B" w:rsidR="00F74977" w:rsidRPr="00D11FA4" w:rsidRDefault="00F74977" w:rsidP="005B3480">
            <w:pPr>
              <w:spacing w:before="120" w:after="120"/>
              <w:ind w:right="-79"/>
            </w:pPr>
            <w:r w:rsidRPr="00D11FA4">
              <w:t>-.</w:t>
            </w:r>
            <w:r w:rsidR="007A7FD6" w:rsidRPr="00D11FA4">
              <w:t>21</w:t>
            </w:r>
            <w:r w:rsidRPr="00D11FA4">
              <w:t>(.06)</w:t>
            </w:r>
          </w:p>
        </w:tc>
        <w:tc>
          <w:tcPr>
            <w:tcW w:w="992" w:type="dxa"/>
            <w:tcBorders>
              <w:left w:val="nil"/>
              <w:bottom w:val="nil"/>
              <w:right w:val="nil"/>
            </w:tcBorders>
          </w:tcPr>
          <w:p w14:paraId="01000D0C" w14:textId="494C2227" w:rsidR="00F74977" w:rsidRPr="00D11FA4" w:rsidRDefault="00F74977" w:rsidP="005B3480">
            <w:pPr>
              <w:spacing w:before="120" w:after="120"/>
              <w:ind w:right="-79"/>
            </w:pPr>
            <w:r w:rsidRPr="00D11FA4">
              <w:t>-</w:t>
            </w:r>
            <w:r w:rsidR="007A7FD6" w:rsidRPr="00D11FA4">
              <w:t>3.44</w:t>
            </w:r>
            <w:r w:rsidRPr="00D11FA4">
              <w:t>**</w:t>
            </w:r>
          </w:p>
        </w:tc>
        <w:tc>
          <w:tcPr>
            <w:tcW w:w="992" w:type="dxa"/>
            <w:tcBorders>
              <w:left w:val="nil"/>
              <w:bottom w:val="nil"/>
              <w:right w:val="nil"/>
            </w:tcBorders>
          </w:tcPr>
          <w:p w14:paraId="7A0128A6" w14:textId="08C7056B" w:rsidR="00F74977" w:rsidRPr="00D11FA4" w:rsidRDefault="00F74977" w:rsidP="005B3480">
            <w:pPr>
              <w:spacing w:before="120" w:after="120"/>
              <w:ind w:right="-79"/>
            </w:pPr>
            <w:r w:rsidRPr="00D11FA4">
              <w:t>-.0</w:t>
            </w:r>
            <w:r w:rsidR="007A7FD6" w:rsidRPr="00D11FA4">
              <w:t>9</w:t>
            </w:r>
            <w:r w:rsidRPr="00D11FA4">
              <w:t>(.06)</w:t>
            </w:r>
          </w:p>
        </w:tc>
        <w:tc>
          <w:tcPr>
            <w:tcW w:w="1134" w:type="dxa"/>
            <w:tcBorders>
              <w:left w:val="nil"/>
              <w:bottom w:val="nil"/>
              <w:right w:val="nil"/>
            </w:tcBorders>
          </w:tcPr>
          <w:p w14:paraId="1981575A" w14:textId="562785C7" w:rsidR="00F74977" w:rsidRPr="00D11FA4" w:rsidRDefault="00F74977" w:rsidP="005B3480">
            <w:pPr>
              <w:spacing w:before="120" w:after="120"/>
              <w:ind w:right="-79"/>
            </w:pPr>
            <w:r w:rsidRPr="00D11FA4">
              <w:t>-1.</w:t>
            </w:r>
            <w:r w:rsidR="007A7FD6" w:rsidRPr="00D11FA4">
              <w:t>57</w:t>
            </w:r>
          </w:p>
        </w:tc>
      </w:tr>
      <w:tr w:rsidR="007A7FD6" w:rsidRPr="00621DD8" w14:paraId="3C59D71E" w14:textId="77777777" w:rsidTr="007A7FD6">
        <w:trPr>
          <w:trHeight w:val="342"/>
        </w:trPr>
        <w:tc>
          <w:tcPr>
            <w:tcW w:w="1574" w:type="dxa"/>
            <w:tcBorders>
              <w:top w:val="nil"/>
              <w:left w:val="nil"/>
              <w:bottom w:val="single" w:sz="4" w:space="0" w:color="auto"/>
              <w:right w:val="nil"/>
            </w:tcBorders>
          </w:tcPr>
          <w:p w14:paraId="46538811" w14:textId="77777777" w:rsidR="00F74977" w:rsidRPr="00D11FA4" w:rsidRDefault="00F74977" w:rsidP="005B3480">
            <w:pPr>
              <w:spacing w:before="120" w:after="120"/>
              <w:ind w:right="-79"/>
            </w:pPr>
            <w:r w:rsidRPr="00D11FA4">
              <w:t>Partner’s S-E</w:t>
            </w:r>
          </w:p>
        </w:tc>
        <w:tc>
          <w:tcPr>
            <w:tcW w:w="1001" w:type="dxa"/>
            <w:tcBorders>
              <w:top w:val="nil"/>
              <w:left w:val="nil"/>
              <w:bottom w:val="single" w:sz="4" w:space="0" w:color="auto"/>
              <w:right w:val="nil"/>
            </w:tcBorders>
          </w:tcPr>
          <w:p w14:paraId="0D97CADF" w14:textId="45440E11" w:rsidR="00F74977" w:rsidRPr="00D11FA4" w:rsidRDefault="00F74977" w:rsidP="005B3480">
            <w:pPr>
              <w:spacing w:before="120" w:after="120"/>
              <w:ind w:right="-79"/>
            </w:pPr>
            <w:r w:rsidRPr="00D11FA4">
              <w:t>.</w:t>
            </w:r>
            <w:r w:rsidR="007A7FD6" w:rsidRPr="00D11FA4">
              <w:t>10</w:t>
            </w:r>
            <w:r w:rsidRPr="00D11FA4">
              <w:t>(.07)</w:t>
            </w:r>
          </w:p>
        </w:tc>
        <w:tc>
          <w:tcPr>
            <w:tcW w:w="969" w:type="dxa"/>
            <w:tcBorders>
              <w:top w:val="nil"/>
              <w:left w:val="nil"/>
              <w:bottom w:val="single" w:sz="4" w:space="0" w:color="auto"/>
              <w:right w:val="nil"/>
            </w:tcBorders>
          </w:tcPr>
          <w:p w14:paraId="134E868F" w14:textId="4A9FE1DC" w:rsidR="00F74977" w:rsidRPr="00D11FA4" w:rsidRDefault="00F74977" w:rsidP="005B3480">
            <w:pPr>
              <w:spacing w:before="120" w:after="120"/>
              <w:ind w:right="-79"/>
            </w:pPr>
            <w:r w:rsidRPr="00D11FA4">
              <w:t>1.</w:t>
            </w:r>
            <w:r w:rsidR="007A7FD6" w:rsidRPr="00D11FA4">
              <w:t>53</w:t>
            </w:r>
          </w:p>
        </w:tc>
        <w:tc>
          <w:tcPr>
            <w:tcW w:w="992" w:type="dxa"/>
            <w:tcBorders>
              <w:top w:val="nil"/>
              <w:left w:val="nil"/>
              <w:bottom w:val="single" w:sz="4" w:space="0" w:color="auto"/>
              <w:right w:val="nil"/>
            </w:tcBorders>
          </w:tcPr>
          <w:p w14:paraId="468CE29B" w14:textId="72A88B16" w:rsidR="00F74977" w:rsidRPr="00D11FA4" w:rsidRDefault="00F74977" w:rsidP="005B3480">
            <w:pPr>
              <w:spacing w:before="120" w:after="120"/>
              <w:ind w:right="-79"/>
            </w:pPr>
            <w:r w:rsidRPr="00D11FA4">
              <w:t>.</w:t>
            </w:r>
            <w:r w:rsidR="00955A7A" w:rsidRPr="00D11FA4">
              <w:t>11</w:t>
            </w:r>
            <w:r w:rsidRPr="00D11FA4">
              <w:t>(.05)</w:t>
            </w:r>
          </w:p>
        </w:tc>
        <w:tc>
          <w:tcPr>
            <w:tcW w:w="709" w:type="dxa"/>
            <w:tcBorders>
              <w:top w:val="nil"/>
              <w:left w:val="nil"/>
              <w:bottom w:val="single" w:sz="4" w:space="0" w:color="auto"/>
              <w:right w:val="nil"/>
            </w:tcBorders>
          </w:tcPr>
          <w:p w14:paraId="25DE392A" w14:textId="0495566A" w:rsidR="00F74977" w:rsidRPr="00D11FA4" w:rsidRDefault="00955A7A" w:rsidP="005B3480">
            <w:pPr>
              <w:spacing w:before="120" w:after="120"/>
              <w:ind w:right="-79"/>
            </w:pPr>
            <w:r w:rsidRPr="00D11FA4">
              <w:t>2</w:t>
            </w:r>
            <w:r w:rsidR="00F74977" w:rsidRPr="00D11FA4">
              <w:t>.</w:t>
            </w:r>
            <w:r w:rsidRPr="00D11FA4">
              <w:t>00*</w:t>
            </w:r>
          </w:p>
        </w:tc>
        <w:tc>
          <w:tcPr>
            <w:tcW w:w="1134" w:type="dxa"/>
            <w:tcBorders>
              <w:top w:val="nil"/>
              <w:left w:val="nil"/>
              <w:bottom w:val="single" w:sz="4" w:space="0" w:color="auto"/>
              <w:right w:val="nil"/>
            </w:tcBorders>
          </w:tcPr>
          <w:p w14:paraId="5943C677" w14:textId="38BE81B5" w:rsidR="00F74977" w:rsidRPr="00D11FA4" w:rsidRDefault="00F74977" w:rsidP="005B3480">
            <w:pPr>
              <w:spacing w:before="120" w:after="120"/>
              <w:ind w:right="-79"/>
            </w:pPr>
            <w:r w:rsidRPr="00D11FA4">
              <w:t>1.0</w:t>
            </w:r>
            <w:r w:rsidR="007A7FD6" w:rsidRPr="00D11FA4">
              <w:t>8</w:t>
            </w:r>
            <w:r w:rsidRPr="00D11FA4">
              <w:t>(.4</w:t>
            </w:r>
            <w:r w:rsidR="007A7FD6" w:rsidRPr="00D11FA4">
              <w:t>5</w:t>
            </w:r>
            <w:r w:rsidRPr="00D11FA4">
              <w:t>)</w:t>
            </w:r>
          </w:p>
        </w:tc>
        <w:tc>
          <w:tcPr>
            <w:tcW w:w="992" w:type="dxa"/>
            <w:tcBorders>
              <w:top w:val="nil"/>
              <w:left w:val="nil"/>
              <w:bottom w:val="single" w:sz="4" w:space="0" w:color="auto"/>
              <w:right w:val="nil"/>
            </w:tcBorders>
          </w:tcPr>
          <w:p w14:paraId="1821A4A4" w14:textId="7F82D564" w:rsidR="00F74977" w:rsidRPr="00D11FA4" w:rsidRDefault="00F74977" w:rsidP="005B3480">
            <w:pPr>
              <w:spacing w:before="120" w:after="120"/>
              <w:ind w:right="-79"/>
            </w:pPr>
            <w:r w:rsidRPr="00D11FA4">
              <w:t>2.</w:t>
            </w:r>
            <w:r w:rsidR="007A7FD6" w:rsidRPr="00D11FA4">
              <w:t>39</w:t>
            </w:r>
            <w:r w:rsidRPr="00D11FA4">
              <w:t>*</w:t>
            </w:r>
          </w:p>
        </w:tc>
        <w:tc>
          <w:tcPr>
            <w:tcW w:w="1134" w:type="dxa"/>
            <w:tcBorders>
              <w:top w:val="nil"/>
              <w:left w:val="nil"/>
              <w:bottom w:val="single" w:sz="4" w:space="0" w:color="auto"/>
              <w:right w:val="nil"/>
            </w:tcBorders>
          </w:tcPr>
          <w:p w14:paraId="5DB5E026" w14:textId="3AFEA41E" w:rsidR="00F74977" w:rsidRPr="00D11FA4" w:rsidRDefault="007A7FD6" w:rsidP="005B3480">
            <w:pPr>
              <w:spacing w:before="120" w:after="120"/>
              <w:ind w:right="-79"/>
            </w:pPr>
            <w:r w:rsidRPr="00D11FA4">
              <w:t>2.01</w:t>
            </w:r>
            <w:r w:rsidR="00F74977" w:rsidRPr="00D11FA4">
              <w:t>(.4</w:t>
            </w:r>
            <w:r w:rsidRPr="00D11FA4">
              <w:t>2</w:t>
            </w:r>
            <w:r w:rsidR="00F74977" w:rsidRPr="00D11FA4">
              <w:t>)</w:t>
            </w:r>
          </w:p>
        </w:tc>
        <w:tc>
          <w:tcPr>
            <w:tcW w:w="993" w:type="dxa"/>
            <w:tcBorders>
              <w:top w:val="nil"/>
              <w:left w:val="nil"/>
              <w:bottom w:val="single" w:sz="4" w:space="0" w:color="auto"/>
              <w:right w:val="nil"/>
            </w:tcBorders>
          </w:tcPr>
          <w:p w14:paraId="2564F0F7" w14:textId="55EAE911" w:rsidR="00F74977" w:rsidRPr="00D11FA4" w:rsidRDefault="00F74977" w:rsidP="005B3480">
            <w:pPr>
              <w:spacing w:before="120" w:after="120"/>
              <w:ind w:right="-79"/>
            </w:pPr>
            <w:r w:rsidRPr="00D11FA4">
              <w:t>4.</w:t>
            </w:r>
            <w:r w:rsidR="007A7FD6" w:rsidRPr="00D11FA4">
              <w:t>79</w:t>
            </w:r>
            <w:r w:rsidRPr="00D11FA4">
              <w:t>***</w:t>
            </w:r>
          </w:p>
        </w:tc>
        <w:tc>
          <w:tcPr>
            <w:tcW w:w="992" w:type="dxa"/>
            <w:tcBorders>
              <w:top w:val="nil"/>
              <w:left w:val="nil"/>
              <w:bottom w:val="single" w:sz="4" w:space="0" w:color="auto"/>
              <w:right w:val="nil"/>
            </w:tcBorders>
          </w:tcPr>
          <w:p w14:paraId="2C7D016F" w14:textId="2FFC06AC" w:rsidR="00F74977" w:rsidRPr="00D11FA4" w:rsidRDefault="00F74977" w:rsidP="005B3480">
            <w:pPr>
              <w:spacing w:before="120" w:after="120"/>
              <w:ind w:right="-79"/>
            </w:pPr>
            <w:r w:rsidRPr="00D11FA4">
              <w:t>-.0</w:t>
            </w:r>
            <w:r w:rsidR="007A7FD6" w:rsidRPr="00D11FA4">
              <w:t>5</w:t>
            </w:r>
            <w:r w:rsidRPr="00D11FA4">
              <w:t>(.07)</w:t>
            </w:r>
          </w:p>
        </w:tc>
        <w:tc>
          <w:tcPr>
            <w:tcW w:w="992" w:type="dxa"/>
            <w:tcBorders>
              <w:top w:val="nil"/>
              <w:left w:val="nil"/>
              <w:bottom w:val="single" w:sz="4" w:space="0" w:color="auto"/>
              <w:right w:val="nil"/>
            </w:tcBorders>
          </w:tcPr>
          <w:p w14:paraId="52ACC0A9" w14:textId="7298B1A0" w:rsidR="00F74977" w:rsidRPr="00D11FA4" w:rsidRDefault="00F74977" w:rsidP="005B3480">
            <w:pPr>
              <w:spacing w:before="120" w:after="120"/>
              <w:ind w:right="-79"/>
            </w:pPr>
            <w:r w:rsidRPr="00D11FA4">
              <w:t>-.</w:t>
            </w:r>
            <w:r w:rsidR="007A7FD6" w:rsidRPr="00D11FA4">
              <w:t>75</w:t>
            </w:r>
          </w:p>
        </w:tc>
        <w:tc>
          <w:tcPr>
            <w:tcW w:w="992" w:type="dxa"/>
            <w:tcBorders>
              <w:top w:val="nil"/>
              <w:left w:val="nil"/>
              <w:bottom w:val="single" w:sz="4" w:space="0" w:color="auto"/>
              <w:right w:val="nil"/>
            </w:tcBorders>
            <w:shd w:val="clear" w:color="auto" w:fill="auto"/>
          </w:tcPr>
          <w:p w14:paraId="4867FC38" w14:textId="33B666FE" w:rsidR="00F74977" w:rsidRPr="00D11FA4" w:rsidRDefault="00F74977" w:rsidP="005B3480">
            <w:pPr>
              <w:spacing w:before="120" w:after="120"/>
              <w:ind w:right="-79"/>
            </w:pPr>
            <w:r w:rsidRPr="00D11FA4">
              <w:t>-.3</w:t>
            </w:r>
            <w:r w:rsidR="007A7FD6" w:rsidRPr="00D11FA4">
              <w:t>0</w:t>
            </w:r>
            <w:r w:rsidRPr="00D11FA4">
              <w:t>(.0</w:t>
            </w:r>
            <w:r w:rsidR="007A7FD6" w:rsidRPr="00D11FA4">
              <w:t>6</w:t>
            </w:r>
            <w:r w:rsidRPr="00D11FA4">
              <w:t>)</w:t>
            </w:r>
          </w:p>
        </w:tc>
        <w:tc>
          <w:tcPr>
            <w:tcW w:w="1134" w:type="dxa"/>
            <w:tcBorders>
              <w:top w:val="nil"/>
              <w:left w:val="nil"/>
              <w:bottom w:val="single" w:sz="4" w:space="0" w:color="auto"/>
              <w:right w:val="nil"/>
            </w:tcBorders>
            <w:shd w:val="clear" w:color="auto" w:fill="auto"/>
          </w:tcPr>
          <w:p w14:paraId="5843CE9A" w14:textId="7799FD6E" w:rsidR="00F74977" w:rsidRPr="00D11FA4" w:rsidRDefault="00F74977" w:rsidP="005B3480">
            <w:pPr>
              <w:spacing w:before="120" w:after="120"/>
              <w:ind w:right="-79"/>
            </w:pPr>
            <w:r w:rsidRPr="00D11FA4">
              <w:t>-4.7</w:t>
            </w:r>
            <w:r w:rsidR="007A7FD6" w:rsidRPr="00D11FA4">
              <w:t>0</w:t>
            </w:r>
            <w:r w:rsidRPr="00D11FA4">
              <w:t>***</w:t>
            </w:r>
          </w:p>
        </w:tc>
      </w:tr>
    </w:tbl>
    <w:p w14:paraId="5D9E6653" w14:textId="77777777" w:rsidR="00F74977" w:rsidRPr="00621DD8" w:rsidRDefault="00F74977" w:rsidP="00F74977">
      <w:pPr>
        <w:ind w:right="-81"/>
        <w:rPr>
          <w:i/>
        </w:rPr>
      </w:pPr>
    </w:p>
    <w:p w14:paraId="20C8627C" w14:textId="2E1022F5" w:rsidR="00F74977" w:rsidRPr="00621DD8" w:rsidRDefault="00F74977" w:rsidP="00190B52">
      <w:pPr>
        <w:spacing w:line="480" w:lineRule="auto"/>
        <w:ind w:right="-81"/>
      </w:pPr>
      <w:r w:rsidRPr="00621DD8">
        <w:rPr>
          <w:i/>
        </w:rPr>
        <w:t>Note</w:t>
      </w:r>
      <w:r w:rsidRPr="00621DD8">
        <w:t>: *</w:t>
      </w:r>
      <w:r w:rsidRPr="00621DD8">
        <w:rPr>
          <w:i/>
        </w:rPr>
        <w:t>p</w:t>
      </w:r>
      <w:r w:rsidRPr="00621DD8">
        <w:t xml:space="preserve"> &lt; .05, **</w:t>
      </w:r>
      <w:r w:rsidRPr="00621DD8">
        <w:rPr>
          <w:i/>
        </w:rPr>
        <w:t>p</w:t>
      </w:r>
      <w:r w:rsidRPr="00621DD8">
        <w:t xml:space="preserve"> &lt; .01, ***</w:t>
      </w:r>
      <w:r w:rsidRPr="00621DD8">
        <w:rPr>
          <w:i/>
        </w:rPr>
        <w:t>p</w:t>
      </w:r>
      <w:r w:rsidRPr="00621DD8">
        <w:t xml:space="preserve"> &lt; .001. Beta values are unstandardized coefficients. Degrees of freedom ranged from </w:t>
      </w:r>
      <w:r w:rsidR="007A7FD6">
        <w:t>208.44</w:t>
      </w:r>
      <w:r w:rsidRPr="00621DD8">
        <w:t xml:space="preserve"> to </w:t>
      </w:r>
      <w:r w:rsidR="007A7FD6">
        <w:t>213</w:t>
      </w:r>
      <w:r w:rsidRPr="00621DD8">
        <w:t>.00. S-E = self-expansion.</w:t>
      </w:r>
    </w:p>
    <w:p w14:paraId="671C11FF" w14:textId="77777777" w:rsidR="00F74977" w:rsidRPr="00621DD8" w:rsidRDefault="00F74977" w:rsidP="00190B52">
      <w:pPr>
        <w:spacing w:line="480" w:lineRule="auto"/>
        <w:ind w:firstLine="720"/>
        <w:rPr>
          <w:rFonts w:eastAsia="Calibri"/>
        </w:rPr>
      </w:pPr>
    </w:p>
    <w:p w14:paraId="15A28307" w14:textId="77777777" w:rsidR="00190B52" w:rsidRDefault="00190B52">
      <w:r>
        <w:br w:type="page"/>
      </w:r>
    </w:p>
    <w:p w14:paraId="3AEB3FF3" w14:textId="1948B709" w:rsidR="00F74977" w:rsidRPr="00621DD8" w:rsidRDefault="00F74977" w:rsidP="00190B52">
      <w:pPr>
        <w:spacing w:line="480" w:lineRule="auto"/>
      </w:pPr>
      <w:r w:rsidRPr="00621DD8">
        <w:lastRenderedPageBreak/>
        <w:t xml:space="preserve">Table </w:t>
      </w:r>
      <w:r w:rsidR="00265AE4">
        <w:t>S</w:t>
      </w:r>
      <w:r w:rsidRPr="00621DD8">
        <w:t>3</w:t>
      </w:r>
    </w:p>
    <w:p w14:paraId="6E011EB9" w14:textId="77777777" w:rsidR="00F74977" w:rsidRPr="00621DD8" w:rsidRDefault="00F74977" w:rsidP="00190B52">
      <w:pPr>
        <w:spacing w:line="480" w:lineRule="auto"/>
        <w:rPr>
          <w:i/>
        </w:rPr>
      </w:pPr>
      <w:r w:rsidRPr="00621DD8">
        <w:rPr>
          <w:i/>
        </w:rPr>
        <w:t>Associations Between Self-Expansion and Relationship Well-Being Across Couples Coping with Low Desire and Community Couples (Combined Dataset)</w:t>
      </w:r>
    </w:p>
    <w:tbl>
      <w:tblPr>
        <w:tblStyle w:val="TableGrid"/>
        <w:tblW w:w="12422" w:type="dxa"/>
        <w:tblLayout w:type="fixed"/>
        <w:tblLook w:val="04A0" w:firstRow="1" w:lastRow="0" w:firstColumn="1" w:lastColumn="0" w:noHBand="0" w:noVBand="1"/>
      </w:tblPr>
      <w:tblGrid>
        <w:gridCol w:w="1701"/>
        <w:gridCol w:w="1276"/>
        <w:gridCol w:w="1134"/>
        <w:gridCol w:w="1134"/>
        <w:gridCol w:w="1036"/>
        <w:gridCol w:w="977"/>
        <w:gridCol w:w="1116"/>
        <w:gridCol w:w="1116"/>
        <w:gridCol w:w="839"/>
        <w:gridCol w:w="1116"/>
        <w:gridCol w:w="977"/>
      </w:tblGrid>
      <w:tr w:rsidR="00F74977" w:rsidRPr="00D11FA4" w14:paraId="77FE7069" w14:textId="77777777" w:rsidTr="005B3480">
        <w:trPr>
          <w:trHeight w:val="667"/>
        </w:trPr>
        <w:tc>
          <w:tcPr>
            <w:tcW w:w="1701" w:type="dxa"/>
            <w:tcBorders>
              <w:left w:val="nil"/>
              <w:bottom w:val="nil"/>
              <w:right w:val="nil"/>
            </w:tcBorders>
          </w:tcPr>
          <w:p w14:paraId="3C048A0E" w14:textId="77777777" w:rsidR="00F74977" w:rsidRPr="00D11FA4" w:rsidRDefault="00F74977" w:rsidP="005B3480"/>
        </w:tc>
        <w:tc>
          <w:tcPr>
            <w:tcW w:w="2410" w:type="dxa"/>
            <w:gridSpan w:val="2"/>
            <w:tcBorders>
              <w:left w:val="nil"/>
              <w:right w:val="nil"/>
            </w:tcBorders>
          </w:tcPr>
          <w:p w14:paraId="153115D4" w14:textId="77777777" w:rsidR="00F74977" w:rsidRPr="00D11FA4" w:rsidRDefault="00F74977" w:rsidP="005B3480">
            <w:r w:rsidRPr="00D11FA4">
              <w:t xml:space="preserve">Women’s </w:t>
            </w:r>
          </w:p>
          <w:p w14:paraId="171F1838" w14:textId="77777777" w:rsidR="00F74977" w:rsidRPr="00D11FA4" w:rsidRDefault="00F74977" w:rsidP="005B3480">
            <w:r w:rsidRPr="00D11FA4">
              <w:t>relationship satisfaction</w:t>
            </w:r>
          </w:p>
        </w:tc>
        <w:tc>
          <w:tcPr>
            <w:tcW w:w="2170" w:type="dxa"/>
            <w:gridSpan w:val="2"/>
            <w:tcBorders>
              <w:left w:val="nil"/>
              <w:right w:val="nil"/>
            </w:tcBorders>
          </w:tcPr>
          <w:p w14:paraId="1EF0EAA5" w14:textId="77777777" w:rsidR="00F74977" w:rsidRPr="00D11FA4" w:rsidRDefault="00F74977" w:rsidP="005B3480">
            <w:r w:rsidRPr="00D11FA4">
              <w:t xml:space="preserve">Partner’s </w:t>
            </w:r>
          </w:p>
          <w:p w14:paraId="1B668EAA" w14:textId="77777777" w:rsidR="00F74977" w:rsidRPr="00D11FA4" w:rsidRDefault="00F74977" w:rsidP="005B3480">
            <w:r w:rsidRPr="00D11FA4">
              <w:t>relationship satisfaction</w:t>
            </w:r>
          </w:p>
        </w:tc>
        <w:tc>
          <w:tcPr>
            <w:tcW w:w="2093" w:type="dxa"/>
            <w:gridSpan w:val="2"/>
            <w:tcBorders>
              <w:left w:val="nil"/>
              <w:right w:val="nil"/>
            </w:tcBorders>
          </w:tcPr>
          <w:p w14:paraId="487BD79D" w14:textId="77777777" w:rsidR="00F74977" w:rsidRPr="00D11FA4" w:rsidRDefault="00F74977" w:rsidP="005B3480">
            <w:r w:rsidRPr="00D11FA4">
              <w:t xml:space="preserve">Couple </w:t>
            </w:r>
          </w:p>
          <w:p w14:paraId="520B834B" w14:textId="77777777" w:rsidR="00F74977" w:rsidRPr="00D11FA4" w:rsidRDefault="00F74977" w:rsidP="005B3480">
            <w:r w:rsidRPr="00D11FA4">
              <w:t xml:space="preserve">affection </w:t>
            </w:r>
          </w:p>
          <w:p w14:paraId="1EB8A53F" w14:textId="77777777" w:rsidR="00F74977" w:rsidRPr="00D11FA4" w:rsidRDefault="00F74977" w:rsidP="005B3480">
            <w:r w:rsidRPr="00D11FA4">
              <w:t>frequency</w:t>
            </w:r>
          </w:p>
        </w:tc>
        <w:tc>
          <w:tcPr>
            <w:tcW w:w="1955" w:type="dxa"/>
            <w:gridSpan w:val="2"/>
            <w:tcBorders>
              <w:left w:val="nil"/>
              <w:right w:val="nil"/>
            </w:tcBorders>
          </w:tcPr>
          <w:p w14:paraId="2CA822ED" w14:textId="77777777" w:rsidR="00F74977" w:rsidRPr="00D11FA4" w:rsidRDefault="00F74977" w:rsidP="005B3480">
            <w:r w:rsidRPr="00D11FA4">
              <w:t xml:space="preserve">Women’s </w:t>
            </w:r>
          </w:p>
          <w:p w14:paraId="4950AB0C" w14:textId="77777777" w:rsidR="00F74977" w:rsidRPr="00D11FA4" w:rsidRDefault="00F74977" w:rsidP="005B3480">
            <w:r w:rsidRPr="00D11FA4">
              <w:t>conflict</w:t>
            </w:r>
          </w:p>
        </w:tc>
        <w:tc>
          <w:tcPr>
            <w:tcW w:w="2093" w:type="dxa"/>
            <w:gridSpan w:val="2"/>
            <w:tcBorders>
              <w:left w:val="nil"/>
              <w:right w:val="nil"/>
            </w:tcBorders>
          </w:tcPr>
          <w:p w14:paraId="36BEDA1B" w14:textId="77777777" w:rsidR="00F74977" w:rsidRPr="00D11FA4" w:rsidRDefault="00F74977" w:rsidP="005B3480">
            <w:r w:rsidRPr="00D11FA4">
              <w:t xml:space="preserve">Partner’s </w:t>
            </w:r>
          </w:p>
          <w:p w14:paraId="52C2031E" w14:textId="77777777" w:rsidR="00F74977" w:rsidRPr="00D11FA4" w:rsidRDefault="00F74977" w:rsidP="005B3480">
            <w:r w:rsidRPr="00D11FA4">
              <w:t>conflict</w:t>
            </w:r>
          </w:p>
        </w:tc>
      </w:tr>
      <w:tr w:rsidR="00F74977" w:rsidRPr="00D11FA4" w14:paraId="600E10AC" w14:textId="77777777" w:rsidTr="005B3480">
        <w:trPr>
          <w:trHeight w:val="209"/>
        </w:trPr>
        <w:tc>
          <w:tcPr>
            <w:tcW w:w="1701" w:type="dxa"/>
            <w:tcBorders>
              <w:top w:val="nil"/>
              <w:left w:val="nil"/>
              <w:bottom w:val="single" w:sz="4" w:space="0" w:color="auto"/>
              <w:right w:val="nil"/>
            </w:tcBorders>
          </w:tcPr>
          <w:p w14:paraId="772B562A" w14:textId="77777777" w:rsidR="00F74977" w:rsidRPr="00D11FA4" w:rsidRDefault="00F74977" w:rsidP="005B3480">
            <w:pPr>
              <w:spacing w:before="120" w:after="120"/>
            </w:pPr>
          </w:p>
        </w:tc>
        <w:tc>
          <w:tcPr>
            <w:tcW w:w="1276" w:type="dxa"/>
            <w:tcBorders>
              <w:left w:val="nil"/>
              <w:bottom w:val="single" w:sz="4" w:space="0" w:color="auto"/>
              <w:right w:val="nil"/>
            </w:tcBorders>
          </w:tcPr>
          <w:p w14:paraId="54958A5C" w14:textId="77777777" w:rsidR="00F74977" w:rsidRPr="00D11FA4" w:rsidRDefault="00F74977" w:rsidP="005B3480">
            <w:pPr>
              <w:spacing w:before="120" w:after="120"/>
            </w:pPr>
            <w:r w:rsidRPr="00D11FA4">
              <w:rPr>
                <w:i/>
              </w:rPr>
              <w:t>b</w:t>
            </w:r>
            <w:r w:rsidRPr="00D11FA4">
              <w:t>(SE)</w:t>
            </w:r>
          </w:p>
        </w:tc>
        <w:tc>
          <w:tcPr>
            <w:tcW w:w="1134" w:type="dxa"/>
            <w:tcBorders>
              <w:left w:val="nil"/>
              <w:bottom w:val="single" w:sz="4" w:space="0" w:color="auto"/>
              <w:right w:val="nil"/>
            </w:tcBorders>
          </w:tcPr>
          <w:p w14:paraId="07E9C411" w14:textId="77777777" w:rsidR="00F74977" w:rsidRPr="00D11FA4" w:rsidRDefault="00F74977" w:rsidP="005B3480">
            <w:pPr>
              <w:spacing w:before="120" w:after="120"/>
              <w:rPr>
                <w:i/>
              </w:rPr>
            </w:pPr>
            <w:r w:rsidRPr="00D11FA4">
              <w:rPr>
                <w:i/>
              </w:rPr>
              <w:t>t</w:t>
            </w:r>
          </w:p>
        </w:tc>
        <w:tc>
          <w:tcPr>
            <w:tcW w:w="1134" w:type="dxa"/>
            <w:tcBorders>
              <w:left w:val="nil"/>
              <w:bottom w:val="single" w:sz="4" w:space="0" w:color="auto"/>
              <w:right w:val="nil"/>
            </w:tcBorders>
          </w:tcPr>
          <w:p w14:paraId="2E136F15" w14:textId="77777777" w:rsidR="00F74977" w:rsidRPr="00D11FA4" w:rsidRDefault="00F74977" w:rsidP="005B3480">
            <w:pPr>
              <w:spacing w:before="120" w:after="120"/>
            </w:pPr>
            <w:r w:rsidRPr="00D11FA4">
              <w:rPr>
                <w:i/>
              </w:rPr>
              <w:t>b</w:t>
            </w:r>
            <w:r w:rsidRPr="00D11FA4">
              <w:t>(SE)</w:t>
            </w:r>
          </w:p>
        </w:tc>
        <w:tc>
          <w:tcPr>
            <w:tcW w:w="1036" w:type="dxa"/>
            <w:tcBorders>
              <w:left w:val="nil"/>
              <w:bottom w:val="single" w:sz="4" w:space="0" w:color="auto"/>
              <w:right w:val="nil"/>
            </w:tcBorders>
          </w:tcPr>
          <w:p w14:paraId="3A99473B" w14:textId="77777777" w:rsidR="00F74977" w:rsidRPr="00D11FA4" w:rsidRDefault="00F74977" w:rsidP="005B3480">
            <w:pPr>
              <w:spacing w:before="120" w:after="120"/>
            </w:pPr>
            <w:r w:rsidRPr="00D11FA4">
              <w:rPr>
                <w:i/>
              </w:rPr>
              <w:t>t</w:t>
            </w:r>
          </w:p>
        </w:tc>
        <w:tc>
          <w:tcPr>
            <w:tcW w:w="977" w:type="dxa"/>
            <w:tcBorders>
              <w:left w:val="nil"/>
              <w:bottom w:val="single" w:sz="4" w:space="0" w:color="auto"/>
              <w:right w:val="nil"/>
            </w:tcBorders>
          </w:tcPr>
          <w:p w14:paraId="254E6AAB" w14:textId="77777777" w:rsidR="00F74977" w:rsidRPr="00D11FA4" w:rsidRDefault="00F74977" w:rsidP="005B3480">
            <w:pPr>
              <w:spacing w:before="120" w:after="120"/>
            </w:pPr>
            <w:r w:rsidRPr="00D11FA4">
              <w:rPr>
                <w:i/>
              </w:rPr>
              <w:t>b</w:t>
            </w:r>
            <w:r w:rsidRPr="00D11FA4">
              <w:t>(SE)</w:t>
            </w:r>
          </w:p>
        </w:tc>
        <w:tc>
          <w:tcPr>
            <w:tcW w:w="1116" w:type="dxa"/>
            <w:tcBorders>
              <w:left w:val="nil"/>
              <w:bottom w:val="single" w:sz="4" w:space="0" w:color="auto"/>
              <w:right w:val="nil"/>
            </w:tcBorders>
          </w:tcPr>
          <w:p w14:paraId="4C5ED97E" w14:textId="77777777" w:rsidR="00F74977" w:rsidRPr="00D11FA4" w:rsidRDefault="00F74977" w:rsidP="005B3480">
            <w:pPr>
              <w:spacing w:before="120" w:after="120"/>
            </w:pPr>
            <w:r w:rsidRPr="00D11FA4">
              <w:rPr>
                <w:i/>
              </w:rPr>
              <w:t>t</w:t>
            </w:r>
          </w:p>
        </w:tc>
        <w:tc>
          <w:tcPr>
            <w:tcW w:w="1116" w:type="dxa"/>
            <w:tcBorders>
              <w:left w:val="nil"/>
              <w:bottom w:val="single" w:sz="4" w:space="0" w:color="auto"/>
              <w:right w:val="nil"/>
            </w:tcBorders>
          </w:tcPr>
          <w:p w14:paraId="6DCA9987" w14:textId="77777777" w:rsidR="00F74977" w:rsidRPr="00D11FA4" w:rsidRDefault="00F74977" w:rsidP="005B3480">
            <w:pPr>
              <w:spacing w:before="120" w:after="120"/>
              <w:rPr>
                <w:i/>
              </w:rPr>
            </w:pPr>
            <w:r w:rsidRPr="00D11FA4">
              <w:rPr>
                <w:i/>
              </w:rPr>
              <w:t>b</w:t>
            </w:r>
            <w:r w:rsidRPr="00D11FA4">
              <w:t>(SE)</w:t>
            </w:r>
          </w:p>
        </w:tc>
        <w:tc>
          <w:tcPr>
            <w:tcW w:w="839" w:type="dxa"/>
            <w:tcBorders>
              <w:left w:val="nil"/>
              <w:bottom w:val="single" w:sz="4" w:space="0" w:color="auto"/>
              <w:right w:val="nil"/>
            </w:tcBorders>
          </w:tcPr>
          <w:p w14:paraId="1070B952" w14:textId="77777777" w:rsidR="00F74977" w:rsidRPr="00D11FA4" w:rsidRDefault="00F74977" w:rsidP="005B3480">
            <w:pPr>
              <w:spacing w:before="120" w:after="120"/>
              <w:rPr>
                <w:i/>
              </w:rPr>
            </w:pPr>
            <w:r w:rsidRPr="00D11FA4">
              <w:rPr>
                <w:i/>
              </w:rPr>
              <w:t>t</w:t>
            </w:r>
          </w:p>
        </w:tc>
        <w:tc>
          <w:tcPr>
            <w:tcW w:w="1116" w:type="dxa"/>
            <w:tcBorders>
              <w:left w:val="nil"/>
              <w:bottom w:val="single" w:sz="4" w:space="0" w:color="auto"/>
              <w:right w:val="nil"/>
            </w:tcBorders>
          </w:tcPr>
          <w:p w14:paraId="4F823A35" w14:textId="77777777" w:rsidR="00F74977" w:rsidRPr="00D11FA4" w:rsidRDefault="00F74977" w:rsidP="005B3480">
            <w:pPr>
              <w:spacing w:before="120" w:after="120"/>
              <w:rPr>
                <w:i/>
              </w:rPr>
            </w:pPr>
            <w:r w:rsidRPr="00D11FA4">
              <w:rPr>
                <w:i/>
              </w:rPr>
              <w:t>b</w:t>
            </w:r>
            <w:r w:rsidRPr="00D11FA4">
              <w:t>(SE)</w:t>
            </w:r>
          </w:p>
        </w:tc>
        <w:tc>
          <w:tcPr>
            <w:tcW w:w="977" w:type="dxa"/>
            <w:tcBorders>
              <w:left w:val="nil"/>
              <w:bottom w:val="single" w:sz="4" w:space="0" w:color="auto"/>
              <w:right w:val="nil"/>
            </w:tcBorders>
          </w:tcPr>
          <w:p w14:paraId="51FFDEAA" w14:textId="77777777" w:rsidR="00F74977" w:rsidRPr="00D11FA4" w:rsidRDefault="00F74977" w:rsidP="005B3480">
            <w:pPr>
              <w:spacing w:before="120" w:after="120"/>
              <w:rPr>
                <w:i/>
              </w:rPr>
            </w:pPr>
            <w:r w:rsidRPr="00D11FA4">
              <w:rPr>
                <w:i/>
              </w:rPr>
              <w:t xml:space="preserve"> t</w:t>
            </w:r>
          </w:p>
        </w:tc>
      </w:tr>
      <w:tr w:rsidR="00F74977" w:rsidRPr="00D11FA4" w14:paraId="26B05367" w14:textId="77777777" w:rsidTr="005B3480">
        <w:trPr>
          <w:trHeight w:val="274"/>
        </w:trPr>
        <w:tc>
          <w:tcPr>
            <w:tcW w:w="1701" w:type="dxa"/>
            <w:tcBorders>
              <w:left w:val="nil"/>
              <w:bottom w:val="nil"/>
              <w:right w:val="nil"/>
            </w:tcBorders>
          </w:tcPr>
          <w:p w14:paraId="16A28C6D" w14:textId="77777777" w:rsidR="00F74977" w:rsidRPr="00D11FA4" w:rsidRDefault="00F74977" w:rsidP="005B3480">
            <w:pPr>
              <w:spacing w:before="120" w:after="120"/>
            </w:pPr>
            <w:r w:rsidRPr="00D11FA4">
              <w:t>Women’s S-E</w:t>
            </w:r>
          </w:p>
        </w:tc>
        <w:tc>
          <w:tcPr>
            <w:tcW w:w="1276" w:type="dxa"/>
            <w:tcBorders>
              <w:left w:val="nil"/>
              <w:bottom w:val="nil"/>
              <w:right w:val="nil"/>
            </w:tcBorders>
          </w:tcPr>
          <w:p w14:paraId="74F1E153" w14:textId="3C19DA6F" w:rsidR="00F74977" w:rsidRPr="00D11FA4" w:rsidRDefault="00F74977" w:rsidP="005B3480">
            <w:pPr>
              <w:spacing w:before="120" w:after="120"/>
            </w:pPr>
            <w:r w:rsidRPr="00D11FA4">
              <w:t>.3</w:t>
            </w:r>
            <w:r w:rsidR="009427D2" w:rsidRPr="00D11FA4">
              <w:t>2</w:t>
            </w:r>
            <w:r w:rsidRPr="00D11FA4">
              <w:t>(.05)</w:t>
            </w:r>
          </w:p>
        </w:tc>
        <w:tc>
          <w:tcPr>
            <w:tcW w:w="1134" w:type="dxa"/>
            <w:tcBorders>
              <w:left w:val="nil"/>
              <w:bottom w:val="nil"/>
              <w:right w:val="nil"/>
            </w:tcBorders>
          </w:tcPr>
          <w:p w14:paraId="7E5E2209" w14:textId="46DDAE76" w:rsidR="00F74977" w:rsidRPr="00D11FA4" w:rsidRDefault="00F74977" w:rsidP="005B3480">
            <w:pPr>
              <w:spacing w:before="120" w:after="120"/>
            </w:pPr>
            <w:r w:rsidRPr="00D11FA4">
              <w:t>6.</w:t>
            </w:r>
            <w:r w:rsidR="009427D2" w:rsidRPr="00D11FA4">
              <w:t>28</w:t>
            </w:r>
            <w:r w:rsidRPr="00D11FA4">
              <w:t>***</w:t>
            </w:r>
          </w:p>
        </w:tc>
        <w:tc>
          <w:tcPr>
            <w:tcW w:w="1134" w:type="dxa"/>
            <w:tcBorders>
              <w:left w:val="nil"/>
              <w:bottom w:val="nil"/>
              <w:right w:val="nil"/>
            </w:tcBorders>
          </w:tcPr>
          <w:p w14:paraId="7C4CC141" w14:textId="1FE6F56A" w:rsidR="00F74977" w:rsidRPr="00D11FA4" w:rsidRDefault="00F74977" w:rsidP="005B3480">
            <w:pPr>
              <w:spacing w:before="120" w:after="120"/>
            </w:pPr>
            <w:r w:rsidRPr="00D11FA4">
              <w:t>.0</w:t>
            </w:r>
            <w:r w:rsidR="009427D2" w:rsidRPr="00D11FA4">
              <w:t>04</w:t>
            </w:r>
            <w:r w:rsidRPr="00D11FA4">
              <w:t>(.0</w:t>
            </w:r>
            <w:r w:rsidR="009427D2" w:rsidRPr="00D11FA4">
              <w:t>4</w:t>
            </w:r>
            <w:r w:rsidRPr="00D11FA4">
              <w:t>)</w:t>
            </w:r>
          </w:p>
        </w:tc>
        <w:tc>
          <w:tcPr>
            <w:tcW w:w="1036" w:type="dxa"/>
            <w:tcBorders>
              <w:left w:val="nil"/>
              <w:bottom w:val="nil"/>
              <w:right w:val="nil"/>
            </w:tcBorders>
          </w:tcPr>
          <w:p w14:paraId="279EE2E9" w14:textId="7A61B33A" w:rsidR="00F74977" w:rsidRPr="00D11FA4" w:rsidRDefault="00F74977" w:rsidP="005B3480">
            <w:pPr>
              <w:spacing w:before="120" w:after="120"/>
            </w:pPr>
            <w:r w:rsidRPr="00D11FA4">
              <w:t>.1</w:t>
            </w:r>
            <w:r w:rsidR="009427D2" w:rsidRPr="00D11FA4">
              <w:t>0</w:t>
            </w:r>
          </w:p>
        </w:tc>
        <w:tc>
          <w:tcPr>
            <w:tcW w:w="977" w:type="dxa"/>
            <w:tcBorders>
              <w:left w:val="nil"/>
              <w:bottom w:val="nil"/>
              <w:right w:val="nil"/>
            </w:tcBorders>
          </w:tcPr>
          <w:p w14:paraId="1573C7B5" w14:textId="77777777" w:rsidR="00F74977" w:rsidRPr="00D11FA4" w:rsidRDefault="00F74977" w:rsidP="005B3480">
            <w:pPr>
              <w:spacing w:before="120" w:after="120"/>
            </w:pPr>
            <w:r w:rsidRPr="00D11FA4">
              <w:t>.22(.05)</w:t>
            </w:r>
          </w:p>
        </w:tc>
        <w:tc>
          <w:tcPr>
            <w:tcW w:w="1116" w:type="dxa"/>
            <w:tcBorders>
              <w:left w:val="nil"/>
              <w:bottom w:val="nil"/>
              <w:right w:val="nil"/>
            </w:tcBorders>
          </w:tcPr>
          <w:p w14:paraId="15C13409" w14:textId="0801B806" w:rsidR="00F74977" w:rsidRPr="00D11FA4" w:rsidRDefault="00F74977" w:rsidP="005B3480">
            <w:pPr>
              <w:spacing w:before="120" w:after="120"/>
            </w:pPr>
            <w:r w:rsidRPr="00D11FA4">
              <w:t>4.</w:t>
            </w:r>
            <w:r w:rsidR="001437CC" w:rsidRPr="00D11FA4">
              <w:t>39</w:t>
            </w:r>
            <w:r w:rsidRPr="00D11FA4">
              <w:t>***</w:t>
            </w:r>
          </w:p>
        </w:tc>
        <w:tc>
          <w:tcPr>
            <w:tcW w:w="1116" w:type="dxa"/>
            <w:tcBorders>
              <w:left w:val="nil"/>
              <w:bottom w:val="nil"/>
              <w:right w:val="nil"/>
            </w:tcBorders>
          </w:tcPr>
          <w:p w14:paraId="2FF60979" w14:textId="1125C277" w:rsidR="00F74977" w:rsidRPr="00D11FA4" w:rsidRDefault="00F74977" w:rsidP="005B3480">
            <w:pPr>
              <w:spacing w:before="120" w:after="120"/>
            </w:pPr>
            <w:r w:rsidRPr="00D11FA4">
              <w:t>-.1</w:t>
            </w:r>
            <w:r w:rsidR="00955A7A" w:rsidRPr="00D11FA4">
              <w:t>1</w:t>
            </w:r>
            <w:r w:rsidRPr="00D11FA4">
              <w:t>(.06)</w:t>
            </w:r>
          </w:p>
        </w:tc>
        <w:tc>
          <w:tcPr>
            <w:tcW w:w="839" w:type="dxa"/>
            <w:tcBorders>
              <w:left w:val="nil"/>
              <w:bottom w:val="nil"/>
              <w:right w:val="nil"/>
            </w:tcBorders>
          </w:tcPr>
          <w:p w14:paraId="0CD63662" w14:textId="70A21596" w:rsidR="00F74977" w:rsidRPr="00D11FA4" w:rsidRDefault="00F74977" w:rsidP="005B3480">
            <w:pPr>
              <w:spacing w:before="120" w:after="120"/>
            </w:pPr>
            <w:r w:rsidRPr="00D11FA4">
              <w:t>-</w:t>
            </w:r>
            <w:r w:rsidR="00955A7A" w:rsidRPr="00D11FA4">
              <w:t>1.95</w:t>
            </w:r>
            <w:r w:rsidRPr="00D11FA4">
              <w:t>*</w:t>
            </w:r>
          </w:p>
        </w:tc>
        <w:tc>
          <w:tcPr>
            <w:tcW w:w="1116" w:type="dxa"/>
            <w:tcBorders>
              <w:left w:val="nil"/>
              <w:bottom w:val="nil"/>
              <w:right w:val="nil"/>
            </w:tcBorders>
          </w:tcPr>
          <w:p w14:paraId="10F115C3" w14:textId="15230AD7" w:rsidR="00F74977" w:rsidRPr="00D11FA4" w:rsidRDefault="00F74977" w:rsidP="005B3480">
            <w:pPr>
              <w:spacing w:before="120" w:after="120"/>
            </w:pPr>
            <w:r w:rsidRPr="00D11FA4">
              <w:t>-.0</w:t>
            </w:r>
            <w:r w:rsidR="00955A7A" w:rsidRPr="00D11FA4">
              <w:t>6</w:t>
            </w:r>
            <w:r w:rsidRPr="00D11FA4">
              <w:t>(.05)</w:t>
            </w:r>
          </w:p>
        </w:tc>
        <w:tc>
          <w:tcPr>
            <w:tcW w:w="977" w:type="dxa"/>
            <w:tcBorders>
              <w:left w:val="nil"/>
              <w:bottom w:val="nil"/>
              <w:right w:val="nil"/>
            </w:tcBorders>
          </w:tcPr>
          <w:p w14:paraId="0BDC8A3F" w14:textId="7C638A95" w:rsidR="00F74977" w:rsidRPr="00D11FA4" w:rsidRDefault="00F74977" w:rsidP="005B3480">
            <w:pPr>
              <w:spacing w:before="120" w:after="120"/>
            </w:pPr>
            <w:r w:rsidRPr="00D11FA4">
              <w:t>-1.</w:t>
            </w:r>
            <w:r w:rsidR="00955A7A" w:rsidRPr="00D11FA4">
              <w:t>23</w:t>
            </w:r>
          </w:p>
        </w:tc>
      </w:tr>
      <w:tr w:rsidR="00F74977" w:rsidRPr="004D2B0F" w14:paraId="65C1F7F5" w14:textId="77777777" w:rsidTr="005B3480">
        <w:trPr>
          <w:trHeight w:val="260"/>
        </w:trPr>
        <w:tc>
          <w:tcPr>
            <w:tcW w:w="1701" w:type="dxa"/>
            <w:tcBorders>
              <w:top w:val="nil"/>
              <w:left w:val="nil"/>
              <w:bottom w:val="single" w:sz="4" w:space="0" w:color="auto"/>
              <w:right w:val="nil"/>
            </w:tcBorders>
          </w:tcPr>
          <w:p w14:paraId="557C58F4" w14:textId="77777777" w:rsidR="00F74977" w:rsidRPr="00D11FA4" w:rsidRDefault="00F74977" w:rsidP="005B3480">
            <w:pPr>
              <w:spacing w:before="120" w:after="120"/>
            </w:pPr>
            <w:r w:rsidRPr="00D11FA4">
              <w:t>Partner’s S-E</w:t>
            </w:r>
          </w:p>
        </w:tc>
        <w:tc>
          <w:tcPr>
            <w:tcW w:w="1276" w:type="dxa"/>
            <w:tcBorders>
              <w:top w:val="nil"/>
              <w:left w:val="nil"/>
              <w:bottom w:val="single" w:sz="4" w:space="0" w:color="auto"/>
              <w:right w:val="nil"/>
            </w:tcBorders>
          </w:tcPr>
          <w:p w14:paraId="1E6D6DDF" w14:textId="11C863FA" w:rsidR="00F74977" w:rsidRPr="00D11FA4" w:rsidRDefault="00F74977" w:rsidP="005B3480">
            <w:pPr>
              <w:spacing w:before="120" w:after="120"/>
            </w:pPr>
            <w:r w:rsidRPr="00D11FA4">
              <w:t>.1</w:t>
            </w:r>
            <w:r w:rsidR="009427D2" w:rsidRPr="00D11FA4">
              <w:t>6</w:t>
            </w:r>
            <w:r w:rsidRPr="00D11FA4">
              <w:t>(.06)</w:t>
            </w:r>
          </w:p>
        </w:tc>
        <w:tc>
          <w:tcPr>
            <w:tcW w:w="1134" w:type="dxa"/>
            <w:tcBorders>
              <w:top w:val="nil"/>
              <w:left w:val="nil"/>
              <w:bottom w:val="single" w:sz="4" w:space="0" w:color="auto"/>
              <w:right w:val="nil"/>
            </w:tcBorders>
          </w:tcPr>
          <w:p w14:paraId="671CC6B2" w14:textId="4FB02C63" w:rsidR="00F74977" w:rsidRPr="00D11FA4" w:rsidRDefault="00F74977" w:rsidP="005B3480">
            <w:pPr>
              <w:spacing w:before="120" w:after="120"/>
            </w:pPr>
            <w:r w:rsidRPr="00D11FA4">
              <w:t>2.</w:t>
            </w:r>
            <w:r w:rsidR="009427D2" w:rsidRPr="00D11FA4">
              <w:t>79</w:t>
            </w:r>
            <w:r w:rsidRPr="00D11FA4">
              <w:t>*</w:t>
            </w:r>
            <w:r w:rsidR="009427D2" w:rsidRPr="00D11FA4">
              <w:t>*</w:t>
            </w:r>
          </w:p>
        </w:tc>
        <w:tc>
          <w:tcPr>
            <w:tcW w:w="1134" w:type="dxa"/>
            <w:tcBorders>
              <w:top w:val="nil"/>
              <w:left w:val="nil"/>
              <w:bottom w:val="single" w:sz="4" w:space="0" w:color="auto"/>
              <w:right w:val="nil"/>
            </w:tcBorders>
          </w:tcPr>
          <w:p w14:paraId="55FF8DD4" w14:textId="77777777" w:rsidR="00F74977" w:rsidRPr="00D11FA4" w:rsidRDefault="00F74977" w:rsidP="005B3480">
            <w:pPr>
              <w:spacing w:before="120" w:after="120"/>
            </w:pPr>
            <w:r w:rsidRPr="00D11FA4">
              <w:t>.45(.05)</w:t>
            </w:r>
          </w:p>
        </w:tc>
        <w:tc>
          <w:tcPr>
            <w:tcW w:w="1036" w:type="dxa"/>
            <w:tcBorders>
              <w:top w:val="nil"/>
              <w:left w:val="nil"/>
              <w:bottom w:val="single" w:sz="4" w:space="0" w:color="auto"/>
              <w:right w:val="nil"/>
            </w:tcBorders>
          </w:tcPr>
          <w:p w14:paraId="47F0DED3" w14:textId="34A39F24" w:rsidR="00F74977" w:rsidRPr="00D11FA4" w:rsidRDefault="009427D2" w:rsidP="005B3480">
            <w:pPr>
              <w:spacing w:before="120" w:after="120"/>
            </w:pPr>
            <w:r w:rsidRPr="00D11FA4">
              <w:t>9.02</w:t>
            </w:r>
            <w:r w:rsidR="00F74977" w:rsidRPr="00D11FA4">
              <w:t>***</w:t>
            </w:r>
          </w:p>
        </w:tc>
        <w:tc>
          <w:tcPr>
            <w:tcW w:w="977" w:type="dxa"/>
            <w:tcBorders>
              <w:top w:val="nil"/>
              <w:left w:val="nil"/>
              <w:bottom w:val="single" w:sz="4" w:space="0" w:color="auto"/>
              <w:right w:val="nil"/>
            </w:tcBorders>
          </w:tcPr>
          <w:p w14:paraId="7EA11233" w14:textId="041D055E" w:rsidR="00F74977" w:rsidRPr="00D11FA4" w:rsidRDefault="00F74977" w:rsidP="005B3480">
            <w:pPr>
              <w:spacing w:before="120" w:after="120"/>
            </w:pPr>
            <w:r w:rsidRPr="00D11FA4">
              <w:t>.2</w:t>
            </w:r>
            <w:r w:rsidR="00955A7A" w:rsidRPr="00D11FA4">
              <w:t>5</w:t>
            </w:r>
            <w:r w:rsidRPr="00D11FA4">
              <w:t>(.06)</w:t>
            </w:r>
          </w:p>
        </w:tc>
        <w:tc>
          <w:tcPr>
            <w:tcW w:w="1116" w:type="dxa"/>
            <w:tcBorders>
              <w:top w:val="nil"/>
              <w:left w:val="nil"/>
              <w:bottom w:val="single" w:sz="4" w:space="0" w:color="auto"/>
              <w:right w:val="nil"/>
            </w:tcBorders>
          </w:tcPr>
          <w:p w14:paraId="04442EA9" w14:textId="6863A018" w:rsidR="00F74977" w:rsidRPr="00D11FA4" w:rsidRDefault="00F74977" w:rsidP="005B3480">
            <w:pPr>
              <w:spacing w:before="120" w:after="120"/>
            </w:pPr>
            <w:r w:rsidRPr="00D11FA4">
              <w:t>4.</w:t>
            </w:r>
            <w:r w:rsidR="00955A7A" w:rsidRPr="00D11FA4">
              <w:t>45</w:t>
            </w:r>
            <w:r w:rsidRPr="00D11FA4">
              <w:t>***</w:t>
            </w:r>
          </w:p>
        </w:tc>
        <w:tc>
          <w:tcPr>
            <w:tcW w:w="1116" w:type="dxa"/>
            <w:tcBorders>
              <w:top w:val="nil"/>
              <w:left w:val="nil"/>
              <w:bottom w:val="single" w:sz="4" w:space="0" w:color="auto"/>
              <w:right w:val="nil"/>
            </w:tcBorders>
          </w:tcPr>
          <w:p w14:paraId="46BEADE2" w14:textId="77777777" w:rsidR="00F74977" w:rsidRPr="00D11FA4" w:rsidRDefault="00F74977" w:rsidP="005B3480">
            <w:pPr>
              <w:spacing w:before="120" w:after="120"/>
            </w:pPr>
            <w:r w:rsidRPr="00D11FA4">
              <w:t>-.09(.06)</w:t>
            </w:r>
          </w:p>
        </w:tc>
        <w:tc>
          <w:tcPr>
            <w:tcW w:w="839" w:type="dxa"/>
            <w:tcBorders>
              <w:top w:val="nil"/>
              <w:left w:val="nil"/>
              <w:bottom w:val="single" w:sz="4" w:space="0" w:color="auto"/>
              <w:right w:val="nil"/>
            </w:tcBorders>
          </w:tcPr>
          <w:p w14:paraId="1C21A28D" w14:textId="5101945B" w:rsidR="00F74977" w:rsidRPr="00D11FA4" w:rsidRDefault="00F74977" w:rsidP="005B3480">
            <w:pPr>
              <w:spacing w:before="120" w:after="120"/>
            </w:pPr>
            <w:r w:rsidRPr="00D11FA4">
              <w:t>-1.</w:t>
            </w:r>
            <w:r w:rsidR="00955A7A" w:rsidRPr="00D11FA4">
              <w:t>40</w:t>
            </w:r>
          </w:p>
        </w:tc>
        <w:tc>
          <w:tcPr>
            <w:tcW w:w="1116" w:type="dxa"/>
            <w:tcBorders>
              <w:top w:val="nil"/>
              <w:left w:val="nil"/>
              <w:bottom w:val="single" w:sz="4" w:space="0" w:color="auto"/>
              <w:right w:val="nil"/>
            </w:tcBorders>
            <w:shd w:val="clear" w:color="auto" w:fill="auto"/>
          </w:tcPr>
          <w:p w14:paraId="5165C0D5" w14:textId="44A54684" w:rsidR="00F74977" w:rsidRPr="00D11FA4" w:rsidRDefault="00F74977" w:rsidP="005B3480">
            <w:pPr>
              <w:spacing w:before="120" w:after="120"/>
            </w:pPr>
            <w:r w:rsidRPr="00D11FA4">
              <w:t>-</w:t>
            </w:r>
            <w:r w:rsidR="00955A7A" w:rsidRPr="00D11FA4">
              <w:t>.19</w:t>
            </w:r>
            <w:r w:rsidRPr="00D11FA4">
              <w:t>(.06)</w:t>
            </w:r>
          </w:p>
        </w:tc>
        <w:tc>
          <w:tcPr>
            <w:tcW w:w="977" w:type="dxa"/>
            <w:tcBorders>
              <w:top w:val="nil"/>
              <w:left w:val="nil"/>
              <w:bottom w:val="single" w:sz="4" w:space="0" w:color="auto"/>
              <w:right w:val="nil"/>
            </w:tcBorders>
            <w:shd w:val="clear" w:color="auto" w:fill="auto"/>
          </w:tcPr>
          <w:p w14:paraId="47A37B67" w14:textId="138F1F88" w:rsidR="00F74977" w:rsidRPr="00D11FA4" w:rsidRDefault="00F74977" w:rsidP="005B3480">
            <w:pPr>
              <w:spacing w:before="120" w:after="120"/>
            </w:pPr>
            <w:r w:rsidRPr="00D11FA4">
              <w:t>-3.</w:t>
            </w:r>
            <w:r w:rsidR="00955A7A" w:rsidRPr="00D11FA4">
              <w:t>28</w:t>
            </w:r>
            <w:r w:rsidRPr="00D11FA4">
              <w:t>**</w:t>
            </w:r>
          </w:p>
        </w:tc>
      </w:tr>
    </w:tbl>
    <w:p w14:paraId="5D524E2A" w14:textId="77777777" w:rsidR="00F74977" w:rsidRPr="00621DD8" w:rsidRDefault="00F74977" w:rsidP="00F74977">
      <w:pPr>
        <w:pStyle w:val="Footer"/>
        <w:rPr>
          <w:i/>
        </w:rPr>
      </w:pPr>
    </w:p>
    <w:p w14:paraId="719D5698" w14:textId="41D1EEC2" w:rsidR="00955A7A" w:rsidRPr="00E96D57" w:rsidRDefault="00F74977" w:rsidP="00190B52">
      <w:pPr>
        <w:pStyle w:val="Footer"/>
        <w:spacing w:line="480" w:lineRule="auto"/>
        <w:rPr>
          <w:rFonts w:eastAsia="Calibri"/>
        </w:rPr>
      </w:pPr>
      <w:r w:rsidRPr="00621DD8">
        <w:rPr>
          <w:i/>
        </w:rPr>
        <w:t>Note</w:t>
      </w:r>
      <w:r w:rsidRPr="00621DD8">
        <w:t>: *</w:t>
      </w:r>
      <w:r w:rsidRPr="00621DD8">
        <w:rPr>
          <w:i/>
        </w:rPr>
        <w:t xml:space="preserve">p </w:t>
      </w:r>
      <w:r w:rsidRPr="00621DD8">
        <w:t>&lt; .05, **</w:t>
      </w:r>
      <w:r w:rsidRPr="00621DD8">
        <w:rPr>
          <w:i/>
        </w:rPr>
        <w:t>p</w:t>
      </w:r>
      <w:r w:rsidRPr="00621DD8">
        <w:t xml:space="preserve"> &lt; .01, ***</w:t>
      </w:r>
      <w:r w:rsidRPr="00621DD8">
        <w:rPr>
          <w:i/>
        </w:rPr>
        <w:t>p</w:t>
      </w:r>
      <w:r w:rsidRPr="00621DD8">
        <w:t xml:space="preserve"> &lt; .001. Beta values are </w:t>
      </w:r>
      <w:r w:rsidR="001437CC">
        <w:t>un</w:t>
      </w:r>
      <w:r w:rsidRPr="00621DD8">
        <w:t xml:space="preserve">standardized coefficients. Degrees of freedom ranged from </w:t>
      </w:r>
      <w:r w:rsidR="00955A7A">
        <w:t>212.27</w:t>
      </w:r>
      <w:r w:rsidRPr="00621DD8">
        <w:t xml:space="preserve"> to </w:t>
      </w:r>
      <w:r w:rsidR="00955A7A" w:rsidRPr="00621DD8">
        <w:t>2</w:t>
      </w:r>
      <w:r w:rsidR="00955A7A">
        <w:t>13.01</w:t>
      </w:r>
      <w:r w:rsidRPr="00621DD8">
        <w:t>. S-E = self-expansion.</w:t>
      </w:r>
      <w:r w:rsidRPr="00621DD8">
        <w:rPr>
          <w:rFonts w:eastAsia="Calibri"/>
        </w:rPr>
        <w:t xml:space="preserve"> </w:t>
      </w:r>
    </w:p>
    <w:sectPr w:rsidR="00955A7A" w:rsidRPr="00E96D57" w:rsidSect="00F74977">
      <w:headerReference w:type="even" r:id="rId8"/>
      <w:head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B514D" w14:textId="77777777" w:rsidR="004757DF" w:rsidRDefault="004757DF" w:rsidP="00CB1A10">
      <w:r>
        <w:separator/>
      </w:r>
    </w:p>
  </w:endnote>
  <w:endnote w:type="continuationSeparator" w:id="0">
    <w:p w14:paraId="41427350" w14:textId="77777777" w:rsidR="004757DF" w:rsidRDefault="004757DF" w:rsidP="00CB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E1E5C" w14:textId="77777777" w:rsidR="004757DF" w:rsidRDefault="004757DF" w:rsidP="00CB1A10">
      <w:r>
        <w:separator/>
      </w:r>
    </w:p>
  </w:footnote>
  <w:footnote w:type="continuationSeparator" w:id="0">
    <w:p w14:paraId="28690167" w14:textId="77777777" w:rsidR="004757DF" w:rsidRDefault="004757DF" w:rsidP="00CB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448753"/>
      <w:docPartObj>
        <w:docPartGallery w:val="Page Numbers (Top of Page)"/>
        <w:docPartUnique/>
      </w:docPartObj>
    </w:sdtPr>
    <w:sdtEndPr>
      <w:rPr>
        <w:rStyle w:val="PageNumber"/>
      </w:rPr>
    </w:sdtEndPr>
    <w:sdtContent>
      <w:p w14:paraId="061F6415" w14:textId="77777777" w:rsidR="005B3480" w:rsidRPr="00F87F2B" w:rsidRDefault="005B3480" w:rsidP="005B3480">
        <w:pPr>
          <w:pStyle w:val="Header"/>
          <w:framePr w:wrap="none" w:vAnchor="text" w:hAnchor="margin" w:xAlign="right" w:y="1"/>
          <w:rPr>
            <w:rStyle w:val="PageNumber"/>
          </w:rPr>
        </w:pPr>
        <w:r w:rsidRPr="00F87F2B">
          <w:rPr>
            <w:rStyle w:val="PageNumber"/>
          </w:rPr>
          <w:fldChar w:fldCharType="begin"/>
        </w:r>
        <w:r w:rsidRPr="00F87F2B">
          <w:rPr>
            <w:rStyle w:val="PageNumber"/>
          </w:rPr>
          <w:instrText xml:space="preserve"> PAGE </w:instrText>
        </w:r>
        <w:r w:rsidRPr="00F87F2B">
          <w:rPr>
            <w:rStyle w:val="PageNumber"/>
          </w:rPr>
          <w:fldChar w:fldCharType="separate"/>
        </w:r>
        <w:r>
          <w:rPr>
            <w:rStyle w:val="PageNumber"/>
            <w:noProof/>
          </w:rPr>
          <w:t>8</w:t>
        </w:r>
        <w:r w:rsidRPr="00F87F2B">
          <w:rPr>
            <w:rStyle w:val="PageNumber"/>
          </w:rPr>
          <w:fldChar w:fldCharType="end"/>
        </w:r>
      </w:p>
    </w:sdtContent>
  </w:sdt>
  <w:p w14:paraId="7D4F2D1A" w14:textId="77777777" w:rsidR="005B3480" w:rsidRPr="00F87F2B" w:rsidRDefault="005B3480" w:rsidP="005B3480">
    <w:pPr>
      <w:pStyle w:val="Header"/>
      <w:ind w:right="360"/>
    </w:pPr>
    <w:r w:rsidRPr="00F87F2B">
      <w:t>SELF-EXPANSION IN COUPLES COPING WITH LOW DESIRE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788772"/>
      <w:docPartObj>
        <w:docPartGallery w:val="Page Numbers (Top of Page)"/>
        <w:docPartUnique/>
      </w:docPartObj>
    </w:sdtPr>
    <w:sdtEndPr>
      <w:rPr>
        <w:rStyle w:val="PageNumber"/>
      </w:rPr>
    </w:sdtEndPr>
    <w:sdtContent>
      <w:p w14:paraId="5B70E639" w14:textId="77777777" w:rsidR="005B3480" w:rsidRPr="00F87F2B" w:rsidRDefault="005B3480" w:rsidP="005B3480">
        <w:pPr>
          <w:pStyle w:val="Header"/>
          <w:framePr w:wrap="none" w:vAnchor="text" w:hAnchor="margin" w:xAlign="right" w:y="1"/>
          <w:rPr>
            <w:rStyle w:val="PageNumber"/>
          </w:rPr>
        </w:pPr>
        <w:r w:rsidRPr="00F87F2B">
          <w:rPr>
            <w:rStyle w:val="PageNumber"/>
          </w:rPr>
          <w:fldChar w:fldCharType="begin"/>
        </w:r>
        <w:r w:rsidRPr="00F87F2B">
          <w:rPr>
            <w:rStyle w:val="PageNumber"/>
          </w:rPr>
          <w:instrText xml:space="preserve"> PAGE </w:instrText>
        </w:r>
        <w:r w:rsidRPr="00F87F2B">
          <w:rPr>
            <w:rStyle w:val="PageNumber"/>
          </w:rPr>
          <w:fldChar w:fldCharType="separate"/>
        </w:r>
        <w:r>
          <w:rPr>
            <w:rStyle w:val="PageNumber"/>
            <w:noProof/>
          </w:rPr>
          <w:t>1</w:t>
        </w:r>
        <w:r w:rsidRPr="00F87F2B">
          <w:rPr>
            <w:rStyle w:val="PageNumber"/>
          </w:rPr>
          <w:fldChar w:fldCharType="end"/>
        </w:r>
      </w:p>
    </w:sdtContent>
  </w:sdt>
  <w:p w14:paraId="153CF4DF" w14:textId="77777777" w:rsidR="005B3480" w:rsidRPr="00F87F2B" w:rsidRDefault="005B3480" w:rsidP="005B3480">
    <w:pPr>
      <w:pStyle w:val="Header"/>
      <w:ind w:right="360"/>
    </w:pPr>
    <w:r w:rsidRPr="00F87F2B">
      <w:t xml:space="preserve">Running head: </w:t>
    </w:r>
    <w:r w:rsidRPr="00E00820">
      <w:t>SELF-EXPANSION IN COUPLES COPING WITH LOW DESIRE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7085945"/>
      <w:docPartObj>
        <w:docPartGallery w:val="Page Numbers (Top of Page)"/>
        <w:docPartUnique/>
      </w:docPartObj>
    </w:sdtPr>
    <w:sdtEndPr>
      <w:rPr>
        <w:rStyle w:val="PageNumber"/>
      </w:rPr>
    </w:sdtEndPr>
    <w:sdtContent>
      <w:p w14:paraId="08B71242" w14:textId="3C64FE10" w:rsidR="005B3480" w:rsidRDefault="005B3480" w:rsidP="00CB1A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628C8F" w14:textId="77777777" w:rsidR="005B3480" w:rsidRDefault="005B3480" w:rsidP="00CB1A10">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0777784"/>
      <w:docPartObj>
        <w:docPartGallery w:val="Page Numbers (Top of Page)"/>
        <w:docPartUnique/>
      </w:docPartObj>
    </w:sdtPr>
    <w:sdtEndPr>
      <w:rPr>
        <w:rStyle w:val="PageNumber"/>
      </w:rPr>
    </w:sdtEndPr>
    <w:sdtContent>
      <w:p w14:paraId="4B49B0CC" w14:textId="7BA86F1A" w:rsidR="005B3480" w:rsidRDefault="005B3480" w:rsidP="00CB1A1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76D25F" w14:textId="2D4750C1" w:rsidR="005B3480" w:rsidRDefault="005B3480" w:rsidP="00CB1A10">
    <w:pPr>
      <w:pStyle w:val="Header"/>
      <w:ind w:right="360"/>
    </w:pPr>
    <w:r w:rsidRPr="00FE687F">
      <w:t xml:space="preserve">SELF-EXPANSION </w:t>
    </w:r>
    <w:r>
      <w:t>IN COUPLES COPING WITH LOW DESIRE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C9"/>
    <w:rsid w:val="00052E37"/>
    <w:rsid w:val="000F2838"/>
    <w:rsid w:val="001437CC"/>
    <w:rsid w:val="00150BD2"/>
    <w:rsid w:val="00167F11"/>
    <w:rsid w:val="00180CE5"/>
    <w:rsid w:val="00190B52"/>
    <w:rsid w:val="001C12DB"/>
    <w:rsid w:val="001E446D"/>
    <w:rsid w:val="002553C9"/>
    <w:rsid w:val="00265AE4"/>
    <w:rsid w:val="00291566"/>
    <w:rsid w:val="002A6595"/>
    <w:rsid w:val="002B471C"/>
    <w:rsid w:val="002F3816"/>
    <w:rsid w:val="00300130"/>
    <w:rsid w:val="00312C35"/>
    <w:rsid w:val="0032355B"/>
    <w:rsid w:val="003301B0"/>
    <w:rsid w:val="00334616"/>
    <w:rsid w:val="003A472C"/>
    <w:rsid w:val="003F1121"/>
    <w:rsid w:val="00423A15"/>
    <w:rsid w:val="00431BAB"/>
    <w:rsid w:val="0045487E"/>
    <w:rsid w:val="004757DF"/>
    <w:rsid w:val="00485D38"/>
    <w:rsid w:val="004B13F3"/>
    <w:rsid w:val="004C7104"/>
    <w:rsid w:val="004D2B0F"/>
    <w:rsid w:val="005202AC"/>
    <w:rsid w:val="00521663"/>
    <w:rsid w:val="005223DB"/>
    <w:rsid w:val="00545173"/>
    <w:rsid w:val="005B3480"/>
    <w:rsid w:val="005E3482"/>
    <w:rsid w:val="00640CBF"/>
    <w:rsid w:val="0065714E"/>
    <w:rsid w:val="006876B2"/>
    <w:rsid w:val="0074575C"/>
    <w:rsid w:val="00755DA4"/>
    <w:rsid w:val="007A7FD6"/>
    <w:rsid w:val="008A2634"/>
    <w:rsid w:val="008D1E3E"/>
    <w:rsid w:val="00914ED6"/>
    <w:rsid w:val="00916392"/>
    <w:rsid w:val="00930D68"/>
    <w:rsid w:val="009427D2"/>
    <w:rsid w:val="00951B39"/>
    <w:rsid w:val="00955A7A"/>
    <w:rsid w:val="009B3818"/>
    <w:rsid w:val="009D7CE2"/>
    <w:rsid w:val="00A027BE"/>
    <w:rsid w:val="00A44AD2"/>
    <w:rsid w:val="00A60856"/>
    <w:rsid w:val="00A610B3"/>
    <w:rsid w:val="00A858BA"/>
    <w:rsid w:val="00B2749A"/>
    <w:rsid w:val="00B435FB"/>
    <w:rsid w:val="00B43A0D"/>
    <w:rsid w:val="00BA2C83"/>
    <w:rsid w:val="00BB79AF"/>
    <w:rsid w:val="00BE1BF9"/>
    <w:rsid w:val="00C175E8"/>
    <w:rsid w:val="00C60606"/>
    <w:rsid w:val="00C7064D"/>
    <w:rsid w:val="00C7377E"/>
    <w:rsid w:val="00C80CEA"/>
    <w:rsid w:val="00C8125D"/>
    <w:rsid w:val="00C9103E"/>
    <w:rsid w:val="00C915DA"/>
    <w:rsid w:val="00CB1A10"/>
    <w:rsid w:val="00D11FA4"/>
    <w:rsid w:val="00D4191B"/>
    <w:rsid w:val="00D54482"/>
    <w:rsid w:val="00D60AAF"/>
    <w:rsid w:val="00D62E8C"/>
    <w:rsid w:val="00DD7E11"/>
    <w:rsid w:val="00DE2B14"/>
    <w:rsid w:val="00E14DAC"/>
    <w:rsid w:val="00E3095B"/>
    <w:rsid w:val="00E96D57"/>
    <w:rsid w:val="00EA0A5F"/>
    <w:rsid w:val="00EC237A"/>
    <w:rsid w:val="00EE4C4D"/>
    <w:rsid w:val="00F546EF"/>
    <w:rsid w:val="00F55157"/>
    <w:rsid w:val="00F74977"/>
    <w:rsid w:val="00FD24E0"/>
    <w:rsid w:val="00FF2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90BE"/>
  <w14:defaultImageDpi w14:val="32767"/>
  <w15:chartTrackingRefBased/>
  <w15:docId w15:val="{893B7831-5764-344F-BDCF-74D89C4A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2553C9"/>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53C9"/>
    <w:pPr>
      <w:spacing w:before="100" w:beforeAutospacing="1" w:after="100" w:afterAutospacing="1"/>
    </w:pPr>
  </w:style>
  <w:style w:type="table" w:styleId="TableGrid">
    <w:name w:val="Table Grid"/>
    <w:basedOn w:val="TableNormal"/>
    <w:uiPriority w:val="39"/>
    <w:rsid w:val="002553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1A10"/>
    <w:pPr>
      <w:tabs>
        <w:tab w:val="center" w:pos="4680"/>
        <w:tab w:val="right" w:pos="9360"/>
      </w:tabs>
    </w:pPr>
  </w:style>
  <w:style w:type="character" w:customStyle="1" w:styleId="HeaderChar">
    <w:name w:val="Header Char"/>
    <w:basedOn w:val="DefaultParagraphFont"/>
    <w:link w:val="Header"/>
    <w:uiPriority w:val="99"/>
    <w:rsid w:val="00CB1A10"/>
    <w:rPr>
      <w:rFonts w:ascii="Times New Roman" w:eastAsia="Times New Roman" w:hAnsi="Times New Roman" w:cs="Times New Roman"/>
      <w:lang w:val="en-CA"/>
    </w:rPr>
  </w:style>
  <w:style w:type="paragraph" w:styleId="Footer">
    <w:name w:val="footer"/>
    <w:basedOn w:val="Normal"/>
    <w:link w:val="FooterChar"/>
    <w:uiPriority w:val="99"/>
    <w:unhideWhenUsed/>
    <w:rsid w:val="00CB1A10"/>
    <w:pPr>
      <w:tabs>
        <w:tab w:val="center" w:pos="4680"/>
        <w:tab w:val="right" w:pos="9360"/>
      </w:tabs>
    </w:pPr>
  </w:style>
  <w:style w:type="character" w:customStyle="1" w:styleId="FooterChar">
    <w:name w:val="Footer Char"/>
    <w:basedOn w:val="DefaultParagraphFont"/>
    <w:link w:val="Footer"/>
    <w:uiPriority w:val="99"/>
    <w:rsid w:val="00CB1A10"/>
    <w:rPr>
      <w:rFonts w:ascii="Times New Roman" w:eastAsia="Times New Roman" w:hAnsi="Times New Roman" w:cs="Times New Roman"/>
      <w:lang w:val="en-CA"/>
    </w:rPr>
  </w:style>
  <w:style w:type="character" w:styleId="PageNumber">
    <w:name w:val="page number"/>
    <w:basedOn w:val="DefaultParagraphFont"/>
    <w:uiPriority w:val="99"/>
    <w:semiHidden/>
    <w:unhideWhenUsed/>
    <w:rsid w:val="00CB1A10"/>
  </w:style>
  <w:style w:type="paragraph" w:styleId="BalloonText">
    <w:name w:val="Balloon Text"/>
    <w:basedOn w:val="Normal"/>
    <w:link w:val="BalloonTextChar"/>
    <w:uiPriority w:val="99"/>
    <w:semiHidden/>
    <w:unhideWhenUsed/>
    <w:rsid w:val="00CB1A10"/>
    <w:rPr>
      <w:sz w:val="18"/>
      <w:szCs w:val="18"/>
    </w:rPr>
  </w:style>
  <w:style w:type="character" w:customStyle="1" w:styleId="BalloonTextChar">
    <w:name w:val="Balloon Text Char"/>
    <w:basedOn w:val="DefaultParagraphFont"/>
    <w:link w:val="BalloonText"/>
    <w:uiPriority w:val="99"/>
    <w:semiHidden/>
    <w:rsid w:val="00CB1A10"/>
    <w:rPr>
      <w:rFonts w:ascii="Times New Roman" w:eastAsia="Times New Roman" w:hAnsi="Times New Roman" w:cs="Times New Roman"/>
      <w:sz w:val="18"/>
      <w:szCs w:val="18"/>
      <w:lang w:val="en-CA"/>
    </w:rPr>
  </w:style>
  <w:style w:type="character" w:styleId="CommentReference">
    <w:name w:val="annotation reference"/>
    <w:basedOn w:val="DefaultParagraphFont"/>
    <w:uiPriority w:val="99"/>
    <w:semiHidden/>
    <w:unhideWhenUsed/>
    <w:rsid w:val="00B435FB"/>
    <w:rPr>
      <w:sz w:val="16"/>
      <w:szCs w:val="16"/>
    </w:rPr>
  </w:style>
  <w:style w:type="paragraph" w:styleId="CommentText">
    <w:name w:val="annotation text"/>
    <w:basedOn w:val="Normal"/>
    <w:link w:val="CommentTextChar"/>
    <w:uiPriority w:val="99"/>
    <w:unhideWhenUsed/>
    <w:rsid w:val="00B435FB"/>
    <w:rPr>
      <w:sz w:val="20"/>
      <w:szCs w:val="20"/>
    </w:rPr>
  </w:style>
  <w:style w:type="character" w:customStyle="1" w:styleId="CommentTextChar">
    <w:name w:val="Comment Text Char"/>
    <w:basedOn w:val="DefaultParagraphFont"/>
    <w:link w:val="CommentText"/>
    <w:uiPriority w:val="99"/>
    <w:rsid w:val="00B435FB"/>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B43A0D"/>
    <w:rPr>
      <w:b/>
      <w:bCs/>
    </w:rPr>
  </w:style>
  <w:style w:type="character" w:customStyle="1" w:styleId="CommentSubjectChar">
    <w:name w:val="Comment Subject Char"/>
    <w:basedOn w:val="CommentTextChar"/>
    <w:link w:val="CommentSubject"/>
    <w:uiPriority w:val="99"/>
    <w:semiHidden/>
    <w:rsid w:val="00B43A0D"/>
    <w:rPr>
      <w:rFonts w:ascii="Times New Roman" w:eastAsia="Times New Roman" w:hAnsi="Times New Roman" w:cs="Times New Roman"/>
      <w:b/>
      <w:bCs/>
      <w:sz w:val="20"/>
      <w:szCs w:val="20"/>
      <w:lang w:val="en-CA"/>
    </w:rPr>
  </w:style>
  <w:style w:type="character" w:customStyle="1" w:styleId="apple-converted-space">
    <w:name w:val="apple-converted-space"/>
    <w:basedOn w:val="DefaultParagraphFont"/>
    <w:rsid w:val="00BA2C83"/>
  </w:style>
  <w:style w:type="paragraph" w:styleId="Revision">
    <w:name w:val="Revision"/>
    <w:hidden/>
    <w:uiPriority w:val="99"/>
    <w:semiHidden/>
    <w:rsid w:val="006876B2"/>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091373">
      <w:bodyDiv w:val="1"/>
      <w:marLeft w:val="0"/>
      <w:marRight w:val="0"/>
      <w:marTop w:val="0"/>
      <w:marBottom w:val="0"/>
      <w:divBdr>
        <w:top w:val="none" w:sz="0" w:space="0" w:color="auto"/>
        <w:left w:val="none" w:sz="0" w:space="0" w:color="auto"/>
        <w:bottom w:val="none" w:sz="0" w:space="0" w:color="auto"/>
        <w:right w:val="none" w:sz="0" w:space="0" w:color="auto"/>
      </w:divBdr>
    </w:div>
    <w:div w:id="1746947858">
      <w:bodyDiv w:val="1"/>
      <w:marLeft w:val="0"/>
      <w:marRight w:val="0"/>
      <w:marTop w:val="0"/>
      <w:marBottom w:val="0"/>
      <w:divBdr>
        <w:top w:val="none" w:sz="0" w:space="0" w:color="auto"/>
        <w:left w:val="none" w:sz="0" w:space="0" w:color="auto"/>
        <w:bottom w:val="none" w:sz="0" w:space="0" w:color="auto"/>
        <w:right w:val="none" w:sz="0" w:space="0" w:color="auto"/>
      </w:divBdr>
    </w:div>
    <w:div w:id="1880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2355</Words>
  <Characters>13429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Raposo</dc:creator>
  <cp:keywords/>
  <dc:description/>
  <cp:lastModifiedBy>Stephanie Raposo</cp:lastModifiedBy>
  <cp:revision>6</cp:revision>
  <dcterms:created xsi:type="dcterms:W3CDTF">2019-08-16T21:59:00Z</dcterms:created>
  <dcterms:modified xsi:type="dcterms:W3CDTF">2019-09-09T15:43:00Z</dcterms:modified>
</cp:coreProperties>
</file>