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65E0" w14:textId="25396C44" w:rsidR="003D5BD5" w:rsidRPr="000877F1" w:rsidRDefault="003D5BD5" w:rsidP="003D5BD5">
      <w:pPr>
        <w:pStyle w:val="Overskrift1"/>
        <w:rPr>
          <w:sz w:val="24"/>
          <w:lang w:val="en-GB"/>
        </w:rPr>
      </w:pPr>
      <w:r w:rsidRPr="000877F1">
        <w:rPr>
          <w:sz w:val="24"/>
          <w:lang w:val="en-GB"/>
        </w:rPr>
        <w:t xml:space="preserve">Appendix </w:t>
      </w:r>
      <w:r w:rsidR="00FC297D">
        <w:rPr>
          <w:sz w:val="24"/>
          <w:lang w:val="en-GB"/>
        </w:rPr>
        <w:t>2</w:t>
      </w:r>
      <w:r w:rsidRPr="000877F1">
        <w:rPr>
          <w:sz w:val="24"/>
          <w:lang w:val="en-GB"/>
        </w:rPr>
        <w:t>. Choice set examples.</w:t>
      </w:r>
    </w:p>
    <w:p w14:paraId="043306A3" w14:textId="77777777" w:rsidR="003D5BD5" w:rsidRPr="00DE0F9D" w:rsidRDefault="003D5BD5" w:rsidP="003D5BD5">
      <w:pPr>
        <w:spacing w:line="360" w:lineRule="auto"/>
        <w:rPr>
          <w:rFonts w:cs="Times New Roman"/>
          <w:szCs w:val="20"/>
          <w:lang w:val="en-GB"/>
        </w:rPr>
      </w:pPr>
    </w:p>
    <w:p w14:paraId="349260E6" w14:textId="6536E2A6" w:rsidR="003D5BD5" w:rsidRDefault="003D5BD5" w:rsidP="003D5BD5">
      <w:pPr>
        <w:spacing w:line="360" w:lineRule="auto"/>
        <w:jc w:val="both"/>
        <w:rPr>
          <w:rFonts w:cs="Times New Roman"/>
          <w:szCs w:val="20"/>
          <w:lang w:val="en-GB"/>
        </w:rPr>
      </w:pPr>
      <w:r w:rsidRPr="00DE0F9D">
        <w:rPr>
          <w:rFonts w:cs="Times New Roman"/>
          <w:szCs w:val="20"/>
          <w:lang w:val="en-GB"/>
        </w:rPr>
        <w:t xml:space="preserve">We used a dual response design in which respondents were forced to make a choice between two </w:t>
      </w:r>
      <w:r w:rsidR="00C271A7">
        <w:rPr>
          <w:rFonts w:cs="Times New Roman"/>
          <w:szCs w:val="20"/>
          <w:lang w:val="en-GB"/>
        </w:rPr>
        <w:t>personal health record (</w:t>
      </w:r>
      <w:r w:rsidRPr="00DE0F9D">
        <w:rPr>
          <w:rFonts w:cs="Times New Roman"/>
          <w:szCs w:val="20"/>
          <w:lang w:val="en-GB"/>
        </w:rPr>
        <w:t>PHR</w:t>
      </w:r>
      <w:r w:rsidR="00C271A7">
        <w:rPr>
          <w:rFonts w:cs="Times New Roman"/>
          <w:szCs w:val="20"/>
          <w:lang w:val="en-GB"/>
        </w:rPr>
        <w:t>)</w:t>
      </w:r>
      <w:r w:rsidRPr="00DE0F9D">
        <w:rPr>
          <w:rFonts w:cs="Times New Roman"/>
          <w:szCs w:val="20"/>
          <w:lang w:val="en-GB"/>
        </w:rPr>
        <w:t xml:space="preserve"> alternatives first, and </w:t>
      </w:r>
      <w:r w:rsidR="006032BC">
        <w:rPr>
          <w:rFonts w:cs="Times New Roman"/>
          <w:szCs w:val="20"/>
          <w:lang w:val="en-GB"/>
        </w:rPr>
        <w:t>subsequently</w:t>
      </w:r>
      <w:r w:rsidRPr="00DE0F9D">
        <w:rPr>
          <w:rFonts w:cs="Times New Roman"/>
          <w:szCs w:val="20"/>
          <w:lang w:val="en-GB"/>
        </w:rPr>
        <w:t xml:space="preserve"> asked to make an unforced choice. </w:t>
      </w:r>
      <w:r w:rsidR="006032BC">
        <w:rPr>
          <w:rFonts w:cs="Times New Roman"/>
          <w:szCs w:val="20"/>
          <w:lang w:val="en-GB"/>
        </w:rPr>
        <w:t>In this paper, we only u</w:t>
      </w:r>
      <w:bookmarkStart w:id="0" w:name="_GoBack"/>
      <w:bookmarkEnd w:id="0"/>
      <w:r w:rsidR="006032BC">
        <w:rPr>
          <w:rFonts w:cs="Times New Roman"/>
          <w:szCs w:val="20"/>
          <w:lang w:val="en-GB"/>
        </w:rPr>
        <w:t xml:space="preserve">se responses from the unforced choices. </w:t>
      </w:r>
    </w:p>
    <w:p w14:paraId="6E9C2E8B" w14:textId="13D98CAB" w:rsidR="003D5BD5" w:rsidRPr="00AD64A5" w:rsidRDefault="003D5BD5" w:rsidP="003D5BD5">
      <w:pPr>
        <w:spacing w:line="360" w:lineRule="auto"/>
        <w:rPr>
          <w:rFonts w:cs="Times New Roman"/>
          <w:szCs w:val="20"/>
          <w:lang w:val="en-US"/>
        </w:rPr>
      </w:pPr>
    </w:p>
    <w:p w14:paraId="1BF637C4" w14:textId="77777777" w:rsidR="00AD64A5" w:rsidRPr="00AD64A5" w:rsidRDefault="00AD64A5" w:rsidP="003D5BD5">
      <w:pPr>
        <w:spacing w:line="360" w:lineRule="auto"/>
        <w:rPr>
          <w:rFonts w:cs="Times New Roman"/>
          <w:szCs w:val="20"/>
          <w:lang w:val="en-US"/>
        </w:rPr>
      </w:pPr>
    </w:p>
    <w:p w14:paraId="78B28646" w14:textId="77777777" w:rsidR="003D5BD5" w:rsidRPr="00DE0F9D" w:rsidRDefault="003D5BD5" w:rsidP="003D5BD5">
      <w:pPr>
        <w:spacing w:line="360" w:lineRule="auto"/>
        <w:rPr>
          <w:rFonts w:cs="Times New Roman"/>
          <w:szCs w:val="20"/>
          <w:lang w:val="en-GB"/>
        </w:rPr>
      </w:pPr>
      <w:r w:rsidRPr="00DE0F9D">
        <w:rPr>
          <w:rFonts w:cs="Times New Roman"/>
          <w:szCs w:val="20"/>
          <w:lang w:val="en-GB"/>
        </w:rPr>
        <w:t>Opt-out:</w:t>
      </w:r>
    </w:p>
    <w:p w14:paraId="73D62E54" w14:textId="77777777" w:rsidR="003D5BD5" w:rsidRPr="00DE0F9D" w:rsidRDefault="003D5BD5" w:rsidP="003D5BD5">
      <w:pPr>
        <w:spacing w:line="360" w:lineRule="auto"/>
        <w:rPr>
          <w:rFonts w:cs="Times New Roman"/>
          <w:szCs w:val="20"/>
          <w:lang w:val="en-GB"/>
        </w:rPr>
      </w:pPr>
      <w:r w:rsidRPr="00DE0F9D">
        <w:rPr>
          <w:rFonts w:cs="Times New Roman"/>
          <w:noProof/>
          <w:szCs w:val="20"/>
          <w:lang w:eastAsia="nl-NL"/>
        </w:rPr>
        <w:drawing>
          <wp:inline distT="0" distB="0" distL="0" distR="0" wp14:anchorId="19CC3D3B" wp14:editId="4B55B33C">
            <wp:extent cx="2520000" cy="1622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000" cy="1622523"/>
                    </a:xfrm>
                    <a:prstGeom prst="rect">
                      <a:avLst/>
                    </a:prstGeom>
                    <a:noFill/>
                  </pic:spPr>
                </pic:pic>
              </a:graphicData>
            </a:graphic>
          </wp:inline>
        </w:drawing>
      </w:r>
    </w:p>
    <w:p w14:paraId="7ABC32F0" w14:textId="77777777" w:rsidR="003D5BD5" w:rsidRPr="00DE0F9D" w:rsidRDefault="003D5BD5" w:rsidP="003D5BD5">
      <w:pPr>
        <w:spacing w:line="360" w:lineRule="auto"/>
        <w:rPr>
          <w:rFonts w:cs="Times New Roman"/>
          <w:szCs w:val="20"/>
          <w:lang w:val="en-GB"/>
        </w:rPr>
      </w:pPr>
    </w:p>
    <w:p w14:paraId="20FB2D15" w14:textId="77777777" w:rsidR="003D5BD5" w:rsidRPr="00DE0F9D" w:rsidRDefault="003D5BD5" w:rsidP="003D5BD5">
      <w:pPr>
        <w:spacing w:line="360" w:lineRule="auto"/>
        <w:rPr>
          <w:rFonts w:cs="Times New Roman"/>
          <w:szCs w:val="20"/>
          <w:lang w:val="en-GB"/>
        </w:rPr>
      </w:pPr>
      <w:r w:rsidRPr="00DE0F9D">
        <w:rPr>
          <w:rFonts w:cs="Times New Roman"/>
          <w:szCs w:val="20"/>
          <w:lang w:val="en-GB"/>
        </w:rPr>
        <w:t>Neither:</w:t>
      </w:r>
    </w:p>
    <w:p w14:paraId="5EFD36E6" w14:textId="77777777" w:rsidR="003D5BD5" w:rsidRPr="00DE0F9D" w:rsidRDefault="003D5BD5" w:rsidP="003D5BD5">
      <w:pPr>
        <w:spacing w:line="360" w:lineRule="auto"/>
        <w:rPr>
          <w:rFonts w:cs="Times New Roman"/>
          <w:szCs w:val="20"/>
          <w:lang w:val="en-GB"/>
        </w:rPr>
      </w:pPr>
      <w:r w:rsidRPr="00DE0F9D">
        <w:rPr>
          <w:rFonts w:cs="Times New Roman"/>
          <w:noProof/>
          <w:szCs w:val="20"/>
          <w:lang w:eastAsia="nl-NL"/>
        </w:rPr>
        <w:drawing>
          <wp:inline distT="0" distB="0" distL="0" distR="0" wp14:anchorId="31C9E47B" wp14:editId="294F1ACD">
            <wp:extent cx="2520000" cy="1622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000" cy="1622524"/>
                    </a:xfrm>
                    <a:prstGeom prst="rect">
                      <a:avLst/>
                    </a:prstGeom>
                    <a:noFill/>
                  </pic:spPr>
                </pic:pic>
              </a:graphicData>
            </a:graphic>
          </wp:inline>
        </w:drawing>
      </w:r>
    </w:p>
    <w:p w14:paraId="332FFF34" w14:textId="77777777" w:rsidR="003D5BD5" w:rsidRPr="00DE0F9D" w:rsidRDefault="003D5BD5" w:rsidP="003D5BD5">
      <w:pPr>
        <w:spacing w:line="360" w:lineRule="auto"/>
        <w:rPr>
          <w:rFonts w:cs="Times New Roman"/>
          <w:szCs w:val="20"/>
          <w:lang w:val="en-GB"/>
        </w:rPr>
      </w:pPr>
    </w:p>
    <w:p w14:paraId="535E4C13" w14:textId="77777777" w:rsidR="003D5BD5" w:rsidRPr="00DE0F9D" w:rsidRDefault="003D5BD5" w:rsidP="003D5BD5">
      <w:pPr>
        <w:spacing w:line="360" w:lineRule="auto"/>
        <w:rPr>
          <w:rFonts w:cs="Times New Roman"/>
          <w:szCs w:val="20"/>
          <w:lang w:val="en-GB"/>
        </w:rPr>
      </w:pPr>
      <w:r>
        <w:rPr>
          <w:rFonts w:cs="Times New Roman"/>
          <w:szCs w:val="20"/>
          <w:lang w:val="en-GB"/>
        </w:rPr>
        <w:t>Status quo</w:t>
      </w:r>
      <w:r w:rsidRPr="00DE0F9D">
        <w:rPr>
          <w:rFonts w:cs="Times New Roman"/>
          <w:szCs w:val="20"/>
          <w:lang w:val="en-GB"/>
        </w:rPr>
        <w:t xml:space="preserve"> and opt-out:</w:t>
      </w:r>
    </w:p>
    <w:p w14:paraId="63995B1A" w14:textId="77777777" w:rsidR="003D5BD5" w:rsidRPr="00DE0F9D" w:rsidRDefault="003D5BD5" w:rsidP="003D5BD5">
      <w:pPr>
        <w:spacing w:line="360" w:lineRule="auto"/>
        <w:rPr>
          <w:rFonts w:cs="Times New Roman"/>
          <w:szCs w:val="20"/>
          <w:lang w:val="en-GB"/>
        </w:rPr>
      </w:pPr>
      <w:r w:rsidRPr="00DE0F9D">
        <w:rPr>
          <w:rFonts w:cs="Times New Roman"/>
          <w:noProof/>
          <w:szCs w:val="20"/>
          <w:lang w:eastAsia="nl-NL"/>
        </w:rPr>
        <w:drawing>
          <wp:inline distT="0" distB="0" distL="0" distR="0" wp14:anchorId="5AC3F553" wp14:editId="2AA75C9A">
            <wp:extent cx="2830063" cy="1633537"/>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967" cy="1635791"/>
                    </a:xfrm>
                    <a:prstGeom prst="rect">
                      <a:avLst/>
                    </a:prstGeom>
                    <a:noFill/>
                  </pic:spPr>
                </pic:pic>
              </a:graphicData>
            </a:graphic>
          </wp:inline>
        </w:drawing>
      </w:r>
    </w:p>
    <w:p w14:paraId="405B9554" w14:textId="77777777" w:rsidR="00810D02" w:rsidRDefault="00810D02" w:rsidP="00FC65F6">
      <w:pPr>
        <w:spacing w:line="360" w:lineRule="auto"/>
        <w:rPr>
          <w:rFonts w:cs="Times New Roman"/>
          <w:szCs w:val="20"/>
          <w:lang w:val="en-GB"/>
        </w:rPr>
      </w:pPr>
    </w:p>
    <w:p w14:paraId="7785ACB9" w14:textId="77777777" w:rsidR="00947ACF" w:rsidRDefault="00947ACF">
      <w:pPr>
        <w:rPr>
          <w:rFonts w:cs="Times New Roman"/>
          <w:b/>
          <w:szCs w:val="20"/>
          <w:lang w:val="en-GB"/>
        </w:rPr>
      </w:pPr>
      <w:r>
        <w:rPr>
          <w:rFonts w:cs="Times New Roman"/>
          <w:b/>
          <w:szCs w:val="20"/>
          <w:lang w:val="en-GB"/>
        </w:rPr>
        <w:br w:type="page"/>
      </w:r>
    </w:p>
    <w:p w14:paraId="0D48EB5C" w14:textId="45B623BC" w:rsidR="00FC65F6" w:rsidRPr="00FB197B" w:rsidRDefault="00FC65F6" w:rsidP="00FC65F6">
      <w:pPr>
        <w:spacing w:line="360" w:lineRule="auto"/>
        <w:rPr>
          <w:rFonts w:cs="Times New Roman"/>
          <w:b/>
          <w:szCs w:val="20"/>
          <w:lang w:val="en-GB"/>
        </w:rPr>
      </w:pPr>
      <w:r w:rsidRPr="00FB197B">
        <w:rPr>
          <w:rFonts w:cs="Times New Roman"/>
          <w:b/>
          <w:szCs w:val="20"/>
          <w:lang w:val="en-GB"/>
        </w:rPr>
        <w:lastRenderedPageBreak/>
        <w:t xml:space="preserve">PHR introductory text: </w:t>
      </w:r>
    </w:p>
    <w:p w14:paraId="4179E603" w14:textId="77777777" w:rsidR="00FC65F6" w:rsidRDefault="00FC65F6" w:rsidP="00FC65F6">
      <w:pPr>
        <w:spacing w:line="360" w:lineRule="auto"/>
        <w:rPr>
          <w:rFonts w:cs="Times New Roman"/>
          <w:szCs w:val="20"/>
          <w:lang w:val="en-GB"/>
        </w:rPr>
      </w:pPr>
      <w:r>
        <w:rPr>
          <w:rFonts w:cs="Times New Roman"/>
          <w:szCs w:val="20"/>
          <w:lang w:val="en-GB"/>
        </w:rPr>
        <w:t xml:space="preserve">There are many different definitions of personal health records (PHRs). It is important that everyone completes this survey with the same definition in mind. We will therefore first describe what is meant with PHRs in this survey. </w:t>
      </w:r>
    </w:p>
    <w:p w14:paraId="7C79E6C4" w14:textId="77777777" w:rsidR="00FC65F6" w:rsidRDefault="00FC65F6" w:rsidP="00FC65F6">
      <w:pPr>
        <w:spacing w:line="360" w:lineRule="auto"/>
        <w:rPr>
          <w:rFonts w:cs="Times New Roman"/>
          <w:szCs w:val="20"/>
          <w:lang w:val="en-GB"/>
        </w:rPr>
      </w:pPr>
    </w:p>
    <w:p w14:paraId="6B96D9B2" w14:textId="08F73518" w:rsidR="00FC65F6" w:rsidRDefault="00FC65F6" w:rsidP="00FC65F6">
      <w:pPr>
        <w:spacing w:line="360" w:lineRule="auto"/>
        <w:rPr>
          <w:rFonts w:cs="Times New Roman"/>
          <w:szCs w:val="20"/>
          <w:lang w:val="en-GB"/>
        </w:rPr>
      </w:pPr>
      <w:r>
        <w:rPr>
          <w:rFonts w:cs="Times New Roman"/>
          <w:szCs w:val="20"/>
          <w:lang w:val="en-GB"/>
        </w:rPr>
        <w:t>A PHR is a digital tool that enables you to collect, manage and share information about your hea</w:t>
      </w:r>
      <w:r w:rsidR="00E26B8C">
        <w:rPr>
          <w:rFonts w:cs="Times New Roman"/>
          <w:szCs w:val="20"/>
          <w:lang w:val="en-GB"/>
        </w:rPr>
        <w:t>l</w:t>
      </w:r>
      <w:r>
        <w:rPr>
          <w:rFonts w:cs="Times New Roman"/>
          <w:szCs w:val="20"/>
          <w:lang w:val="en-GB"/>
        </w:rPr>
        <w:t>th, for example, information on diagnosis, treatments, referrals, etc. This information can be obtained from your healthcare providers (e.g. medical specialist, general practitioners, physiotherapist) and/or yourself. Some PHRs include additional functionalities, for example, being able to schedule appointments with your healthcare provider, request mediation refills, provid</w:t>
      </w:r>
      <w:r w:rsidR="00D071A5">
        <w:rPr>
          <w:rFonts w:cs="Times New Roman"/>
          <w:szCs w:val="20"/>
          <w:lang w:val="en-GB"/>
        </w:rPr>
        <w:t>e</w:t>
      </w:r>
      <w:r>
        <w:rPr>
          <w:rFonts w:cs="Times New Roman"/>
          <w:szCs w:val="20"/>
          <w:lang w:val="en-GB"/>
        </w:rPr>
        <w:t xml:space="preserve"> medication reminders, advice and/or information on health and diseases. </w:t>
      </w:r>
    </w:p>
    <w:p w14:paraId="152A8278" w14:textId="77777777" w:rsidR="00FC65F6" w:rsidRDefault="00FC65F6" w:rsidP="00FC65F6">
      <w:pPr>
        <w:spacing w:line="360" w:lineRule="auto"/>
        <w:rPr>
          <w:rFonts w:cs="Times New Roman"/>
          <w:szCs w:val="20"/>
          <w:lang w:val="en-GB"/>
        </w:rPr>
      </w:pPr>
    </w:p>
    <w:p w14:paraId="1ADBF25D" w14:textId="77777777" w:rsidR="00FC65F6" w:rsidRPr="003D5BD5" w:rsidRDefault="00FC65F6" w:rsidP="00FC65F6">
      <w:pPr>
        <w:spacing w:line="360" w:lineRule="auto"/>
        <w:rPr>
          <w:rFonts w:cs="Times New Roman"/>
          <w:szCs w:val="20"/>
          <w:lang w:val="en-GB"/>
        </w:rPr>
      </w:pPr>
      <w:r>
        <w:rPr>
          <w:rFonts w:cs="Times New Roman"/>
          <w:szCs w:val="20"/>
          <w:lang w:val="en-GB"/>
        </w:rPr>
        <w:t xml:space="preserve">In a PHR you can control the data. You decide yourself who you provide access to your data and what parts of your PHR this person can see. Persons that were not given access by you cannot see your data. A PHR is complementary to the registration systems used by healthcare providers. </w:t>
      </w:r>
    </w:p>
    <w:p w14:paraId="02ED992E" w14:textId="77777777" w:rsidR="00867DEA" w:rsidRDefault="00867DEA" w:rsidP="003D5BD5">
      <w:pPr>
        <w:spacing w:line="360" w:lineRule="auto"/>
        <w:rPr>
          <w:rFonts w:cs="Times New Roman"/>
          <w:szCs w:val="20"/>
          <w:lang w:val="en-GB"/>
        </w:rPr>
      </w:pPr>
    </w:p>
    <w:p w14:paraId="701A2072" w14:textId="154719FC" w:rsidR="00FC65F6" w:rsidRPr="00FB197B" w:rsidRDefault="00FC65F6" w:rsidP="003D5BD5">
      <w:pPr>
        <w:spacing w:line="360" w:lineRule="auto"/>
        <w:rPr>
          <w:rFonts w:cs="Times New Roman"/>
          <w:b/>
          <w:szCs w:val="20"/>
          <w:lang w:val="en-GB"/>
        </w:rPr>
      </w:pPr>
      <w:r w:rsidRPr="00FB197B">
        <w:rPr>
          <w:rFonts w:cs="Times New Roman"/>
          <w:b/>
          <w:szCs w:val="20"/>
          <w:lang w:val="en-GB"/>
        </w:rPr>
        <w:t>Explanation of attributes:</w:t>
      </w:r>
    </w:p>
    <w:p w14:paraId="63BC8C78" w14:textId="3090105C" w:rsidR="00810D02" w:rsidRDefault="00810D02" w:rsidP="00810D02">
      <w:pPr>
        <w:pStyle w:val="Listeafsnit"/>
        <w:numPr>
          <w:ilvl w:val="0"/>
          <w:numId w:val="1"/>
        </w:numPr>
        <w:spacing w:line="360" w:lineRule="auto"/>
        <w:rPr>
          <w:rFonts w:cs="Times New Roman"/>
          <w:szCs w:val="20"/>
          <w:lang w:val="en-GB"/>
        </w:rPr>
      </w:pPr>
      <w:r>
        <w:rPr>
          <w:rFonts w:cs="Times New Roman"/>
          <w:szCs w:val="20"/>
          <w:lang w:val="en-GB"/>
        </w:rPr>
        <w:t>Facilitating party for data storage of PHR data: PHR</w:t>
      </w:r>
      <w:r w:rsidRPr="00810D02">
        <w:rPr>
          <w:rFonts w:cs="Times New Roman"/>
          <w:szCs w:val="20"/>
          <w:lang w:val="en-GB"/>
        </w:rPr>
        <w:t>s are offered by various parties. For example, by commercial parties (such as Microsoft or a health insurer), independent non-profit organizations (such as patient organizations), the government or healthcare providers/healthcare institutions.</w:t>
      </w:r>
    </w:p>
    <w:p w14:paraId="1BF2904D" w14:textId="63D5919B" w:rsidR="00810D02" w:rsidRDefault="00810D02" w:rsidP="00810D02">
      <w:pPr>
        <w:pStyle w:val="Listeafsnit"/>
        <w:numPr>
          <w:ilvl w:val="0"/>
          <w:numId w:val="1"/>
        </w:numPr>
        <w:spacing w:line="360" w:lineRule="auto"/>
        <w:rPr>
          <w:rFonts w:cs="Times New Roman"/>
          <w:szCs w:val="20"/>
          <w:lang w:val="en-GB"/>
        </w:rPr>
      </w:pPr>
      <w:r>
        <w:rPr>
          <w:rFonts w:cs="Times New Roman"/>
          <w:szCs w:val="20"/>
          <w:lang w:val="en-GB"/>
        </w:rPr>
        <w:t xml:space="preserve">Level of connectivity: </w:t>
      </w:r>
      <w:r w:rsidRPr="00810D02">
        <w:rPr>
          <w:rFonts w:cs="Times New Roman"/>
          <w:szCs w:val="20"/>
          <w:lang w:val="en-GB"/>
        </w:rPr>
        <w:t xml:space="preserve">If your </w:t>
      </w:r>
      <w:r>
        <w:rPr>
          <w:rFonts w:cs="Times New Roman"/>
          <w:szCs w:val="20"/>
          <w:lang w:val="en-GB"/>
        </w:rPr>
        <w:t>PHR</w:t>
      </w:r>
      <w:r w:rsidRPr="00810D02">
        <w:rPr>
          <w:rFonts w:cs="Times New Roman"/>
          <w:szCs w:val="20"/>
          <w:lang w:val="en-GB"/>
        </w:rPr>
        <w:t xml:space="preserve"> is linked to an existing </w:t>
      </w:r>
      <w:r>
        <w:rPr>
          <w:rFonts w:cs="Times New Roman"/>
          <w:szCs w:val="20"/>
          <w:lang w:val="en-GB"/>
        </w:rPr>
        <w:t xml:space="preserve">e-healthcare system, data will </w:t>
      </w:r>
      <w:r w:rsidRPr="00810D02">
        <w:rPr>
          <w:rFonts w:cs="Times New Roman"/>
          <w:szCs w:val="20"/>
          <w:lang w:val="en-GB"/>
        </w:rPr>
        <w:t xml:space="preserve">automatically </w:t>
      </w:r>
      <w:r w:rsidR="00E26B8C">
        <w:rPr>
          <w:rFonts w:cs="Times New Roman"/>
          <w:szCs w:val="20"/>
          <w:lang w:val="en-GB"/>
        </w:rPr>
        <w:t xml:space="preserve">be </w:t>
      </w:r>
      <w:r w:rsidRPr="00810D02">
        <w:rPr>
          <w:rFonts w:cs="Times New Roman"/>
          <w:szCs w:val="20"/>
          <w:lang w:val="en-GB"/>
        </w:rPr>
        <w:t xml:space="preserve">kept up-to-date. Some </w:t>
      </w:r>
      <w:r>
        <w:rPr>
          <w:rFonts w:cs="Times New Roman"/>
          <w:szCs w:val="20"/>
          <w:lang w:val="en-GB"/>
        </w:rPr>
        <w:t>PHRs</w:t>
      </w:r>
      <w:r w:rsidRPr="00810D02">
        <w:rPr>
          <w:rFonts w:cs="Times New Roman"/>
          <w:szCs w:val="20"/>
          <w:lang w:val="en-GB"/>
        </w:rPr>
        <w:t xml:space="preserve"> offer the possibility to be linked to </w:t>
      </w:r>
      <w:r w:rsidR="00D071A5">
        <w:rPr>
          <w:rFonts w:cs="Times New Roman"/>
          <w:szCs w:val="20"/>
          <w:lang w:val="en-GB"/>
        </w:rPr>
        <w:t>one</w:t>
      </w:r>
      <w:r w:rsidRPr="00810D02">
        <w:rPr>
          <w:rFonts w:cs="Times New Roman"/>
          <w:szCs w:val="20"/>
          <w:lang w:val="en-GB"/>
        </w:rPr>
        <w:t xml:space="preserve"> other system, for example with the system of your general practitioner or your hospital. Other </w:t>
      </w:r>
      <w:r w:rsidR="00D071A5">
        <w:rPr>
          <w:rFonts w:cs="Times New Roman"/>
          <w:szCs w:val="20"/>
          <w:lang w:val="en-GB"/>
        </w:rPr>
        <w:t>PHR</w:t>
      </w:r>
      <w:r>
        <w:rPr>
          <w:rFonts w:cs="Times New Roman"/>
          <w:szCs w:val="20"/>
          <w:lang w:val="en-GB"/>
        </w:rPr>
        <w:t>s</w:t>
      </w:r>
      <w:r w:rsidRPr="00810D02">
        <w:rPr>
          <w:rFonts w:cs="Times New Roman"/>
          <w:szCs w:val="20"/>
          <w:lang w:val="en-GB"/>
        </w:rPr>
        <w:t xml:space="preserve"> are linked to multiple systems. If your P</w:t>
      </w:r>
      <w:r w:rsidR="00D071A5">
        <w:rPr>
          <w:rFonts w:cs="Times New Roman"/>
          <w:szCs w:val="20"/>
          <w:lang w:val="en-GB"/>
        </w:rPr>
        <w:t>HR</w:t>
      </w:r>
      <w:r w:rsidRPr="00810D02">
        <w:rPr>
          <w:rFonts w:cs="Times New Roman"/>
          <w:szCs w:val="20"/>
          <w:lang w:val="en-GB"/>
        </w:rPr>
        <w:t xml:space="preserve"> is not linked, you must </w:t>
      </w:r>
      <w:proofErr w:type="gramStart"/>
      <w:r w:rsidRPr="00810D02">
        <w:rPr>
          <w:rFonts w:cs="Times New Roman"/>
          <w:szCs w:val="20"/>
          <w:lang w:val="en-GB"/>
        </w:rPr>
        <w:t>take action</w:t>
      </w:r>
      <w:proofErr w:type="gramEnd"/>
      <w:r w:rsidRPr="00810D02">
        <w:rPr>
          <w:rFonts w:cs="Times New Roman"/>
          <w:szCs w:val="20"/>
          <w:lang w:val="en-GB"/>
        </w:rPr>
        <w:t xml:space="preserve"> yourself to keep your </w:t>
      </w:r>
      <w:r>
        <w:rPr>
          <w:rFonts w:cs="Times New Roman"/>
          <w:szCs w:val="20"/>
          <w:lang w:val="en-GB"/>
        </w:rPr>
        <w:t>PHR</w:t>
      </w:r>
      <w:r w:rsidRPr="00810D02">
        <w:rPr>
          <w:rFonts w:cs="Times New Roman"/>
          <w:szCs w:val="20"/>
          <w:lang w:val="en-GB"/>
        </w:rPr>
        <w:t xml:space="preserve"> up to date.</w:t>
      </w:r>
    </w:p>
    <w:p w14:paraId="24080160" w14:textId="735C69CC" w:rsidR="00810D02" w:rsidRDefault="00810D02" w:rsidP="00810D02">
      <w:pPr>
        <w:pStyle w:val="Listeafsnit"/>
        <w:numPr>
          <w:ilvl w:val="0"/>
          <w:numId w:val="1"/>
        </w:numPr>
        <w:spacing w:line="360" w:lineRule="auto"/>
        <w:rPr>
          <w:rFonts w:cs="Times New Roman"/>
          <w:szCs w:val="20"/>
          <w:lang w:val="en-GB"/>
        </w:rPr>
      </w:pPr>
      <w:r>
        <w:rPr>
          <w:rFonts w:cs="Times New Roman"/>
          <w:szCs w:val="20"/>
          <w:lang w:val="en-GB"/>
        </w:rPr>
        <w:t xml:space="preserve">Use of anonymized data by third parties: </w:t>
      </w:r>
      <w:r w:rsidRPr="00810D02">
        <w:rPr>
          <w:rFonts w:cs="Times New Roman"/>
          <w:szCs w:val="20"/>
          <w:lang w:val="en-GB"/>
        </w:rPr>
        <w:t xml:space="preserve">In your </w:t>
      </w:r>
      <w:r>
        <w:rPr>
          <w:rFonts w:cs="Times New Roman"/>
          <w:szCs w:val="20"/>
          <w:lang w:val="en-GB"/>
        </w:rPr>
        <w:t>PHR</w:t>
      </w:r>
      <w:r w:rsidRPr="00810D02">
        <w:rPr>
          <w:rFonts w:cs="Times New Roman"/>
          <w:szCs w:val="20"/>
          <w:lang w:val="en-GB"/>
        </w:rPr>
        <w:t xml:space="preserve">, data about your health is collected and stored. This data contains a lot of information for healthcare </w:t>
      </w:r>
      <w:r>
        <w:rPr>
          <w:rFonts w:cs="Times New Roman"/>
          <w:szCs w:val="20"/>
          <w:lang w:val="en-GB"/>
        </w:rPr>
        <w:t>professionals</w:t>
      </w:r>
      <w:r w:rsidRPr="00810D02">
        <w:rPr>
          <w:rFonts w:cs="Times New Roman"/>
          <w:szCs w:val="20"/>
          <w:lang w:val="en-GB"/>
        </w:rPr>
        <w:t>, researchers and policy makers. This information can be made anonymous by deleting personal information. Anonymous data can be used to improve healthcare in the Netherlands.</w:t>
      </w:r>
    </w:p>
    <w:p w14:paraId="0E0DE27A" w14:textId="77777777" w:rsidR="00947ACF" w:rsidRDefault="00810D02" w:rsidP="00947ACF">
      <w:pPr>
        <w:pStyle w:val="Listeafsnit"/>
        <w:numPr>
          <w:ilvl w:val="0"/>
          <w:numId w:val="1"/>
        </w:numPr>
        <w:spacing w:line="360" w:lineRule="auto"/>
        <w:rPr>
          <w:rFonts w:cs="Times New Roman"/>
          <w:szCs w:val="20"/>
          <w:lang w:val="en-GB"/>
        </w:rPr>
      </w:pPr>
      <w:r w:rsidRPr="00947ACF">
        <w:rPr>
          <w:rFonts w:cs="Times New Roman"/>
          <w:szCs w:val="20"/>
          <w:lang w:val="en-GB"/>
        </w:rPr>
        <w:t>Option to upload a person’s own data into the PHR: In some PHRs, you can add information yourself. For example, notes on your medical data, data from health apps, or blood sugar or blood pressure values. In other PHRs you cannot add your own data and you only have insights in your medical files.</w:t>
      </w:r>
    </w:p>
    <w:p w14:paraId="355BB219" w14:textId="1627C06D" w:rsidR="00FC65F6" w:rsidRPr="00947ACF" w:rsidRDefault="00810D02" w:rsidP="00947ACF">
      <w:pPr>
        <w:pStyle w:val="Listeafsnit"/>
        <w:numPr>
          <w:ilvl w:val="0"/>
          <w:numId w:val="1"/>
        </w:numPr>
        <w:spacing w:line="360" w:lineRule="auto"/>
        <w:rPr>
          <w:rFonts w:cs="Times New Roman"/>
          <w:szCs w:val="20"/>
          <w:lang w:val="en-GB"/>
        </w:rPr>
      </w:pPr>
      <w:r w:rsidRPr="00947ACF">
        <w:rPr>
          <w:rFonts w:cs="Times New Roman"/>
          <w:szCs w:val="20"/>
          <w:lang w:val="en-GB"/>
        </w:rPr>
        <w:t>Costs: the price you pay per year to make this PHR available to society</w:t>
      </w:r>
      <w:r w:rsidR="006032BC" w:rsidRPr="00947ACF">
        <w:rPr>
          <w:rFonts w:cs="Times New Roman"/>
          <w:szCs w:val="20"/>
          <w:lang w:val="en-GB"/>
        </w:rPr>
        <w:t>.</w:t>
      </w:r>
    </w:p>
    <w:sectPr w:rsidR="00FC65F6" w:rsidRPr="00947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E2813"/>
    <w:multiLevelType w:val="hybridMultilevel"/>
    <w:tmpl w:val="924856CA"/>
    <w:lvl w:ilvl="0" w:tplc="6DD2AE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A0"/>
    <w:rsid w:val="000877F1"/>
    <w:rsid w:val="003D5BD5"/>
    <w:rsid w:val="00522BA0"/>
    <w:rsid w:val="006032BC"/>
    <w:rsid w:val="00810D02"/>
    <w:rsid w:val="0084010B"/>
    <w:rsid w:val="00867DEA"/>
    <w:rsid w:val="00877E14"/>
    <w:rsid w:val="00947ACF"/>
    <w:rsid w:val="00AD64A5"/>
    <w:rsid w:val="00C271A7"/>
    <w:rsid w:val="00CC17ED"/>
    <w:rsid w:val="00D071A5"/>
    <w:rsid w:val="00E26B8C"/>
    <w:rsid w:val="00EC4575"/>
    <w:rsid w:val="00F13BDA"/>
    <w:rsid w:val="00F86059"/>
    <w:rsid w:val="00FB197B"/>
    <w:rsid w:val="00FC297D"/>
    <w:rsid w:val="00FC6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CA89"/>
  <w15:docId w15:val="{9CA813DA-B5CA-4F2B-9D79-FCB473D6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D5"/>
  </w:style>
  <w:style w:type="paragraph" w:styleId="Overskrift1">
    <w:name w:val="heading 1"/>
    <w:basedOn w:val="Normal"/>
    <w:next w:val="Normal"/>
    <w:link w:val="Overskrift1Tegn"/>
    <w:uiPriority w:val="9"/>
    <w:qFormat/>
    <w:rsid w:val="003D5B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5BD5"/>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3D5BD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5BD5"/>
    <w:rPr>
      <w:rFonts w:ascii="Tahoma" w:hAnsi="Tahoma" w:cs="Tahoma"/>
      <w:sz w:val="16"/>
      <w:szCs w:val="16"/>
    </w:rPr>
  </w:style>
  <w:style w:type="character" w:styleId="Kommentarhenvisning">
    <w:name w:val="annotation reference"/>
    <w:basedOn w:val="Standardskrifttypeiafsnit"/>
    <w:uiPriority w:val="99"/>
    <w:semiHidden/>
    <w:unhideWhenUsed/>
    <w:rsid w:val="00FC65F6"/>
    <w:rPr>
      <w:sz w:val="16"/>
      <w:szCs w:val="16"/>
    </w:rPr>
  </w:style>
  <w:style w:type="paragraph" w:styleId="Kommentartekst">
    <w:name w:val="annotation text"/>
    <w:basedOn w:val="Normal"/>
    <w:link w:val="KommentartekstTegn"/>
    <w:uiPriority w:val="99"/>
    <w:semiHidden/>
    <w:unhideWhenUsed/>
    <w:rsid w:val="00FC65F6"/>
    <w:rPr>
      <w:sz w:val="20"/>
      <w:szCs w:val="20"/>
    </w:rPr>
  </w:style>
  <w:style w:type="character" w:customStyle="1" w:styleId="KommentartekstTegn">
    <w:name w:val="Kommentartekst Tegn"/>
    <w:basedOn w:val="Standardskrifttypeiafsnit"/>
    <w:link w:val="Kommentartekst"/>
    <w:uiPriority w:val="99"/>
    <w:semiHidden/>
    <w:rsid w:val="00FC65F6"/>
    <w:rPr>
      <w:sz w:val="20"/>
      <w:szCs w:val="20"/>
    </w:rPr>
  </w:style>
  <w:style w:type="paragraph" w:styleId="Kommentaremne">
    <w:name w:val="annotation subject"/>
    <w:basedOn w:val="Kommentartekst"/>
    <w:next w:val="Kommentartekst"/>
    <w:link w:val="KommentaremneTegn"/>
    <w:uiPriority w:val="99"/>
    <w:semiHidden/>
    <w:unhideWhenUsed/>
    <w:rsid w:val="00FC65F6"/>
    <w:rPr>
      <w:b/>
      <w:bCs/>
    </w:rPr>
  </w:style>
  <w:style w:type="character" w:customStyle="1" w:styleId="KommentaremneTegn">
    <w:name w:val="Kommentaremne Tegn"/>
    <w:basedOn w:val="KommentartekstTegn"/>
    <w:link w:val="Kommentaremne"/>
    <w:uiPriority w:val="99"/>
    <w:semiHidden/>
    <w:rsid w:val="00FC65F6"/>
    <w:rPr>
      <w:b/>
      <w:bCs/>
      <w:sz w:val="20"/>
      <w:szCs w:val="20"/>
    </w:rPr>
  </w:style>
  <w:style w:type="paragraph" w:styleId="Listeafsnit">
    <w:name w:val="List Paragraph"/>
    <w:basedOn w:val="Normal"/>
    <w:uiPriority w:val="34"/>
    <w:qFormat/>
    <w:rsid w:val="00810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2469</Characters>
  <Application>Microsoft Office Word</Application>
  <DocSecurity>0</DocSecurity>
  <Lines>20</Lines>
  <Paragraphs>5</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Appendix A1. Choice set examples.</vt:lpstr>
    </vt:vector>
  </TitlesOfParts>
  <Company>RIVM</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Domino Determann</dc:creator>
  <cp:keywords/>
  <dc:description/>
  <cp:lastModifiedBy>Line Bjørnskov Pedersen</cp:lastModifiedBy>
  <cp:revision>6</cp:revision>
  <dcterms:created xsi:type="dcterms:W3CDTF">2018-07-17T09:53:00Z</dcterms:created>
  <dcterms:modified xsi:type="dcterms:W3CDTF">2019-06-07T18:39:00Z</dcterms:modified>
</cp:coreProperties>
</file>