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07FF" w14:textId="5C98009D" w:rsidR="00867DEA" w:rsidRPr="00EE1C5C" w:rsidRDefault="005D5E97" w:rsidP="00BF3B97">
      <w:pPr>
        <w:pStyle w:val="Overskrift1"/>
        <w:rPr>
          <w:sz w:val="24"/>
          <w:lang w:val="en-GB"/>
        </w:rPr>
      </w:pPr>
      <w:bookmarkStart w:id="0" w:name="_GoBack"/>
      <w:r w:rsidRPr="00EE1C5C">
        <w:rPr>
          <w:sz w:val="24"/>
          <w:lang w:val="en-GB"/>
        </w:rPr>
        <w:t>Appendix</w:t>
      </w:r>
      <w:bookmarkEnd w:id="0"/>
      <w:r w:rsidRPr="00EE1C5C">
        <w:rPr>
          <w:sz w:val="24"/>
          <w:lang w:val="en-GB"/>
        </w:rPr>
        <w:t xml:space="preserve"> </w:t>
      </w:r>
      <w:r w:rsidR="008B3F79" w:rsidRPr="00EE1C5C">
        <w:rPr>
          <w:sz w:val="24"/>
          <w:lang w:val="en-GB"/>
        </w:rPr>
        <w:t>1</w:t>
      </w:r>
      <w:r w:rsidR="00274BEA" w:rsidRPr="00EE1C5C">
        <w:rPr>
          <w:sz w:val="24"/>
          <w:lang w:val="en-GB"/>
        </w:rPr>
        <w:t>.</w:t>
      </w:r>
      <w:r w:rsidR="00BF3B97" w:rsidRPr="00EE1C5C">
        <w:rPr>
          <w:sz w:val="24"/>
          <w:lang w:val="en-GB"/>
        </w:rPr>
        <w:t xml:space="preserve"> Information on experimental design and statistical analyses</w:t>
      </w:r>
    </w:p>
    <w:p w14:paraId="5C009601" w14:textId="77777777" w:rsidR="00BF3B97" w:rsidRPr="00EE1C5C" w:rsidRDefault="00BF3B97" w:rsidP="00BF3B97">
      <w:pPr>
        <w:rPr>
          <w:lang w:val="en-GB"/>
        </w:rPr>
      </w:pPr>
    </w:p>
    <w:p w14:paraId="1D87926F" w14:textId="77777777" w:rsidR="00BF3B97" w:rsidRPr="00EE1C5C" w:rsidRDefault="00BF3B97" w:rsidP="00BF3B97">
      <w:pPr>
        <w:pStyle w:val="Overskrift2"/>
        <w:rPr>
          <w:lang w:val="en-GB"/>
        </w:rPr>
      </w:pPr>
      <w:r w:rsidRPr="00EE1C5C">
        <w:rPr>
          <w:lang w:val="en-GB"/>
        </w:rPr>
        <w:t>Experimental design</w:t>
      </w:r>
    </w:p>
    <w:p w14:paraId="75097FA4" w14:textId="77777777" w:rsidR="00BF3B97" w:rsidRPr="00EE1C5C" w:rsidRDefault="00BF3B97" w:rsidP="00BF3B97">
      <w:pPr>
        <w:spacing w:line="480" w:lineRule="auto"/>
        <w:rPr>
          <w:sz w:val="24"/>
          <w:szCs w:val="24"/>
          <w:lang w:val="en-GB"/>
        </w:rPr>
      </w:pPr>
      <w:r w:rsidRPr="00EE1C5C">
        <w:rPr>
          <w:sz w:val="24"/>
          <w:szCs w:val="24"/>
          <w:lang w:val="en-GB"/>
        </w:rPr>
        <w:t xml:space="preserve">By minimizing the D-efficiency criterion, a main-effects efficient Bayesian design based on best guess priors was generated using </w:t>
      </w:r>
      <w:proofErr w:type="spellStart"/>
      <w:r w:rsidRPr="00EE1C5C">
        <w:rPr>
          <w:sz w:val="24"/>
          <w:szCs w:val="24"/>
          <w:lang w:val="en-GB"/>
        </w:rPr>
        <w:t>Ngene</w:t>
      </w:r>
      <w:proofErr w:type="spellEnd"/>
      <w:r w:rsidRPr="00EE1C5C">
        <w:rPr>
          <w:sz w:val="24"/>
          <w:szCs w:val="24"/>
          <w:lang w:val="en-GB"/>
        </w:rPr>
        <w:t xml:space="preserve"> software (Choice Metrics, version 1.1.1.). </w:t>
      </w:r>
      <w:r w:rsidRPr="00EE1C5C">
        <w:rPr>
          <w:rFonts w:cs="Times New Roman"/>
          <w:sz w:val="24"/>
          <w:szCs w:val="24"/>
          <w:lang w:val="en-GB"/>
        </w:rPr>
        <w:t xml:space="preserve">These priors (small positive and negative values) were used to increase the efficiency of the design by avoiding dominant choice sets. </w:t>
      </w:r>
      <w:r w:rsidRPr="00EE1C5C">
        <w:rPr>
          <w:sz w:val="24"/>
          <w:szCs w:val="24"/>
          <w:lang w:val="en-GB"/>
        </w:rPr>
        <w:t xml:space="preserve">We created a design with 12 choice sets to ensure enough degrees of freedom to estimate all main effects (assuming a non-categorical cost attribute), in which also level balance was achieved. </w:t>
      </w:r>
      <w:bookmarkStart w:id="1" w:name="_Hlk528223260"/>
      <w:r w:rsidRPr="00EE1C5C">
        <w:rPr>
          <w:sz w:val="24"/>
          <w:szCs w:val="24"/>
          <w:lang w:val="en-GB"/>
        </w:rPr>
        <w:t xml:space="preserve">This experimental design was used in the pilot study. Afterwards, priors, derived from pilot test data using a multinomial logit </w:t>
      </w:r>
      <w:proofErr w:type="gramStart"/>
      <w:r w:rsidRPr="00EE1C5C">
        <w:rPr>
          <w:sz w:val="24"/>
          <w:szCs w:val="24"/>
          <w:lang w:val="en-GB"/>
        </w:rPr>
        <w:t>model,</w:t>
      </w:r>
      <w:proofErr w:type="gramEnd"/>
      <w:r w:rsidRPr="00EE1C5C">
        <w:rPr>
          <w:sz w:val="24"/>
          <w:szCs w:val="24"/>
          <w:lang w:val="en-GB"/>
        </w:rPr>
        <w:t xml:space="preserve"> was used to generate the final experimental design.</w:t>
      </w:r>
      <w:bookmarkEnd w:id="1"/>
    </w:p>
    <w:p w14:paraId="0872B62F" w14:textId="77777777" w:rsidR="00BF3B97" w:rsidRPr="00EE1C5C" w:rsidRDefault="00BF3B97" w:rsidP="00BF3B97">
      <w:pPr>
        <w:rPr>
          <w:lang w:val="en-GB"/>
        </w:rPr>
      </w:pPr>
    </w:p>
    <w:p w14:paraId="33C3E970" w14:textId="77777777" w:rsidR="00BF3B97" w:rsidRPr="00EE1C5C" w:rsidRDefault="00BF3B97" w:rsidP="00BF3B97">
      <w:pPr>
        <w:pStyle w:val="Overskrift2"/>
        <w:rPr>
          <w:lang w:val="en-GB"/>
        </w:rPr>
      </w:pPr>
      <w:r w:rsidRPr="00EE1C5C">
        <w:rPr>
          <w:lang w:val="en-GB"/>
        </w:rPr>
        <w:t>Statistical analyses</w:t>
      </w:r>
    </w:p>
    <w:p w14:paraId="7DDF48A6" w14:textId="77777777" w:rsidR="006F1431" w:rsidRPr="00EE1C5C" w:rsidRDefault="006F1431" w:rsidP="006F1431">
      <w:pPr>
        <w:spacing w:line="480" w:lineRule="auto"/>
        <w:rPr>
          <w:sz w:val="24"/>
          <w:szCs w:val="24"/>
          <w:lang w:val="en-GB"/>
        </w:rPr>
      </w:pPr>
      <w:r w:rsidRPr="00EE1C5C">
        <w:rPr>
          <w:sz w:val="24"/>
          <w:szCs w:val="24"/>
          <w:lang w:val="en-GB"/>
        </w:rPr>
        <w:t xml:space="preserve">To estimate utilities, we used a random utility theory framework where the true but latent utility for alternative </w:t>
      </w:r>
      <w:proofErr w:type="spellStart"/>
      <w:r w:rsidRPr="00EE1C5C">
        <w:rPr>
          <w:i/>
          <w:sz w:val="24"/>
          <w:szCs w:val="24"/>
          <w:lang w:val="en-GB"/>
        </w:rPr>
        <w:t>i</w:t>
      </w:r>
      <w:proofErr w:type="spellEnd"/>
      <w:r w:rsidRPr="00EE1C5C">
        <w:rPr>
          <w:i/>
          <w:sz w:val="24"/>
          <w:szCs w:val="24"/>
          <w:lang w:val="en-GB"/>
        </w:rPr>
        <w:t xml:space="preserve"> </w:t>
      </w:r>
      <w:r w:rsidRPr="00EE1C5C">
        <w:rPr>
          <w:sz w:val="24"/>
          <w:szCs w:val="24"/>
          <w:lang w:val="en-GB"/>
        </w:rPr>
        <w:t xml:space="preserve">of individual </w:t>
      </w:r>
      <w:r w:rsidRPr="00EE1C5C">
        <w:rPr>
          <w:i/>
          <w:sz w:val="24"/>
          <w:szCs w:val="24"/>
          <w:lang w:val="en-GB"/>
        </w:rPr>
        <w:t>n</w:t>
      </w:r>
      <w:r w:rsidRPr="00EE1C5C">
        <w:rPr>
          <w:sz w:val="24"/>
          <w:szCs w:val="24"/>
          <w:lang w:val="en-GB"/>
        </w:rPr>
        <w:t xml:space="preserve"> can be written as: </w:t>
      </w:r>
    </w:p>
    <w:p w14:paraId="79F2F5C6" w14:textId="77777777" w:rsidR="006F1431" w:rsidRPr="00EE1C5C" w:rsidRDefault="006F1431" w:rsidP="006F1431">
      <w:pPr>
        <w:spacing w:line="480" w:lineRule="auto"/>
        <w:rPr>
          <w:sz w:val="24"/>
          <w:szCs w:val="24"/>
          <w:lang w:val="en-GB"/>
        </w:rPr>
      </w:pPr>
    </w:p>
    <w:p w14:paraId="78CB954D" w14:textId="77777777" w:rsidR="006F1431" w:rsidRPr="00EE1C5C" w:rsidRDefault="006F1431" w:rsidP="006F1431">
      <w:pPr>
        <w:spacing w:line="480" w:lineRule="auto"/>
        <w:rPr>
          <w:b/>
          <w:sz w:val="24"/>
          <w:szCs w:val="24"/>
          <w:lang w:val="en-GB"/>
        </w:rPr>
      </w:pPr>
      <w:r w:rsidRPr="00EE1C5C">
        <w:rPr>
          <w:sz w:val="24"/>
          <w:szCs w:val="24"/>
          <w:lang w:val="en-GB"/>
        </w:rPr>
        <w:t>(1)</w:t>
      </w:r>
      <w:r w:rsidRPr="00EE1C5C">
        <w:rPr>
          <w:b/>
          <w:sz w:val="24"/>
          <w:szCs w:val="24"/>
          <w:lang w:val="en-GB"/>
        </w:rPr>
        <w:tab/>
      </w:r>
      <w:r w:rsidRPr="00EE1C5C">
        <w:rPr>
          <w:noProof/>
          <w:position w:val="-12"/>
          <w:sz w:val="24"/>
          <w:szCs w:val="24"/>
          <w:lang w:eastAsia="nl-NL"/>
        </w:rPr>
        <w:drawing>
          <wp:inline distT="0" distB="0" distL="0" distR="0" wp14:anchorId="624F7D7B" wp14:editId="1E8DC5E8">
            <wp:extent cx="853440" cy="233680"/>
            <wp:effectExtent l="0" t="0" r="1016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440" cy="233680"/>
                    </a:xfrm>
                    <a:prstGeom prst="rect">
                      <a:avLst/>
                    </a:prstGeom>
                    <a:noFill/>
                    <a:ln>
                      <a:noFill/>
                    </a:ln>
                  </pic:spPr>
                </pic:pic>
              </a:graphicData>
            </a:graphic>
          </wp:inline>
        </w:drawing>
      </w:r>
    </w:p>
    <w:p w14:paraId="352BAC3A" w14:textId="77777777" w:rsidR="006F1431" w:rsidRPr="00EE1C5C" w:rsidRDefault="006F1431" w:rsidP="006F1431">
      <w:pPr>
        <w:spacing w:line="480" w:lineRule="auto"/>
        <w:rPr>
          <w:i/>
          <w:sz w:val="24"/>
          <w:szCs w:val="24"/>
          <w:lang w:val="en-GB"/>
        </w:rPr>
      </w:pPr>
    </w:p>
    <w:p w14:paraId="677AED48" w14:textId="77777777" w:rsidR="006F1431" w:rsidRPr="00EE1C5C" w:rsidRDefault="006F1431" w:rsidP="006F1431">
      <w:pPr>
        <w:spacing w:line="480" w:lineRule="auto"/>
        <w:rPr>
          <w:sz w:val="24"/>
          <w:szCs w:val="24"/>
          <w:lang w:val="en-GB"/>
        </w:rPr>
      </w:pPr>
      <w:r w:rsidRPr="00EE1C5C">
        <w:rPr>
          <w:i/>
          <w:sz w:val="24"/>
          <w:szCs w:val="24"/>
          <w:lang w:val="en-GB"/>
        </w:rPr>
        <w:t>V</w:t>
      </w:r>
      <w:r w:rsidRPr="00EE1C5C">
        <w:rPr>
          <w:i/>
          <w:sz w:val="24"/>
          <w:szCs w:val="24"/>
          <w:vertAlign w:val="subscript"/>
          <w:lang w:val="en-GB"/>
        </w:rPr>
        <w:t>in</w:t>
      </w:r>
      <w:r w:rsidRPr="00EE1C5C">
        <w:rPr>
          <w:i/>
          <w:sz w:val="24"/>
          <w:szCs w:val="24"/>
          <w:lang w:val="en-GB"/>
        </w:rPr>
        <w:t xml:space="preserve"> </w:t>
      </w:r>
      <w:r w:rsidRPr="00EE1C5C">
        <w:rPr>
          <w:sz w:val="24"/>
          <w:szCs w:val="24"/>
          <w:lang w:val="en-GB"/>
        </w:rPr>
        <w:t xml:space="preserve">represents the observable systematic component of utility, which is the explainable proportion of the choice of alternative </w:t>
      </w:r>
      <w:proofErr w:type="spellStart"/>
      <w:r w:rsidRPr="00EE1C5C">
        <w:rPr>
          <w:i/>
          <w:sz w:val="24"/>
          <w:szCs w:val="24"/>
          <w:lang w:val="en-GB"/>
        </w:rPr>
        <w:t>i</w:t>
      </w:r>
      <w:proofErr w:type="spellEnd"/>
      <w:r w:rsidRPr="00EE1C5C">
        <w:rPr>
          <w:sz w:val="24"/>
          <w:szCs w:val="24"/>
          <w:lang w:val="en-GB"/>
        </w:rPr>
        <w:t xml:space="preserve"> of individual </w:t>
      </w:r>
      <w:r w:rsidRPr="00EE1C5C">
        <w:rPr>
          <w:i/>
          <w:sz w:val="24"/>
          <w:szCs w:val="24"/>
          <w:lang w:val="en-GB"/>
        </w:rPr>
        <w:t>n</w:t>
      </w:r>
      <w:r w:rsidRPr="00EE1C5C">
        <w:rPr>
          <w:sz w:val="24"/>
          <w:szCs w:val="24"/>
          <w:lang w:val="en-GB"/>
        </w:rPr>
        <w:t xml:space="preserve">, and </w:t>
      </w:r>
      <w:r w:rsidRPr="00EE1C5C">
        <w:rPr>
          <w:i/>
          <w:sz w:val="24"/>
          <w:szCs w:val="24"/>
          <w:lang w:val="en-GB"/>
        </w:rPr>
        <w:sym w:font="Symbol" w:char="F065"/>
      </w:r>
      <w:r w:rsidRPr="00EE1C5C">
        <w:rPr>
          <w:i/>
          <w:sz w:val="24"/>
          <w:szCs w:val="24"/>
          <w:vertAlign w:val="subscript"/>
          <w:lang w:val="en-GB"/>
        </w:rPr>
        <w:t xml:space="preserve">in </w:t>
      </w:r>
      <w:r w:rsidRPr="00EE1C5C">
        <w:rPr>
          <w:sz w:val="24"/>
          <w:szCs w:val="24"/>
          <w:lang w:val="en-GB"/>
        </w:rPr>
        <w:t>is the non-explainable proportion representing the unobservable and random treated component. Assuming a linear additive utility function, the observable component for individual</w:t>
      </w:r>
      <w:r w:rsidRPr="00EE1C5C">
        <w:rPr>
          <w:i/>
          <w:sz w:val="24"/>
          <w:szCs w:val="24"/>
          <w:lang w:val="en-GB"/>
        </w:rPr>
        <w:t xml:space="preserve"> n</w:t>
      </w:r>
      <w:r w:rsidRPr="00EE1C5C">
        <w:rPr>
          <w:sz w:val="24"/>
          <w:szCs w:val="24"/>
          <w:lang w:val="en-GB"/>
        </w:rPr>
        <w:t xml:space="preserve"> for alternative </w:t>
      </w:r>
      <w:proofErr w:type="spellStart"/>
      <w:r w:rsidRPr="00EE1C5C">
        <w:rPr>
          <w:i/>
          <w:sz w:val="24"/>
          <w:szCs w:val="24"/>
          <w:lang w:val="en-GB"/>
        </w:rPr>
        <w:t>i</w:t>
      </w:r>
      <w:proofErr w:type="spellEnd"/>
      <w:r w:rsidRPr="00EE1C5C">
        <w:rPr>
          <w:sz w:val="24"/>
          <w:szCs w:val="24"/>
          <w:lang w:val="en-GB"/>
        </w:rPr>
        <w:t xml:space="preserve"> becomes </w:t>
      </w:r>
      <w:r w:rsidRPr="00EE1C5C">
        <w:rPr>
          <w:noProof/>
          <w:position w:val="-12"/>
          <w:sz w:val="24"/>
          <w:szCs w:val="24"/>
          <w:lang w:eastAsia="nl-NL"/>
        </w:rPr>
        <w:drawing>
          <wp:inline distT="0" distB="0" distL="0" distR="0" wp14:anchorId="3FEE102D" wp14:editId="2AEF5F59">
            <wp:extent cx="609600" cy="23368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233680"/>
                    </a:xfrm>
                    <a:prstGeom prst="rect">
                      <a:avLst/>
                    </a:prstGeom>
                    <a:noFill/>
                    <a:ln>
                      <a:noFill/>
                    </a:ln>
                  </pic:spPr>
                </pic:pic>
              </a:graphicData>
            </a:graphic>
          </wp:inline>
        </w:drawing>
      </w:r>
      <w:r w:rsidRPr="00EE1C5C">
        <w:rPr>
          <w:sz w:val="24"/>
          <w:szCs w:val="24"/>
          <w:lang w:val="en-GB"/>
        </w:rPr>
        <w:t xml:space="preserve"> where</w:t>
      </w:r>
      <w:r w:rsidRPr="00EE1C5C">
        <w:rPr>
          <w:noProof/>
          <w:position w:val="-12"/>
          <w:sz w:val="24"/>
          <w:szCs w:val="24"/>
          <w:lang w:eastAsia="nl-NL"/>
        </w:rPr>
        <w:drawing>
          <wp:inline distT="0" distB="0" distL="0" distR="0" wp14:anchorId="3C299A5F" wp14:editId="2313FB77">
            <wp:extent cx="1178560" cy="23368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8560" cy="233680"/>
                    </a:xfrm>
                    <a:prstGeom prst="rect">
                      <a:avLst/>
                    </a:prstGeom>
                    <a:noFill/>
                    <a:ln>
                      <a:noFill/>
                    </a:ln>
                  </pic:spPr>
                </pic:pic>
              </a:graphicData>
            </a:graphic>
          </wp:inline>
        </w:drawing>
      </w:r>
      <w:r w:rsidRPr="00EE1C5C">
        <w:rPr>
          <w:sz w:val="24"/>
          <w:szCs w:val="24"/>
          <w:lang w:val="en-GB"/>
        </w:rPr>
        <w:t xml:space="preserve"> is a vector of attributes. The linear predictor, </w:t>
      </w:r>
      <w:r w:rsidRPr="00EE1C5C">
        <w:rPr>
          <w:i/>
          <w:sz w:val="24"/>
          <w:szCs w:val="24"/>
          <w:lang w:val="en-GB"/>
        </w:rPr>
        <w:t>V</w:t>
      </w:r>
      <w:r w:rsidRPr="00EE1C5C">
        <w:rPr>
          <w:sz w:val="24"/>
          <w:szCs w:val="24"/>
          <w:lang w:val="en-GB"/>
        </w:rPr>
        <w:t>, of the applied models is shown below.</w:t>
      </w:r>
    </w:p>
    <w:p w14:paraId="71EDD68B" w14:textId="77777777" w:rsidR="006F1431" w:rsidRPr="00EE1C5C" w:rsidRDefault="006F1431" w:rsidP="006F1431">
      <w:pPr>
        <w:spacing w:line="480" w:lineRule="auto"/>
        <w:rPr>
          <w:sz w:val="24"/>
          <w:szCs w:val="24"/>
          <w:lang w:val="en-GB"/>
        </w:rPr>
      </w:pPr>
    </w:p>
    <w:p w14:paraId="4C4C8835" w14:textId="77777777" w:rsidR="006F1431" w:rsidRPr="00EE1C5C" w:rsidRDefault="006F1431" w:rsidP="006F1431">
      <w:pPr>
        <w:spacing w:line="480" w:lineRule="auto"/>
        <w:rPr>
          <w:i/>
          <w:sz w:val="24"/>
          <w:szCs w:val="24"/>
          <w:lang w:val="en-US"/>
        </w:rPr>
      </w:pPr>
      <w:r w:rsidRPr="00EE1C5C">
        <w:rPr>
          <w:sz w:val="24"/>
          <w:szCs w:val="24"/>
          <w:lang w:val="en-US"/>
        </w:rPr>
        <w:lastRenderedPageBreak/>
        <w:t>(2)</w:t>
      </w:r>
      <w:r w:rsidRPr="00EE1C5C">
        <w:rPr>
          <w:i/>
          <w:sz w:val="24"/>
          <w:szCs w:val="24"/>
          <w:lang w:val="en-US"/>
        </w:rPr>
        <w:tab/>
        <w:t>V</w:t>
      </w:r>
      <w:r w:rsidRPr="00EE1C5C">
        <w:rPr>
          <w:i/>
          <w:sz w:val="24"/>
          <w:szCs w:val="24"/>
          <w:vertAlign w:val="subscript"/>
          <w:lang w:val="en-US"/>
        </w:rPr>
        <w:t>in =</w:t>
      </w:r>
      <w:r w:rsidRPr="00EE1C5C">
        <w:rPr>
          <w:i/>
          <w:sz w:val="24"/>
          <w:szCs w:val="24"/>
          <w:lang w:val="en-US"/>
        </w:rPr>
        <w:t xml:space="preserve"> </w:t>
      </w:r>
      <w:r w:rsidRPr="00EE1C5C">
        <w:rPr>
          <w:i/>
          <w:sz w:val="24"/>
          <w:szCs w:val="24"/>
          <w:lang w:val="en-GB"/>
        </w:rPr>
        <w:t>α</w:t>
      </w:r>
      <w:proofErr w:type="spellStart"/>
      <w:r w:rsidRPr="00EE1C5C">
        <w:rPr>
          <w:i/>
          <w:sz w:val="24"/>
          <w:szCs w:val="24"/>
          <w:vertAlign w:val="subscript"/>
          <w:lang w:val="en-US"/>
        </w:rPr>
        <w:t>i</w:t>
      </w:r>
      <w:proofErr w:type="spellEnd"/>
      <w:r w:rsidRPr="00EE1C5C">
        <w:rPr>
          <w:i/>
          <w:sz w:val="24"/>
          <w:szCs w:val="24"/>
          <w:lang w:val="en-US"/>
        </w:rPr>
        <w:t xml:space="preserve"> + </w:t>
      </w:r>
      <w:r w:rsidRPr="00EE1C5C">
        <w:rPr>
          <w:i/>
          <w:sz w:val="24"/>
          <w:szCs w:val="24"/>
          <w:lang w:val="en-GB"/>
        </w:rPr>
        <w:t>β</w:t>
      </w:r>
      <w:r w:rsidRPr="00EE1C5C">
        <w:rPr>
          <w:i/>
          <w:sz w:val="24"/>
          <w:szCs w:val="24"/>
          <w:vertAlign w:val="subscript"/>
          <w:lang w:val="en-US"/>
        </w:rPr>
        <w:t>1</w:t>
      </w:r>
      <w:r w:rsidRPr="00EE1C5C">
        <w:rPr>
          <w:i/>
          <w:sz w:val="24"/>
          <w:szCs w:val="24"/>
          <w:lang w:val="en-US"/>
        </w:rPr>
        <w:t>stor1</w:t>
      </w:r>
      <w:r w:rsidRPr="00EE1C5C">
        <w:rPr>
          <w:i/>
          <w:sz w:val="24"/>
          <w:szCs w:val="24"/>
          <w:vertAlign w:val="subscript"/>
          <w:lang w:val="en-US"/>
        </w:rPr>
        <w:t>in</w:t>
      </w:r>
      <w:r w:rsidRPr="00EE1C5C">
        <w:rPr>
          <w:i/>
          <w:sz w:val="24"/>
          <w:szCs w:val="24"/>
          <w:lang w:val="en-US"/>
        </w:rPr>
        <w:t xml:space="preserve"> + </w:t>
      </w:r>
      <w:r w:rsidRPr="00EE1C5C">
        <w:rPr>
          <w:i/>
          <w:sz w:val="24"/>
          <w:szCs w:val="24"/>
          <w:lang w:val="en-GB"/>
        </w:rPr>
        <w:t>β</w:t>
      </w:r>
      <w:r w:rsidRPr="00EE1C5C">
        <w:rPr>
          <w:i/>
          <w:sz w:val="24"/>
          <w:szCs w:val="24"/>
          <w:vertAlign w:val="subscript"/>
          <w:lang w:val="en-US"/>
        </w:rPr>
        <w:t>2</w:t>
      </w:r>
      <w:r w:rsidRPr="00EE1C5C">
        <w:rPr>
          <w:i/>
          <w:sz w:val="24"/>
          <w:szCs w:val="24"/>
          <w:lang w:val="en-US"/>
        </w:rPr>
        <w:t>stor2</w:t>
      </w:r>
      <w:r w:rsidRPr="00EE1C5C">
        <w:rPr>
          <w:i/>
          <w:sz w:val="24"/>
          <w:szCs w:val="24"/>
          <w:vertAlign w:val="subscript"/>
          <w:lang w:val="en-US"/>
        </w:rPr>
        <w:t>in</w:t>
      </w:r>
      <w:r w:rsidRPr="00EE1C5C">
        <w:rPr>
          <w:i/>
          <w:sz w:val="24"/>
          <w:szCs w:val="24"/>
          <w:lang w:val="en-US"/>
        </w:rPr>
        <w:t xml:space="preserve"> + </w:t>
      </w:r>
      <w:r w:rsidRPr="00EE1C5C">
        <w:rPr>
          <w:i/>
          <w:sz w:val="24"/>
          <w:szCs w:val="24"/>
          <w:lang w:val="en-GB"/>
        </w:rPr>
        <w:t>β</w:t>
      </w:r>
      <w:r w:rsidRPr="00EE1C5C">
        <w:rPr>
          <w:i/>
          <w:sz w:val="24"/>
          <w:szCs w:val="24"/>
          <w:vertAlign w:val="subscript"/>
          <w:lang w:val="en-US"/>
        </w:rPr>
        <w:t>3</w:t>
      </w:r>
      <w:r w:rsidRPr="00EE1C5C">
        <w:rPr>
          <w:i/>
          <w:sz w:val="24"/>
          <w:szCs w:val="24"/>
          <w:lang w:val="en-US"/>
        </w:rPr>
        <w:t>stor3</w:t>
      </w:r>
      <w:r w:rsidRPr="00EE1C5C">
        <w:rPr>
          <w:i/>
          <w:sz w:val="24"/>
          <w:szCs w:val="24"/>
          <w:vertAlign w:val="subscript"/>
          <w:lang w:val="en-US"/>
        </w:rPr>
        <w:t>in</w:t>
      </w:r>
      <w:r w:rsidRPr="00EE1C5C">
        <w:rPr>
          <w:i/>
          <w:sz w:val="24"/>
          <w:szCs w:val="24"/>
          <w:lang w:val="en-US"/>
        </w:rPr>
        <w:t xml:space="preserve"> + </w:t>
      </w:r>
      <w:r w:rsidRPr="00EE1C5C">
        <w:rPr>
          <w:i/>
          <w:sz w:val="24"/>
          <w:szCs w:val="24"/>
          <w:lang w:val="en-GB"/>
        </w:rPr>
        <w:t>β</w:t>
      </w:r>
      <w:r w:rsidRPr="00EE1C5C">
        <w:rPr>
          <w:i/>
          <w:sz w:val="24"/>
          <w:szCs w:val="24"/>
          <w:vertAlign w:val="subscript"/>
          <w:lang w:val="en-US"/>
        </w:rPr>
        <w:t>4</w:t>
      </w:r>
      <w:r w:rsidRPr="00EE1C5C">
        <w:rPr>
          <w:i/>
          <w:sz w:val="24"/>
          <w:szCs w:val="24"/>
          <w:lang w:val="en-US"/>
        </w:rPr>
        <w:t>tech1</w:t>
      </w:r>
      <w:r w:rsidRPr="00EE1C5C">
        <w:rPr>
          <w:i/>
          <w:sz w:val="24"/>
          <w:szCs w:val="24"/>
          <w:vertAlign w:val="subscript"/>
          <w:lang w:val="en-US"/>
        </w:rPr>
        <w:t>in</w:t>
      </w:r>
      <w:r w:rsidRPr="00EE1C5C">
        <w:rPr>
          <w:i/>
          <w:sz w:val="24"/>
          <w:szCs w:val="24"/>
          <w:lang w:val="en-US"/>
        </w:rPr>
        <w:t xml:space="preserve"> </w:t>
      </w:r>
    </w:p>
    <w:p w14:paraId="2F1240E2" w14:textId="77777777" w:rsidR="006F1431" w:rsidRPr="00EE1C5C" w:rsidRDefault="006F1431" w:rsidP="006F1431">
      <w:pPr>
        <w:spacing w:line="480" w:lineRule="auto"/>
        <w:ind w:firstLine="708"/>
        <w:rPr>
          <w:i/>
          <w:sz w:val="24"/>
          <w:szCs w:val="24"/>
          <w:lang w:val="en-GB"/>
        </w:rPr>
      </w:pPr>
      <w:r w:rsidRPr="00EE1C5C">
        <w:rPr>
          <w:i/>
          <w:sz w:val="24"/>
          <w:szCs w:val="24"/>
          <w:lang w:val="en-GB"/>
        </w:rPr>
        <w:t>+ β</w:t>
      </w:r>
      <w:r w:rsidRPr="00EE1C5C">
        <w:rPr>
          <w:i/>
          <w:sz w:val="24"/>
          <w:szCs w:val="24"/>
          <w:vertAlign w:val="subscript"/>
          <w:lang w:val="en-GB"/>
        </w:rPr>
        <w:t>5</w:t>
      </w:r>
      <w:r w:rsidRPr="00EE1C5C">
        <w:rPr>
          <w:i/>
          <w:sz w:val="24"/>
          <w:szCs w:val="24"/>
          <w:lang w:val="en-GB"/>
        </w:rPr>
        <w:t>tech2</w:t>
      </w:r>
      <w:proofErr w:type="spellStart"/>
      <w:r w:rsidRPr="00EE1C5C">
        <w:rPr>
          <w:i/>
          <w:sz w:val="24"/>
          <w:szCs w:val="24"/>
          <w:vertAlign w:val="subscript"/>
          <w:lang w:val="en-US"/>
        </w:rPr>
        <w:t>i</w:t>
      </w:r>
      <w:proofErr w:type="spellEnd"/>
      <w:r w:rsidRPr="00EE1C5C">
        <w:rPr>
          <w:i/>
          <w:sz w:val="24"/>
          <w:szCs w:val="24"/>
          <w:vertAlign w:val="subscript"/>
          <w:lang w:val="en-GB"/>
        </w:rPr>
        <w:t>n</w:t>
      </w:r>
      <w:r w:rsidRPr="00EE1C5C">
        <w:rPr>
          <w:i/>
          <w:sz w:val="24"/>
          <w:szCs w:val="24"/>
          <w:lang w:val="en-GB"/>
        </w:rPr>
        <w:t xml:space="preserve"> + β</w:t>
      </w:r>
      <w:r w:rsidRPr="00EE1C5C">
        <w:rPr>
          <w:i/>
          <w:sz w:val="24"/>
          <w:szCs w:val="24"/>
          <w:vertAlign w:val="subscript"/>
          <w:lang w:val="en-GB"/>
        </w:rPr>
        <w:t>6</w:t>
      </w:r>
      <w:r w:rsidRPr="00EE1C5C">
        <w:rPr>
          <w:i/>
          <w:sz w:val="24"/>
          <w:szCs w:val="24"/>
          <w:lang w:val="en-GB"/>
        </w:rPr>
        <w:t>tech3</w:t>
      </w:r>
      <w:proofErr w:type="spellStart"/>
      <w:r w:rsidRPr="00EE1C5C">
        <w:rPr>
          <w:i/>
          <w:sz w:val="24"/>
          <w:szCs w:val="24"/>
          <w:vertAlign w:val="subscript"/>
          <w:lang w:val="en-US"/>
        </w:rPr>
        <w:t>i</w:t>
      </w:r>
      <w:proofErr w:type="spellEnd"/>
      <w:r w:rsidRPr="00EE1C5C">
        <w:rPr>
          <w:i/>
          <w:sz w:val="24"/>
          <w:szCs w:val="24"/>
          <w:vertAlign w:val="subscript"/>
          <w:lang w:val="en-GB"/>
        </w:rPr>
        <w:t>n</w:t>
      </w:r>
      <w:r w:rsidRPr="00EE1C5C">
        <w:rPr>
          <w:i/>
          <w:sz w:val="24"/>
          <w:szCs w:val="24"/>
          <w:lang w:val="en-GB"/>
        </w:rPr>
        <w:t xml:space="preserve"> + β</w:t>
      </w:r>
      <w:r w:rsidRPr="00EE1C5C">
        <w:rPr>
          <w:i/>
          <w:sz w:val="24"/>
          <w:szCs w:val="24"/>
          <w:vertAlign w:val="subscript"/>
          <w:lang w:val="en-GB"/>
        </w:rPr>
        <w:t>7</w:t>
      </w:r>
      <w:r w:rsidRPr="00EE1C5C">
        <w:rPr>
          <w:i/>
          <w:sz w:val="24"/>
          <w:szCs w:val="24"/>
          <w:lang w:val="en-GB"/>
        </w:rPr>
        <w:t>data1</w:t>
      </w:r>
      <w:proofErr w:type="spellStart"/>
      <w:r w:rsidRPr="00EE1C5C">
        <w:rPr>
          <w:i/>
          <w:sz w:val="24"/>
          <w:szCs w:val="24"/>
          <w:vertAlign w:val="subscript"/>
          <w:lang w:val="en-US"/>
        </w:rPr>
        <w:t>i</w:t>
      </w:r>
      <w:proofErr w:type="spellEnd"/>
      <w:r w:rsidRPr="00EE1C5C">
        <w:rPr>
          <w:i/>
          <w:sz w:val="24"/>
          <w:szCs w:val="24"/>
          <w:vertAlign w:val="subscript"/>
          <w:lang w:val="en-GB"/>
        </w:rPr>
        <w:t>n</w:t>
      </w:r>
      <w:r w:rsidRPr="00EE1C5C">
        <w:rPr>
          <w:i/>
          <w:sz w:val="24"/>
          <w:szCs w:val="24"/>
          <w:lang w:val="en-GB"/>
        </w:rPr>
        <w:t xml:space="preserve"> + β</w:t>
      </w:r>
      <w:r w:rsidRPr="00EE1C5C">
        <w:rPr>
          <w:i/>
          <w:sz w:val="24"/>
          <w:szCs w:val="24"/>
          <w:vertAlign w:val="subscript"/>
          <w:lang w:val="en-GB"/>
        </w:rPr>
        <w:t>8</w:t>
      </w:r>
      <w:r w:rsidRPr="00EE1C5C">
        <w:rPr>
          <w:i/>
          <w:sz w:val="24"/>
          <w:szCs w:val="24"/>
          <w:lang w:val="en-GB"/>
        </w:rPr>
        <w:t>use1</w:t>
      </w:r>
      <w:proofErr w:type="spellStart"/>
      <w:r w:rsidRPr="00EE1C5C">
        <w:rPr>
          <w:i/>
          <w:sz w:val="24"/>
          <w:szCs w:val="24"/>
          <w:vertAlign w:val="subscript"/>
          <w:lang w:val="en-US"/>
        </w:rPr>
        <w:t>i</w:t>
      </w:r>
      <w:proofErr w:type="spellEnd"/>
      <w:r w:rsidRPr="00EE1C5C">
        <w:rPr>
          <w:i/>
          <w:sz w:val="24"/>
          <w:szCs w:val="24"/>
          <w:vertAlign w:val="subscript"/>
          <w:lang w:val="en-GB"/>
        </w:rPr>
        <w:t>n</w:t>
      </w:r>
      <w:r w:rsidRPr="00EE1C5C">
        <w:rPr>
          <w:i/>
          <w:sz w:val="24"/>
          <w:szCs w:val="24"/>
          <w:lang w:val="en-GB"/>
        </w:rPr>
        <w:t xml:space="preserve"> + β</w:t>
      </w:r>
      <w:r w:rsidRPr="00EE1C5C">
        <w:rPr>
          <w:i/>
          <w:sz w:val="24"/>
          <w:szCs w:val="24"/>
          <w:vertAlign w:val="subscript"/>
          <w:lang w:val="en-GB"/>
        </w:rPr>
        <w:t>9</w:t>
      </w:r>
      <w:r w:rsidRPr="00EE1C5C">
        <w:rPr>
          <w:i/>
          <w:sz w:val="24"/>
          <w:szCs w:val="24"/>
          <w:lang w:val="en-GB"/>
        </w:rPr>
        <w:t>cost</w:t>
      </w:r>
      <w:proofErr w:type="spellStart"/>
      <w:r w:rsidRPr="00EE1C5C">
        <w:rPr>
          <w:i/>
          <w:sz w:val="24"/>
          <w:szCs w:val="24"/>
          <w:vertAlign w:val="subscript"/>
          <w:lang w:val="en-US"/>
        </w:rPr>
        <w:t>i</w:t>
      </w:r>
      <w:proofErr w:type="spellEnd"/>
      <w:r w:rsidRPr="00EE1C5C">
        <w:rPr>
          <w:i/>
          <w:sz w:val="24"/>
          <w:szCs w:val="24"/>
          <w:vertAlign w:val="subscript"/>
          <w:lang w:val="en-GB"/>
        </w:rPr>
        <w:t>n</w:t>
      </w:r>
    </w:p>
    <w:p w14:paraId="6A4FD998" w14:textId="77777777" w:rsidR="006F1431" w:rsidRPr="00EE1C5C" w:rsidRDefault="006F1431" w:rsidP="006F1431">
      <w:pPr>
        <w:spacing w:line="480" w:lineRule="auto"/>
        <w:rPr>
          <w:sz w:val="24"/>
          <w:szCs w:val="24"/>
          <w:lang w:val="en-GB"/>
        </w:rPr>
      </w:pPr>
    </w:p>
    <w:p w14:paraId="145B7E9A" w14:textId="200CF727" w:rsidR="006F1431" w:rsidRPr="00EE1C5C" w:rsidRDefault="006F1431" w:rsidP="006F1431">
      <w:pPr>
        <w:spacing w:line="480" w:lineRule="auto"/>
        <w:rPr>
          <w:sz w:val="24"/>
          <w:szCs w:val="24"/>
          <w:lang w:val="en-GB"/>
        </w:rPr>
      </w:pPr>
      <w:r w:rsidRPr="00EE1C5C">
        <w:rPr>
          <w:sz w:val="24"/>
          <w:szCs w:val="24"/>
          <w:lang w:val="en-GB"/>
        </w:rPr>
        <w:t xml:space="preserve">Where </w:t>
      </w:r>
      <w:r w:rsidRPr="00EE1C5C">
        <w:rPr>
          <w:noProof/>
          <w:position w:val="-6"/>
          <w:sz w:val="24"/>
          <w:szCs w:val="24"/>
          <w:lang w:eastAsia="nl-NL"/>
        </w:rPr>
        <w:drawing>
          <wp:inline distT="0" distB="0" distL="0" distR="0" wp14:anchorId="50A2CC9C" wp14:editId="10906859">
            <wp:extent cx="160020" cy="160020"/>
            <wp:effectExtent l="0" t="0" r="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EE1C5C">
        <w:rPr>
          <w:sz w:val="24"/>
          <w:szCs w:val="24"/>
          <w:lang w:val="en-GB"/>
        </w:rPr>
        <w:t xml:space="preserve"> refers to the alternative specific constant (ASC) appropriate for that split. In the split where both a status quo and an opt-out are included, two ASCs were estimated. In that case, </w:t>
      </w:r>
      <w:r w:rsidRPr="00EE1C5C">
        <w:rPr>
          <w:noProof/>
          <w:position w:val="-6"/>
          <w:sz w:val="24"/>
          <w:szCs w:val="24"/>
          <w:lang w:eastAsia="nl-NL"/>
        </w:rPr>
        <w:drawing>
          <wp:inline distT="0" distB="0" distL="0" distR="0" wp14:anchorId="0EFFD27C" wp14:editId="073AA2B6">
            <wp:extent cx="160020" cy="160020"/>
            <wp:effectExtent l="0" t="0" r="0" b="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D60014" w:rsidRPr="00EE1C5C">
        <w:rPr>
          <w:sz w:val="24"/>
          <w:szCs w:val="24"/>
          <w:lang w:val="en-GB"/>
        </w:rPr>
        <w:t xml:space="preserve"> </w:t>
      </w:r>
      <w:r w:rsidRPr="00EE1C5C">
        <w:rPr>
          <w:sz w:val="24"/>
          <w:szCs w:val="24"/>
          <w:lang w:val="en-GB"/>
        </w:rPr>
        <w:t xml:space="preserve">is the sum of the estimates for the two constants. </w:t>
      </w:r>
    </w:p>
    <w:p w14:paraId="1514A061" w14:textId="77777777" w:rsidR="006F1431" w:rsidRPr="00EE1C5C" w:rsidRDefault="006F1431" w:rsidP="006F1431">
      <w:pPr>
        <w:spacing w:line="480" w:lineRule="auto"/>
        <w:rPr>
          <w:sz w:val="24"/>
          <w:szCs w:val="24"/>
          <w:lang w:val="en-GB"/>
        </w:rPr>
      </w:pPr>
    </w:p>
    <w:p w14:paraId="53597930" w14:textId="77777777" w:rsidR="006F1431" w:rsidRPr="00EE1C5C" w:rsidRDefault="006F1431" w:rsidP="006F1431">
      <w:pPr>
        <w:spacing w:line="480" w:lineRule="auto"/>
        <w:rPr>
          <w:sz w:val="24"/>
          <w:szCs w:val="24"/>
          <w:lang w:val="en-GB"/>
        </w:rPr>
      </w:pPr>
      <w:proofErr w:type="gramStart"/>
      <w:r w:rsidRPr="00EE1C5C">
        <w:rPr>
          <w:sz w:val="24"/>
          <w:szCs w:val="24"/>
          <w:lang w:val="en-GB"/>
        </w:rPr>
        <w:t>Assuming that</w:t>
      </w:r>
      <w:proofErr w:type="gramEnd"/>
      <w:r w:rsidRPr="00EE1C5C">
        <w:rPr>
          <w:sz w:val="24"/>
          <w:szCs w:val="24"/>
          <w:lang w:val="en-GB"/>
        </w:rPr>
        <w:t xml:space="preserve"> the error terms are independent and identically distributed (</w:t>
      </w:r>
      <w:proofErr w:type="spellStart"/>
      <w:r w:rsidRPr="00EE1C5C">
        <w:rPr>
          <w:sz w:val="24"/>
          <w:szCs w:val="24"/>
          <w:lang w:val="en-GB"/>
        </w:rPr>
        <w:t>iid</w:t>
      </w:r>
      <w:proofErr w:type="spellEnd"/>
      <w:r w:rsidRPr="00EE1C5C">
        <w:rPr>
          <w:sz w:val="24"/>
          <w:szCs w:val="24"/>
          <w:lang w:val="en-GB"/>
        </w:rPr>
        <w:t xml:space="preserve">) extreme value random variables, makes a logit model appropriate. </w:t>
      </w:r>
      <w:proofErr w:type="gramStart"/>
      <w:r w:rsidRPr="00EE1C5C">
        <w:rPr>
          <w:sz w:val="24"/>
          <w:szCs w:val="24"/>
          <w:lang w:val="en-GB"/>
        </w:rPr>
        <w:t>Assuming that</w:t>
      </w:r>
      <w:proofErr w:type="gramEnd"/>
      <w:r w:rsidRPr="00EE1C5C">
        <w:rPr>
          <w:sz w:val="24"/>
          <w:szCs w:val="24"/>
          <w:lang w:val="en-GB"/>
        </w:rPr>
        <w:t xml:space="preserve"> the coefficients vary over respondents with density</w:t>
      </w:r>
      <w:r w:rsidRPr="00EE1C5C">
        <w:rPr>
          <w:noProof/>
          <w:position w:val="-10"/>
          <w:sz w:val="24"/>
          <w:szCs w:val="24"/>
          <w:lang w:eastAsia="nl-NL"/>
        </w:rPr>
        <w:drawing>
          <wp:inline distT="0" distB="0" distL="0" distR="0" wp14:anchorId="6F80D46A" wp14:editId="3C61DE78">
            <wp:extent cx="375920" cy="213360"/>
            <wp:effectExtent l="0" t="0" r="508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920" cy="213360"/>
                    </a:xfrm>
                    <a:prstGeom prst="rect">
                      <a:avLst/>
                    </a:prstGeom>
                    <a:noFill/>
                    <a:ln>
                      <a:noFill/>
                    </a:ln>
                  </pic:spPr>
                </pic:pic>
              </a:graphicData>
            </a:graphic>
          </wp:inline>
        </w:drawing>
      </w:r>
      <w:r w:rsidRPr="00EE1C5C">
        <w:rPr>
          <w:sz w:val="24"/>
          <w:szCs w:val="24"/>
          <w:lang w:val="en-GB"/>
        </w:rPr>
        <w:t xml:space="preserve">, a mixed logit random parameters model can be specified which also takes account of the panel structure in the data and relaxes the independence of irrelevant alternatives (IIA) assumption. The probability of choosing alternative </w:t>
      </w:r>
      <w:proofErr w:type="spellStart"/>
      <w:r w:rsidRPr="00EE1C5C">
        <w:rPr>
          <w:i/>
          <w:sz w:val="24"/>
          <w:szCs w:val="24"/>
          <w:lang w:val="en-GB"/>
        </w:rPr>
        <w:t>i</w:t>
      </w:r>
      <w:proofErr w:type="spellEnd"/>
      <w:r w:rsidRPr="00EE1C5C">
        <w:rPr>
          <w:i/>
          <w:sz w:val="24"/>
          <w:szCs w:val="24"/>
          <w:lang w:val="en-GB"/>
        </w:rPr>
        <w:t xml:space="preserve"> </w:t>
      </w:r>
      <w:r w:rsidRPr="00EE1C5C">
        <w:rPr>
          <w:sz w:val="24"/>
          <w:szCs w:val="24"/>
          <w:lang w:val="en-GB"/>
        </w:rPr>
        <w:t xml:space="preserve">for individual </w:t>
      </w:r>
      <w:r w:rsidRPr="00EE1C5C">
        <w:rPr>
          <w:i/>
          <w:sz w:val="24"/>
          <w:szCs w:val="24"/>
          <w:lang w:val="en-GB"/>
        </w:rPr>
        <w:t xml:space="preserve">n </w:t>
      </w:r>
      <w:r w:rsidRPr="00EE1C5C">
        <w:rPr>
          <w:sz w:val="24"/>
          <w:szCs w:val="24"/>
          <w:lang w:val="en-GB"/>
        </w:rPr>
        <w:t>is given by:</w:t>
      </w:r>
    </w:p>
    <w:p w14:paraId="2A8AF903" w14:textId="77777777" w:rsidR="006F1431" w:rsidRPr="00EE1C5C" w:rsidRDefault="006F1431" w:rsidP="006F1431">
      <w:pPr>
        <w:spacing w:line="480" w:lineRule="auto"/>
        <w:rPr>
          <w:sz w:val="24"/>
          <w:szCs w:val="24"/>
          <w:lang w:val="en-GB"/>
        </w:rPr>
      </w:pPr>
    </w:p>
    <w:p w14:paraId="307FA203" w14:textId="77777777" w:rsidR="006F1431" w:rsidRPr="00EE1C5C" w:rsidRDefault="006F1431" w:rsidP="006F1431">
      <w:pPr>
        <w:spacing w:line="480" w:lineRule="auto"/>
        <w:rPr>
          <w:position w:val="-40"/>
          <w:sz w:val="24"/>
          <w:szCs w:val="24"/>
          <w:lang w:val="en-GB"/>
        </w:rPr>
      </w:pPr>
      <w:r w:rsidRPr="00EE1C5C">
        <w:rPr>
          <w:sz w:val="24"/>
          <w:szCs w:val="24"/>
          <w:lang w:val="en-GB"/>
        </w:rPr>
        <w:t>(3)</w:t>
      </w:r>
      <w:r w:rsidRPr="00EE1C5C">
        <w:rPr>
          <w:sz w:val="24"/>
          <w:szCs w:val="24"/>
          <w:lang w:val="en-GB"/>
        </w:rPr>
        <w:tab/>
      </w:r>
      <w:r w:rsidRPr="00EE1C5C">
        <w:rPr>
          <w:noProof/>
          <w:position w:val="-44"/>
          <w:sz w:val="24"/>
          <w:szCs w:val="24"/>
          <w:lang w:eastAsia="nl-NL"/>
        </w:rPr>
        <w:drawing>
          <wp:inline distT="0" distB="0" distL="0" distR="0" wp14:anchorId="11A07418" wp14:editId="53926FAB">
            <wp:extent cx="1760220" cy="617220"/>
            <wp:effectExtent l="0" t="0" r="0" b="0"/>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0220" cy="617220"/>
                    </a:xfrm>
                    <a:prstGeom prst="rect">
                      <a:avLst/>
                    </a:prstGeom>
                    <a:noFill/>
                    <a:ln>
                      <a:noFill/>
                    </a:ln>
                  </pic:spPr>
                </pic:pic>
              </a:graphicData>
            </a:graphic>
          </wp:inline>
        </w:drawing>
      </w:r>
    </w:p>
    <w:p w14:paraId="2B77103A" w14:textId="77777777" w:rsidR="006F1431" w:rsidRPr="00EE1C5C" w:rsidRDefault="006F1431" w:rsidP="006F1431">
      <w:pPr>
        <w:spacing w:line="480" w:lineRule="auto"/>
        <w:rPr>
          <w:sz w:val="24"/>
          <w:szCs w:val="24"/>
          <w:lang w:val="en-GB"/>
        </w:rPr>
      </w:pPr>
    </w:p>
    <w:p w14:paraId="11B65152" w14:textId="44004DDA" w:rsidR="006F1431" w:rsidRPr="00EE1C5C" w:rsidRDefault="006F1431" w:rsidP="006F1431">
      <w:pPr>
        <w:spacing w:line="480" w:lineRule="auto"/>
        <w:rPr>
          <w:sz w:val="24"/>
          <w:szCs w:val="24"/>
          <w:lang w:val="en-GB"/>
        </w:rPr>
      </w:pPr>
      <w:r w:rsidRPr="00EE1C5C">
        <w:rPr>
          <w:sz w:val="24"/>
          <w:szCs w:val="24"/>
          <w:lang w:val="en-GB"/>
        </w:rPr>
        <w:t xml:space="preserve">Where </w:t>
      </w:r>
      <w:r w:rsidRPr="00EE1C5C">
        <w:rPr>
          <w:noProof/>
          <w:position w:val="-10"/>
          <w:sz w:val="24"/>
          <w:szCs w:val="24"/>
          <w:lang w:eastAsia="nl-NL"/>
        </w:rPr>
        <w:drawing>
          <wp:inline distT="0" distB="0" distL="0" distR="0" wp14:anchorId="33D2E0BE" wp14:editId="3C04A8E6">
            <wp:extent cx="152400" cy="16256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62560"/>
                    </a:xfrm>
                    <a:prstGeom prst="rect">
                      <a:avLst/>
                    </a:prstGeom>
                    <a:noFill/>
                    <a:ln>
                      <a:noFill/>
                    </a:ln>
                  </pic:spPr>
                </pic:pic>
              </a:graphicData>
            </a:graphic>
          </wp:inline>
        </w:drawing>
      </w:r>
      <w:r w:rsidRPr="00EE1C5C">
        <w:rPr>
          <w:sz w:val="24"/>
          <w:szCs w:val="24"/>
          <w:lang w:val="en-GB"/>
        </w:rPr>
        <w:t xml:space="preserve"> is the scale parameter, which is inversely related to the error variance </w:t>
      </w:r>
      <w:r w:rsidRPr="00EE1C5C">
        <w:rPr>
          <w:sz w:val="24"/>
          <w:szCs w:val="24"/>
          <w:lang w:val="en-GB"/>
        </w:rPr>
        <w:fldChar w:fldCharType="begin"/>
      </w:r>
      <w:r w:rsidR="00345CEA" w:rsidRPr="00EE1C5C">
        <w:rPr>
          <w:sz w:val="24"/>
          <w:szCs w:val="24"/>
          <w:lang w:val="en-GB"/>
        </w:rPr>
        <w:instrText xml:space="preserve"> ADDIN EN.CITE &lt;EndNote&gt;&lt;Cite&gt;&lt;Author&gt;Train&lt;/Author&gt;&lt;Year&gt;2009&lt;/Year&gt;&lt;RecNum&gt;2372&lt;/RecNum&gt;&lt;DisplayText&gt;(1)&lt;/DisplayText&gt;&lt;record&gt;&lt;rec-number&gt;2372&lt;/rec-number&gt;&lt;foreign-keys&gt;&lt;key app="EN" db-id="v9pstre22vvrvter9s9xv9tx0ppszefw00ez" timestamp="1450784954"&gt;2372&lt;/key&gt;&lt;/foreign-keys&gt;&lt;ref-type name="Book"&gt;6&lt;/ref-type&gt;&lt;contributors&gt;&lt;authors&gt;&lt;author&gt;Train, Kenneth E&lt;/author&gt;&lt;/authors&gt;&lt;/contributors&gt;&lt;titles&gt;&lt;title&gt;Discrete choice methods with simulation&lt;/title&gt;&lt;/titles&gt;&lt;dates&gt;&lt;year&gt;2009&lt;/year&gt;&lt;/dates&gt;&lt;publisher&gt;Cambridge University Press&lt;/publisher&gt;&lt;isbn&gt;1139480375&lt;/isbn&gt;&lt;urls&gt;&lt;/urls&gt;&lt;/record&gt;&lt;/Cite&gt;&lt;/EndNote&gt;</w:instrText>
      </w:r>
      <w:r w:rsidRPr="00EE1C5C">
        <w:rPr>
          <w:sz w:val="24"/>
          <w:szCs w:val="24"/>
          <w:lang w:val="en-GB"/>
        </w:rPr>
        <w:fldChar w:fldCharType="separate"/>
      </w:r>
      <w:r w:rsidR="00345CEA" w:rsidRPr="00EE1C5C">
        <w:rPr>
          <w:noProof/>
          <w:sz w:val="24"/>
          <w:szCs w:val="24"/>
          <w:lang w:val="en-GB"/>
        </w:rPr>
        <w:t>(1)</w:t>
      </w:r>
      <w:r w:rsidRPr="00EE1C5C">
        <w:rPr>
          <w:sz w:val="24"/>
          <w:szCs w:val="24"/>
          <w:lang w:val="en-GB"/>
        </w:rPr>
        <w:fldChar w:fldCharType="end"/>
      </w:r>
      <w:r w:rsidRPr="00EE1C5C">
        <w:rPr>
          <w:sz w:val="24"/>
          <w:szCs w:val="24"/>
          <w:lang w:val="en-GB"/>
        </w:rPr>
        <w:t xml:space="preserve">. </w:t>
      </w:r>
    </w:p>
    <w:p w14:paraId="1A5A7EDF" w14:textId="77777777" w:rsidR="006F1431" w:rsidRPr="00EE1C5C" w:rsidRDefault="006F1431" w:rsidP="006F1431">
      <w:pPr>
        <w:spacing w:line="480" w:lineRule="auto"/>
        <w:rPr>
          <w:sz w:val="24"/>
          <w:szCs w:val="24"/>
          <w:lang w:val="en-GB"/>
        </w:rPr>
      </w:pPr>
    </w:p>
    <w:p w14:paraId="1CC200D0" w14:textId="77777777" w:rsidR="006F1431" w:rsidRPr="00EE1C5C" w:rsidRDefault="006F1431" w:rsidP="006F1431">
      <w:pPr>
        <w:spacing w:line="480" w:lineRule="auto"/>
        <w:rPr>
          <w:sz w:val="24"/>
          <w:szCs w:val="24"/>
          <w:lang w:val="en-GB"/>
        </w:rPr>
      </w:pPr>
      <w:r w:rsidRPr="00EE1C5C">
        <w:rPr>
          <w:sz w:val="24"/>
          <w:szCs w:val="24"/>
          <w:lang w:val="en-GB"/>
        </w:rPr>
        <w:t xml:space="preserve">We use an error component specification, by specifying the ASC(s) as random and decompose them into mean </w:t>
      </w:r>
      <w:r w:rsidRPr="00EE1C5C">
        <w:rPr>
          <w:noProof/>
          <w:position w:val="-10"/>
          <w:sz w:val="24"/>
          <w:szCs w:val="24"/>
          <w:lang w:eastAsia="nl-NL"/>
        </w:rPr>
        <w:drawing>
          <wp:inline distT="0" distB="0" distL="0" distR="0" wp14:anchorId="19D04B29" wp14:editId="66E021EF">
            <wp:extent cx="160020" cy="228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EE1C5C">
        <w:rPr>
          <w:sz w:val="24"/>
          <w:szCs w:val="24"/>
          <w:lang w:val="en-GB"/>
        </w:rPr>
        <w:t xml:space="preserve">and deviation </w:t>
      </w:r>
      <w:r w:rsidRPr="00EE1C5C">
        <w:rPr>
          <w:noProof/>
          <w:position w:val="-12"/>
          <w:sz w:val="24"/>
          <w:szCs w:val="24"/>
          <w:lang w:eastAsia="nl-NL"/>
        </w:rPr>
        <w:drawing>
          <wp:inline distT="0" distB="0" distL="0" distR="0" wp14:anchorId="3F82B6F3" wp14:editId="14B15C0D">
            <wp:extent cx="182880" cy="23368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 cy="233680"/>
                    </a:xfrm>
                    <a:prstGeom prst="rect">
                      <a:avLst/>
                    </a:prstGeom>
                    <a:noFill/>
                    <a:ln>
                      <a:noFill/>
                    </a:ln>
                  </pic:spPr>
                </pic:pic>
              </a:graphicData>
            </a:graphic>
          </wp:inline>
        </w:drawing>
      </w:r>
      <w:r w:rsidRPr="00EE1C5C">
        <w:rPr>
          <w:sz w:val="24"/>
          <w:szCs w:val="24"/>
          <w:lang w:val="en-GB"/>
        </w:rPr>
        <w:t xml:space="preserve"> such that</w:t>
      </w:r>
    </w:p>
    <w:p w14:paraId="59A5F032" w14:textId="77777777" w:rsidR="006F1431" w:rsidRPr="00EE1C5C" w:rsidRDefault="006F1431" w:rsidP="006F1431">
      <w:pPr>
        <w:spacing w:line="480" w:lineRule="auto"/>
        <w:rPr>
          <w:sz w:val="24"/>
          <w:szCs w:val="24"/>
          <w:lang w:val="en-GB"/>
        </w:rPr>
      </w:pPr>
    </w:p>
    <w:p w14:paraId="4DFC96B0" w14:textId="77777777" w:rsidR="006F1431" w:rsidRPr="00EE1C5C" w:rsidRDefault="006F1431" w:rsidP="006F1431">
      <w:pPr>
        <w:spacing w:line="480" w:lineRule="auto"/>
        <w:rPr>
          <w:sz w:val="24"/>
          <w:szCs w:val="24"/>
          <w:lang w:val="en-GB"/>
        </w:rPr>
      </w:pPr>
      <w:r w:rsidRPr="00EE1C5C">
        <w:rPr>
          <w:sz w:val="24"/>
          <w:szCs w:val="24"/>
          <w:lang w:val="en-GB"/>
        </w:rPr>
        <w:t>(4)</w:t>
      </w:r>
      <w:r w:rsidRPr="00EE1C5C">
        <w:rPr>
          <w:sz w:val="24"/>
          <w:szCs w:val="24"/>
          <w:lang w:val="en-GB"/>
        </w:rPr>
        <w:tab/>
      </w:r>
      <w:r w:rsidRPr="00EE1C5C">
        <w:rPr>
          <w:noProof/>
          <w:position w:val="-12"/>
          <w:sz w:val="24"/>
          <w:szCs w:val="24"/>
          <w:lang w:eastAsia="nl-NL"/>
        </w:rPr>
        <w:drawing>
          <wp:inline distT="0" distB="0" distL="0" distR="0" wp14:anchorId="7325150B" wp14:editId="70A53B48">
            <wp:extent cx="1074420" cy="2286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4420" cy="228600"/>
                    </a:xfrm>
                    <a:prstGeom prst="rect">
                      <a:avLst/>
                    </a:prstGeom>
                    <a:noFill/>
                    <a:ln>
                      <a:noFill/>
                    </a:ln>
                  </pic:spPr>
                </pic:pic>
              </a:graphicData>
            </a:graphic>
          </wp:inline>
        </w:drawing>
      </w:r>
    </w:p>
    <w:p w14:paraId="6E2DC6AF" w14:textId="77777777" w:rsidR="006F1431" w:rsidRPr="00EE1C5C" w:rsidRDefault="006F1431" w:rsidP="006F1431">
      <w:pPr>
        <w:spacing w:line="480" w:lineRule="auto"/>
        <w:rPr>
          <w:sz w:val="24"/>
          <w:szCs w:val="24"/>
          <w:lang w:val="en-GB"/>
        </w:rPr>
      </w:pPr>
    </w:p>
    <w:p w14:paraId="6D2C253A" w14:textId="2C1EE3E2" w:rsidR="006F1431" w:rsidRPr="00EE1C5C" w:rsidRDefault="006F1431" w:rsidP="006F1431">
      <w:pPr>
        <w:spacing w:line="480" w:lineRule="auto"/>
        <w:rPr>
          <w:sz w:val="24"/>
          <w:szCs w:val="24"/>
          <w:lang w:val="en-GB"/>
        </w:rPr>
      </w:pPr>
      <w:r w:rsidRPr="00EE1C5C">
        <w:rPr>
          <w:sz w:val="24"/>
          <w:szCs w:val="24"/>
          <w:lang w:val="en-GB"/>
        </w:rPr>
        <w:t>All other parameters are held fixed. Error component models were estimated in Stata (version 14), using the ‘</w:t>
      </w:r>
      <w:proofErr w:type="spellStart"/>
      <w:r w:rsidRPr="00EE1C5C">
        <w:rPr>
          <w:sz w:val="24"/>
          <w:szCs w:val="24"/>
          <w:lang w:val="en-GB"/>
        </w:rPr>
        <w:t>mixlogit</w:t>
      </w:r>
      <w:proofErr w:type="spellEnd"/>
      <w:r w:rsidRPr="00EE1C5C">
        <w:rPr>
          <w:sz w:val="24"/>
          <w:szCs w:val="24"/>
          <w:lang w:val="en-GB"/>
        </w:rPr>
        <w:t xml:space="preserve">’ command using 1000 Halton draws </w:t>
      </w:r>
      <w:r w:rsidRPr="00EE1C5C">
        <w:rPr>
          <w:sz w:val="24"/>
          <w:szCs w:val="24"/>
          <w:lang w:val="en-GB"/>
        </w:rPr>
        <w:fldChar w:fldCharType="begin"/>
      </w:r>
      <w:r w:rsidR="00345CEA" w:rsidRPr="00EE1C5C">
        <w:rPr>
          <w:sz w:val="24"/>
          <w:szCs w:val="24"/>
          <w:lang w:val="en-GB"/>
        </w:rPr>
        <w:instrText xml:space="preserve"> ADDIN EN.CITE &lt;EndNote&gt;&lt;Cite&gt;&lt;Author&gt;Hole&lt;/Author&gt;&lt;Year&gt;2007&lt;/Year&gt;&lt;RecNum&gt;2524&lt;/RecNum&gt;&lt;DisplayText&gt;(2)&lt;/DisplayText&gt;&lt;record&gt;&lt;rec-number&gt;2524&lt;/rec-number&gt;&lt;foreign-keys&gt;&lt;key app="EN" db-id="v9pstre22vvrvter9s9xv9tx0ppszefw00ez" timestamp="1458058044"&gt;2524&lt;/key&gt;&lt;/foreign-keys&gt;&lt;ref-type name="Journal Article"&gt;17&lt;/ref-type&gt;&lt;contributors&gt;&lt;authors&gt;&lt;author&gt;Hole, A. R.&lt;/author&gt;&lt;/authors&gt;&lt;/contributors&gt;&lt;titles&gt;&lt;title&gt;Estimating mixed logit models using maximum simulated likelihood&lt;/title&gt;&lt;secondary-title&gt;Stata Journal&lt;/secondary-title&gt;&lt;/titles&gt;&lt;periodical&gt;&lt;full-title&gt;Stata Journal&lt;/full-title&gt;&lt;/periodical&gt;&lt;pages&gt;388-401&lt;/pages&gt;&lt;volume&gt;7&lt;/volume&gt;&lt;number&gt;3&lt;/number&gt;&lt;dates&gt;&lt;year&gt;2007&lt;/year&gt;&lt;/dates&gt;&lt;urls&gt;&lt;/urls&gt;&lt;/record&gt;&lt;/Cite&gt;&lt;/EndNote&gt;</w:instrText>
      </w:r>
      <w:r w:rsidRPr="00EE1C5C">
        <w:rPr>
          <w:sz w:val="24"/>
          <w:szCs w:val="24"/>
          <w:lang w:val="en-GB"/>
        </w:rPr>
        <w:fldChar w:fldCharType="separate"/>
      </w:r>
      <w:r w:rsidR="00345CEA" w:rsidRPr="00EE1C5C">
        <w:rPr>
          <w:noProof/>
          <w:sz w:val="24"/>
          <w:szCs w:val="24"/>
          <w:lang w:val="en-GB"/>
        </w:rPr>
        <w:t>(2)</w:t>
      </w:r>
      <w:r w:rsidRPr="00EE1C5C">
        <w:rPr>
          <w:sz w:val="24"/>
          <w:szCs w:val="24"/>
          <w:lang w:val="en-GB"/>
        </w:rPr>
        <w:fldChar w:fldCharType="end"/>
      </w:r>
      <w:r w:rsidRPr="00EE1C5C">
        <w:rPr>
          <w:sz w:val="24"/>
          <w:szCs w:val="24"/>
          <w:lang w:val="en-GB"/>
        </w:rPr>
        <w:t>.</w:t>
      </w:r>
    </w:p>
    <w:p w14:paraId="519D1370" w14:textId="77777777" w:rsidR="006F1431" w:rsidRPr="00EE1C5C" w:rsidRDefault="006F1431" w:rsidP="006F1431">
      <w:pPr>
        <w:spacing w:line="480" w:lineRule="auto"/>
        <w:rPr>
          <w:sz w:val="24"/>
          <w:szCs w:val="24"/>
          <w:lang w:val="en-GB"/>
        </w:rPr>
      </w:pPr>
    </w:p>
    <w:p w14:paraId="11FF82C9" w14:textId="1962B5B2" w:rsidR="006F1431" w:rsidRPr="00EE1C5C" w:rsidRDefault="006F1431" w:rsidP="006F1431">
      <w:pPr>
        <w:spacing w:line="480" w:lineRule="auto"/>
        <w:rPr>
          <w:sz w:val="24"/>
          <w:szCs w:val="24"/>
          <w:lang w:val="en-GB"/>
        </w:rPr>
      </w:pPr>
      <w:r w:rsidRPr="00EE1C5C">
        <w:rPr>
          <w:sz w:val="24"/>
          <w:szCs w:val="24"/>
          <w:lang w:val="en-GB"/>
        </w:rPr>
        <w:t xml:space="preserve">Individual status quo levels were incorporated in the analysis for research question 2. In all models the attributes (except the cost attribute) were effects coded </w:t>
      </w:r>
      <w:r w:rsidRPr="00EE1C5C">
        <w:rPr>
          <w:sz w:val="24"/>
          <w:szCs w:val="24"/>
          <w:lang w:val="en-GB"/>
        </w:rPr>
        <w:fldChar w:fldCharType="begin"/>
      </w:r>
      <w:r w:rsidR="00345CEA" w:rsidRPr="00EE1C5C">
        <w:rPr>
          <w:sz w:val="24"/>
          <w:szCs w:val="24"/>
          <w:lang w:val="en-GB"/>
        </w:rPr>
        <w:instrText xml:space="preserve"> ADDIN EN.CITE &lt;EndNote&gt;&lt;Cite&gt;&lt;Author&gt;Bech&lt;/Author&gt;&lt;Year&gt;2005&lt;/Year&gt;&lt;RecNum&gt;2637&lt;/RecNum&gt;&lt;DisplayText&gt;(3)&lt;/DisplayText&gt;&lt;record&gt;&lt;rec-number&gt;2637&lt;/rec-number&gt;&lt;foreign-keys&gt;&lt;key app="EN" db-id="v9pstre22vvrvter9s9xv9tx0ppszefw00ez" timestamp="1527015529"&gt;2637&lt;/key&gt;&lt;/foreign-keys&gt;&lt;ref-type name="Journal Article"&gt;17&lt;/ref-type&gt;&lt;contributors&gt;&lt;authors&gt;&lt;author&gt;Bech, M.&lt;/author&gt;&lt;author&gt;Gyrd-Hansen, D.&lt;/author&gt;&lt;/authors&gt;&lt;/contributors&gt;&lt;auth-address&gt;University of Southern Denmark, Institute of Public Health, Odense C, Denmark. mbe@sam.sdu.dk&lt;/auth-address&gt;&lt;titles&gt;&lt;title&gt;Effects coding in discrete choice experiments&lt;/title&gt;&lt;secondary-title&gt;Health Econ&lt;/secondary-title&gt;&lt;/titles&gt;&lt;periodical&gt;&lt;full-title&gt;Health Econ&lt;/full-title&gt;&lt;/periodical&gt;&lt;pages&gt;1079-83&lt;/pages&gt;&lt;volume&gt;14&lt;/volume&gt;&lt;number&gt;10&lt;/number&gt;&lt;keywords&gt;&lt;keyword&gt;*Choice Behavior&lt;/keyword&gt;&lt;keyword&gt;*Data Interpretation, Statistical&lt;/keyword&gt;&lt;keyword&gt;Delivery of Health Care/statistics &amp;amp; numerical data&lt;/keyword&gt;&lt;keyword&gt;Denmark&lt;/keyword&gt;&lt;keyword&gt;Forms and Records Control/*statistics &amp;amp; numerical data&lt;/keyword&gt;&lt;keyword&gt;Regression Analysis&lt;/keyword&gt;&lt;/keywords&gt;&lt;dates&gt;&lt;year&gt;2005&lt;/year&gt;&lt;pub-dates&gt;&lt;date&gt;Oct&lt;/date&gt;&lt;/pub-dates&gt;&lt;/dates&gt;&lt;isbn&gt;1057-9230 (Print)&amp;#xD;1057-9230 (Linking)&lt;/isbn&gt;&lt;accession-num&gt;15852455&lt;/accession-num&gt;&lt;urls&gt;&lt;related-urls&gt;&lt;url&gt;https://www.ncbi.nlm.nih.gov/pubmed/15852455&lt;/url&gt;&lt;/related-urls&gt;&lt;/urls&gt;&lt;electronic-resource-num&gt;10.1002/hec.984&lt;/electronic-resource-num&gt;&lt;/record&gt;&lt;/Cite&gt;&lt;/EndNote&gt;</w:instrText>
      </w:r>
      <w:r w:rsidRPr="00EE1C5C">
        <w:rPr>
          <w:sz w:val="24"/>
          <w:szCs w:val="24"/>
          <w:lang w:val="en-GB"/>
        </w:rPr>
        <w:fldChar w:fldCharType="separate"/>
      </w:r>
      <w:r w:rsidR="00345CEA" w:rsidRPr="00EE1C5C">
        <w:rPr>
          <w:noProof/>
          <w:sz w:val="24"/>
          <w:szCs w:val="24"/>
          <w:lang w:val="en-GB"/>
        </w:rPr>
        <w:t>(3)</w:t>
      </w:r>
      <w:r w:rsidRPr="00EE1C5C">
        <w:rPr>
          <w:sz w:val="24"/>
          <w:szCs w:val="24"/>
          <w:lang w:val="en-GB"/>
        </w:rPr>
        <w:fldChar w:fldCharType="end"/>
      </w:r>
      <w:r w:rsidRPr="00EE1C5C">
        <w:rPr>
          <w:sz w:val="24"/>
          <w:szCs w:val="24"/>
          <w:lang w:val="en-GB"/>
        </w:rPr>
        <w:t xml:space="preserve"> to enable the interpretation of the estimates for the ASCs. Marginal utilities were calculated afterwards and presented in the tables in the results section. Different functional forms for the cost attribute were tested in all splits (linear, log linear, quadratic and square root transformations), and a linear form was chosen as model fits (AIC and BIC) showed that this was just as good as or better than the other functional forms tested. We only included an ASC for the opt-out/neither/ status quo alternative since there was no left-right bias for the hypothetical scenarios in any of the splits. </w:t>
      </w:r>
    </w:p>
    <w:p w14:paraId="2AD80735" w14:textId="77777777" w:rsidR="00345CEA" w:rsidRPr="00EE1C5C" w:rsidRDefault="00345CEA" w:rsidP="006F1431">
      <w:pPr>
        <w:rPr>
          <w:lang w:val="en-GB"/>
        </w:rPr>
      </w:pPr>
    </w:p>
    <w:p w14:paraId="5F1044D7" w14:textId="77777777" w:rsidR="00345CEA" w:rsidRPr="00EE1C5C" w:rsidRDefault="00345CEA" w:rsidP="006F1431">
      <w:pPr>
        <w:rPr>
          <w:lang w:val="en-GB"/>
        </w:rPr>
      </w:pPr>
    </w:p>
    <w:p w14:paraId="3CEEE8D7" w14:textId="346766C2" w:rsidR="00345CEA" w:rsidRPr="00EE1C5C" w:rsidRDefault="00345CEA" w:rsidP="006F1431">
      <w:pPr>
        <w:rPr>
          <w:b/>
          <w:lang w:val="en-GB"/>
        </w:rPr>
      </w:pPr>
      <w:r w:rsidRPr="00EE1C5C">
        <w:rPr>
          <w:b/>
          <w:lang w:val="en-GB"/>
        </w:rPr>
        <w:t>References</w:t>
      </w:r>
    </w:p>
    <w:p w14:paraId="328E8264" w14:textId="77777777" w:rsidR="00345CEA" w:rsidRPr="00EE1C5C" w:rsidRDefault="00345CEA" w:rsidP="00345CEA">
      <w:pPr>
        <w:pStyle w:val="EndNoteBibliography"/>
      </w:pPr>
      <w:r w:rsidRPr="00EE1C5C">
        <w:rPr>
          <w:lang w:val="en-GB"/>
        </w:rPr>
        <w:fldChar w:fldCharType="begin"/>
      </w:r>
      <w:r w:rsidRPr="00EE1C5C">
        <w:rPr>
          <w:lang w:val="en-GB"/>
        </w:rPr>
        <w:instrText xml:space="preserve"> ADDIN EN.REFLIST </w:instrText>
      </w:r>
      <w:r w:rsidRPr="00EE1C5C">
        <w:rPr>
          <w:lang w:val="en-GB"/>
        </w:rPr>
        <w:fldChar w:fldCharType="separate"/>
      </w:r>
      <w:r w:rsidRPr="00EE1C5C">
        <w:t>1.</w:t>
      </w:r>
      <w:r w:rsidRPr="00EE1C5C">
        <w:tab/>
        <w:t>Train KE. Discrete choice methods with simulation: Cambridge University Press; 2009.</w:t>
      </w:r>
    </w:p>
    <w:p w14:paraId="79FD885F" w14:textId="77777777" w:rsidR="00345CEA" w:rsidRPr="00EE1C5C" w:rsidRDefault="00345CEA" w:rsidP="00345CEA">
      <w:pPr>
        <w:pStyle w:val="EndNoteBibliography"/>
      </w:pPr>
      <w:r w:rsidRPr="00EE1C5C">
        <w:t>2.</w:t>
      </w:r>
      <w:r w:rsidRPr="00EE1C5C">
        <w:tab/>
        <w:t>Hole AR. Estimating mixed logit models using maximum simulated likelihood. Stata Journal. 2007;7(3):388-401.</w:t>
      </w:r>
    </w:p>
    <w:p w14:paraId="7116ADA8" w14:textId="77777777" w:rsidR="00345CEA" w:rsidRPr="00EE1C5C" w:rsidRDefault="00345CEA" w:rsidP="00345CEA">
      <w:pPr>
        <w:pStyle w:val="EndNoteBibliography"/>
      </w:pPr>
      <w:r w:rsidRPr="00EE1C5C">
        <w:t>3.</w:t>
      </w:r>
      <w:r w:rsidRPr="00EE1C5C">
        <w:tab/>
        <w:t>Bech M, Gyrd-Hansen D. Effects coding in discrete choice experiments. Health Econ. 2005;14(10):1079-83. doi: 10.1002/hec.984. PubMed PMID: 15852455.</w:t>
      </w:r>
    </w:p>
    <w:p w14:paraId="12491D5B" w14:textId="3D4E544F" w:rsidR="006F1431" w:rsidRPr="006F1431" w:rsidRDefault="00345CEA" w:rsidP="006F1431">
      <w:pPr>
        <w:rPr>
          <w:lang w:val="en-GB"/>
        </w:rPr>
      </w:pPr>
      <w:r w:rsidRPr="00EE1C5C">
        <w:rPr>
          <w:lang w:val="en-GB"/>
        </w:rPr>
        <w:fldChar w:fldCharType="end"/>
      </w:r>
    </w:p>
    <w:sectPr w:rsidR="006F1431" w:rsidRPr="006F1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pstre22vvrvter9s9xv9tx0ppszefw00ez&quot;&gt;E-com@eu&lt;record-ids&gt;&lt;item&gt;2372&lt;/item&gt;&lt;item&gt;2524&lt;/item&gt;&lt;item&gt;2637&lt;/item&gt;&lt;/record-ids&gt;&lt;/item&gt;&lt;/Libraries&gt;"/>
  </w:docVars>
  <w:rsids>
    <w:rsidRoot w:val="00972506"/>
    <w:rsid w:val="00095FEC"/>
    <w:rsid w:val="00274BEA"/>
    <w:rsid w:val="00345CEA"/>
    <w:rsid w:val="00531598"/>
    <w:rsid w:val="005573B9"/>
    <w:rsid w:val="005A20EE"/>
    <w:rsid w:val="005A2870"/>
    <w:rsid w:val="005D5E97"/>
    <w:rsid w:val="006A4FD1"/>
    <w:rsid w:val="006F1431"/>
    <w:rsid w:val="00730269"/>
    <w:rsid w:val="00867DEA"/>
    <w:rsid w:val="008B3F79"/>
    <w:rsid w:val="0092155D"/>
    <w:rsid w:val="00972506"/>
    <w:rsid w:val="00BF3B97"/>
    <w:rsid w:val="00C104B9"/>
    <w:rsid w:val="00C2169E"/>
    <w:rsid w:val="00D60014"/>
    <w:rsid w:val="00DA379F"/>
    <w:rsid w:val="00DB1B04"/>
    <w:rsid w:val="00EB1931"/>
    <w:rsid w:val="00EE1C5C"/>
    <w:rsid w:val="00F020D3"/>
    <w:rsid w:val="00F67878"/>
    <w:rsid w:val="00FB394D"/>
    <w:rsid w:val="00FB60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9AB5"/>
  <w15:docId w15:val="{8616EA69-6AE7-4046-BB58-F0CF761D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BEA"/>
  </w:style>
  <w:style w:type="paragraph" w:styleId="Overskrift1">
    <w:name w:val="heading 1"/>
    <w:basedOn w:val="Normal"/>
    <w:next w:val="Normal"/>
    <w:link w:val="Overskrift1Tegn"/>
    <w:uiPriority w:val="9"/>
    <w:qFormat/>
    <w:rsid w:val="00274B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F3B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74BEA"/>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27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2169E"/>
    <w:pPr>
      <w:jc w:val="center"/>
    </w:pPr>
    <w:rPr>
      <w:rFonts w:ascii="Calibri" w:hAnsi="Calibri"/>
      <w:noProof/>
      <w:lang w:val="en-US"/>
    </w:rPr>
  </w:style>
  <w:style w:type="character" w:customStyle="1" w:styleId="EndNoteBibliographyTitleChar">
    <w:name w:val="EndNote Bibliography Title Char"/>
    <w:basedOn w:val="Standardskrifttypeiafsnit"/>
    <w:link w:val="EndNoteBibliographyTitle"/>
    <w:rsid w:val="00C2169E"/>
    <w:rPr>
      <w:rFonts w:ascii="Calibri" w:hAnsi="Calibri"/>
      <w:noProof/>
      <w:lang w:val="en-US"/>
    </w:rPr>
  </w:style>
  <w:style w:type="paragraph" w:customStyle="1" w:styleId="EndNoteBibliography">
    <w:name w:val="EndNote Bibliography"/>
    <w:basedOn w:val="Normal"/>
    <w:link w:val="EndNoteBibliographyChar"/>
    <w:rsid w:val="00C2169E"/>
    <w:rPr>
      <w:rFonts w:ascii="Calibri" w:hAnsi="Calibri"/>
      <w:noProof/>
      <w:lang w:val="en-US"/>
    </w:rPr>
  </w:style>
  <w:style w:type="character" w:customStyle="1" w:styleId="EndNoteBibliographyChar">
    <w:name w:val="EndNote Bibliography Char"/>
    <w:basedOn w:val="Standardskrifttypeiafsnit"/>
    <w:link w:val="EndNoteBibliography"/>
    <w:rsid w:val="00C2169E"/>
    <w:rPr>
      <w:rFonts w:ascii="Calibri" w:hAnsi="Calibri"/>
      <w:noProof/>
      <w:lang w:val="en-US"/>
    </w:rPr>
  </w:style>
  <w:style w:type="paragraph" w:styleId="Markeringsbobletekst">
    <w:name w:val="Balloon Text"/>
    <w:basedOn w:val="Normal"/>
    <w:link w:val="MarkeringsbobletekstTegn"/>
    <w:uiPriority w:val="99"/>
    <w:semiHidden/>
    <w:unhideWhenUsed/>
    <w:rsid w:val="005A287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2870"/>
    <w:rPr>
      <w:rFonts w:ascii="Tahoma" w:hAnsi="Tahoma" w:cs="Tahoma"/>
      <w:sz w:val="16"/>
      <w:szCs w:val="16"/>
    </w:rPr>
  </w:style>
  <w:style w:type="character" w:styleId="Kommentarhenvisning">
    <w:name w:val="annotation reference"/>
    <w:basedOn w:val="Standardskrifttypeiafsnit"/>
    <w:uiPriority w:val="99"/>
    <w:semiHidden/>
    <w:unhideWhenUsed/>
    <w:rsid w:val="00DB1B04"/>
    <w:rPr>
      <w:sz w:val="16"/>
      <w:szCs w:val="16"/>
    </w:rPr>
  </w:style>
  <w:style w:type="paragraph" w:styleId="Kommentartekst">
    <w:name w:val="annotation text"/>
    <w:basedOn w:val="Normal"/>
    <w:link w:val="KommentartekstTegn"/>
    <w:uiPriority w:val="99"/>
    <w:semiHidden/>
    <w:unhideWhenUsed/>
    <w:rsid w:val="00DB1B04"/>
    <w:rPr>
      <w:sz w:val="20"/>
      <w:szCs w:val="20"/>
    </w:rPr>
  </w:style>
  <w:style w:type="character" w:customStyle="1" w:styleId="KommentartekstTegn">
    <w:name w:val="Kommentartekst Tegn"/>
    <w:basedOn w:val="Standardskrifttypeiafsnit"/>
    <w:link w:val="Kommentartekst"/>
    <w:uiPriority w:val="99"/>
    <w:semiHidden/>
    <w:rsid w:val="00DB1B04"/>
    <w:rPr>
      <w:sz w:val="20"/>
      <w:szCs w:val="20"/>
    </w:rPr>
  </w:style>
  <w:style w:type="paragraph" w:styleId="Kommentaremne">
    <w:name w:val="annotation subject"/>
    <w:basedOn w:val="Kommentartekst"/>
    <w:next w:val="Kommentartekst"/>
    <w:link w:val="KommentaremneTegn"/>
    <w:uiPriority w:val="99"/>
    <w:semiHidden/>
    <w:unhideWhenUsed/>
    <w:rsid w:val="00DB1B04"/>
    <w:rPr>
      <w:b/>
      <w:bCs/>
    </w:rPr>
  </w:style>
  <w:style w:type="character" w:customStyle="1" w:styleId="KommentaremneTegn">
    <w:name w:val="Kommentaremne Tegn"/>
    <w:basedOn w:val="KommentartekstTegn"/>
    <w:link w:val="Kommentaremne"/>
    <w:uiPriority w:val="99"/>
    <w:semiHidden/>
    <w:rsid w:val="00DB1B04"/>
    <w:rPr>
      <w:b/>
      <w:bCs/>
      <w:sz w:val="20"/>
      <w:szCs w:val="20"/>
    </w:rPr>
  </w:style>
  <w:style w:type="character" w:customStyle="1" w:styleId="Overskrift2Tegn">
    <w:name w:val="Overskrift 2 Tegn"/>
    <w:basedOn w:val="Standardskrifttypeiafsnit"/>
    <w:link w:val="Overskrift2"/>
    <w:uiPriority w:val="9"/>
    <w:rsid w:val="00BF3B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071130">
      <w:bodyDiv w:val="1"/>
      <w:marLeft w:val="0"/>
      <w:marRight w:val="0"/>
      <w:marTop w:val="0"/>
      <w:marBottom w:val="0"/>
      <w:divBdr>
        <w:top w:val="none" w:sz="0" w:space="0" w:color="auto"/>
        <w:left w:val="none" w:sz="0" w:space="0" w:color="auto"/>
        <w:bottom w:val="none" w:sz="0" w:space="0" w:color="auto"/>
        <w:right w:val="none" w:sz="0" w:space="0" w:color="auto"/>
      </w:divBdr>
    </w:div>
    <w:div w:id="15240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51DD-3AB3-4734-BD43-F48FF957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936</Words>
  <Characters>5710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RIVM</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Domino Determann</dc:creator>
  <cp:lastModifiedBy>Line Bjørnskov Pedersen</cp:lastModifiedBy>
  <cp:revision>7</cp:revision>
  <dcterms:created xsi:type="dcterms:W3CDTF">2018-11-05T13:09:00Z</dcterms:created>
  <dcterms:modified xsi:type="dcterms:W3CDTF">2019-06-07T18:39:00Z</dcterms:modified>
</cp:coreProperties>
</file>