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9C55" w14:textId="53A0F068" w:rsidR="00240CDA" w:rsidRDefault="00214675" w:rsidP="00240CDA">
      <w:pPr>
        <w:rPr>
          <w:rFonts w:ascii="Cambria" w:eastAsia="MS Mincho" w:hAnsi="Cambria" w:cs="Times New Roman"/>
          <w:b/>
          <w:lang w:val="en-US" w:eastAsia="sv-S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D32860A" wp14:editId="368C20AB">
            <wp:extent cx="5756910" cy="2978785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o colo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6BDD" w14:textId="77777777" w:rsidR="00214675" w:rsidRPr="002B5263" w:rsidRDefault="00214675" w:rsidP="00214675">
      <w:pPr>
        <w:rPr>
          <w:b/>
          <w:lang w:val="en-US"/>
        </w:rPr>
      </w:pPr>
      <w:r w:rsidRPr="002B5263">
        <w:rPr>
          <w:b/>
          <w:lang w:val="en-US"/>
        </w:rPr>
        <w:t xml:space="preserve">Figure 2A. Extension map of the use of </w:t>
      </w:r>
      <w:proofErr w:type="spellStart"/>
      <w:r w:rsidRPr="002B5263">
        <w:rPr>
          <w:b/>
          <w:i/>
          <w:lang w:val="en-US"/>
        </w:rPr>
        <w:t>klɛŋ</w:t>
      </w:r>
      <w:proofErr w:type="spellEnd"/>
      <w:r w:rsidRPr="002B5263">
        <w:rPr>
          <w:b/>
          <w:lang w:val="en-US"/>
        </w:rPr>
        <w:t>,</w:t>
      </w:r>
      <w:r w:rsidRPr="002B5263">
        <w:rPr>
          <w:b/>
          <w:i/>
          <w:lang w:val="en-US"/>
        </w:rPr>
        <w:t xml:space="preserve"> </w:t>
      </w:r>
      <w:proofErr w:type="spellStart"/>
      <w:r w:rsidRPr="002B5263">
        <w:rPr>
          <w:b/>
          <w:i/>
          <w:lang w:val="en-US"/>
        </w:rPr>
        <w:t>lɛŋ</w:t>
      </w:r>
      <w:proofErr w:type="spellEnd"/>
      <w:r w:rsidRPr="002B5263">
        <w:rPr>
          <w:b/>
          <w:i/>
          <w:lang w:val="en-US"/>
        </w:rPr>
        <w:t xml:space="preserve"> </w:t>
      </w:r>
      <w:r w:rsidRPr="002B5263">
        <w:rPr>
          <w:b/>
          <w:lang w:val="en-US"/>
        </w:rPr>
        <w:t xml:space="preserve">and </w:t>
      </w:r>
      <w:proofErr w:type="spellStart"/>
      <w:r w:rsidRPr="002B5263">
        <w:rPr>
          <w:b/>
          <w:i/>
          <w:lang w:val="en-US"/>
        </w:rPr>
        <w:t>daləm</w:t>
      </w:r>
      <w:proofErr w:type="spellEnd"/>
      <w:r w:rsidRPr="002B5263">
        <w:rPr>
          <w:b/>
          <w:i/>
          <w:lang w:val="en-US"/>
        </w:rPr>
        <w:t xml:space="preserve"> </w:t>
      </w:r>
      <w:r w:rsidRPr="007E5E8A">
        <w:rPr>
          <w:b/>
          <w:lang w:val="en-US"/>
        </w:rPr>
        <w:t>by the</w:t>
      </w:r>
      <w:r w:rsidRPr="00583F29">
        <w:rPr>
          <w:b/>
          <w:lang w:val="en-US"/>
        </w:rPr>
        <w:t xml:space="preserve"> </w:t>
      </w:r>
      <w:proofErr w:type="spellStart"/>
      <w:r w:rsidRPr="00583F29">
        <w:rPr>
          <w:b/>
          <w:lang w:val="en-US"/>
        </w:rPr>
        <w:t>Jedek</w:t>
      </w:r>
      <w:proofErr w:type="spellEnd"/>
      <w:r w:rsidRPr="00583F29">
        <w:rPr>
          <w:b/>
          <w:lang w:val="en-US"/>
        </w:rPr>
        <w:t xml:space="preserve"> monolinguals.</w:t>
      </w:r>
      <w:r w:rsidRPr="00A635F2">
        <w:rPr>
          <w:b/>
          <w:lang w:val="en-US"/>
        </w:rPr>
        <w:t xml:space="preserve"> Figure 2B. Extension map of the use of </w:t>
      </w:r>
      <w:proofErr w:type="spellStart"/>
      <w:r w:rsidRPr="00A635F2">
        <w:rPr>
          <w:b/>
          <w:i/>
          <w:lang w:val="en-US"/>
        </w:rPr>
        <w:t>klɛŋ</w:t>
      </w:r>
      <w:proofErr w:type="spellEnd"/>
      <w:r w:rsidRPr="00A635F2">
        <w:rPr>
          <w:b/>
          <w:i/>
          <w:lang w:val="en-US"/>
        </w:rPr>
        <w:t xml:space="preserve"> </w:t>
      </w:r>
      <w:r w:rsidRPr="00A635F2">
        <w:rPr>
          <w:b/>
          <w:lang w:val="en-US"/>
        </w:rPr>
        <w:t xml:space="preserve">and </w:t>
      </w:r>
      <w:r w:rsidRPr="00A635F2">
        <w:rPr>
          <w:b/>
          <w:i/>
          <w:lang w:val="en-US"/>
        </w:rPr>
        <w:t xml:space="preserve">k= </w:t>
      </w:r>
      <w:r w:rsidRPr="00A635F2">
        <w:rPr>
          <w:b/>
          <w:lang w:val="en-US"/>
        </w:rPr>
        <w:t xml:space="preserve">by the </w:t>
      </w:r>
      <w:proofErr w:type="spellStart"/>
      <w:r w:rsidRPr="00A635F2">
        <w:rPr>
          <w:b/>
          <w:lang w:val="en-US"/>
        </w:rPr>
        <w:t>Jahai</w:t>
      </w:r>
      <w:proofErr w:type="spellEnd"/>
      <w:r w:rsidRPr="00A635F2">
        <w:rPr>
          <w:b/>
          <w:lang w:val="en-US"/>
        </w:rPr>
        <w:t xml:space="preserve"> monolinguals</w:t>
      </w:r>
      <w:r w:rsidRPr="002B5263">
        <w:rPr>
          <w:b/>
          <w:lang w:val="en-US"/>
        </w:rPr>
        <w:t xml:space="preserve">. </w:t>
      </w:r>
      <w:r>
        <w:rPr>
          <w:lang w:val="en-US"/>
        </w:rPr>
        <w:t>Y</w:t>
      </w:r>
      <w:r w:rsidRPr="002B5263">
        <w:rPr>
          <w:lang w:val="en-US"/>
        </w:rPr>
        <w:t>ellow=containment scenes; green=body-part-as-Ground scenes; blue=attachment scenes</w:t>
      </w:r>
      <w:r>
        <w:rPr>
          <w:lang w:val="en-US"/>
        </w:rPr>
        <w:t>; red=superjacent scenes.</w:t>
      </w:r>
      <w:r w:rsidRPr="002B5263">
        <w:rPr>
          <w:lang w:val="en-US"/>
        </w:rPr>
        <w:t xml:space="preserve"> Lines indicate scenes labeled with a TRM by more than 33% of speakers.</w:t>
      </w:r>
    </w:p>
    <w:p w14:paraId="73915EA0" w14:textId="77777777" w:rsidR="000B29AA" w:rsidRDefault="000B29AA">
      <w:pPr>
        <w:rPr>
          <w:lang w:val="en-US"/>
        </w:rPr>
      </w:pPr>
      <w:r>
        <w:rPr>
          <w:lang w:val="en-US"/>
        </w:rPr>
        <w:br w:type="page"/>
      </w:r>
    </w:p>
    <w:p w14:paraId="2AE81D55" w14:textId="68DE93DF" w:rsidR="000B29AA" w:rsidRDefault="00214675" w:rsidP="000B29AA">
      <w:pPr>
        <w:rPr>
          <w:rFonts w:ascii="Cambria" w:eastAsia="MS Mincho" w:hAnsi="Cambria" w:cs="Times New Roman"/>
          <w:b/>
          <w:lang w:val="en-US" w:eastAsia="sv-SE"/>
        </w:rPr>
      </w:pPr>
      <w:r w:rsidRPr="00214675">
        <w:rPr>
          <w:noProof/>
          <w:lang w:val="en-US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398C0761" wp14:editId="4C4D1DFC">
            <wp:extent cx="5756910" cy="312610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Dbi colou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DC90" w14:textId="77777777" w:rsidR="00214675" w:rsidRPr="009D00EC" w:rsidRDefault="00214675" w:rsidP="00214675">
      <w:pPr>
        <w:rPr>
          <w:b/>
          <w:lang w:val="en-US"/>
        </w:rPr>
      </w:pPr>
      <w:r w:rsidRPr="002B5263">
        <w:rPr>
          <w:b/>
          <w:lang w:val="en-US"/>
        </w:rPr>
        <w:t xml:space="preserve">Figure </w:t>
      </w:r>
      <w:r>
        <w:rPr>
          <w:b/>
          <w:lang w:val="en-US"/>
        </w:rPr>
        <w:t>3</w:t>
      </w:r>
      <w:r w:rsidRPr="002B5263">
        <w:rPr>
          <w:b/>
          <w:lang w:val="en-US"/>
        </w:rPr>
        <w:t xml:space="preserve">A. </w:t>
      </w:r>
      <w:r>
        <w:rPr>
          <w:b/>
          <w:lang w:val="en-US"/>
        </w:rPr>
        <w:t>Id-</w:t>
      </w:r>
      <w:proofErr w:type="spellStart"/>
      <w:r w:rsidRPr="002B5263">
        <w:rPr>
          <w:b/>
          <w:lang w:val="en-US"/>
        </w:rPr>
        <w:t>Jedek</w:t>
      </w:r>
      <w:proofErr w:type="spellEnd"/>
      <w:r w:rsidRPr="002B5263">
        <w:rPr>
          <w:b/>
          <w:lang w:val="en-US"/>
        </w:rPr>
        <w:t xml:space="preserve"> bilinguals’ use of </w:t>
      </w:r>
      <w:proofErr w:type="spellStart"/>
      <w:r w:rsidRPr="002B5263">
        <w:rPr>
          <w:b/>
          <w:i/>
          <w:lang w:val="en-US"/>
        </w:rPr>
        <w:t>klɛŋ</w:t>
      </w:r>
      <w:proofErr w:type="spellEnd"/>
      <w:r w:rsidRPr="002B5263">
        <w:rPr>
          <w:b/>
          <w:lang w:val="en-US"/>
        </w:rPr>
        <w:t>,</w:t>
      </w:r>
      <w:r w:rsidRPr="00975933">
        <w:rPr>
          <w:b/>
          <w:lang w:val="en-US"/>
        </w:rPr>
        <w:t xml:space="preserve"> </w:t>
      </w:r>
      <w:proofErr w:type="spellStart"/>
      <w:r w:rsidRPr="007E5E8A">
        <w:rPr>
          <w:b/>
          <w:i/>
          <w:lang w:val="en-US"/>
        </w:rPr>
        <w:t>l</w:t>
      </w:r>
      <w:r w:rsidRPr="00F14F52">
        <w:rPr>
          <w:b/>
          <w:i/>
          <w:lang w:val="en-US"/>
        </w:rPr>
        <w:t>ɛŋ</w:t>
      </w:r>
      <w:proofErr w:type="spellEnd"/>
      <w:r w:rsidRPr="00583F29">
        <w:rPr>
          <w:b/>
          <w:lang w:val="en-US"/>
        </w:rPr>
        <w:t xml:space="preserve"> and </w:t>
      </w:r>
      <w:proofErr w:type="spellStart"/>
      <w:r w:rsidRPr="00583F29">
        <w:rPr>
          <w:b/>
          <w:i/>
          <w:lang w:val="en-US"/>
        </w:rPr>
        <w:t>dal</w:t>
      </w:r>
      <w:r w:rsidRPr="00A635F2">
        <w:rPr>
          <w:b/>
          <w:i/>
          <w:lang w:val="en-US"/>
        </w:rPr>
        <w:t>əm</w:t>
      </w:r>
      <w:proofErr w:type="spellEnd"/>
      <w:r w:rsidRPr="00A635F2">
        <w:rPr>
          <w:b/>
          <w:i/>
          <w:lang w:val="en-US"/>
        </w:rPr>
        <w:t xml:space="preserve"> </w:t>
      </w:r>
      <w:r w:rsidRPr="00A635F2">
        <w:rPr>
          <w:b/>
          <w:lang w:val="en-US"/>
        </w:rPr>
        <w:t xml:space="preserve">in </w:t>
      </w:r>
      <w:proofErr w:type="spellStart"/>
      <w:r w:rsidRPr="00A635F2">
        <w:rPr>
          <w:b/>
          <w:lang w:val="en-US"/>
        </w:rPr>
        <w:t>Jedek</w:t>
      </w:r>
      <w:proofErr w:type="spellEnd"/>
      <w:r w:rsidRPr="00A635F2">
        <w:rPr>
          <w:b/>
          <w:lang w:val="en-US"/>
        </w:rPr>
        <w:t xml:space="preserve">. </w:t>
      </w:r>
    </w:p>
    <w:p w14:paraId="2C775535" w14:textId="77777777" w:rsidR="00214675" w:rsidRPr="002B5263" w:rsidRDefault="00214675" w:rsidP="00214675">
      <w:pPr>
        <w:rPr>
          <w:lang w:val="en-US"/>
        </w:rPr>
      </w:pPr>
      <w:r w:rsidRPr="002B5263">
        <w:rPr>
          <w:b/>
          <w:lang w:val="en-US"/>
        </w:rPr>
        <w:t xml:space="preserve">Figure </w:t>
      </w:r>
      <w:r>
        <w:rPr>
          <w:b/>
          <w:lang w:val="en-US"/>
        </w:rPr>
        <w:t>3</w:t>
      </w:r>
      <w:r w:rsidRPr="002B5263">
        <w:rPr>
          <w:b/>
          <w:lang w:val="en-US"/>
        </w:rPr>
        <w:t xml:space="preserve">B. </w:t>
      </w:r>
      <w:r>
        <w:rPr>
          <w:b/>
          <w:lang w:val="en-US"/>
        </w:rPr>
        <w:t>Id-</w:t>
      </w:r>
      <w:proofErr w:type="spellStart"/>
      <w:r w:rsidRPr="002B5263">
        <w:rPr>
          <w:b/>
          <w:lang w:val="en-US"/>
        </w:rPr>
        <w:t>Jedek</w:t>
      </w:r>
      <w:proofErr w:type="spellEnd"/>
      <w:r w:rsidRPr="002B5263">
        <w:rPr>
          <w:b/>
          <w:lang w:val="en-US"/>
        </w:rPr>
        <w:t xml:space="preserve"> bilinguals’ use of </w:t>
      </w:r>
      <w:proofErr w:type="spellStart"/>
      <w:r w:rsidRPr="002B5263">
        <w:rPr>
          <w:b/>
          <w:i/>
          <w:lang w:val="en-US"/>
        </w:rPr>
        <w:t>klɛŋ</w:t>
      </w:r>
      <w:proofErr w:type="spellEnd"/>
      <w:r w:rsidRPr="002B5263">
        <w:rPr>
          <w:b/>
          <w:lang w:val="en-US"/>
        </w:rPr>
        <w:t xml:space="preserve">, </w:t>
      </w:r>
      <w:proofErr w:type="spellStart"/>
      <w:r w:rsidRPr="002B5263">
        <w:rPr>
          <w:b/>
          <w:i/>
          <w:lang w:val="en-US"/>
        </w:rPr>
        <w:t>lɛŋ</w:t>
      </w:r>
      <w:proofErr w:type="spellEnd"/>
      <w:r w:rsidRPr="002B5263">
        <w:rPr>
          <w:b/>
          <w:lang w:val="en-US"/>
        </w:rPr>
        <w:t xml:space="preserve">, </w:t>
      </w:r>
      <w:proofErr w:type="spellStart"/>
      <w:r w:rsidRPr="002B5263">
        <w:rPr>
          <w:b/>
          <w:i/>
          <w:lang w:val="en-US"/>
        </w:rPr>
        <w:t>daləm</w:t>
      </w:r>
      <w:proofErr w:type="spellEnd"/>
      <w:r w:rsidRPr="002B5263">
        <w:rPr>
          <w:b/>
          <w:i/>
          <w:lang w:val="en-US"/>
        </w:rPr>
        <w:t xml:space="preserve"> </w:t>
      </w:r>
      <w:r w:rsidRPr="002B5263">
        <w:rPr>
          <w:b/>
          <w:lang w:val="en-US"/>
        </w:rPr>
        <w:t xml:space="preserve">and </w:t>
      </w:r>
      <w:r w:rsidRPr="002B5263">
        <w:rPr>
          <w:b/>
          <w:i/>
          <w:lang w:val="en-US"/>
        </w:rPr>
        <w:t xml:space="preserve">k= </w:t>
      </w:r>
      <w:r w:rsidRPr="002B5263">
        <w:rPr>
          <w:b/>
          <w:lang w:val="en-US"/>
        </w:rPr>
        <w:t xml:space="preserve">in </w:t>
      </w:r>
      <w:proofErr w:type="spellStart"/>
      <w:r w:rsidRPr="002B5263">
        <w:rPr>
          <w:b/>
          <w:lang w:val="en-US"/>
        </w:rPr>
        <w:t>Jahai</w:t>
      </w:r>
      <w:proofErr w:type="spellEnd"/>
      <w:r w:rsidRPr="002B5263">
        <w:rPr>
          <w:b/>
          <w:lang w:val="en-US"/>
        </w:rPr>
        <w:t xml:space="preserve">. </w:t>
      </w:r>
      <w:r>
        <w:rPr>
          <w:lang w:val="en-US"/>
        </w:rPr>
        <w:t>Y</w:t>
      </w:r>
      <w:r w:rsidRPr="002B5263">
        <w:rPr>
          <w:lang w:val="en-US"/>
        </w:rPr>
        <w:t>ellow=containment scenes; green=body-part-as-Ground scenes; blue=attachment scenes</w:t>
      </w:r>
      <w:r>
        <w:rPr>
          <w:lang w:val="en-US"/>
        </w:rPr>
        <w:t>; red=superjacent scenes</w:t>
      </w:r>
      <w:r w:rsidRPr="002B5263">
        <w:rPr>
          <w:lang w:val="en-US"/>
        </w:rPr>
        <w:t>. Lines indicate scenes labeled with a TRM by more than 33% of speakers.</w:t>
      </w:r>
    </w:p>
    <w:p w14:paraId="058D5F06" w14:textId="77777777" w:rsidR="00405B07" w:rsidRDefault="00405B07">
      <w:pPr>
        <w:rPr>
          <w:lang w:val="en-US"/>
        </w:rPr>
      </w:pPr>
      <w:r>
        <w:rPr>
          <w:lang w:val="en-US"/>
        </w:rPr>
        <w:br w:type="page"/>
      </w:r>
    </w:p>
    <w:p w14:paraId="1B8328CC" w14:textId="12CB1052" w:rsidR="00405B07" w:rsidRDefault="00214675" w:rsidP="00405B07">
      <w:pPr>
        <w:rPr>
          <w:rFonts w:ascii="Cambria" w:eastAsia="MS Mincho" w:hAnsi="Cambria" w:cs="Times New Roman"/>
          <w:b/>
          <w:lang w:val="en-US" w:eastAsia="sv-SE"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56EF2E40" wp14:editId="7E346BD7">
            <wp:extent cx="5756910" cy="2662555"/>
            <wp:effectExtent l="0" t="0" r="0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Hbi colou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15B2" w14:textId="77777777" w:rsidR="00214675" w:rsidRPr="00975933" w:rsidRDefault="00214675" w:rsidP="00214675">
      <w:pPr>
        <w:rPr>
          <w:b/>
          <w:lang w:val="en-US"/>
        </w:rPr>
      </w:pPr>
      <w:r w:rsidRPr="002B5263">
        <w:rPr>
          <w:b/>
          <w:lang w:val="en-US"/>
        </w:rPr>
        <w:t xml:space="preserve">Figure </w:t>
      </w:r>
      <w:r>
        <w:rPr>
          <w:b/>
          <w:lang w:val="en-US"/>
        </w:rPr>
        <w:t>4</w:t>
      </w:r>
      <w:r w:rsidRPr="002B5263">
        <w:rPr>
          <w:b/>
          <w:lang w:val="en-US"/>
        </w:rPr>
        <w:t xml:space="preserve">A. </w:t>
      </w:r>
      <w:r>
        <w:rPr>
          <w:b/>
          <w:lang w:val="en-US"/>
        </w:rPr>
        <w:t>Id-</w:t>
      </w:r>
      <w:proofErr w:type="spellStart"/>
      <w:r w:rsidRPr="002B5263">
        <w:rPr>
          <w:b/>
          <w:lang w:val="en-US"/>
        </w:rPr>
        <w:t>Jahai</w:t>
      </w:r>
      <w:proofErr w:type="spellEnd"/>
      <w:r w:rsidRPr="002B5263">
        <w:rPr>
          <w:b/>
          <w:lang w:val="en-US"/>
        </w:rPr>
        <w:t xml:space="preserve"> bilinguals’ use of </w:t>
      </w:r>
      <w:proofErr w:type="spellStart"/>
      <w:r w:rsidRPr="002B5263">
        <w:rPr>
          <w:b/>
          <w:i/>
          <w:lang w:val="en-US"/>
        </w:rPr>
        <w:t>klɛŋ</w:t>
      </w:r>
      <w:proofErr w:type="spellEnd"/>
      <w:r w:rsidRPr="002B5263">
        <w:rPr>
          <w:b/>
          <w:lang w:val="en-US"/>
        </w:rPr>
        <w:t xml:space="preserve">, </w:t>
      </w:r>
      <w:proofErr w:type="spellStart"/>
      <w:r w:rsidRPr="002B5263">
        <w:rPr>
          <w:b/>
          <w:i/>
          <w:lang w:val="en-US"/>
        </w:rPr>
        <w:t>lɛŋ</w:t>
      </w:r>
      <w:proofErr w:type="spellEnd"/>
      <w:r w:rsidRPr="002B5263">
        <w:rPr>
          <w:b/>
          <w:i/>
          <w:lang w:val="en-US"/>
        </w:rPr>
        <w:t xml:space="preserve"> </w:t>
      </w:r>
      <w:r w:rsidRPr="002B5263">
        <w:rPr>
          <w:b/>
          <w:lang w:val="en-US"/>
        </w:rPr>
        <w:t xml:space="preserve">and </w:t>
      </w:r>
      <w:proofErr w:type="spellStart"/>
      <w:r w:rsidRPr="002B5263">
        <w:rPr>
          <w:b/>
          <w:i/>
          <w:lang w:val="en-US"/>
        </w:rPr>
        <w:t>daləm</w:t>
      </w:r>
      <w:proofErr w:type="spellEnd"/>
      <w:r w:rsidRPr="002B5263">
        <w:rPr>
          <w:b/>
          <w:lang w:val="en-US"/>
        </w:rPr>
        <w:t xml:space="preserve"> in </w:t>
      </w:r>
      <w:proofErr w:type="spellStart"/>
      <w:r w:rsidRPr="002B5263">
        <w:rPr>
          <w:b/>
          <w:lang w:val="en-US"/>
        </w:rPr>
        <w:t>Jedek</w:t>
      </w:r>
      <w:proofErr w:type="spellEnd"/>
      <w:r w:rsidRPr="00975933">
        <w:rPr>
          <w:b/>
          <w:lang w:val="en-US"/>
        </w:rPr>
        <w:t>.</w:t>
      </w:r>
    </w:p>
    <w:p w14:paraId="40B7549C" w14:textId="77777777" w:rsidR="00214675" w:rsidRPr="002B5263" w:rsidRDefault="00214675" w:rsidP="00214675">
      <w:pPr>
        <w:rPr>
          <w:lang w:val="en-US"/>
        </w:rPr>
      </w:pPr>
      <w:r w:rsidRPr="007E5E8A">
        <w:rPr>
          <w:b/>
          <w:lang w:val="en-US"/>
        </w:rPr>
        <w:t xml:space="preserve">Figure </w:t>
      </w:r>
      <w:r>
        <w:rPr>
          <w:b/>
          <w:lang w:val="en-US"/>
        </w:rPr>
        <w:t>4</w:t>
      </w:r>
      <w:r w:rsidRPr="00F14F52">
        <w:rPr>
          <w:b/>
          <w:lang w:val="en-US"/>
        </w:rPr>
        <w:t xml:space="preserve">B. </w:t>
      </w:r>
      <w:r>
        <w:rPr>
          <w:b/>
          <w:lang w:val="en-US"/>
        </w:rPr>
        <w:t>Id-</w:t>
      </w:r>
      <w:proofErr w:type="spellStart"/>
      <w:r w:rsidRPr="00F14F52">
        <w:rPr>
          <w:b/>
          <w:lang w:val="en-US"/>
        </w:rPr>
        <w:t>Jahai</w:t>
      </w:r>
      <w:proofErr w:type="spellEnd"/>
      <w:r w:rsidRPr="00F14F52">
        <w:rPr>
          <w:b/>
          <w:lang w:val="en-US"/>
        </w:rPr>
        <w:t xml:space="preserve"> bilinguals’ use of </w:t>
      </w:r>
      <w:proofErr w:type="spellStart"/>
      <w:r w:rsidRPr="00F14F52">
        <w:rPr>
          <w:b/>
          <w:i/>
          <w:lang w:val="en-US"/>
        </w:rPr>
        <w:t>klɛ</w:t>
      </w:r>
      <w:r w:rsidRPr="001B369F">
        <w:rPr>
          <w:b/>
          <w:i/>
          <w:lang w:val="en-US"/>
        </w:rPr>
        <w:t>ŋ</w:t>
      </w:r>
      <w:proofErr w:type="spellEnd"/>
      <w:r w:rsidRPr="00051906">
        <w:rPr>
          <w:b/>
          <w:lang w:val="en-US"/>
        </w:rPr>
        <w:t xml:space="preserve">, </w:t>
      </w:r>
      <w:proofErr w:type="spellStart"/>
      <w:r w:rsidRPr="00051906">
        <w:rPr>
          <w:b/>
          <w:i/>
          <w:lang w:val="en-US"/>
        </w:rPr>
        <w:t>l</w:t>
      </w:r>
      <w:r w:rsidRPr="008C05AA">
        <w:rPr>
          <w:b/>
          <w:i/>
          <w:lang w:val="en-US"/>
        </w:rPr>
        <w:t>ɛ</w:t>
      </w:r>
      <w:r w:rsidRPr="00B35CD4">
        <w:rPr>
          <w:b/>
          <w:i/>
          <w:lang w:val="en-US"/>
        </w:rPr>
        <w:t>ŋ</w:t>
      </w:r>
      <w:proofErr w:type="spellEnd"/>
      <w:r w:rsidRPr="00A9347A">
        <w:rPr>
          <w:b/>
          <w:lang w:val="en-US"/>
        </w:rPr>
        <w:t xml:space="preserve">, </w:t>
      </w:r>
      <w:proofErr w:type="spellStart"/>
      <w:r w:rsidRPr="00A9347A">
        <w:rPr>
          <w:b/>
          <w:i/>
          <w:lang w:val="en-US"/>
        </w:rPr>
        <w:t>daləm</w:t>
      </w:r>
      <w:proofErr w:type="spellEnd"/>
      <w:r w:rsidRPr="00A9347A">
        <w:rPr>
          <w:b/>
          <w:i/>
          <w:lang w:val="en-US"/>
        </w:rPr>
        <w:t xml:space="preserve"> </w:t>
      </w:r>
      <w:r w:rsidRPr="00A9347A">
        <w:rPr>
          <w:b/>
          <w:lang w:val="en-US"/>
        </w:rPr>
        <w:t xml:space="preserve">and </w:t>
      </w:r>
      <w:r w:rsidRPr="00A9347A">
        <w:rPr>
          <w:b/>
          <w:i/>
          <w:lang w:val="en-US"/>
        </w:rPr>
        <w:t>k=</w:t>
      </w:r>
      <w:r w:rsidRPr="00A9347A">
        <w:rPr>
          <w:b/>
          <w:lang w:val="en-US"/>
        </w:rPr>
        <w:t xml:space="preserve"> in </w:t>
      </w:r>
      <w:proofErr w:type="spellStart"/>
      <w:r w:rsidRPr="00A9347A">
        <w:rPr>
          <w:b/>
          <w:lang w:val="en-US"/>
        </w:rPr>
        <w:t>Jahai</w:t>
      </w:r>
      <w:proofErr w:type="spellEnd"/>
      <w:r w:rsidRPr="00A9347A">
        <w:rPr>
          <w:b/>
          <w:lang w:val="en-US"/>
        </w:rPr>
        <w:t>.</w:t>
      </w:r>
      <w:r w:rsidRPr="00A9347A">
        <w:rPr>
          <w:lang w:val="en-US"/>
        </w:rPr>
        <w:t xml:space="preserve"> </w:t>
      </w:r>
      <w:r>
        <w:rPr>
          <w:lang w:val="en-US"/>
        </w:rPr>
        <w:t>Y</w:t>
      </w:r>
      <w:r w:rsidRPr="00A9347A">
        <w:rPr>
          <w:lang w:val="en-US"/>
        </w:rPr>
        <w:t>ellow=containment scenes; green=body-part-as-Ground scenes; blue=attachment s</w:t>
      </w:r>
      <w:r w:rsidRPr="00583F29">
        <w:rPr>
          <w:lang w:val="en-US"/>
        </w:rPr>
        <w:t>cenes</w:t>
      </w:r>
      <w:r>
        <w:rPr>
          <w:lang w:val="en-US"/>
        </w:rPr>
        <w:t>; red=superjacent scenes; orange=adjacent scenes</w:t>
      </w:r>
      <w:r w:rsidRPr="00583F29">
        <w:rPr>
          <w:lang w:val="en-US"/>
        </w:rPr>
        <w:t>. Lines indicate scenes labeled with a TRM by more than 33% of speakers.</w:t>
      </w:r>
    </w:p>
    <w:p w14:paraId="62E2CBBA" w14:textId="77777777" w:rsidR="00020C0D" w:rsidRDefault="00020C0D">
      <w:pPr>
        <w:rPr>
          <w:lang w:val="en-US"/>
        </w:rPr>
      </w:pPr>
      <w:r>
        <w:rPr>
          <w:lang w:val="en-US"/>
        </w:rPr>
        <w:br w:type="page"/>
      </w:r>
    </w:p>
    <w:p w14:paraId="31AE95A2" w14:textId="100CD318" w:rsidR="00020C0D" w:rsidRDefault="00214675" w:rsidP="00020C0D">
      <w:pPr>
        <w:rPr>
          <w:rFonts w:ascii="Cambria" w:eastAsia="MS Mincho" w:hAnsi="Cambria" w:cs="Times New Roman"/>
          <w:b/>
          <w:lang w:val="en-US" w:eastAsia="sv-SE"/>
        </w:rPr>
      </w:pPr>
      <w:r w:rsidRPr="00214675">
        <w:rPr>
          <w:noProof/>
          <w:lang w:val="en-US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612A84D8" wp14:editId="5CA16993">
            <wp:extent cx="5756910" cy="46132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est group congruence colou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3362" w14:textId="1F9B0360" w:rsidR="004617DC" w:rsidRDefault="00020C0D" w:rsidP="00020C0D">
      <w:pPr>
        <w:rPr>
          <w:rFonts w:ascii="Cambria" w:eastAsia="MS Mincho" w:hAnsi="Cambria" w:cs="Times New Roman"/>
          <w:b/>
          <w:lang w:val="en-US" w:eastAsia="sv-SE"/>
        </w:rPr>
      </w:pPr>
      <w:r w:rsidRPr="00020C0D">
        <w:rPr>
          <w:rFonts w:ascii="Cambria" w:eastAsia="MS Mincho" w:hAnsi="Cambria" w:cs="Times New Roman"/>
          <w:b/>
          <w:lang w:val="en-US" w:eastAsia="sv-SE"/>
        </w:rPr>
        <w:t>Figure 5. Group-level congruence of TRM pairs for the three groups.</w:t>
      </w:r>
    </w:p>
    <w:p w14:paraId="0952EDAD" w14:textId="77777777" w:rsidR="004617DC" w:rsidRDefault="004617DC">
      <w:pPr>
        <w:rPr>
          <w:rFonts w:ascii="Cambria" w:eastAsia="MS Mincho" w:hAnsi="Cambria" w:cs="Times New Roman"/>
          <w:b/>
          <w:lang w:val="en-US" w:eastAsia="sv-SE"/>
        </w:rPr>
      </w:pPr>
      <w:r>
        <w:rPr>
          <w:rFonts w:ascii="Cambria" w:eastAsia="MS Mincho" w:hAnsi="Cambria" w:cs="Times New Roman"/>
          <w:b/>
          <w:lang w:val="en-US" w:eastAsia="sv-SE"/>
        </w:rPr>
        <w:br w:type="page"/>
      </w:r>
    </w:p>
    <w:p w14:paraId="4D74CCBB" w14:textId="5C8A305C" w:rsidR="00020C0D" w:rsidRDefault="00214675" w:rsidP="00020C0D">
      <w:pPr>
        <w:rPr>
          <w:rFonts w:ascii="Cambria" w:eastAsia="MS Mincho" w:hAnsi="Cambria" w:cs="Times New Roman"/>
          <w:b/>
          <w:lang w:val="en-US" w:eastAsia="sv-SE"/>
        </w:rPr>
      </w:pPr>
      <w:r w:rsidRPr="00214675">
        <w:rPr>
          <w:noProof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198D2B8A" wp14:editId="039559B8">
            <wp:extent cx="5756910" cy="4541520"/>
            <wp:effectExtent l="0" t="0" r="0" b="508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test individual congruence 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F555" w14:textId="791E9BFC" w:rsidR="004617DC" w:rsidRPr="004617DC" w:rsidRDefault="004617DC" w:rsidP="004617DC">
      <w:pPr>
        <w:rPr>
          <w:rFonts w:ascii="Cambria" w:eastAsia="MS Mincho" w:hAnsi="Cambria" w:cs="Times New Roman"/>
          <w:b/>
          <w:lang w:val="en-US" w:eastAsia="sv-SE"/>
        </w:rPr>
      </w:pPr>
      <w:r w:rsidRPr="004617DC">
        <w:rPr>
          <w:rFonts w:ascii="Cambria" w:eastAsia="MS Mincho" w:hAnsi="Cambria" w:cs="Times New Roman"/>
          <w:b/>
          <w:lang w:val="en-US" w:eastAsia="sv-SE"/>
        </w:rPr>
        <w:t>Figure 6. Mean individual congruence of TRM pairs for the two bilingual groups.</w:t>
      </w:r>
    </w:p>
    <w:p w14:paraId="487677B9" w14:textId="77777777" w:rsidR="004617DC" w:rsidRPr="00020C0D" w:rsidRDefault="004617DC" w:rsidP="00020C0D">
      <w:pPr>
        <w:rPr>
          <w:rFonts w:ascii="Cambria" w:eastAsia="MS Mincho" w:hAnsi="Cambria" w:cs="Times New Roman"/>
          <w:b/>
          <w:lang w:val="en-US" w:eastAsia="sv-SE"/>
        </w:rPr>
      </w:pPr>
    </w:p>
    <w:p w14:paraId="03DBD6BE" w14:textId="77777777" w:rsidR="00DF4FCB" w:rsidRPr="00240CDA" w:rsidRDefault="00206E73">
      <w:pPr>
        <w:rPr>
          <w:lang w:val="en-US"/>
        </w:rPr>
      </w:pPr>
    </w:p>
    <w:sectPr w:rsidR="00DF4FCB" w:rsidRPr="00240CDA" w:rsidSect="000D62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A"/>
    <w:rsid w:val="00020C0D"/>
    <w:rsid w:val="0009342E"/>
    <w:rsid w:val="000B29AA"/>
    <w:rsid w:val="000D62BE"/>
    <w:rsid w:val="000F3F6B"/>
    <w:rsid w:val="00206E73"/>
    <w:rsid w:val="00214675"/>
    <w:rsid w:val="00240CDA"/>
    <w:rsid w:val="00405B07"/>
    <w:rsid w:val="004617DC"/>
    <w:rsid w:val="004D6A72"/>
    <w:rsid w:val="005257BE"/>
    <w:rsid w:val="0060505E"/>
    <w:rsid w:val="00615422"/>
    <w:rsid w:val="00682D32"/>
    <w:rsid w:val="007E73F7"/>
    <w:rsid w:val="008B56EB"/>
    <w:rsid w:val="009F35AB"/>
    <w:rsid w:val="00B13B14"/>
    <w:rsid w:val="00C0422D"/>
    <w:rsid w:val="00C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9ED4D"/>
  <w15:chartTrackingRefBased/>
  <w15:docId w15:val="{5805B68A-518B-CF49-886C-C315932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57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7BE"/>
  </w:style>
  <w:style w:type="paragraph" w:styleId="BalloonText">
    <w:name w:val="Balloon Text"/>
    <w:basedOn w:val="Normal"/>
    <w:link w:val="BalloonTextChar"/>
    <w:uiPriority w:val="99"/>
    <w:semiHidden/>
    <w:unhideWhenUsed/>
    <w:rsid w:val="008B56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1003</Characters>
  <Application>Microsoft Macintosh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Mueller</cp:lastModifiedBy>
  <cp:revision>2</cp:revision>
  <dcterms:created xsi:type="dcterms:W3CDTF">2018-10-05T13:39:00Z</dcterms:created>
  <dcterms:modified xsi:type="dcterms:W3CDTF">2018-10-05T13:39:00Z</dcterms:modified>
</cp:coreProperties>
</file>