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111F2" w14:textId="6DEF8F38" w:rsidR="00224536" w:rsidRDefault="00224536" w:rsidP="00224536">
      <w:pPr>
        <w:jc w:val="center"/>
        <w:rPr>
          <w:b/>
          <w:color w:val="000000" w:themeColor="text1"/>
          <w:lang w:val="en-US"/>
        </w:rPr>
      </w:pPr>
      <w:bookmarkStart w:id="0" w:name="_GoBack"/>
      <w:bookmarkEnd w:id="0"/>
      <w:r>
        <w:rPr>
          <w:b/>
          <w:color w:val="000000" w:themeColor="text1"/>
          <w:lang w:val="en-US"/>
        </w:rPr>
        <w:t>WEB APPENDIX</w:t>
      </w:r>
    </w:p>
    <w:p w14:paraId="1A56518E" w14:textId="77777777" w:rsidR="00224536" w:rsidRDefault="00224536" w:rsidP="00224536">
      <w:pPr>
        <w:jc w:val="center"/>
        <w:rPr>
          <w:b/>
          <w:color w:val="000000" w:themeColor="text1"/>
          <w:lang w:val="en-US"/>
        </w:rPr>
      </w:pPr>
    </w:p>
    <w:p w14:paraId="39B8F783" w14:textId="05D243F8" w:rsidR="00224536" w:rsidRDefault="00224536" w:rsidP="00224536">
      <w:pPr>
        <w:jc w:val="center"/>
        <w:rPr>
          <w:b/>
          <w:color w:val="000000" w:themeColor="text1"/>
          <w:lang w:val="en-US"/>
        </w:rPr>
      </w:pPr>
    </w:p>
    <w:p w14:paraId="6E8632C5" w14:textId="1663AC11" w:rsidR="00224536" w:rsidRDefault="00224536" w:rsidP="00224536">
      <w:pPr>
        <w:jc w:val="center"/>
        <w:rPr>
          <w:b/>
          <w:color w:val="000000" w:themeColor="text1"/>
          <w:lang w:val="en-US"/>
        </w:rPr>
      </w:pPr>
      <w:r>
        <w:rPr>
          <w:b/>
          <w:color w:val="000000" w:themeColor="text1"/>
          <w:lang w:val="en-US"/>
        </w:rPr>
        <w:t>“CAN ADVERTISING INVESTMENTS COUNTER THE NEGATIVE IMPACT OF SHAREHOLDER COMPLAINTS ON FIRM VALUE?”</w:t>
      </w:r>
    </w:p>
    <w:p w14:paraId="08CCB8F5" w14:textId="2B5B7EC8" w:rsidR="00224536" w:rsidRDefault="00224536" w:rsidP="00224536">
      <w:pPr>
        <w:jc w:val="center"/>
        <w:rPr>
          <w:b/>
          <w:color w:val="000000" w:themeColor="text1"/>
          <w:lang w:val="en-US"/>
        </w:rPr>
      </w:pPr>
    </w:p>
    <w:p w14:paraId="701B99FE" w14:textId="77777777" w:rsidR="00224536" w:rsidRDefault="00224536" w:rsidP="00224536">
      <w:pPr>
        <w:jc w:val="center"/>
        <w:rPr>
          <w:b/>
          <w:color w:val="000000" w:themeColor="text1"/>
          <w:lang w:val="en-US"/>
        </w:rPr>
      </w:pPr>
    </w:p>
    <w:p w14:paraId="27D049EF" w14:textId="529B5011" w:rsidR="00224536" w:rsidRPr="00224536" w:rsidRDefault="00224536" w:rsidP="00224536">
      <w:pPr>
        <w:jc w:val="center"/>
        <w:rPr>
          <w:color w:val="000000" w:themeColor="text1"/>
          <w:lang w:val="en-US"/>
        </w:rPr>
      </w:pPr>
      <w:r w:rsidRPr="00224536">
        <w:rPr>
          <w:color w:val="000000" w:themeColor="text1"/>
          <w:lang w:val="en-US"/>
        </w:rPr>
        <w:t xml:space="preserve">Simone Wies, Arvid Oskar Ivar Hoffmann, Jaakko Aspara, and Joost M. E. </w:t>
      </w:r>
      <w:proofErr w:type="spellStart"/>
      <w:r w:rsidRPr="00224536">
        <w:rPr>
          <w:color w:val="000000" w:themeColor="text1"/>
          <w:lang w:val="en-US"/>
        </w:rPr>
        <w:t>Pennings</w:t>
      </w:r>
      <w:proofErr w:type="spellEnd"/>
    </w:p>
    <w:p w14:paraId="4F8909EE" w14:textId="77777777" w:rsidR="00224536" w:rsidRDefault="00224536" w:rsidP="00224536">
      <w:pPr>
        <w:jc w:val="center"/>
        <w:rPr>
          <w:b/>
          <w:color w:val="000000" w:themeColor="text1"/>
          <w:u w:val="single"/>
          <w:lang w:val="en-US"/>
        </w:rPr>
      </w:pPr>
    </w:p>
    <w:p w14:paraId="41B5239F" w14:textId="643A6893" w:rsidR="00781CCC" w:rsidRPr="00224536" w:rsidRDefault="00224536" w:rsidP="00224536">
      <w:pPr>
        <w:jc w:val="center"/>
        <w:rPr>
          <w:b/>
          <w:color w:val="000000" w:themeColor="text1"/>
          <w:u w:val="single"/>
          <w:lang w:val="en-US"/>
        </w:rPr>
      </w:pPr>
      <w:r>
        <w:rPr>
          <w:b/>
          <w:color w:val="000000" w:themeColor="text1"/>
          <w:u w:val="single"/>
          <w:lang w:val="en-US"/>
        </w:rPr>
        <w:br w:type="page"/>
      </w:r>
    </w:p>
    <w:p w14:paraId="5D2469EB" w14:textId="49DA229F" w:rsidR="00781CCC" w:rsidRPr="007C37B0" w:rsidRDefault="00DD60C1" w:rsidP="004B5C45">
      <w:pPr>
        <w:pStyle w:val="Heading1"/>
        <w:rPr>
          <w:color w:val="000000" w:themeColor="text1"/>
        </w:rPr>
      </w:pPr>
      <w:r w:rsidRPr="007C37B0">
        <w:rPr>
          <w:color w:val="000000" w:themeColor="text1"/>
        </w:rPr>
        <w:lastRenderedPageBreak/>
        <w:t>WEB APPENDIX A</w:t>
      </w:r>
      <w:r w:rsidR="00181812" w:rsidRPr="007C37B0">
        <w:rPr>
          <w:color w:val="000000" w:themeColor="text1"/>
        </w:rPr>
        <w:t>: Shareholder Complaint Submission</w:t>
      </w:r>
      <w:r w:rsidR="00943D6B">
        <w:rPr>
          <w:color w:val="000000" w:themeColor="text1"/>
        </w:rPr>
        <w:t xml:space="preserve"> PROCESS</w:t>
      </w:r>
    </w:p>
    <w:p w14:paraId="2C07A3AF" w14:textId="77777777" w:rsidR="004B5C45" w:rsidRPr="007C37B0" w:rsidRDefault="004B5C45" w:rsidP="003B69FB">
      <w:pPr>
        <w:pStyle w:val="SWHeading2"/>
        <w:spacing w:line="240" w:lineRule="auto"/>
        <w:rPr>
          <w:i w:val="0"/>
          <w:color w:val="000000" w:themeColor="text1"/>
          <w:lang w:val="en-US"/>
        </w:rPr>
      </w:pPr>
    </w:p>
    <w:p w14:paraId="627FF396" w14:textId="5BD20089" w:rsidR="009D1667" w:rsidRPr="007C37B0" w:rsidRDefault="009D1667" w:rsidP="003B69FB">
      <w:pPr>
        <w:ind w:firstLine="708"/>
        <w:rPr>
          <w:color w:val="000000" w:themeColor="text1"/>
          <w:lang w:val="en-US"/>
        </w:rPr>
      </w:pPr>
      <w:r w:rsidRPr="007C37B0">
        <w:rPr>
          <w:color w:val="000000" w:themeColor="text1"/>
          <w:lang w:val="en-US"/>
        </w:rPr>
        <w:t xml:space="preserve">Shareholder complaints are submitted under </w:t>
      </w:r>
      <w:r w:rsidR="00EA5E65" w:rsidRPr="007C37B0">
        <w:rPr>
          <w:color w:val="000000" w:themeColor="text1"/>
          <w:lang w:val="en-US"/>
        </w:rPr>
        <w:t>Security and Exchange Commission’s (SEC)</w:t>
      </w:r>
      <w:r w:rsidRPr="007C37B0">
        <w:rPr>
          <w:color w:val="000000" w:themeColor="text1"/>
          <w:lang w:val="en-US"/>
        </w:rPr>
        <w:t xml:space="preserve"> regulation 14a-8, which permits every shareholder owning more than $2,000 in market value or 1% of the firm’s </w:t>
      </w:r>
      <w:r w:rsidR="00B73D28" w:rsidRPr="007C37B0">
        <w:rPr>
          <w:color w:val="000000" w:themeColor="text1"/>
          <w:lang w:val="en-US"/>
        </w:rPr>
        <w:t xml:space="preserve">outstanding total amount of </w:t>
      </w:r>
      <w:r w:rsidR="00AB319D" w:rsidRPr="007C37B0">
        <w:rPr>
          <w:color w:val="000000" w:themeColor="text1"/>
          <w:lang w:val="en-US"/>
        </w:rPr>
        <w:t xml:space="preserve">shares </w:t>
      </w:r>
      <w:r w:rsidRPr="007C37B0">
        <w:rPr>
          <w:color w:val="000000" w:themeColor="text1"/>
          <w:lang w:val="en-US"/>
        </w:rPr>
        <w:t>for at least one year to file a complaint (</w:t>
      </w:r>
      <w:proofErr w:type="spellStart"/>
      <w:r w:rsidRPr="007C37B0">
        <w:rPr>
          <w:color w:val="000000" w:themeColor="text1"/>
          <w:lang w:val="en-US"/>
        </w:rPr>
        <w:t>Gillan</w:t>
      </w:r>
      <w:proofErr w:type="spellEnd"/>
      <w:r w:rsidRPr="007C37B0">
        <w:rPr>
          <w:color w:val="000000" w:themeColor="text1"/>
          <w:lang w:val="en-US"/>
        </w:rPr>
        <w:t xml:space="preserve"> and Starks 2007). The costs for filing and disseminating the complaint are borne by the firm. The complaint itself includes a 500-word statement of the </w:t>
      </w:r>
      <w:r w:rsidR="00FB6512" w:rsidRPr="007C37B0">
        <w:rPr>
          <w:color w:val="000000" w:themeColor="text1"/>
          <w:lang w:val="en-US"/>
        </w:rPr>
        <w:t xml:space="preserve">shareholder’s </w:t>
      </w:r>
      <w:r w:rsidRPr="007C37B0">
        <w:rPr>
          <w:color w:val="000000" w:themeColor="text1"/>
          <w:lang w:val="en-US"/>
        </w:rPr>
        <w:t>issue of concern. Once a complaint is submitted, th</w:t>
      </w:r>
      <w:r w:rsidR="00A759E6" w:rsidRPr="007C37B0">
        <w:rPr>
          <w:color w:val="000000" w:themeColor="text1"/>
          <w:lang w:val="en-US"/>
        </w:rPr>
        <w:t>ere are three possible</w:t>
      </w:r>
      <w:r w:rsidRPr="007C37B0">
        <w:rPr>
          <w:color w:val="000000" w:themeColor="text1"/>
          <w:lang w:val="en-US"/>
        </w:rPr>
        <w:t xml:space="preserve"> outcomes: (</w:t>
      </w:r>
      <w:r w:rsidR="00885628" w:rsidRPr="007C37B0">
        <w:rPr>
          <w:color w:val="000000" w:themeColor="text1"/>
          <w:lang w:val="en-US"/>
        </w:rPr>
        <w:t>i</w:t>
      </w:r>
      <w:r w:rsidRPr="007C37B0">
        <w:rPr>
          <w:color w:val="000000" w:themeColor="text1"/>
          <w:lang w:val="en-US"/>
        </w:rPr>
        <w:t>) the complaint is omitted by the firm, (</w:t>
      </w:r>
      <w:r w:rsidR="00885628" w:rsidRPr="007C37B0">
        <w:rPr>
          <w:color w:val="000000" w:themeColor="text1"/>
          <w:lang w:val="en-US"/>
        </w:rPr>
        <w:t>ii</w:t>
      </w:r>
      <w:r w:rsidRPr="007C37B0">
        <w:rPr>
          <w:color w:val="000000" w:themeColor="text1"/>
          <w:lang w:val="en-US"/>
        </w:rPr>
        <w:t>) the complaint is withdrawn by the shareholder, or (</w:t>
      </w:r>
      <w:r w:rsidR="00885628" w:rsidRPr="007C37B0">
        <w:rPr>
          <w:color w:val="000000" w:themeColor="text1"/>
          <w:lang w:val="en-US"/>
        </w:rPr>
        <w:t>iii</w:t>
      </w:r>
      <w:r w:rsidRPr="007C37B0">
        <w:rPr>
          <w:color w:val="000000" w:themeColor="text1"/>
          <w:lang w:val="en-US"/>
        </w:rPr>
        <w:t xml:space="preserve">) the complaint is put up for vote at the </w:t>
      </w:r>
      <w:r w:rsidR="001E4237" w:rsidRPr="007C37B0">
        <w:rPr>
          <w:color w:val="000000" w:themeColor="text1"/>
          <w:lang w:val="en-US"/>
        </w:rPr>
        <w:t xml:space="preserve">firm’s </w:t>
      </w:r>
      <w:r w:rsidR="005A4ED0" w:rsidRPr="007C37B0">
        <w:rPr>
          <w:color w:val="000000" w:themeColor="text1"/>
          <w:lang w:val="en-US"/>
        </w:rPr>
        <w:t>annual general meeting (</w:t>
      </w:r>
      <w:r w:rsidRPr="007C37B0">
        <w:rPr>
          <w:color w:val="000000" w:themeColor="text1"/>
          <w:lang w:val="en-US"/>
        </w:rPr>
        <w:t>AGM</w:t>
      </w:r>
      <w:r w:rsidR="005A4ED0" w:rsidRPr="007C37B0">
        <w:rPr>
          <w:color w:val="000000" w:themeColor="text1"/>
          <w:lang w:val="en-US"/>
        </w:rPr>
        <w:t>)</w:t>
      </w:r>
      <w:r w:rsidRPr="007C37B0">
        <w:rPr>
          <w:color w:val="000000" w:themeColor="text1"/>
          <w:lang w:val="en-US"/>
        </w:rPr>
        <w:t>.</w:t>
      </w:r>
    </w:p>
    <w:p w14:paraId="5071AFF9" w14:textId="08E56AA8" w:rsidR="009D1667" w:rsidRPr="007C37B0" w:rsidRDefault="009D1667" w:rsidP="007C37B0">
      <w:pPr>
        <w:ind w:firstLine="720"/>
        <w:rPr>
          <w:color w:val="000000" w:themeColor="text1"/>
          <w:lang w:val="en-US"/>
        </w:rPr>
      </w:pPr>
      <w:r w:rsidRPr="007C37B0">
        <w:rPr>
          <w:color w:val="000000" w:themeColor="text1"/>
          <w:lang w:val="en-US"/>
        </w:rPr>
        <w:t xml:space="preserve">If the filed complaint is not in line with SEC regulations, the firm can petition the SEC to omit it from the voting process. For instance, complaints relating to an issue raised exactly the same way in another complaint, or complaints relating to ordinary business operations fall under this exemption. If there are no legal reasons for the firm to exclude a complaint from the voting agenda, and the management feels its own interest or reputation </w:t>
      </w:r>
      <w:r w:rsidR="00910B2A" w:rsidRPr="007C37B0">
        <w:rPr>
          <w:color w:val="000000" w:themeColor="text1"/>
          <w:lang w:val="en-US"/>
        </w:rPr>
        <w:t>is</w:t>
      </w:r>
      <w:r w:rsidRPr="007C37B0">
        <w:rPr>
          <w:color w:val="000000" w:themeColor="text1"/>
          <w:lang w:val="en-US"/>
        </w:rPr>
        <w:t xml:space="preserve"> adversely affected, it can invite the complaining shareholder for </w:t>
      </w:r>
      <w:r w:rsidR="007A6324" w:rsidRPr="007C37B0">
        <w:rPr>
          <w:color w:val="000000" w:themeColor="text1"/>
          <w:lang w:val="en-US"/>
        </w:rPr>
        <w:t xml:space="preserve">private </w:t>
      </w:r>
      <w:r w:rsidRPr="007C37B0">
        <w:rPr>
          <w:color w:val="000000" w:themeColor="text1"/>
          <w:lang w:val="en-US"/>
        </w:rPr>
        <w:t xml:space="preserve">negotiations. Usually shareholders withdraw their initial complaints if they have successfully engaged in private negotiations with </w:t>
      </w:r>
      <w:r w:rsidR="00A716B5" w:rsidRPr="007C37B0">
        <w:rPr>
          <w:color w:val="000000" w:themeColor="text1"/>
          <w:lang w:val="en-US"/>
        </w:rPr>
        <w:t xml:space="preserve">the </w:t>
      </w:r>
      <w:r w:rsidR="00BE6465" w:rsidRPr="007C37B0">
        <w:rPr>
          <w:color w:val="000000" w:themeColor="text1"/>
          <w:lang w:val="en-US"/>
        </w:rPr>
        <w:t>firm</w:t>
      </w:r>
      <w:r w:rsidR="00A716B5" w:rsidRPr="007C37B0">
        <w:rPr>
          <w:color w:val="000000" w:themeColor="text1"/>
          <w:lang w:val="en-US"/>
        </w:rPr>
        <w:t>’s</w:t>
      </w:r>
      <w:r w:rsidR="00BE6465" w:rsidRPr="007C37B0">
        <w:rPr>
          <w:color w:val="000000" w:themeColor="text1"/>
          <w:lang w:val="en-US"/>
        </w:rPr>
        <w:t xml:space="preserve"> </w:t>
      </w:r>
      <w:r w:rsidRPr="007C37B0">
        <w:rPr>
          <w:color w:val="000000" w:themeColor="text1"/>
          <w:lang w:val="en-US"/>
        </w:rPr>
        <w:t>management (</w:t>
      </w:r>
      <w:proofErr w:type="spellStart"/>
      <w:r w:rsidRPr="007C37B0">
        <w:rPr>
          <w:color w:val="000000" w:themeColor="text1"/>
          <w:lang w:val="en-US"/>
        </w:rPr>
        <w:t>Chidambaran</w:t>
      </w:r>
      <w:proofErr w:type="spellEnd"/>
      <w:r w:rsidRPr="007C37B0">
        <w:rPr>
          <w:color w:val="000000" w:themeColor="text1"/>
          <w:lang w:val="en-US"/>
        </w:rPr>
        <w:t xml:space="preserve"> and </w:t>
      </w:r>
      <w:proofErr w:type="spellStart"/>
      <w:r w:rsidRPr="007C37B0">
        <w:rPr>
          <w:color w:val="000000" w:themeColor="text1"/>
          <w:lang w:val="en-US"/>
        </w:rPr>
        <w:t>Woidtke</w:t>
      </w:r>
      <w:proofErr w:type="spellEnd"/>
      <w:r w:rsidRPr="007C37B0">
        <w:rPr>
          <w:color w:val="000000" w:themeColor="text1"/>
          <w:lang w:val="en-US"/>
        </w:rPr>
        <w:t xml:space="preserve"> 1999). This does not necessarily imply that </w:t>
      </w:r>
      <w:r w:rsidR="00915426" w:rsidRPr="007C37B0">
        <w:rPr>
          <w:color w:val="000000" w:themeColor="text1"/>
          <w:lang w:val="en-US"/>
        </w:rPr>
        <w:t>the management</w:t>
      </w:r>
      <w:r w:rsidRPr="007C37B0">
        <w:rPr>
          <w:color w:val="000000" w:themeColor="text1"/>
          <w:lang w:val="en-US"/>
        </w:rPr>
        <w:t xml:space="preserve"> promise</w:t>
      </w:r>
      <w:r w:rsidR="00915426" w:rsidRPr="007C37B0">
        <w:rPr>
          <w:color w:val="000000" w:themeColor="text1"/>
          <w:lang w:val="en-US"/>
        </w:rPr>
        <w:t>s</w:t>
      </w:r>
      <w:r w:rsidRPr="007C37B0">
        <w:rPr>
          <w:color w:val="000000" w:themeColor="text1"/>
          <w:lang w:val="en-US"/>
        </w:rPr>
        <w:t xml:space="preserve"> to resolve the issue to the shareholder’s satisfaction, but at least signal</w:t>
      </w:r>
      <w:r w:rsidR="00915426" w:rsidRPr="007C37B0">
        <w:rPr>
          <w:color w:val="000000" w:themeColor="text1"/>
          <w:lang w:val="en-US"/>
        </w:rPr>
        <w:t>s</w:t>
      </w:r>
      <w:r w:rsidRPr="007C37B0">
        <w:rPr>
          <w:color w:val="000000" w:themeColor="text1"/>
          <w:lang w:val="en-US"/>
        </w:rPr>
        <w:t xml:space="preserve"> credible progress towards reaching a compromise. Finally, the complaint may be put up for vote at the AGM. The </w:t>
      </w:r>
      <w:r w:rsidR="00915426" w:rsidRPr="007C37B0">
        <w:rPr>
          <w:color w:val="000000" w:themeColor="text1"/>
          <w:lang w:val="en-US"/>
        </w:rPr>
        <w:t>complaint</w:t>
      </w:r>
      <w:r w:rsidRPr="007C37B0">
        <w:rPr>
          <w:color w:val="000000" w:themeColor="text1"/>
          <w:lang w:val="en-US"/>
        </w:rPr>
        <w:t xml:space="preserve"> is</w:t>
      </w:r>
      <w:r w:rsidR="00915426" w:rsidRPr="007C37B0">
        <w:rPr>
          <w:color w:val="000000" w:themeColor="text1"/>
          <w:lang w:val="en-US"/>
        </w:rPr>
        <w:t xml:space="preserve"> then</w:t>
      </w:r>
      <w:r w:rsidRPr="007C37B0">
        <w:rPr>
          <w:color w:val="000000" w:themeColor="text1"/>
          <w:lang w:val="en-US"/>
        </w:rPr>
        <w:t xml:space="preserve"> put into the proxy statement and distributed among the shareholders </w:t>
      </w:r>
      <w:r w:rsidR="00A47F31" w:rsidRPr="007C37B0">
        <w:rPr>
          <w:color w:val="000000" w:themeColor="text1"/>
          <w:lang w:val="en-US"/>
        </w:rPr>
        <w:t xml:space="preserve">prior to </w:t>
      </w:r>
      <w:r w:rsidRPr="007C37B0">
        <w:rPr>
          <w:color w:val="000000" w:themeColor="text1"/>
          <w:lang w:val="en-US"/>
        </w:rPr>
        <w:t>the AGM</w:t>
      </w:r>
      <w:r w:rsidR="00915426" w:rsidRPr="007C37B0">
        <w:rPr>
          <w:color w:val="000000" w:themeColor="text1"/>
          <w:lang w:val="en-US"/>
        </w:rPr>
        <w:t>, at the earliest</w:t>
      </w:r>
      <w:r w:rsidR="00AB319D" w:rsidRPr="007C37B0">
        <w:rPr>
          <w:color w:val="000000" w:themeColor="text1"/>
          <w:lang w:val="en-US"/>
        </w:rPr>
        <w:t xml:space="preserve"> 5</w:t>
      </w:r>
      <w:r w:rsidRPr="007C37B0">
        <w:rPr>
          <w:color w:val="000000" w:themeColor="text1"/>
          <w:lang w:val="en-US"/>
        </w:rPr>
        <w:t xml:space="preserve">0 calendar days before the </w:t>
      </w:r>
      <w:r w:rsidR="000D78E9" w:rsidRPr="007C37B0">
        <w:rPr>
          <w:color w:val="000000" w:themeColor="text1"/>
          <w:lang w:val="en-US"/>
        </w:rPr>
        <w:t>AGM</w:t>
      </w:r>
      <w:r w:rsidRPr="007C37B0">
        <w:rPr>
          <w:color w:val="000000" w:themeColor="text1"/>
          <w:lang w:val="en-US"/>
        </w:rPr>
        <w:t>. At the AGM, shareholders are asked to vote on the issue. Under U.S. legislation, voting results of shareholder complaints are nonbinding and only of precatory character. Given most of the issues that shareholders complain about remain unchanged, many studies conclude that complaints are “disruptive, opportunistic, misguided, and at best […] ineffective” (Becht et al. 2010, p. 3094).</w:t>
      </w:r>
      <w:r w:rsidR="006C54DE" w:rsidRPr="007C37B0">
        <w:rPr>
          <w:color w:val="000000" w:themeColor="text1"/>
          <w:lang w:val="en-US"/>
        </w:rPr>
        <w:t xml:space="preserve"> See Table A1 for examples of </w:t>
      </w:r>
      <w:r w:rsidR="00915426" w:rsidRPr="007C37B0">
        <w:rPr>
          <w:color w:val="000000" w:themeColor="text1"/>
          <w:lang w:val="en-US"/>
        </w:rPr>
        <w:t xml:space="preserve">submitted </w:t>
      </w:r>
      <w:r w:rsidR="00FB6512" w:rsidRPr="007C37B0">
        <w:rPr>
          <w:color w:val="000000" w:themeColor="text1"/>
          <w:lang w:val="en-US"/>
        </w:rPr>
        <w:t xml:space="preserve">shareholder </w:t>
      </w:r>
      <w:r w:rsidR="006C54DE" w:rsidRPr="007C37B0">
        <w:rPr>
          <w:color w:val="000000" w:themeColor="text1"/>
          <w:lang w:val="en-US"/>
        </w:rPr>
        <w:t>complaints</w:t>
      </w:r>
      <w:r w:rsidR="00915426" w:rsidRPr="007C37B0">
        <w:rPr>
          <w:color w:val="000000" w:themeColor="text1"/>
          <w:lang w:val="en-US"/>
        </w:rPr>
        <w:t xml:space="preserve"> in our sample</w:t>
      </w:r>
      <w:r w:rsidR="006C54DE" w:rsidRPr="007C37B0">
        <w:rPr>
          <w:color w:val="000000" w:themeColor="text1"/>
          <w:lang w:val="en-US"/>
        </w:rPr>
        <w:t>.</w:t>
      </w:r>
    </w:p>
    <w:p w14:paraId="3478B222" w14:textId="77777777" w:rsidR="009D1667" w:rsidRPr="007C37B0" w:rsidRDefault="009D1667" w:rsidP="009D1667">
      <w:pPr>
        <w:ind w:firstLine="708"/>
        <w:rPr>
          <w:color w:val="000000" w:themeColor="text1"/>
          <w:lang w:val="en-US"/>
        </w:rPr>
      </w:pPr>
    </w:p>
    <w:p w14:paraId="1556918E" w14:textId="2A6DDD1C" w:rsidR="009D1667" w:rsidRPr="007C37B0" w:rsidRDefault="00314BCE" w:rsidP="00555BC1">
      <w:pPr>
        <w:pStyle w:val="SWHeading2"/>
        <w:jc w:val="center"/>
        <w:rPr>
          <w:i w:val="0"/>
          <w:caps/>
          <w:color w:val="000000" w:themeColor="text1"/>
          <w:lang w:val="en-US"/>
        </w:rPr>
      </w:pPr>
      <w:r w:rsidRPr="007C37B0">
        <w:rPr>
          <w:i w:val="0"/>
          <w:caps/>
          <w:color w:val="000000" w:themeColor="text1"/>
          <w:lang w:val="en-US"/>
        </w:rPr>
        <w:t xml:space="preserve">Table A1: </w:t>
      </w:r>
      <w:r w:rsidR="009D1667" w:rsidRPr="007C37B0">
        <w:rPr>
          <w:i w:val="0"/>
          <w:caps/>
          <w:color w:val="000000" w:themeColor="text1"/>
          <w:lang w:val="en-US"/>
        </w:rPr>
        <w:t>Examples of Shareholder Complaints</w:t>
      </w:r>
    </w:p>
    <w:tbl>
      <w:tblPr>
        <w:tblW w:w="9354" w:type="dxa"/>
        <w:jc w:val="center"/>
        <w:tblBorders>
          <w:bottom w:val="single" w:sz="4" w:space="0" w:color="auto"/>
        </w:tblBorders>
        <w:tblCellMar>
          <w:left w:w="70" w:type="dxa"/>
          <w:right w:w="70" w:type="dxa"/>
        </w:tblCellMar>
        <w:tblLook w:val="04A0" w:firstRow="1" w:lastRow="0" w:firstColumn="1" w:lastColumn="0" w:noHBand="0" w:noVBand="1"/>
      </w:tblPr>
      <w:tblGrid>
        <w:gridCol w:w="834"/>
        <w:gridCol w:w="1721"/>
        <w:gridCol w:w="3998"/>
        <w:gridCol w:w="2801"/>
      </w:tblGrid>
      <w:tr w:rsidR="00FB6512" w:rsidRPr="007C37B0" w14:paraId="2AD36DA8" w14:textId="77777777" w:rsidTr="00525124">
        <w:trPr>
          <w:trHeight w:val="300"/>
          <w:jc w:val="center"/>
        </w:trPr>
        <w:tc>
          <w:tcPr>
            <w:tcW w:w="834" w:type="dxa"/>
            <w:tcBorders>
              <w:top w:val="single" w:sz="4" w:space="0" w:color="auto"/>
              <w:bottom w:val="single" w:sz="4" w:space="0" w:color="auto"/>
            </w:tcBorders>
            <w:shd w:val="clear" w:color="auto" w:fill="auto"/>
            <w:noWrap/>
            <w:vAlign w:val="bottom"/>
            <w:hideMark/>
          </w:tcPr>
          <w:p w14:paraId="351AA7D6" w14:textId="77777777" w:rsidR="009D1667" w:rsidRPr="007C37B0" w:rsidRDefault="009D1667" w:rsidP="00525124">
            <w:pPr>
              <w:rPr>
                <w:b/>
                <w:bCs/>
                <w:color w:val="000000" w:themeColor="text1"/>
                <w:sz w:val="22"/>
                <w:lang w:eastAsia="de-DE"/>
              </w:rPr>
            </w:pPr>
            <w:r w:rsidRPr="007C37B0">
              <w:rPr>
                <w:b/>
                <w:bCs/>
                <w:color w:val="000000" w:themeColor="text1"/>
                <w:sz w:val="22"/>
                <w:lang w:eastAsia="de-DE"/>
              </w:rPr>
              <w:t>Year</w:t>
            </w:r>
          </w:p>
        </w:tc>
        <w:tc>
          <w:tcPr>
            <w:tcW w:w="1721" w:type="dxa"/>
            <w:tcBorders>
              <w:top w:val="single" w:sz="4" w:space="0" w:color="auto"/>
              <w:bottom w:val="single" w:sz="4" w:space="0" w:color="auto"/>
            </w:tcBorders>
            <w:shd w:val="clear" w:color="auto" w:fill="auto"/>
            <w:noWrap/>
            <w:vAlign w:val="bottom"/>
            <w:hideMark/>
          </w:tcPr>
          <w:p w14:paraId="5AA59FDF" w14:textId="77777777" w:rsidR="009D1667" w:rsidRPr="007C37B0" w:rsidRDefault="009D1667" w:rsidP="00525124">
            <w:pPr>
              <w:rPr>
                <w:b/>
                <w:bCs/>
                <w:color w:val="000000" w:themeColor="text1"/>
                <w:sz w:val="22"/>
                <w:lang w:eastAsia="de-DE"/>
              </w:rPr>
            </w:pPr>
            <w:r w:rsidRPr="007C37B0">
              <w:rPr>
                <w:b/>
                <w:bCs/>
                <w:color w:val="000000" w:themeColor="text1"/>
                <w:sz w:val="22"/>
                <w:lang w:eastAsia="de-DE"/>
              </w:rPr>
              <w:t>Company</w:t>
            </w:r>
          </w:p>
        </w:tc>
        <w:tc>
          <w:tcPr>
            <w:tcW w:w="3998" w:type="dxa"/>
            <w:tcBorders>
              <w:top w:val="single" w:sz="4" w:space="0" w:color="auto"/>
              <w:bottom w:val="single" w:sz="4" w:space="0" w:color="auto"/>
            </w:tcBorders>
            <w:shd w:val="clear" w:color="auto" w:fill="auto"/>
            <w:noWrap/>
            <w:vAlign w:val="bottom"/>
            <w:hideMark/>
          </w:tcPr>
          <w:p w14:paraId="1EF313C4" w14:textId="53C84FEA" w:rsidR="009D1667" w:rsidRPr="007C37B0" w:rsidRDefault="009D1667" w:rsidP="00525124">
            <w:pPr>
              <w:rPr>
                <w:b/>
                <w:bCs/>
                <w:color w:val="000000" w:themeColor="text1"/>
                <w:sz w:val="22"/>
                <w:lang w:eastAsia="de-DE"/>
              </w:rPr>
            </w:pPr>
            <w:r w:rsidRPr="007C37B0">
              <w:rPr>
                <w:b/>
                <w:bCs/>
                <w:color w:val="000000" w:themeColor="text1"/>
                <w:sz w:val="22"/>
                <w:lang w:eastAsia="de-DE"/>
              </w:rPr>
              <w:t xml:space="preserve">Content of the </w:t>
            </w:r>
            <w:r w:rsidR="00A9575F">
              <w:rPr>
                <w:b/>
                <w:bCs/>
                <w:color w:val="000000" w:themeColor="text1"/>
                <w:sz w:val="22"/>
                <w:lang w:eastAsia="de-DE"/>
              </w:rPr>
              <w:t>c</w:t>
            </w:r>
            <w:r w:rsidRPr="007C37B0">
              <w:rPr>
                <w:b/>
                <w:bCs/>
                <w:color w:val="000000" w:themeColor="text1"/>
                <w:sz w:val="22"/>
                <w:lang w:eastAsia="de-DE"/>
              </w:rPr>
              <w:t>omplaint</w:t>
            </w:r>
          </w:p>
        </w:tc>
        <w:tc>
          <w:tcPr>
            <w:tcW w:w="2801" w:type="dxa"/>
            <w:tcBorders>
              <w:top w:val="single" w:sz="4" w:space="0" w:color="auto"/>
              <w:bottom w:val="single" w:sz="4" w:space="0" w:color="auto"/>
            </w:tcBorders>
            <w:shd w:val="clear" w:color="auto" w:fill="auto"/>
            <w:noWrap/>
            <w:vAlign w:val="bottom"/>
            <w:hideMark/>
          </w:tcPr>
          <w:p w14:paraId="6E4A134D" w14:textId="46AEAE8E" w:rsidR="009D1667" w:rsidRPr="007C37B0" w:rsidRDefault="009D1667" w:rsidP="00525124">
            <w:pPr>
              <w:rPr>
                <w:b/>
                <w:bCs/>
                <w:color w:val="000000" w:themeColor="text1"/>
                <w:sz w:val="22"/>
                <w:lang w:eastAsia="de-DE"/>
              </w:rPr>
            </w:pPr>
            <w:r w:rsidRPr="007C37B0">
              <w:rPr>
                <w:b/>
                <w:bCs/>
                <w:color w:val="000000" w:themeColor="text1"/>
                <w:sz w:val="22"/>
                <w:lang w:eastAsia="de-DE"/>
              </w:rPr>
              <w:t xml:space="preserve">Submitting </w:t>
            </w:r>
            <w:r w:rsidR="00A9575F">
              <w:rPr>
                <w:b/>
                <w:bCs/>
                <w:color w:val="000000" w:themeColor="text1"/>
                <w:sz w:val="22"/>
                <w:lang w:eastAsia="de-DE"/>
              </w:rPr>
              <w:t>s</w:t>
            </w:r>
            <w:r w:rsidRPr="007C37B0">
              <w:rPr>
                <w:b/>
                <w:bCs/>
                <w:color w:val="000000" w:themeColor="text1"/>
                <w:sz w:val="22"/>
                <w:lang w:eastAsia="de-DE"/>
              </w:rPr>
              <w:t>hareholder</w:t>
            </w:r>
          </w:p>
        </w:tc>
      </w:tr>
      <w:tr w:rsidR="00FB6512" w:rsidRPr="007C37B0" w14:paraId="4D151601" w14:textId="77777777" w:rsidTr="00525124">
        <w:trPr>
          <w:trHeight w:val="300"/>
          <w:jc w:val="center"/>
        </w:trPr>
        <w:tc>
          <w:tcPr>
            <w:tcW w:w="834" w:type="dxa"/>
            <w:tcBorders>
              <w:top w:val="single" w:sz="4" w:space="0" w:color="auto"/>
              <w:bottom w:val="single" w:sz="4" w:space="0" w:color="auto"/>
            </w:tcBorders>
            <w:shd w:val="clear" w:color="auto" w:fill="auto"/>
            <w:noWrap/>
            <w:vAlign w:val="center"/>
            <w:hideMark/>
          </w:tcPr>
          <w:p w14:paraId="35FF5E62" w14:textId="77777777" w:rsidR="009D1667" w:rsidRPr="007C37B0" w:rsidRDefault="009D1667" w:rsidP="00525124">
            <w:pPr>
              <w:rPr>
                <w:color w:val="000000" w:themeColor="text1"/>
                <w:sz w:val="22"/>
                <w:lang w:eastAsia="de-DE"/>
              </w:rPr>
            </w:pPr>
            <w:r w:rsidRPr="007C37B0">
              <w:rPr>
                <w:color w:val="000000" w:themeColor="text1"/>
                <w:sz w:val="22"/>
                <w:lang w:eastAsia="de-DE"/>
              </w:rPr>
              <w:t>2005</w:t>
            </w:r>
          </w:p>
        </w:tc>
        <w:tc>
          <w:tcPr>
            <w:tcW w:w="1721" w:type="dxa"/>
            <w:tcBorders>
              <w:top w:val="single" w:sz="4" w:space="0" w:color="auto"/>
              <w:bottom w:val="single" w:sz="4" w:space="0" w:color="auto"/>
            </w:tcBorders>
            <w:shd w:val="clear" w:color="auto" w:fill="auto"/>
            <w:noWrap/>
            <w:vAlign w:val="center"/>
            <w:hideMark/>
          </w:tcPr>
          <w:p w14:paraId="20D499B7" w14:textId="77777777" w:rsidR="009D1667" w:rsidRPr="007C37B0" w:rsidRDefault="009D1667" w:rsidP="00525124">
            <w:pPr>
              <w:rPr>
                <w:color w:val="000000" w:themeColor="text1"/>
                <w:sz w:val="22"/>
                <w:lang w:eastAsia="de-DE"/>
              </w:rPr>
            </w:pPr>
            <w:r w:rsidRPr="007C37B0">
              <w:rPr>
                <w:color w:val="000000" w:themeColor="text1"/>
                <w:sz w:val="22"/>
                <w:lang w:eastAsia="de-DE"/>
              </w:rPr>
              <w:t>Delta Airlines</w:t>
            </w:r>
          </w:p>
        </w:tc>
        <w:tc>
          <w:tcPr>
            <w:tcW w:w="3998" w:type="dxa"/>
            <w:tcBorders>
              <w:top w:val="single" w:sz="4" w:space="0" w:color="auto"/>
              <w:bottom w:val="single" w:sz="4" w:space="0" w:color="auto"/>
            </w:tcBorders>
            <w:shd w:val="clear" w:color="auto" w:fill="auto"/>
            <w:noWrap/>
            <w:vAlign w:val="center"/>
            <w:hideMark/>
          </w:tcPr>
          <w:p w14:paraId="1719B93B" w14:textId="77777777" w:rsidR="009D1667" w:rsidRPr="007C37B0" w:rsidRDefault="009D1667" w:rsidP="00525124">
            <w:pPr>
              <w:rPr>
                <w:color w:val="000000" w:themeColor="text1"/>
                <w:sz w:val="22"/>
                <w:lang w:val="en-US" w:eastAsia="de-DE"/>
              </w:rPr>
            </w:pPr>
            <w:r w:rsidRPr="007C37B0">
              <w:rPr>
                <w:color w:val="000000" w:themeColor="text1"/>
                <w:sz w:val="22"/>
                <w:lang w:val="en-US" w:eastAsia="de-DE"/>
              </w:rPr>
              <w:t xml:space="preserve">Complaint about discrimination of minority employees </w:t>
            </w:r>
          </w:p>
        </w:tc>
        <w:tc>
          <w:tcPr>
            <w:tcW w:w="2801" w:type="dxa"/>
            <w:tcBorders>
              <w:top w:val="single" w:sz="4" w:space="0" w:color="auto"/>
              <w:bottom w:val="single" w:sz="4" w:space="0" w:color="auto"/>
            </w:tcBorders>
            <w:shd w:val="clear" w:color="auto" w:fill="auto"/>
            <w:noWrap/>
            <w:vAlign w:val="center"/>
            <w:hideMark/>
          </w:tcPr>
          <w:p w14:paraId="50E3C54E" w14:textId="77777777" w:rsidR="009D1667" w:rsidRPr="007C37B0" w:rsidRDefault="009D1667" w:rsidP="00525124">
            <w:pPr>
              <w:rPr>
                <w:color w:val="000000" w:themeColor="text1"/>
                <w:sz w:val="22"/>
                <w:lang w:eastAsia="de-DE"/>
              </w:rPr>
            </w:pPr>
            <w:r w:rsidRPr="007C37B0">
              <w:rPr>
                <w:color w:val="000000" w:themeColor="text1"/>
                <w:sz w:val="22"/>
                <w:lang w:eastAsia="de-DE"/>
              </w:rPr>
              <w:t>Pension fund</w:t>
            </w:r>
          </w:p>
        </w:tc>
      </w:tr>
      <w:tr w:rsidR="00FB6512" w:rsidRPr="007C37B0" w14:paraId="1BE12146" w14:textId="77777777" w:rsidTr="00525124">
        <w:trPr>
          <w:trHeight w:val="300"/>
          <w:jc w:val="center"/>
        </w:trPr>
        <w:tc>
          <w:tcPr>
            <w:tcW w:w="834" w:type="dxa"/>
            <w:tcBorders>
              <w:top w:val="single" w:sz="4" w:space="0" w:color="auto"/>
              <w:bottom w:val="single" w:sz="4" w:space="0" w:color="auto"/>
            </w:tcBorders>
            <w:shd w:val="clear" w:color="auto" w:fill="auto"/>
            <w:noWrap/>
            <w:vAlign w:val="center"/>
            <w:hideMark/>
          </w:tcPr>
          <w:p w14:paraId="3CFA07F2" w14:textId="77777777" w:rsidR="009D1667" w:rsidRPr="007C37B0" w:rsidRDefault="009D1667" w:rsidP="00525124">
            <w:pPr>
              <w:rPr>
                <w:color w:val="000000" w:themeColor="text1"/>
                <w:sz w:val="22"/>
                <w:lang w:eastAsia="de-DE"/>
              </w:rPr>
            </w:pPr>
            <w:r w:rsidRPr="007C37B0">
              <w:rPr>
                <w:color w:val="000000" w:themeColor="text1"/>
                <w:sz w:val="22"/>
                <w:lang w:eastAsia="de-DE"/>
              </w:rPr>
              <w:t>2005</w:t>
            </w:r>
          </w:p>
        </w:tc>
        <w:tc>
          <w:tcPr>
            <w:tcW w:w="1721" w:type="dxa"/>
            <w:tcBorders>
              <w:top w:val="single" w:sz="4" w:space="0" w:color="auto"/>
              <w:bottom w:val="single" w:sz="4" w:space="0" w:color="auto"/>
            </w:tcBorders>
            <w:shd w:val="clear" w:color="auto" w:fill="auto"/>
            <w:noWrap/>
            <w:vAlign w:val="center"/>
            <w:hideMark/>
          </w:tcPr>
          <w:p w14:paraId="5F0F91C0" w14:textId="77777777" w:rsidR="009D1667" w:rsidRPr="007C37B0" w:rsidRDefault="009D1667" w:rsidP="00525124">
            <w:pPr>
              <w:rPr>
                <w:color w:val="000000" w:themeColor="text1"/>
                <w:sz w:val="22"/>
                <w:lang w:eastAsia="de-DE"/>
              </w:rPr>
            </w:pPr>
            <w:r w:rsidRPr="007C37B0">
              <w:rPr>
                <w:color w:val="000000" w:themeColor="text1"/>
                <w:sz w:val="22"/>
                <w:lang w:eastAsia="de-DE"/>
              </w:rPr>
              <w:t xml:space="preserve">Dow Chemical </w:t>
            </w:r>
          </w:p>
        </w:tc>
        <w:tc>
          <w:tcPr>
            <w:tcW w:w="3998" w:type="dxa"/>
            <w:tcBorders>
              <w:top w:val="single" w:sz="4" w:space="0" w:color="auto"/>
              <w:bottom w:val="single" w:sz="4" w:space="0" w:color="auto"/>
            </w:tcBorders>
            <w:shd w:val="clear" w:color="auto" w:fill="auto"/>
            <w:noWrap/>
            <w:vAlign w:val="center"/>
            <w:hideMark/>
          </w:tcPr>
          <w:p w14:paraId="73574D7C" w14:textId="77777777" w:rsidR="009D1667" w:rsidRPr="007C37B0" w:rsidRDefault="009D1667" w:rsidP="00525124">
            <w:pPr>
              <w:rPr>
                <w:color w:val="000000" w:themeColor="text1"/>
                <w:sz w:val="22"/>
                <w:lang w:val="en-US" w:eastAsia="de-DE"/>
              </w:rPr>
            </w:pPr>
            <w:r w:rsidRPr="007C37B0">
              <w:rPr>
                <w:color w:val="000000" w:themeColor="text1"/>
                <w:sz w:val="22"/>
                <w:lang w:val="en-US" w:eastAsia="de-DE"/>
              </w:rPr>
              <w:t>Complaint about missing reporting on gene-engineered plants</w:t>
            </w:r>
          </w:p>
        </w:tc>
        <w:tc>
          <w:tcPr>
            <w:tcW w:w="2801" w:type="dxa"/>
            <w:tcBorders>
              <w:top w:val="single" w:sz="4" w:space="0" w:color="auto"/>
              <w:bottom w:val="single" w:sz="4" w:space="0" w:color="auto"/>
            </w:tcBorders>
            <w:shd w:val="clear" w:color="auto" w:fill="auto"/>
            <w:noWrap/>
            <w:vAlign w:val="center"/>
            <w:hideMark/>
          </w:tcPr>
          <w:p w14:paraId="77448CF9" w14:textId="77777777" w:rsidR="009D1667" w:rsidRPr="007C37B0" w:rsidRDefault="009D1667" w:rsidP="00525124">
            <w:pPr>
              <w:rPr>
                <w:color w:val="000000" w:themeColor="text1"/>
                <w:sz w:val="22"/>
                <w:lang w:eastAsia="de-DE"/>
              </w:rPr>
            </w:pPr>
            <w:r w:rsidRPr="007C37B0">
              <w:rPr>
                <w:color w:val="000000" w:themeColor="text1"/>
                <w:sz w:val="22"/>
                <w:lang w:eastAsia="de-DE"/>
              </w:rPr>
              <w:t>Church fund</w:t>
            </w:r>
          </w:p>
        </w:tc>
      </w:tr>
      <w:tr w:rsidR="00FB6512" w:rsidRPr="007C37B0" w14:paraId="5765870D" w14:textId="77777777" w:rsidTr="00525124">
        <w:trPr>
          <w:trHeight w:val="300"/>
          <w:jc w:val="center"/>
        </w:trPr>
        <w:tc>
          <w:tcPr>
            <w:tcW w:w="834" w:type="dxa"/>
            <w:tcBorders>
              <w:top w:val="single" w:sz="4" w:space="0" w:color="auto"/>
              <w:bottom w:val="single" w:sz="4" w:space="0" w:color="auto"/>
            </w:tcBorders>
            <w:shd w:val="clear" w:color="auto" w:fill="auto"/>
            <w:noWrap/>
            <w:vAlign w:val="center"/>
            <w:hideMark/>
          </w:tcPr>
          <w:p w14:paraId="26C634CD" w14:textId="77777777" w:rsidR="009D1667" w:rsidRPr="007C37B0" w:rsidRDefault="009D1667" w:rsidP="00525124">
            <w:pPr>
              <w:rPr>
                <w:color w:val="000000" w:themeColor="text1"/>
                <w:sz w:val="22"/>
                <w:lang w:eastAsia="de-DE"/>
              </w:rPr>
            </w:pPr>
            <w:r w:rsidRPr="007C37B0">
              <w:rPr>
                <w:color w:val="000000" w:themeColor="text1"/>
                <w:sz w:val="22"/>
                <w:lang w:eastAsia="de-DE"/>
              </w:rPr>
              <w:t>2006</w:t>
            </w:r>
          </w:p>
        </w:tc>
        <w:tc>
          <w:tcPr>
            <w:tcW w:w="1721" w:type="dxa"/>
            <w:tcBorders>
              <w:top w:val="single" w:sz="4" w:space="0" w:color="auto"/>
              <w:bottom w:val="single" w:sz="4" w:space="0" w:color="auto"/>
            </w:tcBorders>
            <w:shd w:val="clear" w:color="auto" w:fill="auto"/>
            <w:noWrap/>
            <w:vAlign w:val="center"/>
            <w:hideMark/>
          </w:tcPr>
          <w:p w14:paraId="1CE4630F" w14:textId="77777777" w:rsidR="009D1667" w:rsidRPr="007C37B0" w:rsidRDefault="009D1667" w:rsidP="00525124">
            <w:pPr>
              <w:rPr>
                <w:color w:val="000000" w:themeColor="text1"/>
                <w:sz w:val="22"/>
                <w:lang w:eastAsia="de-DE"/>
              </w:rPr>
            </w:pPr>
            <w:r w:rsidRPr="007C37B0">
              <w:rPr>
                <w:color w:val="000000" w:themeColor="text1"/>
                <w:sz w:val="22"/>
                <w:lang w:eastAsia="de-DE"/>
              </w:rPr>
              <w:t xml:space="preserve">Chevron Corporation </w:t>
            </w:r>
          </w:p>
        </w:tc>
        <w:tc>
          <w:tcPr>
            <w:tcW w:w="3998" w:type="dxa"/>
            <w:tcBorders>
              <w:top w:val="single" w:sz="4" w:space="0" w:color="auto"/>
              <w:bottom w:val="single" w:sz="4" w:space="0" w:color="auto"/>
            </w:tcBorders>
            <w:shd w:val="clear" w:color="auto" w:fill="auto"/>
            <w:noWrap/>
            <w:vAlign w:val="center"/>
            <w:hideMark/>
          </w:tcPr>
          <w:p w14:paraId="00B8EDFA" w14:textId="77777777" w:rsidR="009D1667" w:rsidRPr="007C37B0" w:rsidRDefault="009D1667" w:rsidP="00525124">
            <w:pPr>
              <w:rPr>
                <w:color w:val="000000" w:themeColor="text1"/>
                <w:sz w:val="22"/>
                <w:lang w:val="en-US" w:eastAsia="de-DE"/>
              </w:rPr>
            </w:pPr>
            <w:r w:rsidRPr="007C37B0">
              <w:rPr>
                <w:color w:val="000000" w:themeColor="text1"/>
                <w:sz w:val="22"/>
                <w:lang w:val="en-US" w:eastAsia="de-DE"/>
              </w:rPr>
              <w:t>Complaint about disclosing too little information on environmental liabilities</w:t>
            </w:r>
          </w:p>
        </w:tc>
        <w:tc>
          <w:tcPr>
            <w:tcW w:w="2801" w:type="dxa"/>
            <w:tcBorders>
              <w:top w:val="single" w:sz="4" w:space="0" w:color="auto"/>
              <w:bottom w:val="single" w:sz="4" w:space="0" w:color="auto"/>
            </w:tcBorders>
            <w:shd w:val="clear" w:color="auto" w:fill="auto"/>
            <w:noWrap/>
            <w:vAlign w:val="center"/>
            <w:hideMark/>
          </w:tcPr>
          <w:p w14:paraId="518E33C9" w14:textId="77777777" w:rsidR="009D1667" w:rsidRPr="007C37B0" w:rsidRDefault="009D1667" w:rsidP="00525124">
            <w:pPr>
              <w:rPr>
                <w:color w:val="000000" w:themeColor="text1"/>
                <w:sz w:val="22"/>
                <w:lang w:eastAsia="de-DE"/>
              </w:rPr>
            </w:pPr>
            <w:r w:rsidRPr="007C37B0">
              <w:rPr>
                <w:color w:val="000000" w:themeColor="text1"/>
                <w:sz w:val="22"/>
                <w:lang w:eastAsia="de-DE"/>
              </w:rPr>
              <w:t>SRI fund</w:t>
            </w:r>
          </w:p>
        </w:tc>
      </w:tr>
      <w:tr w:rsidR="00FB6512" w:rsidRPr="007C37B0" w14:paraId="0CCA65CE" w14:textId="77777777" w:rsidTr="00525124">
        <w:trPr>
          <w:trHeight w:val="300"/>
          <w:jc w:val="center"/>
        </w:trPr>
        <w:tc>
          <w:tcPr>
            <w:tcW w:w="834" w:type="dxa"/>
            <w:tcBorders>
              <w:top w:val="single" w:sz="4" w:space="0" w:color="auto"/>
              <w:bottom w:val="single" w:sz="4" w:space="0" w:color="auto"/>
            </w:tcBorders>
            <w:shd w:val="clear" w:color="auto" w:fill="auto"/>
            <w:noWrap/>
            <w:vAlign w:val="center"/>
            <w:hideMark/>
          </w:tcPr>
          <w:p w14:paraId="6CFAEBA4" w14:textId="77777777" w:rsidR="009D1667" w:rsidRPr="007C37B0" w:rsidRDefault="009D1667" w:rsidP="00525124">
            <w:pPr>
              <w:rPr>
                <w:color w:val="000000" w:themeColor="text1"/>
                <w:sz w:val="22"/>
                <w:lang w:eastAsia="de-DE"/>
              </w:rPr>
            </w:pPr>
            <w:r w:rsidRPr="007C37B0">
              <w:rPr>
                <w:color w:val="000000" w:themeColor="text1"/>
                <w:sz w:val="22"/>
                <w:lang w:eastAsia="de-DE"/>
              </w:rPr>
              <w:t>2009</w:t>
            </w:r>
          </w:p>
        </w:tc>
        <w:tc>
          <w:tcPr>
            <w:tcW w:w="1721" w:type="dxa"/>
            <w:tcBorders>
              <w:top w:val="single" w:sz="4" w:space="0" w:color="auto"/>
              <w:bottom w:val="single" w:sz="4" w:space="0" w:color="auto"/>
            </w:tcBorders>
            <w:shd w:val="clear" w:color="auto" w:fill="auto"/>
            <w:noWrap/>
            <w:vAlign w:val="center"/>
            <w:hideMark/>
          </w:tcPr>
          <w:p w14:paraId="712EDE53" w14:textId="77777777" w:rsidR="009D1667" w:rsidRPr="007C37B0" w:rsidRDefault="009D1667" w:rsidP="00525124">
            <w:pPr>
              <w:rPr>
                <w:color w:val="000000" w:themeColor="text1"/>
                <w:sz w:val="22"/>
                <w:lang w:eastAsia="de-DE"/>
              </w:rPr>
            </w:pPr>
            <w:r w:rsidRPr="007C37B0">
              <w:rPr>
                <w:color w:val="000000" w:themeColor="text1"/>
                <w:sz w:val="22"/>
                <w:lang w:eastAsia="de-DE"/>
              </w:rPr>
              <w:t xml:space="preserve">Dentsply International </w:t>
            </w:r>
          </w:p>
        </w:tc>
        <w:tc>
          <w:tcPr>
            <w:tcW w:w="3998" w:type="dxa"/>
            <w:tcBorders>
              <w:top w:val="single" w:sz="4" w:space="0" w:color="auto"/>
              <w:bottom w:val="single" w:sz="4" w:space="0" w:color="auto"/>
            </w:tcBorders>
            <w:shd w:val="clear" w:color="auto" w:fill="auto"/>
            <w:noWrap/>
            <w:vAlign w:val="center"/>
            <w:hideMark/>
          </w:tcPr>
          <w:p w14:paraId="2E13F7C9" w14:textId="77777777" w:rsidR="009D1667" w:rsidRPr="007C37B0" w:rsidRDefault="009D1667" w:rsidP="00525124">
            <w:pPr>
              <w:rPr>
                <w:color w:val="000000" w:themeColor="text1"/>
                <w:sz w:val="22"/>
                <w:lang w:val="en-US" w:eastAsia="de-DE"/>
              </w:rPr>
            </w:pPr>
            <w:r w:rsidRPr="007C37B0">
              <w:rPr>
                <w:color w:val="000000" w:themeColor="text1"/>
                <w:sz w:val="22"/>
                <w:lang w:val="en-US" w:eastAsia="de-DE"/>
              </w:rPr>
              <w:t>Complaint about potential toxicity of product formulation</w:t>
            </w:r>
          </w:p>
        </w:tc>
        <w:tc>
          <w:tcPr>
            <w:tcW w:w="2801" w:type="dxa"/>
            <w:tcBorders>
              <w:top w:val="single" w:sz="4" w:space="0" w:color="auto"/>
              <w:bottom w:val="single" w:sz="4" w:space="0" w:color="auto"/>
            </w:tcBorders>
            <w:shd w:val="clear" w:color="auto" w:fill="auto"/>
            <w:noWrap/>
            <w:vAlign w:val="center"/>
            <w:hideMark/>
          </w:tcPr>
          <w:p w14:paraId="4F15A792" w14:textId="77777777" w:rsidR="009D1667" w:rsidRPr="007C37B0" w:rsidRDefault="009D1667" w:rsidP="00525124">
            <w:pPr>
              <w:rPr>
                <w:color w:val="000000" w:themeColor="text1"/>
                <w:sz w:val="22"/>
                <w:lang w:eastAsia="de-DE"/>
              </w:rPr>
            </w:pPr>
            <w:r w:rsidRPr="007C37B0">
              <w:rPr>
                <w:color w:val="000000" w:themeColor="text1"/>
                <w:sz w:val="22"/>
                <w:lang w:eastAsia="de-DE"/>
              </w:rPr>
              <w:t>Mutual fund</w:t>
            </w:r>
          </w:p>
        </w:tc>
      </w:tr>
      <w:tr w:rsidR="00FB6512" w:rsidRPr="007C37B0" w14:paraId="6F153F65" w14:textId="77777777" w:rsidTr="00525124">
        <w:trPr>
          <w:trHeight w:val="300"/>
          <w:jc w:val="center"/>
        </w:trPr>
        <w:tc>
          <w:tcPr>
            <w:tcW w:w="834" w:type="dxa"/>
            <w:tcBorders>
              <w:top w:val="single" w:sz="4" w:space="0" w:color="auto"/>
              <w:bottom w:val="single" w:sz="4" w:space="0" w:color="auto"/>
            </w:tcBorders>
            <w:shd w:val="clear" w:color="auto" w:fill="auto"/>
            <w:noWrap/>
            <w:vAlign w:val="center"/>
          </w:tcPr>
          <w:p w14:paraId="4BB05A8A" w14:textId="77777777" w:rsidR="009D1667" w:rsidRPr="007C37B0" w:rsidRDefault="009D1667" w:rsidP="00525124">
            <w:pPr>
              <w:rPr>
                <w:color w:val="000000" w:themeColor="text1"/>
                <w:sz w:val="22"/>
                <w:lang w:eastAsia="de-DE"/>
              </w:rPr>
            </w:pPr>
            <w:r w:rsidRPr="007C37B0">
              <w:rPr>
                <w:color w:val="000000" w:themeColor="text1"/>
                <w:sz w:val="22"/>
                <w:lang w:eastAsia="de-DE"/>
              </w:rPr>
              <w:t>2011</w:t>
            </w:r>
          </w:p>
        </w:tc>
        <w:tc>
          <w:tcPr>
            <w:tcW w:w="1721" w:type="dxa"/>
            <w:tcBorders>
              <w:top w:val="single" w:sz="4" w:space="0" w:color="auto"/>
              <w:bottom w:val="single" w:sz="4" w:space="0" w:color="auto"/>
            </w:tcBorders>
            <w:shd w:val="clear" w:color="auto" w:fill="auto"/>
            <w:noWrap/>
            <w:vAlign w:val="center"/>
          </w:tcPr>
          <w:p w14:paraId="478E3DA5" w14:textId="77777777" w:rsidR="009D1667" w:rsidRPr="007C37B0" w:rsidRDefault="009D1667" w:rsidP="00525124">
            <w:pPr>
              <w:rPr>
                <w:color w:val="000000" w:themeColor="text1"/>
                <w:sz w:val="22"/>
                <w:lang w:eastAsia="de-DE"/>
              </w:rPr>
            </w:pPr>
            <w:r w:rsidRPr="007C37B0">
              <w:rPr>
                <w:color w:val="000000" w:themeColor="text1"/>
                <w:sz w:val="22"/>
                <w:lang w:eastAsia="de-DE"/>
              </w:rPr>
              <w:t>Jack in the Box</w:t>
            </w:r>
          </w:p>
        </w:tc>
        <w:tc>
          <w:tcPr>
            <w:tcW w:w="3998" w:type="dxa"/>
            <w:tcBorders>
              <w:top w:val="single" w:sz="4" w:space="0" w:color="auto"/>
              <w:bottom w:val="single" w:sz="4" w:space="0" w:color="auto"/>
            </w:tcBorders>
            <w:shd w:val="clear" w:color="auto" w:fill="auto"/>
            <w:noWrap/>
            <w:vAlign w:val="center"/>
          </w:tcPr>
          <w:p w14:paraId="36DFB0CB" w14:textId="77777777" w:rsidR="009D1667" w:rsidRPr="007C37B0" w:rsidRDefault="009D1667" w:rsidP="00525124">
            <w:pPr>
              <w:rPr>
                <w:color w:val="000000" w:themeColor="text1"/>
                <w:sz w:val="22"/>
                <w:lang w:val="en-US" w:eastAsia="de-DE"/>
              </w:rPr>
            </w:pPr>
            <w:r w:rsidRPr="007C37B0">
              <w:rPr>
                <w:color w:val="000000" w:themeColor="text1"/>
                <w:sz w:val="22"/>
                <w:lang w:val="en-US" w:eastAsia="de-DE"/>
              </w:rPr>
              <w:t>Complaint about animal slaughter methods</w:t>
            </w:r>
          </w:p>
        </w:tc>
        <w:tc>
          <w:tcPr>
            <w:tcW w:w="2801" w:type="dxa"/>
            <w:tcBorders>
              <w:top w:val="single" w:sz="4" w:space="0" w:color="auto"/>
              <w:bottom w:val="single" w:sz="4" w:space="0" w:color="auto"/>
            </w:tcBorders>
            <w:shd w:val="clear" w:color="auto" w:fill="auto"/>
            <w:noWrap/>
            <w:vAlign w:val="center"/>
          </w:tcPr>
          <w:p w14:paraId="3E8E2B05" w14:textId="77777777" w:rsidR="009D1667" w:rsidRPr="007C37B0" w:rsidRDefault="009D1667" w:rsidP="00525124">
            <w:pPr>
              <w:rPr>
                <w:color w:val="000000" w:themeColor="text1"/>
                <w:sz w:val="22"/>
                <w:lang w:eastAsia="de-DE"/>
              </w:rPr>
            </w:pPr>
            <w:r w:rsidRPr="007C37B0">
              <w:rPr>
                <w:color w:val="000000" w:themeColor="text1"/>
                <w:sz w:val="22"/>
                <w:lang w:eastAsia="de-DE"/>
              </w:rPr>
              <w:t>Special interest group</w:t>
            </w:r>
          </w:p>
        </w:tc>
      </w:tr>
      <w:tr w:rsidR="00FB6512" w:rsidRPr="007C37B0" w14:paraId="67C04E1D" w14:textId="77777777" w:rsidTr="00525124">
        <w:trPr>
          <w:trHeight w:val="300"/>
          <w:jc w:val="center"/>
        </w:trPr>
        <w:tc>
          <w:tcPr>
            <w:tcW w:w="834" w:type="dxa"/>
            <w:tcBorders>
              <w:top w:val="single" w:sz="4" w:space="0" w:color="auto"/>
              <w:bottom w:val="single" w:sz="4" w:space="0" w:color="auto"/>
            </w:tcBorders>
            <w:shd w:val="clear" w:color="auto" w:fill="auto"/>
            <w:noWrap/>
            <w:vAlign w:val="center"/>
          </w:tcPr>
          <w:p w14:paraId="1D2E0B11" w14:textId="77777777" w:rsidR="009D1667" w:rsidRPr="007C37B0" w:rsidRDefault="009D1667" w:rsidP="00525124">
            <w:pPr>
              <w:rPr>
                <w:color w:val="000000" w:themeColor="text1"/>
                <w:sz w:val="22"/>
                <w:lang w:eastAsia="de-DE"/>
              </w:rPr>
            </w:pPr>
            <w:r w:rsidRPr="007C37B0">
              <w:rPr>
                <w:color w:val="000000" w:themeColor="text1"/>
                <w:sz w:val="22"/>
                <w:lang w:eastAsia="de-DE"/>
              </w:rPr>
              <w:t>2011</w:t>
            </w:r>
          </w:p>
        </w:tc>
        <w:tc>
          <w:tcPr>
            <w:tcW w:w="1721" w:type="dxa"/>
            <w:tcBorders>
              <w:top w:val="single" w:sz="4" w:space="0" w:color="auto"/>
              <w:bottom w:val="single" w:sz="4" w:space="0" w:color="auto"/>
            </w:tcBorders>
            <w:shd w:val="clear" w:color="auto" w:fill="auto"/>
            <w:noWrap/>
            <w:vAlign w:val="center"/>
          </w:tcPr>
          <w:p w14:paraId="0A6B4AF1" w14:textId="77777777" w:rsidR="009D1667" w:rsidRPr="007C37B0" w:rsidRDefault="009D1667" w:rsidP="00525124">
            <w:pPr>
              <w:rPr>
                <w:color w:val="000000" w:themeColor="text1"/>
                <w:sz w:val="22"/>
                <w:lang w:eastAsia="de-DE"/>
              </w:rPr>
            </w:pPr>
            <w:r w:rsidRPr="007C37B0">
              <w:rPr>
                <w:color w:val="000000" w:themeColor="text1"/>
                <w:sz w:val="22"/>
                <w:lang w:eastAsia="de-DE"/>
              </w:rPr>
              <w:t>Oracle</w:t>
            </w:r>
          </w:p>
        </w:tc>
        <w:tc>
          <w:tcPr>
            <w:tcW w:w="3998" w:type="dxa"/>
            <w:tcBorders>
              <w:top w:val="single" w:sz="4" w:space="0" w:color="auto"/>
              <w:bottom w:val="single" w:sz="4" w:space="0" w:color="auto"/>
            </w:tcBorders>
            <w:shd w:val="clear" w:color="auto" w:fill="auto"/>
            <w:noWrap/>
            <w:vAlign w:val="center"/>
          </w:tcPr>
          <w:p w14:paraId="5126C921" w14:textId="77777777" w:rsidR="009D1667" w:rsidRPr="007C37B0" w:rsidRDefault="009D1667" w:rsidP="00525124">
            <w:pPr>
              <w:rPr>
                <w:color w:val="000000" w:themeColor="text1"/>
                <w:sz w:val="22"/>
                <w:lang w:val="en-US" w:eastAsia="de-DE"/>
              </w:rPr>
            </w:pPr>
            <w:r w:rsidRPr="007C37B0">
              <w:rPr>
                <w:color w:val="000000" w:themeColor="text1"/>
                <w:sz w:val="22"/>
                <w:lang w:val="en-US" w:eastAsia="de-DE"/>
              </w:rPr>
              <w:t>Complaint about stock retention/holding period</w:t>
            </w:r>
          </w:p>
        </w:tc>
        <w:tc>
          <w:tcPr>
            <w:tcW w:w="2801" w:type="dxa"/>
            <w:tcBorders>
              <w:top w:val="single" w:sz="4" w:space="0" w:color="auto"/>
              <w:bottom w:val="single" w:sz="4" w:space="0" w:color="auto"/>
            </w:tcBorders>
            <w:shd w:val="clear" w:color="auto" w:fill="auto"/>
            <w:noWrap/>
            <w:vAlign w:val="center"/>
          </w:tcPr>
          <w:p w14:paraId="57FEDF10" w14:textId="77777777" w:rsidR="009D1667" w:rsidRPr="007C37B0" w:rsidRDefault="009D1667" w:rsidP="00525124">
            <w:pPr>
              <w:rPr>
                <w:color w:val="000000" w:themeColor="text1"/>
                <w:sz w:val="22"/>
                <w:lang w:eastAsia="de-DE"/>
              </w:rPr>
            </w:pPr>
            <w:r w:rsidRPr="007C37B0">
              <w:rPr>
                <w:color w:val="000000" w:themeColor="text1"/>
                <w:sz w:val="22"/>
                <w:lang w:eastAsia="de-DE"/>
              </w:rPr>
              <w:t>Individual shareholder</w:t>
            </w:r>
          </w:p>
        </w:tc>
      </w:tr>
      <w:tr w:rsidR="00FB6512" w:rsidRPr="007C37B0" w14:paraId="14EC4A4C" w14:textId="77777777" w:rsidTr="00525124">
        <w:trPr>
          <w:trHeight w:val="300"/>
          <w:jc w:val="center"/>
        </w:trPr>
        <w:tc>
          <w:tcPr>
            <w:tcW w:w="834" w:type="dxa"/>
            <w:tcBorders>
              <w:top w:val="single" w:sz="4" w:space="0" w:color="auto"/>
            </w:tcBorders>
            <w:shd w:val="clear" w:color="auto" w:fill="auto"/>
            <w:noWrap/>
            <w:vAlign w:val="center"/>
          </w:tcPr>
          <w:p w14:paraId="57819E8D" w14:textId="77777777" w:rsidR="009D1667" w:rsidRPr="007C37B0" w:rsidRDefault="009D1667" w:rsidP="00525124">
            <w:pPr>
              <w:rPr>
                <w:color w:val="000000" w:themeColor="text1"/>
                <w:sz w:val="22"/>
                <w:lang w:eastAsia="de-DE"/>
              </w:rPr>
            </w:pPr>
            <w:r w:rsidRPr="007C37B0">
              <w:rPr>
                <w:color w:val="000000" w:themeColor="text1"/>
                <w:sz w:val="22"/>
                <w:lang w:eastAsia="de-DE"/>
              </w:rPr>
              <w:t>2015</w:t>
            </w:r>
          </w:p>
        </w:tc>
        <w:tc>
          <w:tcPr>
            <w:tcW w:w="1721" w:type="dxa"/>
            <w:tcBorders>
              <w:top w:val="single" w:sz="4" w:space="0" w:color="auto"/>
            </w:tcBorders>
            <w:shd w:val="clear" w:color="auto" w:fill="auto"/>
            <w:noWrap/>
            <w:vAlign w:val="center"/>
          </w:tcPr>
          <w:p w14:paraId="22AC7645" w14:textId="77777777" w:rsidR="009D1667" w:rsidRPr="007C37B0" w:rsidRDefault="009D1667" w:rsidP="00525124">
            <w:pPr>
              <w:rPr>
                <w:color w:val="000000" w:themeColor="text1"/>
                <w:sz w:val="22"/>
                <w:lang w:eastAsia="de-DE"/>
              </w:rPr>
            </w:pPr>
            <w:r w:rsidRPr="007C37B0">
              <w:rPr>
                <w:color w:val="000000" w:themeColor="text1"/>
                <w:sz w:val="22"/>
                <w:lang w:eastAsia="de-DE"/>
              </w:rPr>
              <w:t>Microsoft</w:t>
            </w:r>
          </w:p>
        </w:tc>
        <w:tc>
          <w:tcPr>
            <w:tcW w:w="3998" w:type="dxa"/>
            <w:tcBorders>
              <w:top w:val="single" w:sz="4" w:space="0" w:color="auto"/>
            </w:tcBorders>
            <w:shd w:val="clear" w:color="auto" w:fill="auto"/>
            <w:noWrap/>
            <w:vAlign w:val="center"/>
          </w:tcPr>
          <w:p w14:paraId="4D41EFE2" w14:textId="77777777" w:rsidR="009D1667" w:rsidRPr="007C37B0" w:rsidRDefault="009D1667" w:rsidP="00525124">
            <w:pPr>
              <w:rPr>
                <w:color w:val="000000" w:themeColor="text1"/>
                <w:sz w:val="22"/>
                <w:lang w:eastAsia="de-DE"/>
              </w:rPr>
            </w:pPr>
            <w:r w:rsidRPr="007C37B0">
              <w:rPr>
                <w:color w:val="000000" w:themeColor="text1"/>
                <w:sz w:val="22"/>
                <w:lang w:eastAsia="de-DE"/>
              </w:rPr>
              <w:t>Complaint about executive compensation</w:t>
            </w:r>
          </w:p>
        </w:tc>
        <w:tc>
          <w:tcPr>
            <w:tcW w:w="2801" w:type="dxa"/>
            <w:tcBorders>
              <w:top w:val="single" w:sz="4" w:space="0" w:color="auto"/>
            </w:tcBorders>
            <w:shd w:val="clear" w:color="auto" w:fill="auto"/>
            <w:noWrap/>
            <w:vAlign w:val="center"/>
          </w:tcPr>
          <w:p w14:paraId="759CA17E" w14:textId="77777777" w:rsidR="009D1667" w:rsidRPr="007C37B0" w:rsidRDefault="009D1667" w:rsidP="00525124">
            <w:pPr>
              <w:rPr>
                <w:color w:val="000000" w:themeColor="text1"/>
                <w:sz w:val="22"/>
                <w:lang w:eastAsia="de-DE"/>
              </w:rPr>
            </w:pPr>
            <w:r w:rsidRPr="007C37B0">
              <w:rPr>
                <w:color w:val="000000" w:themeColor="text1"/>
                <w:sz w:val="22"/>
                <w:lang w:eastAsia="de-DE"/>
              </w:rPr>
              <w:t>Mutual fund</w:t>
            </w:r>
          </w:p>
        </w:tc>
      </w:tr>
    </w:tbl>
    <w:p w14:paraId="2E676CFB" w14:textId="77777777" w:rsidR="00643608" w:rsidRDefault="00643608" w:rsidP="005C67B5">
      <w:pPr>
        <w:pStyle w:val="Heading1"/>
        <w:rPr>
          <w:color w:val="000000" w:themeColor="text1"/>
        </w:rPr>
      </w:pPr>
    </w:p>
    <w:p w14:paraId="58643A32" w14:textId="77777777" w:rsidR="00643608" w:rsidRDefault="00643608">
      <w:pPr>
        <w:rPr>
          <w:b/>
          <w:caps/>
          <w:color w:val="000000" w:themeColor="text1"/>
          <w:lang w:val="en-US"/>
        </w:rPr>
      </w:pPr>
      <w:r>
        <w:rPr>
          <w:color w:val="000000" w:themeColor="text1"/>
        </w:rPr>
        <w:br w:type="page"/>
      </w:r>
    </w:p>
    <w:p w14:paraId="643593D3" w14:textId="50CCB5B8" w:rsidR="005C67B5" w:rsidRPr="00064F56" w:rsidRDefault="005C67B5" w:rsidP="005C67B5">
      <w:pPr>
        <w:pStyle w:val="Heading1"/>
        <w:rPr>
          <w:color w:val="000000" w:themeColor="text1"/>
        </w:rPr>
      </w:pPr>
      <w:r w:rsidRPr="00064F56">
        <w:rPr>
          <w:color w:val="000000" w:themeColor="text1"/>
        </w:rPr>
        <w:lastRenderedPageBreak/>
        <w:t>WEB APPENDIX B: Qualitative interviews</w:t>
      </w:r>
    </w:p>
    <w:p w14:paraId="7674FC8F" w14:textId="77777777" w:rsidR="005C67B5" w:rsidRPr="00064F56" w:rsidRDefault="005C67B5" w:rsidP="005C67B5">
      <w:pPr>
        <w:pStyle w:val="m4170173290077184176xmsonospacing"/>
        <w:shd w:val="clear" w:color="auto" w:fill="FFFFFF"/>
        <w:spacing w:before="0" w:beforeAutospacing="0" w:after="0" w:afterAutospacing="0"/>
        <w:ind w:firstLine="567"/>
        <w:rPr>
          <w:color w:val="000000" w:themeColor="text1"/>
        </w:rPr>
      </w:pPr>
    </w:p>
    <w:p w14:paraId="3123E1B4" w14:textId="77777777" w:rsidR="009E045E" w:rsidRDefault="005C67B5" w:rsidP="007C37B0">
      <w:pPr>
        <w:pStyle w:val="m4170173290077184176xmsonospacing"/>
        <w:shd w:val="clear" w:color="auto" w:fill="FFFFFF"/>
        <w:spacing w:before="0" w:beforeAutospacing="0" w:after="0" w:afterAutospacing="0"/>
        <w:ind w:firstLine="720"/>
        <w:rPr>
          <w:color w:val="000000" w:themeColor="text1"/>
        </w:rPr>
      </w:pPr>
      <w:r w:rsidRPr="00064F56">
        <w:rPr>
          <w:color w:val="000000" w:themeColor="text1"/>
        </w:rPr>
        <w:t xml:space="preserve">We conducted a qualitative study among managers of publicly-listed firms to explore their perceptions of shareholder complaints and the extent to which they consider advertising investments a viable response. Following extant work (e.g., </w:t>
      </w:r>
      <w:proofErr w:type="spellStart"/>
      <w:r w:rsidRPr="00064F56">
        <w:rPr>
          <w:color w:val="000000" w:themeColor="text1"/>
        </w:rPr>
        <w:t>Xiong</w:t>
      </w:r>
      <w:proofErr w:type="spellEnd"/>
      <w:r w:rsidRPr="00064F56">
        <w:rPr>
          <w:color w:val="000000" w:themeColor="text1"/>
        </w:rPr>
        <w:t xml:space="preserve"> and Bharadwaj 2011), the goal of this study was to obtain first-hand insights from domain experts in order to supplement established theory in the course of our hypothesis development. With key concepts and potential relationships based on the literature, we relied on a series of semi-structured interviews with open-ended, </w:t>
      </w:r>
      <w:r w:rsidRPr="00064F56">
        <w:rPr>
          <w:color w:val="000000" w:themeColor="text1"/>
          <w:spacing w:val="-2"/>
        </w:rPr>
        <w:t xml:space="preserve">non-leading questions (Ayres 2012) </w:t>
      </w:r>
      <w:r w:rsidRPr="00064F56">
        <w:rPr>
          <w:color w:val="000000" w:themeColor="text1"/>
        </w:rPr>
        <w:t>that allowed managers to elaborate as they saw fit</w:t>
      </w:r>
      <w:r>
        <w:rPr>
          <w:color w:val="000000" w:themeColor="text1"/>
        </w:rPr>
        <w:t>. This</w:t>
      </w:r>
      <w:r w:rsidRPr="00064F56">
        <w:rPr>
          <w:color w:val="000000" w:themeColor="text1"/>
        </w:rPr>
        <w:t xml:space="preserve"> enabled us to capture their perspectives as accurately as possible, unconfined to a fixed range of response options (as compared to structured interviews). With permission, we created an audio recording of each interview which we transcribed subsequently. In this way, we could keep the conversations naturally flowing during the interviews as well as ensure to accurately capture and quote participants’ responses.</w:t>
      </w:r>
    </w:p>
    <w:p w14:paraId="78528A87" w14:textId="770FB872" w:rsidR="005C67B5" w:rsidRPr="00064F56" w:rsidRDefault="005C67B5" w:rsidP="007C37B0">
      <w:pPr>
        <w:pStyle w:val="m4170173290077184176xmsonospacing"/>
        <w:shd w:val="clear" w:color="auto" w:fill="FFFFFF"/>
        <w:spacing w:before="0" w:beforeAutospacing="0" w:after="0" w:afterAutospacing="0"/>
        <w:ind w:firstLine="720"/>
        <w:rPr>
          <w:color w:val="000000" w:themeColor="text1"/>
        </w:rPr>
      </w:pPr>
      <w:r w:rsidRPr="00064F56">
        <w:rPr>
          <w:color w:val="000000" w:themeColor="text1"/>
        </w:rPr>
        <w:t>We recruited managers through the alumni networks of the Executive MBA programs of the authors’ universities. As eligibility criteria, we required participants to be sufficiently senior and have either decision power or influence over a possible advertising investment response. We also worked to ensure sufficient variation in participants’ tenure duration and industry backgrounds. The final sample consisted of eight international executives (either CFO, Chief Financial Controller, VP of Public Relations, or Head of Investor Relations) from eight publicly</w:t>
      </w:r>
      <w:r w:rsidRPr="00064F56">
        <w:rPr>
          <w:rStyle w:val="m4170173290077184176xmsocommentreference"/>
          <w:color w:val="000000" w:themeColor="text1"/>
        </w:rPr>
        <w:t>-</w:t>
      </w:r>
      <w:r w:rsidRPr="00064F56">
        <w:rPr>
          <w:color w:val="000000" w:themeColor="text1"/>
        </w:rPr>
        <w:t xml:space="preserve">listed firms. Each manager had between ten and twenty-five years of working experience </w:t>
      </w:r>
      <w:r w:rsidRPr="00064F56">
        <w:rPr>
          <w:color w:val="000000" w:themeColor="text1"/>
          <w:spacing w:val="-2"/>
        </w:rPr>
        <w:t xml:space="preserve">at a publicly-listed firm, and had been in his or her current role between one and five years. The industries in which these managers operated included financial services, dairy and foods, automatization and industrial components, engineering, and telecommunications. We recruited and interviewed managers sequentially, such that we stopped recruiting once theoretical saturation occurred and no new information was revealed in the interviews. Notably, our sample size of eight executives from eight firms is well in line with extant studies (e.g., </w:t>
      </w:r>
      <w:proofErr w:type="spellStart"/>
      <w:r w:rsidRPr="00064F56">
        <w:rPr>
          <w:color w:val="000000" w:themeColor="text1"/>
        </w:rPr>
        <w:t>Kähr</w:t>
      </w:r>
      <w:proofErr w:type="spellEnd"/>
      <w:r w:rsidRPr="00064F56">
        <w:rPr>
          <w:color w:val="000000" w:themeColor="text1"/>
        </w:rPr>
        <w:t xml:space="preserve"> et al. 2016; </w:t>
      </w:r>
      <w:proofErr w:type="spellStart"/>
      <w:r w:rsidRPr="00064F56">
        <w:rPr>
          <w:color w:val="000000" w:themeColor="text1"/>
        </w:rPr>
        <w:t>Xiong</w:t>
      </w:r>
      <w:proofErr w:type="spellEnd"/>
      <w:r w:rsidRPr="00064F56">
        <w:rPr>
          <w:color w:val="000000" w:themeColor="text1"/>
        </w:rPr>
        <w:t xml:space="preserve"> and Bharadwaj 2011</w:t>
      </w:r>
      <w:r w:rsidRPr="00064F56">
        <w:rPr>
          <w:color w:val="000000" w:themeColor="text1"/>
          <w:spacing w:val="-2"/>
        </w:rPr>
        <w:t xml:space="preserve">) and </w:t>
      </w:r>
      <w:r w:rsidRPr="00064F56">
        <w:rPr>
          <w:color w:val="000000" w:themeColor="text1"/>
        </w:rPr>
        <w:t xml:space="preserve">consistent with Guest, Bunce, and Johnson’s (2006) observation that </w:t>
      </w:r>
      <w:r w:rsidRPr="00064F56">
        <w:rPr>
          <w:color w:val="000000" w:themeColor="text1"/>
          <w:spacing w:val="-3"/>
        </w:rPr>
        <w:t xml:space="preserve">key themes are often already evident within six interviews. </w:t>
      </w:r>
      <w:r w:rsidRPr="00064F56">
        <w:rPr>
          <w:color w:val="000000" w:themeColor="text1"/>
          <w:spacing w:val="-2"/>
        </w:rPr>
        <w:t xml:space="preserve">Each interview, conducted </w:t>
      </w:r>
      <w:r w:rsidRPr="00064F56">
        <w:rPr>
          <w:color w:val="000000" w:themeColor="text1"/>
          <w:spacing w:val="-3"/>
        </w:rPr>
        <w:t>either in person or by phone, lasted between thirty and sixty minutes. While the insights we report from these interviews are specific quotes, they reflect general insights expressed by multiple managers.</w:t>
      </w:r>
    </w:p>
    <w:p w14:paraId="6E58F5B2" w14:textId="77777777" w:rsidR="009E045E" w:rsidRDefault="005C67B5" w:rsidP="007C37B0">
      <w:pPr>
        <w:pStyle w:val="m4170173290077184176xmsonospacing"/>
        <w:shd w:val="clear" w:color="auto" w:fill="FFFFFF"/>
        <w:spacing w:before="0" w:beforeAutospacing="0" w:after="0" w:afterAutospacing="0"/>
        <w:ind w:firstLine="720"/>
        <w:rPr>
          <w:color w:val="000000" w:themeColor="text1"/>
        </w:rPr>
      </w:pPr>
      <w:r w:rsidRPr="00064F56">
        <w:rPr>
          <w:color w:val="000000" w:themeColor="text1"/>
        </w:rPr>
        <w:t xml:space="preserve">Two main insights emerged from this exploratory study. First, managers are reluctant to readily implement changes suggested in shareholder complaints, but rather </w:t>
      </w:r>
      <w:r w:rsidRPr="00064F56">
        <w:rPr>
          <w:color w:val="000000" w:themeColor="text1"/>
          <w:spacing w:val="-2"/>
        </w:rPr>
        <w:t>view complaints within the broader context of their firm’s strategy. Indeed, a CFO stated that “when investors challenge the strategic direction of the business, we tend and just try to reiterate and justify our strategy, rather than directly addressing any proposed changes.” A potential reason came from another CFO who remarked that “shareholders follow your firm from a distance and are not involved in the daily development of </w:t>
      </w:r>
      <w:r w:rsidRPr="00064F56">
        <w:rPr>
          <w:color w:val="000000" w:themeColor="text1"/>
        </w:rPr>
        <w:t>your strategy and the considerations involved.” Moreover, according to a Head of Investor Relations, in response to shareholder complaints, his firm tends to “double-down on the strategy, reiterating why they think it is a good strategy, focusing on that justification process.” Altogether, the tenor of our interviews corroborates extant findings that managers are typically hesitant to implement changes requested in shareholder complaints (</w:t>
      </w:r>
      <w:proofErr w:type="spellStart"/>
      <w:r w:rsidRPr="00064F56">
        <w:rPr>
          <w:color w:val="000000" w:themeColor="text1"/>
        </w:rPr>
        <w:t>Gillan</w:t>
      </w:r>
      <w:proofErr w:type="spellEnd"/>
      <w:r w:rsidRPr="00064F56">
        <w:rPr>
          <w:color w:val="000000" w:themeColor="text1"/>
        </w:rPr>
        <w:t xml:space="preserve"> and Starks 2007).</w:t>
      </w:r>
    </w:p>
    <w:p w14:paraId="7E78FC03" w14:textId="6FE74E6D" w:rsidR="0014248E" w:rsidRPr="007C37B0" w:rsidRDefault="005C67B5" w:rsidP="007C37B0">
      <w:pPr>
        <w:pStyle w:val="m4170173290077184176xmsonospacing"/>
        <w:shd w:val="clear" w:color="auto" w:fill="FFFFFF"/>
        <w:spacing w:before="0" w:beforeAutospacing="0" w:after="0" w:afterAutospacing="0"/>
        <w:ind w:firstLine="720"/>
        <w:rPr>
          <w:color w:val="000000" w:themeColor="text1"/>
        </w:rPr>
        <w:sectPr w:rsidR="0014248E" w:rsidRPr="007C37B0" w:rsidSect="00244E9F">
          <w:headerReference w:type="even" r:id="rId8"/>
          <w:headerReference w:type="default" r:id="rId9"/>
          <w:pgSz w:w="11900" w:h="16840"/>
          <w:pgMar w:top="1417" w:right="1417" w:bottom="1134" w:left="1417" w:header="708" w:footer="708" w:gutter="0"/>
          <w:cols w:space="708"/>
          <w:docGrid w:linePitch="360"/>
        </w:sectPr>
      </w:pPr>
      <w:r w:rsidRPr="00064F56">
        <w:rPr>
          <w:color w:val="000000" w:themeColor="text1"/>
        </w:rPr>
        <w:t xml:space="preserve">The second key learning from this study was that, as an alternative to implementing suggested changes in response to shareholder complaints, managers instead seek to engage in a dialogue and display transparency towards the investor community and resort to marketing tools to establish confidence in the firm’s existing strategy and reputation. In particular, one Head of Investor Relations declared that “we would consider advertising [to buffer the negative influence created by shareholder complaints], depending on the specific </w:t>
      </w:r>
      <w:r w:rsidRPr="00064F56">
        <w:rPr>
          <w:color w:val="000000" w:themeColor="text1"/>
        </w:rPr>
        <w:lastRenderedPageBreak/>
        <w:t>circumstances and significance of the shareholder complaint.” Similarly, a CFO noted that “advertising could address concerns by some people who think we are not a good company by letting them and the broader market know we are a good company.” In Table B1, we report exemplary views of managers regarding changes in advertising investments as a viable response to shareholder complaints. In sum, the qualitative interviews of this study provided us with an important form of “triangulation” to help develop our hypotheses based on joint insights from extant theory and managerial practice (Morgan, Anderson, and Mittal 2005).</w:t>
      </w:r>
    </w:p>
    <w:p w14:paraId="11502F69" w14:textId="5705169F" w:rsidR="0014248E" w:rsidRPr="007C37B0" w:rsidRDefault="0014248E" w:rsidP="007C37B0">
      <w:pPr>
        <w:pStyle w:val="m4170173290077184176xmsonospacing"/>
        <w:shd w:val="clear" w:color="auto" w:fill="FFFFFF"/>
        <w:spacing w:before="0" w:beforeAutospacing="0" w:after="0" w:afterAutospacing="0"/>
        <w:jc w:val="center"/>
        <w:rPr>
          <w:b/>
          <w:caps/>
          <w:color w:val="000000" w:themeColor="text1"/>
        </w:rPr>
      </w:pPr>
      <w:r w:rsidRPr="007C37B0">
        <w:rPr>
          <w:b/>
          <w:caps/>
          <w:color w:val="000000" w:themeColor="text1"/>
        </w:rPr>
        <w:lastRenderedPageBreak/>
        <w:t xml:space="preserve">Table </w:t>
      </w:r>
      <w:r w:rsidR="005E6AB2" w:rsidRPr="007C37B0">
        <w:rPr>
          <w:b/>
          <w:caps/>
          <w:color w:val="000000" w:themeColor="text1"/>
        </w:rPr>
        <w:t>B</w:t>
      </w:r>
      <w:r w:rsidRPr="007C37B0">
        <w:rPr>
          <w:b/>
          <w:caps/>
          <w:color w:val="000000" w:themeColor="text1"/>
        </w:rPr>
        <w:t xml:space="preserve">1: Exemplary Views of Managers </w:t>
      </w:r>
      <w:r w:rsidR="00101F70" w:rsidRPr="007C37B0">
        <w:rPr>
          <w:b/>
          <w:caps/>
          <w:color w:val="000000" w:themeColor="text1"/>
        </w:rPr>
        <w:t>R</w:t>
      </w:r>
      <w:r w:rsidRPr="007C37B0">
        <w:rPr>
          <w:b/>
          <w:caps/>
          <w:color w:val="000000" w:themeColor="text1"/>
        </w:rPr>
        <w:t>egarding Advertising as a Response to Shareholder Complaints</w:t>
      </w:r>
    </w:p>
    <w:p w14:paraId="0C1EAF71" w14:textId="77777777" w:rsidR="00F00D3F" w:rsidRPr="007C37B0" w:rsidRDefault="00F00D3F" w:rsidP="0014248E">
      <w:pPr>
        <w:pStyle w:val="m4170173290077184176xmsonospacing"/>
        <w:shd w:val="clear" w:color="auto" w:fill="FFFFFF"/>
        <w:spacing w:before="0" w:beforeAutospacing="0" w:after="0" w:afterAutospacing="0"/>
        <w:ind w:firstLine="708"/>
        <w:rPr>
          <w:b/>
          <w:color w:val="000000" w:themeColor="text1"/>
          <w:sz w:val="20"/>
        </w:rPr>
      </w:pPr>
    </w:p>
    <w:tbl>
      <w:tblPr>
        <w:tblW w:w="13611" w:type="dxa"/>
        <w:tblCellMar>
          <w:left w:w="0" w:type="dxa"/>
          <w:right w:w="0" w:type="dxa"/>
        </w:tblCellMar>
        <w:tblLook w:val="0600" w:firstRow="0" w:lastRow="0" w:firstColumn="0" w:lastColumn="0" w:noHBand="1" w:noVBand="1"/>
      </w:tblPr>
      <w:tblGrid>
        <w:gridCol w:w="1680"/>
        <w:gridCol w:w="2292"/>
        <w:gridCol w:w="4252"/>
        <w:gridCol w:w="5387"/>
      </w:tblGrid>
      <w:tr w:rsidR="00FB6512" w:rsidRPr="00224536" w14:paraId="78015AF6" w14:textId="77777777" w:rsidTr="00A43D02">
        <w:trPr>
          <w:trHeight w:val="584"/>
        </w:trPr>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C378372" w14:textId="77777777" w:rsidR="0014248E" w:rsidRPr="007C37B0" w:rsidRDefault="0014248E" w:rsidP="00AB106C">
            <w:pPr>
              <w:rPr>
                <w:color w:val="000000" w:themeColor="text1"/>
                <w:sz w:val="20"/>
                <w:szCs w:val="20"/>
                <w:lang w:val="en-US"/>
              </w:rPr>
            </w:pP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8BA9505" w14:textId="77777777" w:rsidR="0014248E" w:rsidRPr="007C37B0" w:rsidRDefault="0014248E" w:rsidP="00AB106C">
            <w:pPr>
              <w:jc w:val="center"/>
              <w:rPr>
                <w:rFonts w:ascii="Arial" w:hAnsi="Arial" w:cs="Arial"/>
                <w:color w:val="000000" w:themeColor="text1"/>
                <w:sz w:val="20"/>
                <w:szCs w:val="20"/>
                <w:lang w:val="en-US"/>
              </w:rPr>
            </w:pPr>
            <w:r w:rsidRPr="007C37B0">
              <w:rPr>
                <w:b/>
                <w:bCs/>
                <w:color w:val="000000" w:themeColor="text1"/>
                <w:kern w:val="24"/>
                <w:sz w:val="20"/>
                <w:szCs w:val="20"/>
                <w:lang w:val="sv-FI"/>
              </w:rPr>
              <w:t>In favor of decreasing advertising investments</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8F383CE" w14:textId="77777777" w:rsidR="0014248E" w:rsidRPr="007C37B0" w:rsidRDefault="0014248E" w:rsidP="00AB106C">
            <w:pPr>
              <w:jc w:val="center"/>
              <w:rPr>
                <w:rFonts w:ascii="Arial" w:hAnsi="Arial" w:cs="Arial"/>
                <w:color w:val="000000" w:themeColor="text1"/>
                <w:sz w:val="20"/>
                <w:szCs w:val="20"/>
                <w:lang w:val="en-US"/>
              </w:rPr>
            </w:pPr>
            <w:r w:rsidRPr="007C37B0">
              <w:rPr>
                <w:b/>
                <w:bCs/>
                <w:color w:val="000000" w:themeColor="text1"/>
                <w:kern w:val="24"/>
                <w:sz w:val="20"/>
                <w:szCs w:val="20"/>
                <w:lang w:val="sv-FI"/>
              </w:rPr>
              <w:t>In favor of no change in advertising investments</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1146F5F" w14:textId="77777777" w:rsidR="0014248E" w:rsidRPr="007C37B0" w:rsidRDefault="0014248E" w:rsidP="00AB106C">
            <w:pPr>
              <w:jc w:val="center"/>
              <w:rPr>
                <w:rFonts w:ascii="Arial" w:hAnsi="Arial" w:cs="Arial"/>
                <w:color w:val="000000" w:themeColor="text1"/>
                <w:sz w:val="20"/>
                <w:szCs w:val="20"/>
                <w:lang w:val="en-US"/>
              </w:rPr>
            </w:pPr>
            <w:r w:rsidRPr="007C37B0">
              <w:rPr>
                <w:b/>
                <w:bCs/>
                <w:color w:val="000000" w:themeColor="text1"/>
                <w:kern w:val="24"/>
                <w:sz w:val="20"/>
                <w:szCs w:val="20"/>
                <w:lang w:val="sv-FI"/>
              </w:rPr>
              <w:t>In favor of increasing advertising investments</w:t>
            </w:r>
          </w:p>
        </w:tc>
      </w:tr>
      <w:tr w:rsidR="00FB6512" w:rsidRPr="007C37B0" w14:paraId="47F6921F" w14:textId="77777777" w:rsidTr="00A43D02">
        <w:trPr>
          <w:trHeight w:val="584"/>
        </w:trPr>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70B8C32" w14:textId="77777777" w:rsidR="0014248E" w:rsidRPr="007C37B0" w:rsidRDefault="0014248E" w:rsidP="00AB106C">
            <w:pPr>
              <w:jc w:val="center"/>
              <w:rPr>
                <w:rFonts w:ascii="Arial" w:hAnsi="Arial" w:cs="Arial"/>
                <w:color w:val="000000" w:themeColor="text1"/>
                <w:sz w:val="20"/>
                <w:szCs w:val="20"/>
                <w:lang w:val="en-US"/>
              </w:rPr>
            </w:pPr>
            <w:r w:rsidRPr="007C37B0">
              <w:rPr>
                <w:b/>
                <w:bCs/>
                <w:color w:val="000000" w:themeColor="text1"/>
                <w:kern w:val="24"/>
                <w:sz w:val="20"/>
                <w:szCs w:val="20"/>
                <w:lang w:val="sv-FI"/>
              </w:rPr>
              <w:t>Manager has experienced shareholder complaints before</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10E4BAE" w14:textId="77777777" w:rsidR="0014248E" w:rsidRPr="007C37B0" w:rsidRDefault="0014248E" w:rsidP="00AB106C">
            <w:pPr>
              <w:jc w:val="center"/>
              <w:rPr>
                <w:color w:val="000000" w:themeColor="text1"/>
                <w:sz w:val="20"/>
                <w:szCs w:val="20"/>
                <w:lang w:val="en-US"/>
              </w:rPr>
            </w:pPr>
            <w:r w:rsidRPr="007C37B0">
              <w:rPr>
                <w:color w:val="000000" w:themeColor="text1"/>
                <w:sz w:val="20"/>
                <w:szCs w:val="20"/>
                <w:lang w:val="en-US"/>
              </w:rPr>
              <w:t>-none-</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C7A332B" w14:textId="19DBD1E1" w:rsidR="0014248E" w:rsidRPr="007C37B0" w:rsidRDefault="0014248E" w:rsidP="00AB106C">
            <w:pPr>
              <w:rPr>
                <w:rFonts w:ascii="Arial" w:hAnsi="Arial" w:cs="Arial"/>
                <w:color w:val="000000" w:themeColor="text1"/>
                <w:sz w:val="20"/>
                <w:szCs w:val="20"/>
                <w:lang w:val="en-US"/>
              </w:rPr>
            </w:pPr>
            <w:r w:rsidRPr="007C37B0">
              <w:rPr>
                <w:color w:val="000000" w:themeColor="text1"/>
                <w:kern w:val="24"/>
                <w:sz w:val="20"/>
                <w:szCs w:val="20"/>
                <w:lang w:val="en-US"/>
              </w:rPr>
              <w:t>“[Rather]</w:t>
            </w:r>
            <w:r w:rsidR="00D46D1E" w:rsidRPr="007C37B0">
              <w:rPr>
                <w:color w:val="000000" w:themeColor="text1"/>
                <w:kern w:val="24"/>
                <w:sz w:val="20"/>
                <w:szCs w:val="20"/>
                <w:lang w:val="en-US"/>
              </w:rPr>
              <w:t xml:space="preserve"> d</w:t>
            </w:r>
            <w:r w:rsidRPr="007C37B0">
              <w:rPr>
                <w:color w:val="000000" w:themeColor="text1"/>
                <w:kern w:val="24"/>
                <w:sz w:val="20"/>
                <w:szCs w:val="20"/>
                <w:lang w:val="en-US"/>
              </w:rPr>
              <w:t>ouble-downing on the strategy, try to reiterate why we think it is a good strategy and that justification process.”</w:t>
            </w:r>
          </w:p>
          <w:p w14:paraId="5709D41C" w14:textId="0926EB0C" w:rsidR="0014248E" w:rsidRPr="007C37B0" w:rsidRDefault="00D95649" w:rsidP="00AB106C">
            <w:pPr>
              <w:rPr>
                <w:rFonts w:ascii="Arial" w:hAnsi="Arial" w:cs="Arial"/>
                <w:color w:val="000000" w:themeColor="text1"/>
                <w:sz w:val="20"/>
                <w:szCs w:val="20"/>
                <w:lang w:val="en-US"/>
              </w:rPr>
            </w:pPr>
            <w:r w:rsidRPr="007C37B0">
              <w:rPr>
                <w:color w:val="000000" w:themeColor="text1"/>
                <w:kern w:val="24"/>
                <w:sz w:val="20"/>
                <w:szCs w:val="20"/>
                <w:lang w:val="en-US"/>
              </w:rPr>
              <w:t>—</w:t>
            </w:r>
            <w:r w:rsidR="0014248E" w:rsidRPr="007C37B0">
              <w:rPr>
                <w:color w:val="000000" w:themeColor="text1"/>
                <w:kern w:val="24"/>
                <w:sz w:val="20"/>
                <w:szCs w:val="20"/>
                <w:lang w:val="en-US"/>
              </w:rPr>
              <w:t>Chief Financial Controller, foods industry</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F1B07B2" w14:textId="77777777" w:rsidR="0014248E" w:rsidRPr="007C37B0" w:rsidRDefault="0014248E" w:rsidP="00AB106C">
            <w:pPr>
              <w:rPr>
                <w:rFonts w:ascii="Arial" w:hAnsi="Arial" w:cs="Arial"/>
                <w:color w:val="000000" w:themeColor="text1"/>
                <w:sz w:val="20"/>
                <w:szCs w:val="20"/>
                <w:lang w:val="en-US"/>
              </w:rPr>
            </w:pPr>
            <w:r w:rsidRPr="007C37B0">
              <w:rPr>
                <w:color w:val="000000" w:themeColor="text1"/>
                <w:kern w:val="24"/>
                <w:sz w:val="20"/>
                <w:szCs w:val="20"/>
                <w:lang w:val="en-US"/>
              </w:rPr>
              <w:t>“I absolutely think increasing advertising spending and therefore increasing firm value is a worthwhile option.”</w:t>
            </w:r>
          </w:p>
          <w:p w14:paraId="3B03031E" w14:textId="2AFB206B" w:rsidR="0014248E" w:rsidRPr="007C37B0" w:rsidRDefault="00D95649" w:rsidP="00AB106C">
            <w:pPr>
              <w:rPr>
                <w:color w:val="000000" w:themeColor="text1"/>
                <w:kern w:val="24"/>
                <w:sz w:val="20"/>
                <w:szCs w:val="20"/>
                <w:lang w:val="en-US"/>
              </w:rPr>
            </w:pPr>
            <w:r w:rsidRPr="007C37B0">
              <w:rPr>
                <w:color w:val="000000" w:themeColor="text1"/>
                <w:kern w:val="24"/>
                <w:sz w:val="20"/>
                <w:szCs w:val="20"/>
                <w:lang w:val="en-US"/>
              </w:rPr>
              <w:t>—</w:t>
            </w:r>
            <w:r w:rsidR="0014248E" w:rsidRPr="007C37B0">
              <w:rPr>
                <w:color w:val="000000" w:themeColor="text1"/>
                <w:kern w:val="24"/>
                <w:sz w:val="20"/>
                <w:szCs w:val="20"/>
                <w:lang w:val="en-US"/>
              </w:rPr>
              <w:t>CFO and Head of Investor Relations, financial services industry</w:t>
            </w:r>
          </w:p>
          <w:p w14:paraId="7D9B6C5D" w14:textId="77777777" w:rsidR="0014248E" w:rsidRPr="007C37B0" w:rsidRDefault="0014248E" w:rsidP="00AB106C">
            <w:pPr>
              <w:rPr>
                <w:rFonts w:ascii="Arial" w:hAnsi="Arial" w:cs="Arial"/>
                <w:color w:val="000000" w:themeColor="text1"/>
                <w:sz w:val="20"/>
                <w:szCs w:val="20"/>
                <w:lang w:val="en-US"/>
              </w:rPr>
            </w:pPr>
          </w:p>
          <w:p w14:paraId="4E991D27" w14:textId="77777777" w:rsidR="0014248E" w:rsidRPr="007C37B0" w:rsidRDefault="0014248E" w:rsidP="00AB106C">
            <w:pPr>
              <w:rPr>
                <w:rFonts w:ascii="Arial" w:hAnsi="Arial" w:cs="Arial"/>
                <w:color w:val="000000" w:themeColor="text1"/>
                <w:sz w:val="20"/>
                <w:szCs w:val="20"/>
                <w:lang w:val="en-US"/>
              </w:rPr>
            </w:pPr>
            <w:r w:rsidRPr="007C37B0">
              <w:rPr>
                <w:color w:val="000000" w:themeColor="text1"/>
                <w:kern w:val="24"/>
                <w:sz w:val="20"/>
                <w:szCs w:val="20"/>
                <w:lang w:val="en-US"/>
              </w:rPr>
              <w:t>“It makes sense; anything that impacts the wider community and really exposure to the wider community is advertising.”</w:t>
            </w:r>
          </w:p>
          <w:p w14:paraId="63003443" w14:textId="24D698BA" w:rsidR="0014248E" w:rsidRPr="007C37B0" w:rsidRDefault="00D95649" w:rsidP="00AB106C">
            <w:pPr>
              <w:rPr>
                <w:color w:val="000000" w:themeColor="text1"/>
                <w:kern w:val="24"/>
                <w:sz w:val="20"/>
                <w:szCs w:val="20"/>
                <w:lang w:val="en-US"/>
              </w:rPr>
            </w:pPr>
            <w:r w:rsidRPr="007C37B0">
              <w:rPr>
                <w:color w:val="000000" w:themeColor="text1"/>
                <w:kern w:val="24"/>
                <w:sz w:val="20"/>
                <w:szCs w:val="20"/>
                <w:lang w:val="en-US"/>
              </w:rPr>
              <w:t>—</w:t>
            </w:r>
            <w:r w:rsidR="0014248E" w:rsidRPr="007C37B0">
              <w:rPr>
                <w:color w:val="000000" w:themeColor="text1"/>
                <w:kern w:val="24"/>
                <w:sz w:val="20"/>
                <w:szCs w:val="20"/>
                <w:lang w:val="en-US"/>
              </w:rPr>
              <w:t>Chief Financial Controller, foods industry</w:t>
            </w:r>
          </w:p>
          <w:p w14:paraId="19E1D90A" w14:textId="5700E43C" w:rsidR="0014248E" w:rsidRPr="007C37B0" w:rsidRDefault="0014248E" w:rsidP="00AB106C">
            <w:pPr>
              <w:rPr>
                <w:rFonts w:ascii="Arial" w:hAnsi="Arial" w:cs="Arial"/>
                <w:color w:val="000000" w:themeColor="text1"/>
                <w:sz w:val="20"/>
                <w:szCs w:val="20"/>
                <w:lang w:val="en-US"/>
              </w:rPr>
            </w:pPr>
          </w:p>
          <w:p w14:paraId="5840AA5C" w14:textId="50A09BC7" w:rsidR="00D46D1E" w:rsidRPr="007C37B0" w:rsidRDefault="00D46D1E" w:rsidP="00AB106C">
            <w:pPr>
              <w:rPr>
                <w:color w:val="000000" w:themeColor="text1"/>
                <w:sz w:val="20"/>
                <w:szCs w:val="20"/>
                <w:lang w:val="en-US"/>
              </w:rPr>
            </w:pPr>
            <w:r w:rsidRPr="007C37B0">
              <w:rPr>
                <w:color w:val="000000" w:themeColor="text1"/>
                <w:sz w:val="20"/>
                <w:szCs w:val="20"/>
                <w:lang w:val="en-US"/>
              </w:rPr>
              <w:t>“Advertising could address concerns by some people who think we are not a good company by letting them and the broader market know we are a good company.”</w:t>
            </w:r>
          </w:p>
          <w:p w14:paraId="3C8505EC" w14:textId="45B74A77" w:rsidR="00D46D1E" w:rsidRPr="007C37B0" w:rsidRDefault="00D95649" w:rsidP="00AB106C">
            <w:pPr>
              <w:rPr>
                <w:color w:val="000000" w:themeColor="text1"/>
                <w:sz w:val="20"/>
                <w:szCs w:val="20"/>
                <w:lang w:val="en-US"/>
              </w:rPr>
            </w:pPr>
            <w:r w:rsidRPr="007C37B0">
              <w:rPr>
                <w:color w:val="000000" w:themeColor="text1"/>
                <w:kern w:val="24"/>
                <w:sz w:val="20"/>
                <w:szCs w:val="20"/>
                <w:lang w:val="en-US"/>
              </w:rPr>
              <w:t>—</w:t>
            </w:r>
            <w:r w:rsidR="00D46D1E" w:rsidRPr="007C37B0">
              <w:rPr>
                <w:color w:val="000000" w:themeColor="text1"/>
                <w:sz w:val="20"/>
                <w:szCs w:val="20"/>
                <w:lang w:val="en-US"/>
              </w:rPr>
              <w:t>Chief Financial Controller, foods industry</w:t>
            </w:r>
          </w:p>
          <w:p w14:paraId="4C461DA6" w14:textId="77777777" w:rsidR="00D46D1E" w:rsidRPr="007C37B0" w:rsidRDefault="00D46D1E" w:rsidP="00AB106C">
            <w:pPr>
              <w:rPr>
                <w:rFonts w:ascii="Arial" w:hAnsi="Arial" w:cs="Arial"/>
                <w:color w:val="000000" w:themeColor="text1"/>
                <w:sz w:val="20"/>
                <w:szCs w:val="20"/>
                <w:lang w:val="en-US"/>
              </w:rPr>
            </w:pPr>
          </w:p>
          <w:p w14:paraId="0850214A" w14:textId="77777777" w:rsidR="0014248E" w:rsidRPr="007C37B0" w:rsidRDefault="0014248E" w:rsidP="00AB106C">
            <w:pPr>
              <w:rPr>
                <w:rFonts w:ascii="Arial" w:hAnsi="Arial" w:cs="Arial"/>
                <w:color w:val="000000" w:themeColor="text1"/>
                <w:sz w:val="20"/>
                <w:szCs w:val="20"/>
                <w:lang w:val="en-US"/>
              </w:rPr>
            </w:pPr>
            <w:r w:rsidRPr="007C37B0">
              <w:rPr>
                <w:color w:val="000000" w:themeColor="text1"/>
                <w:kern w:val="24"/>
                <w:sz w:val="20"/>
                <w:szCs w:val="20"/>
                <w:lang w:val="en-US"/>
              </w:rPr>
              <w:t>“If activist shareholder uses wrong arguments or proposes things that are damaging to the firm, for example selling your crown jewels, or that undermine your long-term strategy, it is legitimate to use advertising.”</w:t>
            </w:r>
          </w:p>
          <w:p w14:paraId="0519C065" w14:textId="47A6121E" w:rsidR="0014248E" w:rsidRPr="007C37B0" w:rsidRDefault="00D95649" w:rsidP="00AB106C">
            <w:pPr>
              <w:rPr>
                <w:rFonts w:ascii="Arial" w:hAnsi="Arial" w:cs="Arial"/>
                <w:color w:val="000000" w:themeColor="text1"/>
                <w:sz w:val="20"/>
                <w:szCs w:val="20"/>
                <w:lang w:val="en-US"/>
              </w:rPr>
            </w:pPr>
            <w:r w:rsidRPr="007C37B0">
              <w:rPr>
                <w:color w:val="000000" w:themeColor="text1"/>
                <w:kern w:val="24"/>
                <w:sz w:val="20"/>
                <w:szCs w:val="20"/>
                <w:lang w:val="en-US"/>
              </w:rPr>
              <w:t>—</w:t>
            </w:r>
            <w:r w:rsidR="0014248E" w:rsidRPr="007C37B0">
              <w:rPr>
                <w:color w:val="000000" w:themeColor="text1"/>
                <w:kern w:val="24"/>
                <w:sz w:val="20"/>
                <w:szCs w:val="20"/>
                <w:lang w:val="en-US"/>
              </w:rPr>
              <w:t>CFO, engineering industry</w:t>
            </w:r>
          </w:p>
        </w:tc>
      </w:tr>
      <w:tr w:rsidR="00FB6512" w:rsidRPr="00224536" w14:paraId="1C5EBE2A" w14:textId="77777777" w:rsidTr="00A43D02">
        <w:trPr>
          <w:trHeight w:val="584"/>
        </w:trPr>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9508846" w14:textId="77777777" w:rsidR="0014248E" w:rsidRPr="007C37B0" w:rsidRDefault="0014248E" w:rsidP="00AB106C">
            <w:pPr>
              <w:jc w:val="center"/>
              <w:rPr>
                <w:rFonts w:ascii="Arial" w:hAnsi="Arial" w:cs="Arial"/>
                <w:color w:val="000000" w:themeColor="text1"/>
                <w:sz w:val="20"/>
                <w:szCs w:val="20"/>
                <w:lang w:val="en-US"/>
              </w:rPr>
            </w:pPr>
            <w:r w:rsidRPr="007C37B0">
              <w:rPr>
                <w:b/>
                <w:bCs/>
                <w:color w:val="000000" w:themeColor="text1"/>
                <w:kern w:val="24"/>
                <w:sz w:val="20"/>
                <w:szCs w:val="20"/>
                <w:lang w:val="sv-FI"/>
              </w:rPr>
              <w:t>Manager has not experienced shareholder complaints before</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188DD8B" w14:textId="77777777" w:rsidR="0014248E" w:rsidRPr="007C37B0" w:rsidRDefault="0014248E" w:rsidP="00AB106C">
            <w:pPr>
              <w:jc w:val="center"/>
              <w:rPr>
                <w:color w:val="000000" w:themeColor="text1"/>
                <w:sz w:val="20"/>
                <w:szCs w:val="20"/>
                <w:lang w:val="en-US"/>
              </w:rPr>
            </w:pPr>
            <w:r w:rsidRPr="007C37B0">
              <w:rPr>
                <w:color w:val="000000" w:themeColor="text1"/>
                <w:sz w:val="20"/>
                <w:szCs w:val="20"/>
                <w:lang w:val="en-US"/>
              </w:rPr>
              <w:t>-none-</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AA7D77D" w14:textId="77777777" w:rsidR="0014248E" w:rsidRPr="007C37B0" w:rsidRDefault="0014248E" w:rsidP="00AB106C">
            <w:pPr>
              <w:rPr>
                <w:rFonts w:ascii="Arial" w:hAnsi="Arial" w:cs="Arial"/>
                <w:color w:val="000000" w:themeColor="text1"/>
                <w:sz w:val="20"/>
                <w:szCs w:val="20"/>
                <w:lang w:val="en-US"/>
              </w:rPr>
            </w:pPr>
            <w:r w:rsidRPr="007C37B0">
              <w:rPr>
                <w:color w:val="000000" w:themeColor="text1"/>
                <w:kern w:val="24"/>
                <w:sz w:val="20"/>
                <w:szCs w:val="20"/>
                <w:lang w:val="en-US"/>
              </w:rPr>
              <w:t>“Advertising may or may not be the right instrument to deal with a specific issues (…) [Rather:] Active communication of own strategy and how that would create more value than activist proposals.”</w:t>
            </w:r>
          </w:p>
          <w:p w14:paraId="1402C6E2" w14:textId="21C5C74B" w:rsidR="0014248E" w:rsidRPr="007C37B0" w:rsidRDefault="00D95649" w:rsidP="00AB106C">
            <w:pPr>
              <w:rPr>
                <w:color w:val="000000" w:themeColor="text1"/>
                <w:kern w:val="24"/>
                <w:sz w:val="20"/>
                <w:szCs w:val="20"/>
                <w:lang w:val="en-US"/>
              </w:rPr>
            </w:pPr>
            <w:r w:rsidRPr="007C37B0">
              <w:rPr>
                <w:color w:val="000000" w:themeColor="text1"/>
                <w:kern w:val="24"/>
                <w:sz w:val="20"/>
                <w:szCs w:val="20"/>
                <w:lang w:val="en-US"/>
              </w:rPr>
              <w:t>—</w:t>
            </w:r>
            <w:r w:rsidR="0014248E" w:rsidRPr="007C37B0">
              <w:rPr>
                <w:color w:val="000000" w:themeColor="text1"/>
                <w:kern w:val="24"/>
                <w:sz w:val="20"/>
                <w:szCs w:val="20"/>
                <w:lang w:val="en-US"/>
              </w:rPr>
              <w:t>CFO, foods industry</w:t>
            </w:r>
          </w:p>
          <w:p w14:paraId="49947D7B" w14:textId="77777777" w:rsidR="0014248E" w:rsidRPr="007C37B0" w:rsidRDefault="0014248E" w:rsidP="00AB106C">
            <w:pPr>
              <w:rPr>
                <w:rFonts w:ascii="Arial" w:hAnsi="Arial" w:cs="Arial"/>
                <w:color w:val="000000" w:themeColor="text1"/>
                <w:sz w:val="20"/>
                <w:szCs w:val="20"/>
                <w:lang w:val="en-US"/>
              </w:rPr>
            </w:pPr>
          </w:p>
          <w:p w14:paraId="609EA60F" w14:textId="542F89DB" w:rsidR="0014248E" w:rsidRPr="007C37B0" w:rsidRDefault="0014248E" w:rsidP="00AB106C">
            <w:pPr>
              <w:rPr>
                <w:rFonts w:ascii="Arial" w:hAnsi="Arial" w:cs="Arial"/>
                <w:color w:val="000000" w:themeColor="text1"/>
                <w:sz w:val="20"/>
                <w:szCs w:val="20"/>
                <w:lang w:val="en-US"/>
              </w:rPr>
            </w:pPr>
            <w:r w:rsidRPr="007C37B0">
              <w:rPr>
                <w:color w:val="000000" w:themeColor="text1"/>
                <w:kern w:val="24"/>
                <w:sz w:val="20"/>
                <w:szCs w:val="20"/>
                <w:lang w:val="en-US"/>
              </w:rPr>
              <w:t>“Conceptually difficult/potentially ineffective. (…) Plus</w:t>
            </w:r>
            <w:r w:rsidR="00D46D1E" w:rsidRPr="007C37B0">
              <w:rPr>
                <w:color w:val="000000" w:themeColor="text1"/>
                <w:kern w:val="24"/>
                <w:sz w:val="20"/>
                <w:szCs w:val="20"/>
                <w:lang w:val="en-US"/>
              </w:rPr>
              <w:t>,</w:t>
            </w:r>
            <w:r w:rsidRPr="007C37B0">
              <w:rPr>
                <w:color w:val="000000" w:themeColor="text1"/>
                <w:kern w:val="24"/>
                <w:sz w:val="20"/>
                <w:szCs w:val="20"/>
                <w:lang w:val="en-US"/>
              </w:rPr>
              <w:t xml:space="preserve"> I believe a serious </w:t>
            </w:r>
            <w:r w:rsidR="00D46D1E" w:rsidRPr="007C37B0">
              <w:rPr>
                <w:color w:val="000000" w:themeColor="text1"/>
                <w:kern w:val="24"/>
                <w:sz w:val="20"/>
                <w:szCs w:val="20"/>
                <w:lang w:val="en-US"/>
              </w:rPr>
              <w:t>complaint</w:t>
            </w:r>
            <w:r w:rsidRPr="007C37B0">
              <w:rPr>
                <w:color w:val="000000" w:themeColor="text1"/>
                <w:kern w:val="24"/>
                <w:sz w:val="20"/>
                <w:szCs w:val="20"/>
                <w:lang w:val="en-US"/>
              </w:rPr>
              <w:t xml:space="preserve"> requires a factual response and more than a few punchlines.”</w:t>
            </w:r>
          </w:p>
          <w:p w14:paraId="41556723" w14:textId="050D5316" w:rsidR="0014248E" w:rsidRPr="007C37B0" w:rsidRDefault="00D95649" w:rsidP="00AB106C">
            <w:pPr>
              <w:rPr>
                <w:rFonts w:ascii="Arial" w:hAnsi="Arial" w:cs="Arial"/>
                <w:color w:val="000000" w:themeColor="text1"/>
                <w:sz w:val="20"/>
                <w:szCs w:val="20"/>
                <w:lang w:val="en-US"/>
              </w:rPr>
            </w:pPr>
            <w:r w:rsidRPr="007C37B0">
              <w:rPr>
                <w:color w:val="000000" w:themeColor="text1"/>
                <w:kern w:val="24"/>
                <w:sz w:val="20"/>
                <w:szCs w:val="20"/>
                <w:lang w:val="en-US"/>
              </w:rPr>
              <w:t>—</w:t>
            </w:r>
            <w:r w:rsidR="0014248E" w:rsidRPr="007C37B0">
              <w:rPr>
                <w:color w:val="000000" w:themeColor="text1"/>
                <w:kern w:val="24"/>
                <w:sz w:val="20"/>
                <w:szCs w:val="20"/>
                <w:lang w:val="en-US"/>
              </w:rPr>
              <w:t>Head of Investor Relations, financial services industry</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46293D1" w14:textId="77777777" w:rsidR="0014248E" w:rsidRPr="007C37B0" w:rsidRDefault="0014248E" w:rsidP="00AB106C">
            <w:pPr>
              <w:rPr>
                <w:color w:val="000000" w:themeColor="text1"/>
                <w:kern w:val="24"/>
                <w:sz w:val="20"/>
                <w:szCs w:val="20"/>
                <w:lang w:val="en-US"/>
              </w:rPr>
            </w:pPr>
            <w:r w:rsidRPr="007C37B0">
              <w:rPr>
                <w:color w:val="000000" w:themeColor="text1"/>
                <w:kern w:val="24"/>
                <w:sz w:val="20"/>
                <w:szCs w:val="20"/>
                <w:lang w:val="en-US"/>
              </w:rPr>
              <w:t>“We would of course consider advertising [to buffer the negative influence created by shareholder proposals], depending on the specific circumstances and significance of the shareholder proposal.”</w:t>
            </w:r>
          </w:p>
          <w:p w14:paraId="54CD7431" w14:textId="4CB5EF88" w:rsidR="0014248E" w:rsidRPr="007C37B0" w:rsidRDefault="00D95649" w:rsidP="00AB106C">
            <w:pPr>
              <w:rPr>
                <w:rFonts w:ascii="Arial" w:hAnsi="Arial" w:cs="Arial"/>
                <w:color w:val="000000" w:themeColor="text1"/>
                <w:sz w:val="20"/>
                <w:szCs w:val="20"/>
                <w:lang w:val="en-US"/>
              </w:rPr>
            </w:pPr>
            <w:r w:rsidRPr="007C37B0">
              <w:rPr>
                <w:color w:val="000000" w:themeColor="text1"/>
                <w:kern w:val="24"/>
                <w:sz w:val="20"/>
                <w:szCs w:val="20"/>
                <w:lang w:val="en-US"/>
              </w:rPr>
              <w:t>—</w:t>
            </w:r>
            <w:r w:rsidR="0014248E" w:rsidRPr="007C37B0">
              <w:rPr>
                <w:color w:val="000000" w:themeColor="text1"/>
                <w:kern w:val="24"/>
                <w:sz w:val="20"/>
                <w:szCs w:val="20"/>
                <w:lang w:val="en-US"/>
              </w:rPr>
              <w:t>Head of Investor Relations, telecommunications industry</w:t>
            </w:r>
          </w:p>
          <w:p w14:paraId="68EF6FA3" w14:textId="77777777" w:rsidR="0014248E" w:rsidRPr="007C37B0" w:rsidRDefault="0014248E" w:rsidP="00AB106C">
            <w:pPr>
              <w:rPr>
                <w:color w:val="000000" w:themeColor="text1"/>
                <w:kern w:val="24"/>
                <w:sz w:val="20"/>
                <w:szCs w:val="20"/>
                <w:lang w:val="en-US"/>
              </w:rPr>
            </w:pPr>
          </w:p>
          <w:p w14:paraId="449AB960" w14:textId="77777777" w:rsidR="0014248E" w:rsidRPr="007C37B0" w:rsidRDefault="0014248E" w:rsidP="00AB106C">
            <w:pPr>
              <w:rPr>
                <w:rFonts w:ascii="Arial" w:hAnsi="Arial" w:cs="Arial"/>
                <w:color w:val="000000" w:themeColor="text1"/>
                <w:sz w:val="20"/>
                <w:szCs w:val="20"/>
                <w:lang w:val="en-US"/>
              </w:rPr>
            </w:pPr>
            <w:r w:rsidRPr="007C37B0">
              <w:rPr>
                <w:color w:val="000000" w:themeColor="text1"/>
                <w:kern w:val="24"/>
                <w:sz w:val="20"/>
                <w:szCs w:val="20"/>
                <w:lang w:val="en-US"/>
              </w:rPr>
              <w:t>“Putting more money into the advertising and getting a more positive publicity about your company becomes a really strong way to get them kind of off that piece [the original issue raised in the complaint].”</w:t>
            </w:r>
          </w:p>
          <w:p w14:paraId="7EC666B2" w14:textId="43CBA653" w:rsidR="0014248E" w:rsidRPr="007C37B0" w:rsidRDefault="00D95649" w:rsidP="00AB106C">
            <w:pPr>
              <w:rPr>
                <w:rFonts w:ascii="Arial" w:hAnsi="Arial" w:cs="Arial"/>
                <w:color w:val="000000" w:themeColor="text1"/>
                <w:sz w:val="20"/>
                <w:szCs w:val="20"/>
                <w:lang w:val="en-US"/>
              </w:rPr>
            </w:pPr>
            <w:r w:rsidRPr="007C37B0">
              <w:rPr>
                <w:color w:val="000000" w:themeColor="text1"/>
                <w:kern w:val="24"/>
                <w:sz w:val="20"/>
                <w:szCs w:val="20"/>
                <w:lang w:val="en-US"/>
              </w:rPr>
              <w:t>—</w:t>
            </w:r>
            <w:r w:rsidR="0014248E" w:rsidRPr="007C37B0">
              <w:rPr>
                <w:color w:val="000000" w:themeColor="text1"/>
                <w:kern w:val="24"/>
                <w:sz w:val="20"/>
                <w:szCs w:val="20"/>
                <w:lang w:val="en-US"/>
              </w:rPr>
              <w:t>VP of Public Relations, financial services industry</w:t>
            </w:r>
          </w:p>
        </w:tc>
      </w:tr>
    </w:tbl>
    <w:p w14:paraId="2A8A2615" w14:textId="77777777" w:rsidR="00E87BE6" w:rsidRPr="007C37B0" w:rsidRDefault="00E87BE6" w:rsidP="00A1064A">
      <w:pPr>
        <w:jc w:val="center"/>
        <w:rPr>
          <w:b/>
          <w:color w:val="000000" w:themeColor="text1"/>
          <w:lang w:val="en-US"/>
        </w:rPr>
        <w:sectPr w:rsidR="00E87BE6" w:rsidRPr="007C37B0" w:rsidSect="00A43D02">
          <w:pgSz w:w="15840" w:h="12240" w:orient="landscape"/>
          <w:pgMar w:top="1440" w:right="1440" w:bottom="1440" w:left="1440" w:header="720" w:footer="720" w:gutter="0"/>
          <w:cols w:space="708"/>
          <w:docGrid w:linePitch="360"/>
        </w:sectPr>
      </w:pPr>
    </w:p>
    <w:p w14:paraId="4EE2D0BB" w14:textId="313388B2" w:rsidR="00E058DB" w:rsidRPr="007C37B0" w:rsidRDefault="00E058DB" w:rsidP="003E369E">
      <w:pPr>
        <w:pStyle w:val="Heading1"/>
        <w:rPr>
          <w:color w:val="000000" w:themeColor="text1"/>
        </w:rPr>
      </w:pPr>
      <w:r w:rsidRPr="007C37B0">
        <w:rPr>
          <w:color w:val="000000" w:themeColor="text1"/>
        </w:rPr>
        <w:lastRenderedPageBreak/>
        <w:t xml:space="preserve">WEB APPENDIX </w:t>
      </w:r>
      <w:r>
        <w:rPr>
          <w:color w:val="000000" w:themeColor="text1"/>
        </w:rPr>
        <w:t>C</w:t>
      </w:r>
      <w:r w:rsidRPr="007C37B0">
        <w:rPr>
          <w:color w:val="000000" w:themeColor="text1"/>
        </w:rPr>
        <w:t>: industry descriptive STATISTICS</w:t>
      </w:r>
    </w:p>
    <w:p w14:paraId="6E6E6894" w14:textId="77777777" w:rsidR="00E058DB" w:rsidRPr="007C37B0" w:rsidRDefault="00E058DB" w:rsidP="00E058DB">
      <w:pPr>
        <w:widowControl w:val="0"/>
        <w:autoSpaceDE w:val="0"/>
        <w:autoSpaceDN w:val="0"/>
        <w:adjustRightInd w:val="0"/>
        <w:rPr>
          <w:color w:val="000000" w:themeColor="text1"/>
          <w:lang w:val="en-US"/>
        </w:rPr>
      </w:pPr>
    </w:p>
    <w:p w14:paraId="1CAEDD05" w14:textId="77777777" w:rsidR="00E058DB" w:rsidRDefault="00E058DB" w:rsidP="00E058DB">
      <w:pPr>
        <w:widowControl w:val="0"/>
        <w:autoSpaceDE w:val="0"/>
        <w:autoSpaceDN w:val="0"/>
        <w:adjustRightInd w:val="0"/>
        <w:rPr>
          <w:color w:val="000000" w:themeColor="text1"/>
          <w:lang w:val="en-US"/>
        </w:rPr>
      </w:pPr>
    </w:p>
    <w:tbl>
      <w:tblPr>
        <w:tblW w:w="8060" w:type="dxa"/>
        <w:jc w:val="center"/>
        <w:tblLook w:val="04A0" w:firstRow="1" w:lastRow="0" w:firstColumn="1" w:lastColumn="0" w:noHBand="0" w:noVBand="1"/>
      </w:tblPr>
      <w:tblGrid>
        <w:gridCol w:w="1300"/>
        <w:gridCol w:w="1203"/>
        <w:gridCol w:w="1443"/>
        <w:gridCol w:w="260"/>
        <w:gridCol w:w="1208"/>
        <w:gridCol w:w="1203"/>
        <w:gridCol w:w="1443"/>
      </w:tblGrid>
      <w:tr w:rsidR="00E058DB" w14:paraId="1F8A81BF" w14:textId="77777777" w:rsidTr="00D15FF7">
        <w:trPr>
          <w:trHeight w:val="994"/>
          <w:jc w:val="center"/>
        </w:trPr>
        <w:tc>
          <w:tcPr>
            <w:tcW w:w="1300" w:type="dxa"/>
            <w:tcBorders>
              <w:top w:val="single" w:sz="4" w:space="0" w:color="auto"/>
              <w:left w:val="nil"/>
              <w:bottom w:val="single" w:sz="4" w:space="0" w:color="auto"/>
              <w:right w:val="nil"/>
            </w:tcBorders>
            <w:shd w:val="clear" w:color="auto" w:fill="auto"/>
            <w:vAlign w:val="center"/>
            <w:hideMark/>
          </w:tcPr>
          <w:p w14:paraId="7B61C7FA" w14:textId="77777777" w:rsidR="00E058DB" w:rsidRDefault="00E058DB" w:rsidP="00D15FF7">
            <w:pPr>
              <w:jc w:val="center"/>
              <w:rPr>
                <w:b/>
                <w:bCs/>
                <w:color w:val="000000"/>
              </w:rPr>
            </w:pPr>
            <w:r>
              <w:rPr>
                <w:b/>
                <w:bCs/>
                <w:color w:val="000000"/>
              </w:rPr>
              <w:t>SIC2 industry</w:t>
            </w:r>
          </w:p>
        </w:tc>
        <w:tc>
          <w:tcPr>
            <w:tcW w:w="1300" w:type="dxa"/>
            <w:tcBorders>
              <w:top w:val="single" w:sz="4" w:space="0" w:color="auto"/>
              <w:left w:val="nil"/>
              <w:bottom w:val="single" w:sz="4" w:space="0" w:color="auto"/>
              <w:right w:val="nil"/>
            </w:tcBorders>
            <w:shd w:val="clear" w:color="auto" w:fill="auto"/>
            <w:vAlign w:val="center"/>
            <w:hideMark/>
          </w:tcPr>
          <w:p w14:paraId="7141C6BE" w14:textId="77777777" w:rsidR="00E058DB" w:rsidRDefault="00E058DB" w:rsidP="00D15FF7">
            <w:pPr>
              <w:jc w:val="center"/>
              <w:rPr>
                <w:b/>
                <w:bCs/>
                <w:color w:val="000000"/>
              </w:rPr>
            </w:pPr>
            <w:r>
              <w:rPr>
                <w:b/>
                <w:bCs/>
                <w:color w:val="000000"/>
              </w:rPr>
              <w:t>Number of firms</w:t>
            </w:r>
          </w:p>
        </w:tc>
        <w:tc>
          <w:tcPr>
            <w:tcW w:w="1300" w:type="dxa"/>
            <w:tcBorders>
              <w:top w:val="single" w:sz="4" w:space="0" w:color="auto"/>
              <w:left w:val="nil"/>
              <w:bottom w:val="single" w:sz="4" w:space="0" w:color="auto"/>
              <w:right w:val="nil"/>
            </w:tcBorders>
            <w:shd w:val="clear" w:color="auto" w:fill="auto"/>
            <w:vAlign w:val="center"/>
            <w:hideMark/>
          </w:tcPr>
          <w:p w14:paraId="037249DC" w14:textId="77777777" w:rsidR="00E058DB" w:rsidRDefault="00E058DB" w:rsidP="00D15FF7">
            <w:pPr>
              <w:jc w:val="center"/>
              <w:rPr>
                <w:b/>
                <w:bCs/>
                <w:color w:val="000000"/>
              </w:rPr>
            </w:pPr>
            <w:r>
              <w:rPr>
                <w:b/>
                <w:bCs/>
                <w:color w:val="000000"/>
              </w:rPr>
              <w:t>Number of shareholder complaints</w:t>
            </w:r>
          </w:p>
        </w:tc>
        <w:tc>
          <w:tcPr>
            <w:tcW w:w="260" w:type="dxa"/>
            <w:tcBorders>
              <w:top w:val="nil"/>
              <w:left w:val="nil"/>
              <w:bottom w:val="nil"/>
              <w:right w:val="nil"/>
            </w:tcBorders>
            <w:shd w:val="clear" w:color="auto" w:fill="auto"/>
            <w:noWrap/>
            <w:vAlign w:val="center"/>
            <w:hideMark/>
          </w:tcPr>
          <w:p w14:paraId="52882083" w14:textId="77777777" w:rsidR="00E058DB" w:rsidRDefault="00E058DB" w:rsidP="00D15FF7">
            <w:pPr>
              <w:jc w:val="center"/>
              <w:rPr>
                <w:b/>
                <w:bCs/>
                <w:color w:val="000000"/>
              </w:rPr>
            </w:pPr>
          </w:p>
        </w:tc>
        <w:tc>
          <w:tcPr>
            <w:tcW w:w="1300" w:type="dxa"/>
            <w:tcBorders>
              <w:top w:val="single" w:sz="4" w:space="0" w:color="auto"/>
              <w:left w:val="nil"/>
              <w:bottom w:val="single" w:sz="4" w:space="0" w:color="auto"/>
              <w:right w:val="nil"/>
            </w:tcBorders>
            <w:shd w:val="clear" w:color="auto" w:fill="auto"/>
            <w:vAlign w:val="center"/>
            <w:hideMark/>
          </w:tcPr>
          <w:p w14:paraId="4B542625" w14:textId="77777777" w:rsidR="00E058DB" w:rsidRDefault="00E058DB" w:rsidP="00D15FF7">
            <w:pPr>
              <w:jc w:val="center"/>
              <w:rPr>
                <w:b/>
                <w:bCs/>
                <w:color w:val="000000"/>
              </w:rPr>
            </w:pPr>
            <w:r>
              <w:rPr>
                <w:b/>
                <w:bCs/>
                <w:color w:val="000000"/>
              </w:rPr>
              <w:t>SIC2 industry</w:t>
            </w:r>
          </w:p>
        </w:tc>
        <w:tc>
          <w:tcPr>
            <w:tcW w:w="1300" w:type="dxa"/>
            <w:tcBorders>
              <w:top w:val="single" w:sz="4" w:space="0" w:color="auto"/>
              <w:left w:val="nil"/>
              <w:bottom w:val="single" w:sz="4" w:space="0" w:color="auto"/>
              <w:right w:val="nil"/>
            </w:tcBorders>
            <w:shd w:val="clear" w:color="auto" w:fill="auto"/>
            <w:vAlign w:val="center"/>
            <w:hideMark/>
          </w:tcPr>
          <w:p w14:paraId="76482A23" w14:textId="77777777" w:rsidR="00E058DB" w:rsidRDefault="00E058DB" w:rsidP="00D15FF7">
            <w:pPr>
              <w:jc w:val="center"/>
              <w:rPr>
                <w:b/>
                <w:bCs/>
                <w:color w:val="000000"/>
              </w:rPr>
            </w:pPr>
            <w:r>
              <w:rPr>
                <w:b/>
                <w:bCs/>
                <w:color w:val="000000"/>
              </w:rPr>
              <w:t>Number of firms</w:t>
            </w:r>
          </w:p>
        </w:tc>
        <w:tc>
          <w:tcPr>
            <w:tcW w:w="1300" w:type="dxa"/>
            <w:tcBorders>
              <w:top w:val="single" w:sz="4" w:space="0" w:color="auto"/>
              <w:left w:val="nil"/>
              <w:bottom w:val="single" w:sz="4" w:space="0" w:color="auto"/>
              <w:right w:val="nil"/>
            </w:tcBorders>
            <w:shd w:val="clear" w:color="auto" w:fill="auto"/>
            <w:vAlign w:val="center"/>
            <w:hideMark/>
          </w:tcPr>
          <w:p w14:paraId="4985729B" w14:textId="77777777" w:rsidR="00E058DB" w:rsidRDefault="00E058DB" w:rsidP="00D15FF7">
            <w:pPr>
              <w:jc w:val="center"/>
              <w:rPr>
                <w:b/>
                <w:bCs/>
                <w:color w:val="000000"/>
              </w:rPr>
            </w:pPr>
            <w:r>
              <w:rPr>
                <w:b/>
                <w:bCs/>
                <w:color w:val="000000"/>
              </w:rPr>
              <w:t>Number of shareholder complaints</w:t>
            </w:r>
          </w:p>
        </w:tc>
      </w:tr>
      <w:tr w:rsidR="00E058DB" w14:paraId="2535409F" w14:textId="77777777" w:rsidTr="00D15FF7">
        <w:trPr>
          <w:trHeight w:val="340"/>
          <w:jc w:val="center"/>
        </w:trPr>
        <w:tc>
          <w:tcPr>
            <w:tcW w:w="1300" w:type="dxa"/>
            <w:tcBorders>
              <w:top w:val="nil"/>
              <w:left w:val="nil"/>
              <w:bottom w:val="nil"/>
              <w:right w:val="nil"/>
            </w:tcBorders>
            <w:shd w:val="clear" w:color="auto" w:fill="auto"/>
            <w:noWrap/>
            <w:vAlign w:val="bottom"/>
            <w:hideMark/>
          </w:tcPr>
          <w:p w14:paraId="1FA04345" w14:textId="77777777" w:rsidR="00E058DB" w:rsidRDefault="00E058DB" w:rsidP="00D15FF7">
            <w:pPr>
              <w:jc w:val="center"/>
              <w:rPr>
                <w:color w:val="000000"/>
              </w:rPr>
            </w:pPr>
            <w:r>
              <w:rPr>
                <w:color w:val="000000"/>
              </w:rPr>
              <w:t>13</w:t>
            </w:r>
          </w:p>
        </w:tc>
        <w:tc>
          <w:tcPr>
            <w:tcW w:w="1300" w:type="dxa"/>
            <w:tcBorders>
              <w:top w:val="nil"/>
              <w:left w:val="nil"/>
              <w:bottom w:val="nil"/>
              <w:right w:val="nil"/>
            </w:tcBorders>
            <w:shd w:val="clear" w:color="auto" w:fill="auto"/>
            <w:vAlign w:val="bottom"/>
            <w:hideMark/>
          </w:tcPr>
          <w:p w14:paraId="62418176" w14:textId="77777777" w:rsidR="00E058DB" w:rsidRDefault="00E058DB" w:rsidP="00D15FF7">
            <w:pPr>
              <w:jc w:val="center"/>
              <w:rPr>
                <w:color w:val="000000"/>
              </w:rPr>
            </w:pPr>
            <w:r>
              <w:rPr>
                <w:color w:val="000000"/>
              </w:rPr>
              <w:t>8</w:t>
            </w:r>
          </w:p>
        </w:tc>
        <w:tc>
          <w:tcPr>
            <w:tcW w:w="1300" w:type="dxa"/>
            <w:tcBorders>
              <w:top w:val="nil"/>
              <w:left w:val="nil"/>
              <w:bottom w:val="nil"/>
              <w:right w:val="nil"/>
            </w:tcBorders>
            <w:shd w:val="clear" w:color="auto" w:fill="auto"/>
            <w:vAlign w:val="bottom"/>
            <w:hideMark/>
          </w:tcPr>
          <w:p w14:paraId="06106C14" w14:textId="77777777" w:rsidR="00E058DB" w:rsidRDefault="00E058DB" w:rsidP="00D15FF7">
            <w:pPr>
              <w:jc w:val="center"/>
              <w:rPr>
                <w:color w:val="000000"/>
              </w:rPr>
            </w:pPr>
            <w:r>
              <w:rPr>
                <w:color w:val="000000"/>
              </w:rPr>
              <w:t>102</w:t>
            </w:r>
          </w:p>
        </w:tc>
        <w:tc>
          <w:tcPr>
            <w:tcW w:w="260" w:type="dxa"/>
            <w:tcBorders>
              <w:top w:val="nil"/>
              <w:left w:val="nil"/>
              <w:bottom w:val="nil"/>
              <w:right w:val="nil"/>
            </w:tcBorders>
            <w:shd w:val="clear" w:color="auto" w:fill="auto"/>
            <w:noWrap/>
            <w:vAlign w:val="bottom"/>
            <w:hideMark/>
          </w:tcPr>
          <w:p w14:paraId="3F0EF76F" w14:textId="77777777" w:rsidR="00E058DB" w:rsidRDefault="00E058DB" w:rsidP="00D15FF7">
            <w:pPr>
              <w:jc w:val="center"/>
              <w:rPr>
                <w:color w:val="000000"/>
              </w:rPr>
            </w:pPr>
          </w:p>
        </w:tc>
        <w:tc>
          <w:tcPr>
            <w:tcW w:w="1300" w:type="dxa"/>
            <w:tcBorders>
              <w:top w:val="nil"/>
              <w:left w:val="nil"/>
              <w:bottom w:val="nil"/>
              <w:right w:val="nil"/>
            </w:tcBorders>
            <w:shd w:val="clear" w:color="auto" w:fill="auto"/>
            <w:vAlign w:val="bottom"/>
            <w:hideMark/>
          </w:tcPr>
          <w:p w14:paraId="3C3731B2" w14:textId="77777777" w:rsidR="00E058DB" w:rsidRDefault="00E058DB" w:rsidP="00D15FF7">
            <w:pPr>
              <w:jc w:val="center"/>
              <w:rPr>
                <w:color w:val="000000"/>
              </w:rPr>
            </w:pPr>
            <w:r>
              <w:rPr>
                <w:color w:val="000000"/>
              </w:rPr>
              <w:t>37</w:t>
            </w:r>
          </w:p>
        </w:tc>
        <w:tc>
          <w:tcPr>
            <w:tcW w:w="1300" w:type="dxa"/>
            <w:tcBorders>
              <w:top w:val="nil"/>
              <w:left w:val="nil"/>
              <w:bottom w:val="nil"/>
              <w:right w:val="nil"/>
            </w:tcBorders>
            <w:shd w:val="clear" w:color="auto" w:fill="auto"/>
            <w:vAlign w:val="bottom"/>
            <w:hideMark/>
          </w:tcPr>
          <w:p w14:paraId="2C7A415F" w14:textId="77777777" w:rsidR="00E058DB" w:rsidRDefault="00E058DB" w:rsidP="00D15FF7">
            <w:pPr>
              <w:jc w:val="center"/>
              <w:rPr>
                <w:color w:val="000000"/>
              </w:rPr>
            </w:pPr>
            <w:r>
              <w:rPr>
                <w:color w:val="000000"/>
              </w:rPr>
              <w:t>31</w:t>
            </w:r>
          </w:p>
        </w:tc>
        <w:tc>
          <w:tcPr>
            <w:tcW w:w="1300" w:type="dxa"/>
            <w:tcBorders>
              <w:top w:val="nil"/>
              <w:left w:val="nil"/>
              <w:bottom w:val="nil"/>
              <w:right w:val="nil"/>
            </w:tcBorders>
            <w:shd w:val="clear" w:color="auto" w:fill="auto"/>
            <w:vAlign w:val="bottom"/>
            <w:hideMark/>
          </w:tcPr>
          <w:p w14:paraId="692AACD4" w14:textId="77777777" w:rsidR="00E058DB" w:rsidRDefault="00E058DB" w:rsidP="00D15FF7">
            <w:pPr>
              <w:jc w:val="center"/>
              <w:rPr>
                <w:color w:val="000000"/>
              </w:rPr>
            </w:pPr>
            <w:r>
              <w:rPr>
                <w:color w:val="000000"/>
              </w:rPr>
              <w:t>200</w:t>
            </w:r>
          </w:p>
        </w:tc>
      </w:tr>
      <w:tr w:rsidR="00E058DB" w14:paraId="786D2A76" w14:textId="77777777" w:rsidTr="00D15FF7">
        <w:trPr>
          <w:trHeight w:val="320"/>
          <w:jc w:val="center"/>
        </w:trPr>
        <w:tc>
          <w:tcPr>
            <w:tcW w:w="1300" w:type="dxa"/>
            <w:tcBorders>
              <w:top w:val="nil"/>
              <w:left w:val="nil"/>
              <w:bottom w:val="nil"/>
              <w:right w:val="nil"/>
            </w:tcBorders>
            <w:shd w:val="clear" w:color="auto" w:fill="auto"/>
            <w:noWrap/>
            <w:vAlign w:val="bottom"/>
            <w:hideMark/>
          </w:tcPr>
          <w:p w14:paraId="06FCD40E" w14:textId="77777777" w:rsidR="00E058DB" w:rsidRDefault="00E058DB" w:rsidP="00D15FF7">
            <w:pPr>
              <w:jc w:val="center"/>
              <w:rPr>
                <w:color w:val="000000"/>
              </w:rPr>
            </w:pPr>
            <w:r>
              <w:rPr>
                <w:color w:val="000000"/>
              </w:rPr>
              <w:t>14</w:t>
            </w:r>
          </w:p>
        </w:tc>
        <w:tc>
          <w:tcPr>
            <w:tcW w:w="1300" w:type="dxa"/>
            <w:tcBorders>
              <w:top w:val="nil"/>
              <w:left w:val="nil"/>
              <w:bottom w:val="nil"/>
              <w:right w:val="nil"/>
            </w:tcBorders>
            <w:shd w:val="clear" w:color="auto" w:fill="auto"/>
            <w:vAlign w:val="bottom"/>
            <w:hideMark/>
          </w:tcPr>
          <w:p w14:paraId="2C5FCAB8" w14:textId="77777777" w:rsidR="00E058DB" w:rsidRDefault="00E058DB" w:rsidP="00D15FF7">
            <w:pPr>
              <w:jc w:val="center"/>
              <w:rPr>
                <w:color w:val="000000"/>
              </w:rPr>
            </w:pPr>
            <w:r>
              <w:rPr>
                <w:color w:val="000000"/>
              </w:rPr>
              <w:t>3</w:t>
            </w:r>
          </w:p>
        </w:tc>
        <w:tc>
          <w:tcPr>
            <w:tcW w:w="1300" w:type="dxa"/>
            <w:tcBorders>
              <w:top w:val="nil"/>
              <w:left w:val="nil"/>
              <w:bottom w:val="nil"/>
              <w:right w:val="nil"/>
            </w:tcBorders>
            <w:shd w:val="clear" w:color="auto" w:fill="auto"/>
            <w:vAlign w:val="bottom"/>
            <w:hideMark/>
          </w:tcPr>
          <w:p w14:paraId="71F0C012" w14:textId="77777777" w:rsidR="00E058DB" w:rsidRDefault="00E058DB" w:rsidP="00D15FF7">
            <w:pPr>
              <w:jc w:val="center"/>
              <w:rPr>
                <w:color w:val="000000"/>
              </w:rPr>
            </w:pPr>
            <w:r>
              <w:rPr>
                <w:color w:val="000000"/>
              </w:rPr>
              <w:t>10</w:t>
            </w:r>
          </w:p>
        </w:tc>
        <w:tc>
          <w:tcPr>
            <w:tcW w:w="260" w:type="dxa"/>
            <w:tcBorders>
              <w:top w:val="nil"/>
              <w:left w:val="nil"/>
              <w:bottom w:val="nil"/>
              <w:right w:val="nil"/>
            </w:tcBorders>
            <w:shd w:val="clear" w:color="auto" w:fill="auto"/>
            <w:noWrap/>
            <w:vAlign w:val="bottom"/>
            <w:hideMark/>
          </w:tcPr>
          <w:p w14:paraId="3C055A77" w14:textId="77777777" w:rsidR="00E058DB" w:rsidRDefault="00E058DB" w:rsidP="00D15FF7">
            <w:pPr>
              <w:jc w:val="center"/>
              <w:rPr>
                <w:color w:val="000000"/>
              </w:rPr>
            </w:pPr>
          </w:p>
        </w:tc>
        <w:tc>
          <w:tcPr>
            <w:tcW w:w="1300" w:type="dxa"/>
            <w:tcBorders>
              <w:top w:val="nil"/>
              <w:left w:val="nil"/>
              <w:bottom w:val="nil"/>
              <w:right w:val="nil"/>
            </w:tcBorders>
            <w:shd w:val="clear" w:color="auto" w:fill="auto"/>
            <w:vAlign w:val="bottom"/>
            <w:hideMark/>
          </w:tcPr>
          <w:p w14:paraId="346C5EAC" w14:textId="77777777" w:rsidR="00E058DB" w:rsidRDefault="00E058DB" w:rsidP="00D15FF7">
            <w:pPr>
              <w:jc w:val="center"/>
              <w:rPr>
                <w:color w:val="000000"/>
              </w:rPr>
            </w:pPr>
            <w:r>
              <w:rPr>
                <w:color w:val="000000"/>
              </w:rPr>
              <w:t>38</w:t>
            </w:r>
          </w:p>
        </w:tc>
        <w:tc>
          <w:tcPr>
            <w:tcW w:w="1300" w:type="dxa"/>
            <w:tcBorders>
              <w:top w:val="nil"/>
              <w:left w:val="nil"/>
              <w:bottom w:val="nil"/>
              <w:right w:val="nil"/>
            </w:tcBorders>
            <w:shd w:val="clear" w:color="auto" w:fill="auto"/>
            <w:vAlign w:val="bottom"/>
            <w:hideMark/>
          </w:tcPr>
          <w:p w14:paraId="3C78C55A" w14:textId="77777777" w:rsidR="00E058DB" w:rsidRDefault="00E058DB" w:rsidP="00D15FF7">
            <w:pPr>
              <w:jc w:val="center"/>
              <w:rPr>
                <w:color w:val="000000"/>
              </w:rPr>
            </w:pPr>
            <w:r>
              <w:rPr>
                <w:color w:val="000000"/>
              </w:rPr>
              <w:t>80</w:t>
            </w:r>
          </w:p>
        </w:tc>
        <w:tc>
          <w:tcPr>
            <w:tcW w:w="1300" w:type="dxa"/>
            <w:tcBorders>
              <w:top w:val="nil"/>
              <w:left w:val="nil"/>
              <w:bottom w:val="nil"/>
              <w:right w:val="nil"/>
            </w:tcBorders>
            <w:shd w:val="clear" w:color="auto" w:fill="auto"/>
            <w:vAlign w:val="bottom"/>
            <w:hideMark/>
          </w:tcPr>
          <w:p w14:paraId="0037D182" w14:textId="77777777" w:rsidR="00E058DB" w:rsidRDefault="00E058DB" w:rsidP="00D15FF7">
            <w:pPr>
              <w:jc w:val="center"/>
              <w:rPr>
                <w:color w:val="000000"/>
              </w:rPr>
            </w:pPr>
            <w:r>
              <w:rPr>
                <w:color w:val="000000"/>
              </w:rPr>
              <w:t>58</w:t>
            </w:r>
          </w:p>
        </w:tc>
      </w:tr>
      <w:tr w:rsidR="00E058DB" w14:paraId="3F007359" w14:textId="77777777" w:rsidTr="00D15FF7">
        <w:trPr>
          <w:trHeight w:val="320"/>
          <w:jc w:val="center"/>
        </w:trPr>
        <w:tc>
          <w:tcPr>
            <w:tcW w:w="1300" w:type="dxa"/>
            <w:tcBorders>
              <w:top w:val="nil"/>
              <w:left w:val="nil"/>
              <w:bottom w:val="nil"/>
              <w:right w:val="nil"/>
            </w:tcBorders>
            <w:shd w:val="clear" w:color="auto" w:fill="auto"/>
            <w:noWrap/>
            <w:vAlign w:val="bottom"/>
            <w:hideMark/>
          </w:tcPr>
          <w:p w14:paraId="0F02E097" w14:textId="77777777" w:rsidR="00E058DB" w:rsidRDefault="00E058DB" w:rsidP="00D15FF7">
            <w:pPr>
              <w:jc w:val="center"/>
              <w:rPr>
                <w:color w:val="000000"/>
              </w:rPr>
            </w:pPr>
            <w:r>
              <w:rPr>
                <w:color w:val="000000"/>
              </w:rPr>
              <w:t>15</w:t>
            </w:r>
          </w:p>
        </w:tc>
        <w:tc>
          <w:tcPr>
            <w:tcW w:w="1300" w:type="dxa"/>
            <w:tcBorders>
              <w:top w:val="nil"/>
              <w:left w:val="nil"/>
              <w:bottom w:val="nil"/>
              <w:right w:val="nil"/>
            </w:tcBorders>
            <w:shd w:val="clear" w:color="auto" w:fill="auto"/>
            <w:vAlign w:val="bottom"/>
            <w:hideMark/>
          </w:tcPr>
          <w:p w14:paraId="7C6EBC1F" w14:textId="77777777" w:rsidR="00E058DB" w:rsidRDefault="00E058DB" w:rsidP="00D15FF7">
            <w:pPr>
              <w:jc w:val="center"/>
              <w:rPr>
                <w:color w:val="000000"/>
              </w:rPr>
            </w:pPr>
            <w:r>
              <w:rPr>
                <w:color w:val="000000"/>
              </w:rPr>
              <w:t>3</w:t>
            </w:r>
          </w:p>
        </w:tc>
        <w:tc>
          <w:tcPr>
            <w:tcW w:w="1300" w:type="dxa"/>
            <w:tcBorders>
              <w:top w:val="nil"/>
              <w:left w:val="nil"/>
              <w:bottom w:val="nil"/>
              <w:right w:val="nil"/>
            </w:tcBorders>
            <w:shd w:val="clear" w:color="auto" w:fill="auto"/>
            <w:vAlign w:val="bottom"/>
            <w:hideMark/>
          </w:tcPr>
          <w:p w14:paraId="3F33E51A" w14:textId="77777777" w:rsidR="00E058DB" w:rsidRDefault="00E058DB" w:rsidP="00D15FF7">
            <w:pPr>
              <w:jc w:val="center"/>
              <w:rPr>
                <w:color w:val="000000"/>
              </w:rPr>
            </w:pPr>
            <w:r>
              <w:rPr>
                <w:color w:val="000000"/>
              </w:rPr>
              <w:t>0</w:t>
            </w:r>
          </w:p>
        </w:tc>
        <w:tc>
          <w:tcPr>
            <w:tcW w:w="260" w:type="dxa"/>
            <w:tcBorders>
              <w:top w:val="nil"/>
              <w:left w:val="nil"/>
              <w:bottom w:val="nil"/>
              <w:right w:val="nil"/>
            </w:tcBorders>
            <w:shd w:val="clear" w:color="auto" w:fill="auto"/>
            <w:noWrap/>
            <w:vAlign w:val="bottom"/>
            <w:hideMark/>
          </w:tcPr>
          <w:p w14:paraId="44E8E964" w14:textId="77777777" w:rsidR="00E058DB" w:rsidRDefault="00E058DB" w:rsidP="00D15FF7">
            <w:pPr>
              <w:jc w:val="center"/>
              <w:rPr>
                <w:color w:val="000000"/>
              </w:rPr>
            </w:pPr>
          </w:p>
        </w:tc>
        <w:tc>
          <w:tcPr>
            <w:tcW w:w="1300" w:type="dxa"/>
            <w:tcBorders>
              <w:top w:val="nil"/>
              <w:left w:val="nil"/>
              <w:bottom w:val="nil"/>
              <w:right w:val="nil"/>
            </w:tcBorders>
            <w:shd w:val="clear" w:color="auto" w:fill="auto"/>
            <w:vAlign w:val="bottom"/>
            <w:hideMark/>
          </w:tcPr>
          <w:p w14:paraId="364E7E17" w14:textId="77777777" w:rsidR="00E058DB" w:rsidRDefault="00E058DB" w:rsidP="00D15FF7">
            <w:pPr>
              <w:jc w:val="center"/>
              <w:rPr>
                <w:color w:val="000000"/>
              </w:rPr>
            </w:pPr>
            <w:r>
              <w:rPr>
                <w:color w:val="000000"/>
              </w:rPr>
              <w:t>39</w:t>
            </w:r>
          </w:p>
        </w:tc>
        <w:tc>
          <w:tcPr>
            <w:tcW w:w="1300" w:type="dxa"/>
            <w:tcBorders>
              <w:top w:val="nil"/>
              <w:left w:val="nil"/>
              <w:bottom w:val="nil"/>
              <w:right w:val="nil"/>
            </w:tcBorders>
            <w:shd w:val="clear" w:color="auto" w:fill="auto"/>
            <w:vAlign w:val="bottom"/>
            <w:hideMark/>
          </w:tcPr>
          <w:p w14:paraId="7C480D3F" w14:textId="77777777" w:rsidR="00E058DB" w:rsidRDefault="00E058DB" w:rsidP="00D15FF7">
            <w:pPr>
              <w:jc w:val="center"/>
              <w:rPr>
                <w:color w:val="000000"/>
              </w:rPr>
            </w:pPr>
            <w:r>
              <w:rPr>
                <w:color w:val="000000"/>
              </w:rPr>
              <w:t>24</w:t>
            </w:r>
          </w:p>
        </w:tc>
        <w:tc>
          <w:tcPr>
            <w:tcW w:w="1300" w:type="dxa"/>
            <w:tcBorders>
              <w:top w:val="nil"/>
              <w:left w:val="nil"/>
              <w:bottom w:val="nil"/>
              <w:right w:val="nil"/>
            </w:tcBorders>
            <w:shd w:val="clear" w:color="auto" w:fill="auto"/>
            <w:vAlign w:val="bottom"/>
            <w:hideMark/>
          </w:tcPr>
          <w:p w14:paraId="7331225E" w14:textId="77777777" w:rsidR="00E058DB" w:rsidRDefault="00E058DB" w:rsidP="00D15FF7">
            <w:pPr>
              <w:jc w:val="center"/>
              <w:rPr>
                <w:color w:val="000000"/>
              </w:rPr>
            </w:pPr>
            <w:r>
              <w:rPr>
                <w:color w:val="000000"/>
              </w:rPr>
              <w:t>99</w:t>
            </w:r>
          </w:p>
        </w:tc>
      </w:tr>
      <w:tr w:rsidR="00E058DB" w14:paraId="019BC93C" w14:textId="77777777" w:rsidTr="00D15FF7">
        <w:trPr>
          <w:trHeight w:val="320"/>
          <w:jc w:val="center"/>
        </w:trPr>
        <w:tc>
          <w:tcPr>
            <w:tcW w:w="1300" w:type="dxa"/>
            <w:tcBorders>
              <w:top w:val="nil"/>
              <w:left w:val="nil"/>
              <w:bottom w:val="nil"/>
              <w:right w:val="nil"/>
            </w:tcBorders>
            <w:shd w:val="clear" w:color="auto" w:fill="auto"/>
            <w:noWrap/>
            <w:vAlign w:val="bottom"/>
            <w:hideMark/>
          </w:tcPr>
          <w:p w14:paraId="0F55F946" w14:textId="77777777" w:rsidR="00E058DB" w:rsidRDefault="00E058DB" w:rsidP="00D15FF7">
            <w:pPr>
              <w:jc w:val="center"/>
              <w:rPr>
                <w:color w:val="000000"/>
              </w:rPr>
            </w:pPr>
            <w:r>
              <w:rPr>
                <w:color w:val="000000"/>
              </w:rPr>
              <w:t>16</w:t>
            </w:r>
          </w:p>
        </w:tc>
        <w:tc>
          <w:tcPr>
            <w:tcW w:w="1300" w:type="dxa"/>
            <w:tcBorders>
              <w:top w:val="nil"/>
              <w:left w:val="nil"/>
              <w:bottom w:val="nil"/>
              <w:right w:val="nil"/>
            </w:tcBorders>
            <w:shd w:val="clear" w:color="auto" w:fill="auto"/>
            <w:vAlign w:val="bottom"/>
            <w:hideMark/>
          </w:tcPr>
          <w:p w14:paraId="7048A108" w14:textId="77777777" w:rsidR="00E058DB" w:rsidRDefault="00E058DB" w:rsidP="00D15FF7">
            <w:pPr>
              <w:jc w:val="center"/>
              <w:rPr>
                <w:color w:val="000000"/>
              </w:rPr>
            </w:pPr>
            <w:r>
              <w:rPr>
                <w:color w:val="000000"/>
              </w:rPr>
              <w:t>3</w:t>
            </w:r>
          </w:p>
        </w:tc>
        <w:tc>
          <w:tcPr>
            <w:tcW w:w="1300" w:type="dxa"/>
            <w:tcBorders>
              <w:top w:val="nil"/>
              <w:left w:val="nil"/>
              <w:bottom w:val="nil"/>
              <w:right w:val="nil"/>
            </w:tcBorders>
            <w:shd w:val="clear" w:color="auto" w:fill="auto"/>
            <w:vAlign w:val="bottom"/>
            <w:hideMark/>
          </w:tcPr>
          <w:p w14:paraId="2D56AF5C" w14:textId="77777777" w:rsidR="00E058DB" w:rsidRDefault="00E058DB" w:rsidP="00D15FF7">
            <w:pPr>
              <w:jc w:val="center"/>
              <w:rPr>
                <w:color w:val="000000"/>
              </w:rPr>
            </w:pPr>
            <w:r>
              <w:rPr>
                <w:color w:val="000000"/>
              </w:rPr>
              <w:t>2</w:t>
            </w:r>
          </w:p>
        </w:tc>
        <w:tc>
          <w:tcPr>
            <w:tcW w:w="260" w:type="dxa"/>
            <w:tcBorders>
              <w:top w:val="nil"/>
              <w:left w:val="nil"/>
              <w:bottom w:val="nil"/>
              <w:right w:val="nil"/>
            </w:tcBorders>
            <w:shd w:val="clear" w:color="auto" w:fill="auto"/>
            <w:noWrap/>
            <w:vAlign w:val="bottom"/>
            <w:hideMark/>
          </w:tcPr>
          <w:p w14:paraId="71923536" w14:textId="77777777" w:rsidR="00E058DB" w:rsidRDefault="00E058DB" w:rsidP="00D15FF7">
            <w:pPr>
              <w:jc w:val="center"/>
              <w:rPr>
                <w:color w:val="000000"/>
              </w:rPr>
            </w:pPr>
          </w:p>
        </w:tc>
        <w:tc>
          <w:tcPr>
            <w:tcW w:w="1300" w:type="dxa"/>
            <w:tcBorders>
              <w:top w:val="nil"/>
              <w:left w:val="nil"/>
              <w:bottom w:val="nil"/>
              <w:right w:val="nil"/>
            </w:tcBorders>
            <w:shd w:val="clear" w:color="auto" w:fill="auto"/>
            <w:vAlign w:val="bottom"/>
            <w:hideMark/>
          </w:tcPr>
          <w:p w14:paraId="11103BD3" w14:textId="77777777" w:rsidR="00E058DB" w:rsidRDefault="00E058DB" w:rsidP="00D15FF7">
            <w:pPr>
              <w:jc w:val="center"/>
              <w:rPr>
                <w:color w:val="000000"/>
              </w:rPr>
            </w:pPr>
            <w:r>
              <w:rPr>
                <w:color w:val="000000"/>
              </w:rPr>
              <w:t>47</w:t>
            </w:r>
          </w:p>
        </w:tc>
        <w:tc>
          <w:tcPr>
            <w:tcW w:w="1300" w:type="dxa"/>
            <w:tcBorders>
              <w:top w:val="nil"/>
              <w:left w:val="nil"/>
              <w:bottom w:val="nil"/>
              <w:right w:val="nil"/>
            </w:tcBorders>
            <w:shd w:val="clear" w:color="auto" w:fill="auto"/>
            <w:vAlign w:val="bottom"/>
            <w:hideMark/>
          </w:tcPr>
          <w:p w14:paraId="36D3D403" w14:textId="77777777" w:rsidR="00E058DB" w:rsidRDefault="00E058DB" w:rsidP="00D15FF7">
            <w:pPr>
              <w:jc w:val="center"/>
              <w:rPr>
                <w:color w:val="000000"/>
              </w:rPr>
            </w:pPr>
            <w:r>
              <w:rPr>
                <w:color w:val="000000"/>
              </w:rPr>
              <w:t>2</w:t>
            </w:r>
          </w:p>
        </w:tc>
        <w:tc>
          <w:tcPr>
            <w:tcW w:w="1300" w:type="dxa"/>
            <w:tcBorders>
              <w:top w:val="nil"/>
              <w:left w:val="nil"/>
              <w:bottom w:val="nil"/>
              <w:right w:val="nil"/>
            </w:tcBorders>
            <w:shd w:val="clear" w:color="auto" w:fill="auto"/>
            <w:vAlign w:val="bottom"/>
            <w:hideMark/>
          </w:tcPr>
          <w:p w14:paraId="77794011" w14:textId="77777777" w:rsidR="00E058DB" w:rsidRDefault="00E058DB" w:rsidP="00D15FF7">
            <w:pPr>
              <w:jc w:val="center"/>
              <w:rPr>
                <w:color w:val="000000"/>
              </w:rPr>
            </w:pPr>
            <w:r>
              <w:rPr>
                <w:color w:val="000000"/>
              </w:rPr>
              <w:t>4</w:t>
            </w:r>
          </w:p>
        </w:tc>
      </w:tr>
      <w:tr w:rsidR="00E058DB" w14:paraId="466D6BCE" w14:textId="77777777" w:rsidTr="00D15FF7">
        <w:trPr>
          <w:trHeight w:val="320"/>
          <w:jc w:val="center"/>
        </w:trPr>
        <w:tc>
          <w:tcPr>
            <w:tcW w:w="1300" w:type="dxa"/>
            <w:tcBorders>
              <w:top w:val="nil"/>
              <w:left w:val="nil"/>
              <w:bottom w:val="nil"/>
              <w:right w:val="nil"/>
            </w:tcBorders>
            <w:shd w:val="clear" w:color="auto" w:fill="auto"/>
            <w:noWrap/>
            <w:vAlign w:val="bottom"/>
            <w:hideMark/>
          </w:tcPr>
          <w:p w14:paraId="5083BC6B" w14:textId="77777777" w:rsidR="00E058DB" w:rsidRDefault="00E058DB" w:rsidP="00D15FF7">
            <w:pPr>
              <w:jc w:val="center"/>
              <w:rPr>
                <w:color w:val="000000"/>
              </w:rPr>
            </w:pPr>
            <w:r>
              <w:rPr>
                <w:color w:val="000000"/>
              </w:rPr>
              <w:t>20</w:t>
            </w:r>
          </w:p>
        </w:tc>
        <w:tc>
          <w:tcPr>
            <w:tcW w:w="1300" w:type="dxa"/>
            <w:tcBorders>
              <w:top w:val="nil"/>
              <w:left w:val="nil"/>
              <w:bottom w:val="nil"/>
              <w:right w:val="nil"/>
            </w:tcBorders>
            <w:shd w:val="clear" w:color="auto" w:fill="auto"/>
            <w:vAlign w:val="bottom"/>
            <w:hideMark/>
          </w:tcPr>
          <w:p w14:paraId="68E0227F" w14:textId="77777777" w:rsidR="00E058DB" w:rsidRDefault="00E058DB" w:rsidP="00D15FF7">
            <w:pPr>
              <w:jc w:val="center"/>
              <w:rPr>
                <w:color w:val="000000"/>
              </w:rPr>
            </w:pPr>
            <w:r>
              <w:rPr>
                <w:color w:val="000000"/>
              </w:rPr>
              <w:t>41</w:t>
            </w:r>
          </w:p>
        </w:tc>
        <w:tc>
          <w:tcPr>
            <w:tcW w:w="1300" w:type="dxa"/>
            <w:tcBorders>
              <w:top w:val="nil"/>
              <w:left w:val="nil"/>
              <w:bottom w:val="nil"/>
              <w:right w:val="nil"/>
            </w:tcBorders>
            <w:shd w:val="clear" w:color="auto" w:fill="auto"/>
            <w:vAlign w:val="bottom"/>
            <w:hideMark/>
          </w:tcPr>
          <w:p w14:paraId="79984E54" w14:textId="77777777" w:rsidR="00E058DB" w:rsidRDefault="00E058DB" w:rsidP="00D15FF7">
            <w:pPr>
              <w:jc w:val="center"/>
              <w:rPr>
                <w:color w:val="000000"/>
              </w:rPr>
            </w:pPr>
            <w:r>
              <w:rPr>
                <w:color w:val="000000"/>
              </w:rPr>
              <w:t>327</w:t>
            </w:r>
          </w:p>
        </w:tc>
        <w:tc>
          <w:tcPr>
            <w:tcW w:w="260" w:type="dxa"/>
            <w:tcBorders>
              <w:top w:val="nil"/>
              <w:left w:val="nil"/>
              <w:bottom w:val="nil"/>
              <w:right w:val="nil"/>
            </w:tcBorders>
            <w:shd w:val="clear" w:color="auto" w:fill="auto"/>
            <w:noWrap/>
            <w:vAlign w:val="bottom"/>
            <w:hideMark/>
          </w:tcPr>
          <w:p w14:paraId="6301F7CE" w14:textId="77777777" w:rsidR="00E058DB" w:rsidRDefault="00E058DB" w:rsidP="00D15FF7">
            <w:pPr>
              <w:jc w:val="center"/>
              <w:rPr>
                <w:color w:val="000000"/>
              </w:rPr>
            </w:pPr>
          </w:p>
        </w:tc>
        <w:tc>
          <w:tcPr>
            <w:tcW w:w="1300" w:type="dxa"/>
            <w:tcBorders>
              <w:top w:val="nil"/>
              <w:left w:val="nil"/>
              <w:bottom w:val="nil"/>
              <w:right w:val="nil"/>
            </w:tcBorders>
            <w:shd w:val="clear" w:color="auto" w:fill="auto"/>
            <w:vAlign w:val="bottom"/>
            <w:hideMark/>
          </w:tcPr>
          <w:p w14:paraId="5D8C8D73" w14:textId="77777777" w:rsidR="00E058DB" w:rsidRDefault="00E058DB" w:rsidP="00D15FF7">
            <w:pPr>
              <w:jc w:val="center"/>
              <w:rPr>
                <w:color w:val="000000"/>
              </w:rPr>
            </w:pPr>
            <w:r>
              <w:rPr>
                <w:color w:val="000000"/>
              </w:rPr>
              <w:t>48</w:t>
            </w:r>
          </w:p>
        </w:tc>
        <w:tc>
          <w:tcPr>
            <w:tcW w:w="1300" w:type="dxa"/>
            <w:tcBorders>
              <w:top w:val="nil"/>
              <w:left w:val="nil"/>
              <w:bottom w:val="nil"/>
              <w:right w:val="nil"/>
            </w:tcBorders>
            <w:shd w:val="clear" w:color="auto" w:fill="auto"/>
            <w:vAlign w:val="bottom"/>
            <w:hideMark/>
          </w:tcPr>
          <w:p w14:paraId="741B5907" w14:textId="77777777" w:rsidR="00E058DB" w:rsidRDefault="00E058DB" w:rsidP="00D15FF7">
            <w:pPr>
              <w:jc w:val="center"/>
              <w:rPr>
                <w:color w:val="000000"/>
              </w:rPr>
            </w:pPr>
            <w:r>
              <w:rPr>
                <w:color w:val="000000"/>
              </w:rPr>
              <w:t>22</w:t>
            </w:r>
          </w:p>
        </w:tc>
        <w:tc>
          <w:tcPr>
            <w:tcW w:w="1300" w:type="dxa"/>
            <w:tcBorders>
              <w:top w:val="nil"/>
              <w:left w:val="nil"/>
              <w:bottom w:val="nil"/>
              <w:right w:val="nil"/>
            </w:tcBorders>
            <w:shd w:val="clear" w:color="auto" w:fill="auto"/>
            <w:vAlign w:val="bottom"/>
            <w:hideMark/>
          </w:tcPr>
          <w:p w14:paraId="58336318" w14:textId="77777777" w:rsidR="00E058DB" w:rsidRDefault="00E058DB" w:rsidP="00D15FF7">
            <w:pPr>
              <w:jc w:val="center"/>
              <w:rPr>
                <w:color w:val="000000"/>
              </w:rPr>
            </w:pPr>
            <w:r>
              <w:rPr>
                <w:color w:val="000000"/>
              </w:rPr>
              <w:t>368</w:t>
            </w:r>
          </w:p>
        </w:tc>
      </w:tr>
      <w:tr w:rsidR="00E058DB" w14:paraId="30EB0033" w14:textId="77777777" w:rsidTr="00D15FF7">
        <w:trPr>
          <w:trHeight w:val="320"/>
          <w:jc w:val="center"/>
        </w:trPr>
        <w:tc>
          <w:tcPr>
            <w:tcW w:w="1300" w:type="dxa"/>
            <w:tcBorders>
              <w:top w:val="nil"/>
              <w:left w:val="nil"/>
              <w:bottom w:val="nil"/>
              <w:right w:val="nil"/>
            </w:tcBorders>
            <w:shd w:val="clear" w:color="auto" w:fill="auto"/>
            <w:noWrap/>
            <w:vAlign w:val="bottom"/>
            <w:hideMark/>
          </w:tcPr>
          <w:p w14:paraId="6ECDA0BD" w14:textId="77777777" w:rsidR="00E058DB" w:rsidRDefault="00E058DB" w:rsidP="00D15FF7">
            <w:pPr>
              <w:jc w:val="center"/>
              <w:rPr>
                <w:color w:val="000000"/>
              </w:rPr>
            </w:pPr>
            <w:r>
              <w:rPr>
                <w:color w:val="000000"/>
              </w:rPr>
              <w:t>21</w:t>
            </w:r>
          </w:p>
        </w:tc>
        <w:tc>
          <w:tcPr>
            <w:tcW w:w="1300" w:type="dxa"/>
            <w:tcBorders>
              <w:top w:val="nil"/>
              <w:left w:val="nil"/>
              <w:bottom w:val="nil"/>
              <w:right w:val="nil"/>
            </w:tcBorders>
            <w:shd w:val="clear" w:color="auto" w:fill="auto"/>
            <w:vAlign w:val="bottom"/>
            <w:hideMark/>
          </w:tcPr>
          <w:p w14:paraId="619C69DF" w14:textId="77777777" w:rsidR="00E058DB" w:rsidRDefault="00E058DB" w:rsidP="00D15FF7">
            <w:pPr>
              <w:jc w:val="center"/>
              <w:rPr>
                <w:color w:val="000000"/>
              </w:rPr>
            </w:pPr>
            <w:r>
              <w:rPr>
                <w:color w:val="000000"/>
              </w:rPr>
              <w:t>5</w:t>
            </w:r>
          </w:p>
        </w:tc>
        <w:tc>
          <w:tcPr>
            <w:tcW w:w="1300" w:type="dxa"/>
            <w:tcBorders>
              <w:top w:val="nil"/>
              <w:left w:val="nil"/>
              <w:bottom w:val="nil"/>
              <w:right w:val="nil"/>
            </w:tcBorders>
            <w:shd w:val="clear" w:color="auto" w:fill="auto"/>
            <w:vAlign w:val="bottom"/>
            <w:hideMark/>
          </w:tcPr>
          <w:p w14:paraId="4896698D" w14:textId="77777777" w:rsidR="00E058DB" w:rsidRDefault="00E058DB" w:rsidP="00D15FF7">
            <w:pPr>
              <w:jc w:val="center"/>
              <w:rPr>
                <w:color w:val="000000"/>
              </w:rPr>
            </w:pPr>
            <w:r>
              <w:rPr>
                <w:color w:val="000000"/>
              </w:rPr>
              <w:t>147</w:t>
            </w:r>
          </w:p>
        </w:tc>
        <w:tc>
          <w:tcPr>
            <w:tcW w:w="260" w:type="dxa"/>
            <w:tcBorders>
              <w:top w:val="nil"/>
              <w:left w:val="nil"/>
              <w:bottom w:val="nil"/>
              <w:right w:val="nil"/>
            </w:tcBorders>
            <w:shd w:val="clear" w:color="auto" w:fill="auto"/>
            <w:noWrap/>
            <w:vAlign w:val="bottom"/>
            <w:hideMark/>
          </w:tcPr>
          <w:p w14:paraId="4D5C2262" w14:textId="77777777" w:rsidR="00E058DB" w:rsidRDefault="00E058DB" w:rsidP="00D15FF7">
            <w:pPr>
              <w:jc w:val="center"/>
              <w:rPr>
                <w:color w:val="000000"/>
              </w:rPr>
            </w:pPr>
          </w:p>
        </w:tc>
        <w:tc>
          <w:tcPr>
            <w:tcW w:w="1300" w:type="dxa"/>
            <w:tcBorders>
              <w:top w:val="nil"/>
              <w:left w:val="nil"/>
              <w:bottom w:val="nil"/>
              <w:right w:val="nil"/>
            </w:tcBorders>
            <w:shd w:val="clear" w:color="auto" w:fill="auto"/>
            <w:vAlign w:val="bottom"/>
            <w:hideMark/>
          </w:tcPr>
          <w:p w14:paraId="629FF379" w14:textId="77777777" w:rsidR="00E058DB" w:rsidRDefault="00E058DB" w:rsidP="00D15FF7">
            <w:pPr>
              <w:jc w:val="center"/>
              <w:rPr>
                <w:color w:val="000000"/>
              </w:rPr>
            </w:pPr>
            <w:r>
              <w:rPr>
                <w:color w:val="000000"/>
              </w:rPr>
              <w:t>50</w:t>
            </w:r>
          </w:p>
        </w:tc>
        <w:tc>
          <w:tcPr>
            <w:tcW w:w="1300" w:type="dxa"/>
            <w:tcBorders>
              <w:top w:val="nil"/>
              <w:left w:val="nil"/>
              <w:bottom w:val="nil"/>
              <w:right w:val="nil"/>
            </w:tcBorders>
            <w:shd w:val="clear" w:color="auto" w:fill="auto"/>
            <w:vAlign w:val="bottom"/>
            <w:hideMark/>
          </w:tcPr>
          <w:p w14:paraId="2D4C5C0C" w14:textId="77777777" w:rsidR="00E058DB" w:rsidRDefault="00E058DB" w:rsidP="00D15FF7">
            <w:pPr>
              <w:jc w:val="center"/>
              <w:rPr>
                <w:color w:val="000000"/>
              </w:rPr>
            </w:pPr>
            <w:r>
              <w:rPr>
                <w:color w:val="000000"/>
              </w:rPr>
              <w:t>4</w:t>
            </w:r>
          </w:p>
        </w:tc>
        <w:tc>
          <w:tcPr>
            <w:tcW w:w="1300" w:type="dxa"/>
            <w:tcBorders>
              <w:top w:val="nil"/>
              <w:left w:val="nil"/>
              <w:bottom w:val="nil"/>
              <w:right w:val="nil"/>
            </w:tcBorders>
            <w:shd w:val="clear" w:color="auto" w:fill="auto"/>
            <w:vAlign w:val="bottom"/>
            <w:hideMark/>
          </w:tcPr>
          <w:p w14:paraId="65741232" w14:textId="77777777" w:rsidR="00E058DB" w:rsidRDefault="00E058DB" w:rsidP="00D15FF7">
            <w:pPr>
              <w:jc w:val="center"/>
              <w:rPr>
                <w:color w:val="000000"/>
              </w:rPr>
            </w:pPr>
            <w:r>
              <w:rPr>
                <w:color w:val="000000"/>
              </w:rPr>
              <w:t>10</w:t>
            </w:r>
          </w:p>
        </w:tc>
      </w:tr>
      <w:tr w:rsidR="00E058DB" w14:paraId="6C0A7F93" w14:textId="77777777" w:rsidTr="00D15FF7">
        <w:trPr>
          <w:trHeight w:val="320"/>
          <w:jc w:val="center"/>
        </w:trPr>
        <w:tc>
          <w:tcPr>
            <w:tcW w:w="1300" w:type="dxa"/>
            <w:tcBorders>
              <w:top w:val="nil"/>
              <w:left w:val="nil"/>
              <w:bottom w:val="nil"/>
              <w:right w:val="nil"/>
            </w:tcBorders>
            <w:shd w:val="clear" w:color="auto" w:fill="auto"/>
            <w:noWrap/>
            <w:vAlign w:val="bottom"/>
            <w:hideMark/>
          </w:tcPr>
          <w:p w14:paraId="42737DEB" w14:textId="77777777" w:rsidR="00E058DB" w:rsidRDefault="00E058DB" w:rsidP="00D15FF7">
            <w:pPr>
              <w:jc w:val="center"/>
              <w:rPr>
                <w:color w:val="000000"/>
              </w:rPr>
            </w:pPr>
            <w:r>
              <w:rPr>
                <w:color w:val="000000"/>
              </w:rPr>
              <w:t>22</w:t>
            </w:r>
          </w:p>
        </w:tc>
        <w:tc>
          <w:tcPr>
            <w:tcW w:w="1300" w:type="dxa"/>
            <w:tcBorders>
              <w:top w:val="nil"/>
              <w:left w:val="nil"/>
              <w:bottom w:val="nil"/>
              <w:right w:val="nil"/>
            </w:tcBorders>
            <w:shd w:val="clear" w:color="auto" w:fill="auto"/>
            <w:vAlign w:val="bottom"/>
            <w:hideMark/>
          </w:tcPr>
          <w:p w14:paraId="63B26E98" w14:textId="77777777" w:rsidR="00E058DB" w:rsidRDefault="00E058DB" w:rsidP="00D15FF7">
            <w:pPr>
              <w:jc w:val="center"/>
              <w:rPr>
                <w:color w:val="000000"/>
              </w:rPr>
            </w:pPr>
            <w:r>
              <w:rPr>
                <w:color w:val="000000"/>
              </w:rPr>
              <w:t>2</w:t>
            </w:r>
          </w:p>
        </w:tc>
        <w:tc>
          <w:tcPr>
            <w:tcW w:w="1300" w:type="dxa"/>
            <w:tcBorders>
              <w:top w:val="nil"/>
              <w:left w:val="nil"/>
              <w:bottom w:val="nil"/>
              <w:right w:val="nil"/>
            </w:tcBorders>
            <w:shd w:val="clear" w:color="auto" w:fill="auto"/>
            <w:vAlign w:val="bottom"/>
            <w:hideMark/>
          </w:tcPr>
          <w:p w14:paraId="4F49AF55" w14:textId="77777777" w:rsidR="00E058DB" w:rsidRDefault="00E058DB" w:rsidP="00D15FF7">
            <w:pPr>
              <w:jc w:val="center"/>
              <w:rPr>
                <w:color w:val="000000"/>
              </w:rPr>
            </w:pPr>
            <w:r>
              <w:rPr>
                <w:color w:val="000000"/>
              </w:rPr>
              <w:t>0</w:t>
            </w:r>
          </w:p>
        </w:tc>
        <w:tc>
          <w:tcPr>
            <w:tcW w:w="260" w:type="dxa"/>
            <w:tcBorders>
              <w:top w:val="nil"/>
              <w:left w:val="nil"/>
              <w:bottom w:val="nil"/>
              <w:right w:val="nil"/>
            </w:tcBorders>
            <w:shd w:val="clear" w:color="auto" w:fill="auto"/>
            <w:noWrap/>
            <w:vAlign w:val="bottom"/>
            <w:hideMark/>
          </w:tcPr>
          <w:p w14:paraId="58D84238" w14:textId="77777777" w:rsidR="00E058DB" w:rsidRDefault="00E058DB" w:rsidP="00D15FF7">
            <w:pPr>
              <w:jc w:val="center"/>
              <w:rPr>
                <w:color w:val="000000"/>
              </w:rPr>
            </w:pPr>
          </w:p>
        </w:tc>
        <w:tc>
          <w:tcPr>
            <w:tcW w:w="1300" w:type="dxa"/>
            <w:tcBorders>
              <w:top w:val="nil"/>
              <w:left w:val="nil"/>
              <w:bottom w:val="nil"/>
              <w:right w:val="nil"/>
            </w:tcBorders>
            <w:shd w:val="clear" w:color="auto" w:fill="auto"/>
            <w:vAlign w:val="bottom"/>
            <w:hideMark/>
          </w:tcPr>
          <w:p w14:paraId="7B713F39" w14:textId="77777777" w:rsidR="00E058DB" w:rsidRDefault="00E058DB" w:rsidP="00D15FF7">
            <w:pPr>
              <w:jc w:val="center"/>
              <w:rPr>
                <w:color w:val="000000"/>
              </w:rPr>
            </w:pPr>
            <w:r>
              <w:rPr>
                <w:color w:val="000000"/>
              </w:rPr>
              <w:t>51</w:t>
            </w:r>
          </w:p>
        </w:tc>
        <w:tc>
          <w:tcPr>
            <w:tcW w:w="1300" w:type="dxa"/>
            <w:tcBorders>
              <w:top w:val="nil"/>
              <w:left w:val="nil"/>
              <w:bottom w:val="nil"/>
              <w:right w:val="nil"/>
            </w:tcBorders>
            <w:shd w:val="clear" w:color="auto" w:fill="auto"/>
            <w:vAlign w:val="bottom"/>
            <w:hideMark/>
          </w:tcPr>
          <w:p w14:paraId="42936897" w14:textId="77777777" w:rsidR="00E058DB" w:rsidRDefault="00E058DB" w:rsidP="00D15FF7">
            <w:pPr>
              <w:jc w:val="center"/>
              <w:rPr>
                <w:color w:val="000000"/>
              </w:rPr>
            </w:pPr>
            <w:r>
              <w:rPr>
                <w:color w:val="000000"/>
              </w:rPr>
              <w:t>5</w:t>
            </w:r>
          </w:p>
        </w:tc>
        <w:tc>
          <w:tcPr>
            <w:tcW w:w="1300" w:type="dxa"/>
            <w:tcBorders>
              <w:top w:val="nil"/>
              <w:left w:val="nil"/>
              <w:bottom w:val="nil"/>
              <w:right w:val="nil"/>
            </w:tcBorders>
            <w:shd w:val="clear" w:color="auto" w:fill="auto"/>
            <w:vAlign w:val="bottom"/>
            <w:hideMark/>
          </w:tcPr>
          <w:p w14:paraId="2C203E80" w14:textId="77777777" w:rsidR="00E058DB" w:rsidRDefault="00E058DB" w:rsidP="00D15FF7">
            <w:pPr>
              <w:jc w:val="center"/>
              <w:rPr>
                <w:color w:val="000000"/>
              </w:rPr>
            </w:pPr>
            <w:r>
              <w:rPr>
                <w:color w:val="000000"/>
              </w:rPr>
              <w:t>23</w:t>
            </w:r>
          </w:p>
        </w:tc>
      </w:tr>
      <w:tr w:rsidR="00E058DB" w14:paraId="099E9B20" w14:textId="77777777" w:rsidTr="00D15FF7">
        <w:trPr>
          <w:trHeight w:val="320"/>
          <w:jc w:val="center"/>
        </w:trPr>
        <w:tc>
          <w:tcPr>
            <w:tcW w:w="1300" w:type="dxa"/>
            <w:tcBorders>
              <w:top w:val="nil"/>
              <w:left w:val="nil"/>
              <w:bottom w:val="nil"/>
              <w:right w:val="nil"/>
            </w:tcBorders>
            <w:shd w:val="clear" w:color="auto" w:fill="auto"/>
            <w:noWrap/>
            <w:vAlign w:val="bottom"/>
            <w:hideMark/>
          </w:tcPr>
          <w:p w14:paraId="69CD2AC1" w14:textId="77777777" w:rsidR="00E058DB" w:rsidRDefault="00E058DB" w:rsidP="00D15FF7">
            <w:pPr>
              <w:jc w:val="center"/>
              <w:rPr>
                <w:color w:val="000000"/>
              </w:rPr>
            </w:pPr>
            <w:r>
              <w:rPr>
                <w:color w:val="000000"/>
              </w:rPr>
              <w:t>23</w:t>
            </w:r>
          </w:p>
        </w:tc>
        <w:tc>
          <w:tcPr>
            <w:tcW w:w="1300" w:type="dxa"/>
            <w:tcBorders>
              <w:top w:val="nil"/>
              <w:left w:val="nil"/>
              <w:bottom w:val="nil"/>
              <w:right w:val="nil"/>
            </w:tcBorders>
            <w:shd w:val="clear" w:color="auto" w:fill="auto"/>
            <w:vAlign w:val="bottom"/>
            <w:hideMark/>
          </w:tcPr>
          <w:p w14:paraId="7EEE0DCB" w14:textId="77777777" w:rsidR="00E058DB" w:rsidRDefault="00E058DB" w:rsidP="00D15FF7">
            <w:pPr>
              <w:jc w:val="center"/>
              <w:rPr>
                <w:color w:val="000000"/>
              </w:rPr>
            </w:pPr>
            <w:r>
              <w:rPr>
                <w:color w:val="000000"/>
              </w:rPr>
              <w:t>4</w:t>
            </w:r>
          </w:p>
        </w:tc>
        <w:tc>
          <w:tcPr>
            <w:tcW w:w="1300" w:type="dxa"/>
            <w:tcBorders>
              <w:top w:val="nil"/>
              <w:left w:val="nil"/>
              <w:bottom w:val="nil"/>
              <w:right w:val="nil"/>
            </w:tcBorders>
            <w:shd w:val="clear" w:color="auto" w:fill="auto"/>
            <w:vAlign w:val="bottom"/>
            <w:hideMark/>
          </w:tcPr>
          <w:p w14:paraId="0D94233A" w14:textId="77777777" w:rsidR="00E058DB" w:rsidRDefault="00E058DB" w:rsidP="00D15FF7">
            <w:pPr>
              <w:jc w:val="center"/>
              <w:rPr>
                <w:color w:val="000000"/>
              </w:rPr>
            </w:pPr>
            <w:r>
              <w:rPr>
                <w:color w:val="000000"/>
              </w:rPr>
              <w:t>3</w:t>
            </w:r>
          </w:p>
        </w:tc>
        <w:tc>
          <w:tcPr>
            <w:tcW w:w="260" w:type="dxa"/>
            <w:tcBorders>
              <w:top w:val="nil"/>
              <w:left w:val="nil"/>
              <w:bottom w:val="nil"/>
              <w:right w:val="nil"/>
            </w:tcBorders>
            <w:shd w:val="clear" w:color="auto" w:fill="auto"/>
            <w:noWrap/>
            <w:vAlign w:val="bottom"/>
            <w:hideMark/>
          </w:tcPr>
          <w:p w14:paraId="071832ED" w14:textId="77777777" w:rsidR="00E058DB" w:rsidRDefault="00E058DB" w:rsidP="00D15FF7">
            <w:pPr>
              <w:jc w:val="center"/>
              <w:rPr>
                <w:color w:val="000000"/>
              </w:rPr>
            </w:pPr>
          </w:p>
        </w:tc>
        <w:tc>
          <w:tcPr>
            <w:tcW w:w="1300" w:type="dxa"/>
            <w:tcBorders>
              <w:top w:val="nil"/>
              <w:left w:val="nil"/>
              <w:bottom w:val="nil"/>
              <w:right w:val="nil"/>
            </w:tcBorders>
            <w:shd w:val="clear" w:color="auto" w:fill="auto"/>
            <w:vAlign w:val="bottom"/>
            <w:hideMark/>
          </w:tcPr>
          <w:p w14:paraId="4666732E" w14:textId="77777777" w:rsidR="00E058DB" w:rsidRDefault="00E058DB" w:rsidP="00D15FF7">
            <w:pPr>
              <w:jc w:val="center"/>
              <w:rPr>
                <w:color w:val="000000"/>
              </w:rPr>
            </w:pPr>
            <w:r>
              <w:rPr>
                <w:color w:val="000000"/>
              </w:rPr>
              <w:t>58</w:t>
            </w:r>
          </w:p>
        </w:tc>
        <w:tc>
          <w:tcPr>
            <w:tcW w:w="1300" w:type="dxa"/>
            <w:tcBorders>
              <w:top w:val="nil"/>
              <w:left w:val="nil"/>
              <w:bottom w:val="nil"/>
              <w:right w:val="nil"/>
            </w:tcBorders>
            <w:shd w:val="clear" w:color="auto" w:fill="auto"/>
            <w:vAlign w:val="bottom"/>
            <w:hideMark/>
          </w:tcPr>
          <w:p w14:paraId="635D97AE" w14:textId="77777777" w:rsidR="00E058DB" w:rsidRDefault="00E058DB" w:rsidP="00D15FF7">
            <w:pPr>
              <w:jc w:val="center"/>
              <w:rPr>
                <w:color w:val="000000"/>
              </w:rPr>
            </w:pPr>
            <w:r>
              <w:rPr>
                <w:color w:val="000000"/>
              </w:rPr>
              <w:t>2</w:t>
            </w:r>
          </w:p>
        </w:tc>
        <w:tc>
          <w:tcPr>
            <w:tcW w:w="1300" w:type="dxa"/>
            <w:tcBorders>
              <w:top w:val="nil"/>
              <w:left w:val="nil"/>
              <w:bottom w:val="nil"/>
              <w:right w:val="nil"/>
            </w:tcBorders>
            <w:shd w:val="clear" w:color="auto" w:fill="auto"/>
            <w:vAlign w:val="bottom"/>
            <w:hideMark/>
          </w:tcPr>
          <w:p w14:paraId="1890E49A" w14:textId="77777777" w:rsidR="00E058DB" w:rsidRDefault="00E058DB" w:rsidP="00D15FF7">
            <w:pPr>
              <w:jc w:val="center"/>
              <w:rPr>
                <w:color w:val="000000"/>
              </w:rPr>
            </w:pPr>
            <w:r>
              <w:rPr>
                <w:color w:val="000000"/>
              </w:rPr>
              <w:t>83</w:t>
            </w:r>
          </w:p>
        </w:tc>
      </w:tr>
      <w:tr w:rsidR="00E058DB" w14:paraId="6592DFEF" w14:textId="77777777" w:rsidTr="00D15FF7">
        <w:trPr>
          <w:trHeight w:val="320"/>
          <w:jc w:val="center"/>
        </w:trPr>
        <w:tc>
          <w:tcPr>
            <w:tcW w:w="1300" w:type="dxa"/>
            <w:tcBorders>
              <w:top w:val="nil"/>
              <w:left w:val="nil"/>
              <w:bottom w:val="nil"/>
              <w:right w:val="nil"/>
            </w:tcBorders>
            <w:shd w:val="clear" w:color="auto" w:fill="auto"/>
            <w:noWrap/>
            <w:vAlign w:val="bottom"/>
            <w:hideMark/>
          </w:tcPr>
          <w:p w14:paraId="24B1D06D" w14:textId="77777777" w:rsidR="00E058DB" w:rsidRDefault="00E058DB" w:rsidP="00D15FF7">
            <w:pPr>
              <w:jc w:val="center"/>
              <w:rPr>
                <w:color w:val="000000"/>
              </w:rPr>
            </w:pPr>
            <w:r>
              <w:rPr>
                <w:color w:val="000000"/>
              </w:rPr>
              <w:t>24</w:t>
            </w:r>
          </w:p>
        </w:tc>
        <w:tc>
          <w:tcPr>
            <w:tcW w:w="1300" w:type="dxa"/>
            <w:tcBorders>
              <w:top w:val="nil"/>
              <w:left w:val="nil"/>
              <w:bottom w:val="nil"/>
              <w:right w:val="nil"/>
            </w:tcBorders>
            <w:shd w:val="clear" w:color="auto" w:fill="auto"/>
            <w:vAlign w:val="bottom"/>
            <w:hideMark/>
          </w:tcPr>
          <w:p w14:paraId="5495A91B" w14:textId="77777777" w:rsidR="00E058DB" w:rsidRDefault="00E058DB" w:rsidP="00D15FF7">
            <w:pPr>
              <w:jc w:val="center"/>
              <w:rPr>
                <w:color w:val="000000"/>
              </w:rPr>
            </w:pPr>
            <w:r>
              <w:rPr>
                <w:color w:val="000000"/>
              </w:rPr>
              <w:t>6</w:t>
            </w:r>
          </w:p>
        </w:tc>
        <w:tc>
          <w:tcPr>
            <w:tcW w:w="1300" w:type="dxa"/>
            <w:tcBorders>
              <w:top w:val="nil"/>
              <w:left w:val="nil"/>
              <w:bottom w:val="nil"/>
              <w:right w:val="nil"/>
            </w:tcBorders>
            <w:shd w:val="clear" w:color="auto" w:fill="auto"/>
            <w:vAlign w:val="bottom"/>
            <w:hideMark/>
          </w:tcPr>
          <w:p w14:paraId="0C8563E7" w14:textId="77777777" w:rsidR="00E058DB" w:rsidRDefault="00E058DB" w:rsidP="00D15FF7">
            <w:pPr>
              <w:jc w:val="center"/>
              <w:rPr>
                <w:color w:val="000000"/>
              </w:rPr>
            </w:pPr>
            <w:r>
              <w:rPr>
                <w:color w:val="000000"/>
              </w:rPr>
              <w:t>5</w:t>
            </w:r>
          </w:p>
        </w:tc>
        <w:tc>
          <w:tcPr>
            <w:tcW w:w="260" w:type="dxa"/>
            <w:tcBorders>
              <w:top w:val="nil"/>
              <w:left w:val="nil"/>
              <w:bottom w:val="nil"/>
              <w:right w:val="nil"/>
            </w:tcBorders>
            <w:shd w:val="clear" w:color="auto" w:fill="auto"/>
            <w:noWrap/>
            <w:vAlign w:val="bottom"/>
            <w:hideMark/>
          </w:tcPr>
          <w:p w14:paraId="74564864" w14:textId="77777777" w:rsidR="00E058DB" w:rsidRDefault="00E058DB" w:rsidP="00D15FF7">
            <w:pPr>
              <w:jc w:val="center"/>
              <w:rPr>
                <w:color w:val="000000"/>
              </w:rPr>
            </w:pPr>
          </w:p>
        </w:tc>
        <w:tc>
          <w:tcPr>
            <w:tcW w:w="1300" w:type="dxa"/>
            <w:tcBorders>
              <w:top w:val="nil"/>
              <w:left w:val="nil"/>
              <w:bottom w:val="nil"/>
              <w:right w:val="nil"/>
            </w:tcBorders>
            <w:shd w:val="clear" w:color="auto" w:fill="auto"/>
            <w:vAlign w:val="bottom"/>
            <w:hideMark/>
          </w:tcPr>
          <w:p w14:paraId="2D241C5D" w14:textId="77777777" w:rsidR="00E058DB" w:rsidRDefault="00E058DB" w:rsidP="00D15FF7">
            <w:pPr>
              <w:jc w:val="center"/>
              <w:rPr>
                <w:color w:val="000000"/>
              </w:rPr>
            </w:pPr>
            <w:r>
              <w:rPr>
                <w:color w:val="000000"/>
              </w:rPr>
              <w:t>59</w:t>
            </w:r>
          </w:p>
        </w:tc>
        <w:tc>
          <w:tcPr>
            <w:tcW w:w="1300" w:type="dxa"/>
            <w:tcBorders>
              <w:top w:val="nil"/>
              <w:left w:val="nil"/>
              <w:bottom w:val="nil"/>
              <w:right w:val="nil"/>
            </w:tcBorders>
            <w:shd w:val="clear" w:color="auto" w:fill="auto"/>
            <w:vAlign w:val="bottom"/>
            <w:hideMark/>
          </w:tcPr>
          <w:p w14:paraId="5D60F553" w14:textId="77777777" w:rsidR="00E058DB" w:rsidRDefault="00E058DB" w:rsidP="00D15FF7">
            <w:pPr>
              <w:jc w:val="center"/>
              <w:rPr>
                <w:color w:val="000000"/>
              </w:rPr>
            </w:pPr>
            <w:r>
              <w:rPr>
                <w:color w:val="000000"/>
              </w:rPr>
              <w:t>4</w:t>
            </w:r>
          </w:p>
        </w:tc>
        <w:tc>
          <w:tcPr>
            <w:tcW w:w="1300" w:type="dxa"/>
            <w:tcBorders>
              <w:top w:val="nil"/>
              <w:left w:val="nil"/>
              <w:bottom w:val="nil"/>
              <w:right w:val="nil"/>
            </w:tcBorders>
            <w:shd w:val="clear" w:color="auto" w:fill="auto"/>
            <w:vAlign w:val="bottom"/>
            <w:hideMark/>
          </w:tcPr>
          <w:p w14:paraId="6BB04D50" w14:textId="77777777" w:rsidR="00E058DB" w:rsidRDefault="00E058DB" w:rsidP="00D15FF7">
            <w:pPr>
              <w:jc w:val="center"/>
              <w:rPr>
                <w:color w:val="000000"/>
              </w:rPr>
            </w:pPr>
            <w:r>
              <w:rPr>
                <w:color w:val="000000"/>
              </w:rPr>
              <w:t>31</w:t>
            </w:r>
          </w:p>
        </w:tc>
      </w:tr>
      <w:tr w:rsidR="00E058DB" w14:paraId="17D1325D" w14:textId="77777777" w:rsidTr="00D15FF7">
        <w:trPr>
          <w:trHeight w:val="320"/>
          <w:jc w:val="center"/>
        </w:trPr>
        <w:tc>
          <w:tcPr>
            <w:tcW w:w="1300" w:type="dxa"/>
            <w:tcBorders>
              <w:top w:val="nil"/>
              <w:left w:val="nil"/>
              <w:bottom w:val="nil"/>
              <w:right w:val="nil"/>
            </w:tcBorders>
            <w:shd w:val="clear" w:color="auto" w:fill="auto"/>
            <w:noWrap/>
            <w:vAlign w:val="bottom"/>
            <w:hideMark/>
          </w:tcPr>
          <w:p w14:paraId="4EA5C6FD" w14:textId="77777777" w:rsidR="00E058DB" w:rsidRDefault="00E058DB" w:rsidP="00D15FF7">
            <w:pPr>
              <w:jc w:val="center"/>
              <w:rPr>
                <w:color w:val="000000"/>
              </w:rPr>
            </w:pPr>
            <w:r>
              <w:rPr>
                <w:color w:val="000000"/>
              </w:rPr>
              <w:t>25</w:t>
            </w:r>
          </w:p>
        </w:tc>
        <w:tc>
          <w:tcPr>
            <w:tcW w:w="1300" w:type="dxa"/>
            <w:tcBorders>
              <w:top w:val="nil"/>
              <w:left w:val="nil"/>
              <w:bottom w:val="nil"/>
              <w:right w:val="nil"/>
            </w:tcBorders>
            <w:shd w:val="clear" w:color="auto" w:fill="auto"/>
            <w:vAlign w:val="bottom"/>
            <w:hideMark/>
          </w:tcPr>
          <w:p w14:paraId="48CFB8B8" w14:textId="77777777" w:rsidR="00E058DB" w:rsidRDefault="00E058DB" w:rsidP="00D15FF7">
            <w:pPr>
              <w:jc w:val="center"/>
              <w:rPr>
                <w:color w:val="000000"/>
              </w:rPr>
            </w:pPr>
            <w:r>
              <w:rPr>
                <w:color w:val="000000"/>
              </w:rPr>
              <w:t>4</w:t>
            </w:r>
          </w:p>
        </w:tc>
        <w:tc>
          <w:tcPr>
            <w:tcW w:w="1300" w:type="dxa"/>
            <w:tcBorders>
              <w:top w:val="nil"/>
              <w:left w:val="nil"/>
              <w:bottom w:val="nil"/>
              <w:right w:val="nil"/>
            </w:tcBorders>
            <w:shd w:val="clear" w:color="auto" w:fill="auto"/>
            <w:vAlign w:val="bottom"/>
            <w:hideMark/>
          </w:tcPr>
          <w:p w14:paraId="63EE3865" w14:textId="77777777" w:rsidR="00E058DB" w:rsidRDefault="00E058DB" w:rsidP="00D15FF7">
            <w:pPr>
              <w:jc w:val="center"/>
              <w:rPr>
                <w:color w:val="000000"/>
              </w:rPr>
            </w:pPr>
            <w:r>
              <w:rPr>
                <w:color w:val="000000"/>
              </w:rPr>
              <w:t>4</w:t>
            </w:r>
          </w:p>
        </w:tc>
        <w:tc>
          <w:tcPr>
            <w:tcW w:w="260" w:type="dxa"/>
            <w:tcBorders>
              <w:top w:val="nil"/>
              <w:left w:val="nil"/>
              <w:bottom w:val="nil"/>
              <w:right w:val="nil"/>
            </w:tcBorders>
            <w:shd w:val="clear" w:color="auto" w:fill="auto"/>
            <w:noWrap/>
            <w:vAlign w:val="bottom"/>
            <w:hideMark/>
          </w:tcPr>
          <w:p w14:paraId="44F65475" w14:textId="77777777" w:rsidR="00E058DB" w:rsidRDefault="00E058DB" w:rsidP="00D15FF7">
            <w:pPr>
              <w:jc w:val="center"/>
              <w:rPr>
                <w:color w:val="000000"/>
              </w:rPr>
            </w:pPr>
          </w:p>
        </w:tc>
        <w:tc>
          <w:tcPr>
            <w:tcW w:w="1300" w:type="dxa"/>
            <w:tcBorders>
              <w:top w:val="nil"/>
              <w:left w:val="nil"/>
              <w:bottom w:val="nil"/>
              <w:right w:val="nil"/>
            </w:tcBorders>
            <w:shd w:val="clear" w:color="auto" w:fill="auto"/>
            <w:vAlign w:val="bottom"/>
            <w:hideMark/>
          </w:tcPr>
          <w:p w14:paraId="3912D735" w14:textId="77777777" w:rsidR="00E058DB" w:rsidRDefault="00E058DB" w:rsidP="00D15FF7">
            <w:pPr>
              <w:jc w:val="center"/>
              <w:rPr>
                <w:color w:val="000000"/>
              </w:rPr>
            </w:pPr>
            <w:r>
              <w:rPr>
                <w:color w:val="000000"/>
              </w:rPr>
              <w:t>60</w:t>
            </w:r>
          </w:p>
        </w:tc>
        <w:tc>
          <w:tcPr>
            <w:tcW w:w="1300" w:type="dxa"/>
            <w:tcBorders>
              <w:top w:val="nil"/>
              <w:left w:val="nil"/>
              <w:bottom w:val="nil"/>
              <w:right w:val="nil"/>
            </w:tcBorders>
            <w:shd w:val="clear" w:color="auto" w:fill="auto"/>
            <w:vAlign w:val="bottom"/>
            <w:hideMark/>
          </w:tcPr>
          <w:p w14:paraId="22D6E9C4" w14:textId="77777777" w:rsidR="00E058DB" w:rsidRDefault="00E058DB" w:rsidP="00D15FF7">
            <w:pPr>
              <w:jc w:val="center"/>
              <w:rPr>
                <w:color w:val="000000"/>
              </w:rPr>
            </w:pPr>
            <w:r>
              <w:rPr>
                <w:color w:val="000000"/>
              </w:rPr>
              <w:t>2</w:t>
            </w:r>
          </w:p>
        </w:tc>
        <w:tc>
          <w:tcPr>
            <w:tcW w:w="1300" w:type="dxa"/>
            <w:tcBorders>
              <w:top w:val="nil"/>
              <w:left w:val="nil"/>
              <w:bottom w:val="nil"/>
              <w:right w:val="nil"/>
            </w:tcBorders>
            <w:shd w:val="clear" w:color="auto" w:fill="auto"/>
            <w:vAlign w:val="bottom"/>
            <w:hideMark/>
          </w:tcPr>
          <w:p w14:paraId="29D2D20E" w14:textId="77777777" w:rsidR="00E058DB" w:rsidRDefault="00E058DB" w:rsidP="00D15FF7">
            <w:pPr>
              <w:jc w:val="center"/>
              <w:rPr>
                <w:color w:val="000000"/>
              </w:rPr>
            </w:pPr>
            <w:r>
              <w:rPr>
                <w:color w:val="000000"/>
              </w:rPr>
              <w:t>1</w:t>
            </w:r>
          </w:p>
        </w:tc>
      </w:tr>
      <w:tr w:rsidR="00E058DB" w14:paraId="6A447BFB" w14:textId="77777777" w:rsidTr="00D15FF7">
        <w:trPr>
          <w:trHeight w:val="320"/>
          <w:jc w:val="center"/>
        </w:trPr>
        <w:tc>
          <w:tcPr>
            <w:tcW w:w="1300" w:type="dxa"/>
            <w:tcBorders>
              <w:top w:val="nil"/>
              <w:left w:val="nil"/>
              <w:bottom w:val="nil"/>
              <w:right w:val="nil"/>
            </w:tcBorders>
            <w:shd w:val="clear" w:color="auto" w:fill="auto"/>
            <w:noWrap/>
            <w:vAlign w:val="bottom"/>
            <w:hideMark/>
          </w:tcPr>
          <w:p w14:paraId="4F85D401" w14:textId="77777777" w:rsidR="00E058DB" w:rsidRDefault="00E058DB" w:rsidP="00D15FF7">
            <w:pPr>
              <w:jc w:val="center"/>
              <w:rPr>
                <w:color w:val="000000"/>
              </w:rPr>
            </w:pPr>
            <w:r>
              <w:rPr>
                <w:color w:val="000000"/>
              </w:rPr>
              <w:t>26</w:t>
            </w:r>
          </w:p>
        </w:tc>
        <w:tc>
          <w:tcPr>
            <w:tcW w:w="1300" w:type="dxa"/>
            <w:tcBorders>
              <w:top w:val="nil"/>
              <w:left w:val="nil"/>
              <w:bottom w:val="nil"/>
              <w:right w:val="nil"/>
            </w:tcBorders>
            <w:shd w:val="clear" w:color="auto" w:fill="auto"/>
            <w:vAlign w:val="bottom"/>
            <w:hideMark/>
          </w:tcPr>
          <w:p w14:paraId="5C23095F" w14:textId="77777777" w:rsidR="00E058DB" w:rsidRDefault="00E058DB" w:rsidP="00D15FF7">
            <w:pPr>
              <w:jc w:val="center"/>
              <w:rPr>
                <w:color w:val="000000"/>
              </w:rPr>
            </w:pPr>
            <w:r>
              <w:rPr>
                <w:color w:val="000000"/>
              </w:rPr>
              <w:t>14</w:t>
            </w:r>
          </w:p>
        </w:tc>
        <w:tc>
          <w:tcPr>
            <w:tcW w:w="1300" w:type="dxa"/>
            <w:tcBorders>
              <w:top w:val="nil"/>
              <w:left w:val="nil"/>
              <w:bottom w:val="nil"/>
              <w:right w:val="nil"/>
            </w:tcBorders>
            <w:shd w:val="clear" w:color="auto" w:fill="auto"/>
            <w:vAlign w:val="bottom"/>
            <w:hideMark/>
          </w:tcPr>
          <w:p w14:paraId="472B67A4" w14:textId="77777777" w:rsidR="00E058DB" w:rsidRDefault="00E058DB" w:rsidP="00D15FF7">
            <w:pPr>
              <w:jc w:val="center"/>
              <w:rPr>
                <w:color w:val="000000"/>
              </w:rPr>
            </w:pPr>
            <w:r>
              <w:rPr>
                <w:color w:val="000000"/>
              </w:rPr>
              <w:t>100</w:t>
            </w:r>
          </w:p>
        </w:tc>
        <w:tc>
          <w:tcPr>
            <w:tcW w:w="260" w:type="dxa"/>
            <w:tcBorders>
              <w:top w:val="nil"/>
              <w:left w:val="nil"/>
              <w:bottom w:val="nil"/>
              <w:right w:val="nil"/>
            </w:tcBorders>
            <w:shd w:val="clear" w:color="auto" w:fill="auto"/>
            <w:noWrap/>
            <w:vAlign w:val="bottom"/>
            <w:hideMark/>
          </w:tcPr>
          <w:p w14:paraId="6733C828" w14:textId="77777777" w:rsidR="00E058DB" w:rsidRDefault="00E058DB" w:rsidP="00D15FF7">
            <w:pPr>
              <w:jc w:val="center"/>
              <w:rPr>
                <w:color w:val="000000"/>
              </w:rPr>
            </w:pPr>
          </w:p>
        </w:tc>
        <w:tc>
          <w:tcPr>
            <w:tcW w:w="1300" w:type="dxa"/>
            <w:tcBorders>
              <w:top w:val="nil"/>
              <w:left w:val="nil"/>
              <w:bottom w:val="nil"/>
              <w:right w:val="nil"/>
            </w:tcBorders>
            <w:shd w:val="clear" w:color="auto" w:fill="auto"/>
            <w:vAlign w:val="bottom"/>
            <w:hideMark/>
          </w:tcPr>
          <w:p w14:paraId="48928E9B" w14:textId="77777777" w:rsidR="00E058DB" w:rsidRDefault="00E058DB" w:rsidP="00D15FF7">
            <w:pPr>
              <w:jc w:val="center"/>
              <w:rPr>
                <w:color w:val="000000"/>
              </w:rPr>
            </w:pPr>
            <w:r>
              <w:rPr>
                <w:color w:val="000000"/>
              </w:rPr>
              <w:t>61</w:t>
            </w:r>
          </w:p>
        </w:tc>
        <w:tc>
          <w:tcPr>
            <w:tcW w:w="1300" w:type="dxa"/>
            <w:tcBorders>
              <w:top w:val="nil"/>
              <w:left w:val="nil"/>
              <w:bottom w:val="nil"/>
              <w:right w:val="nil"/>
            </w:tcBorders>
            <w:shd w:val="clear" w:color="auto" w:fill="auto"/>
            <w:vAlign w:val="bottom"/>
            <w:hideMark/>
          </w:tcPr>
          <w:p w14:paraId="3975B59D" w14:textId="77777777" w:rsidR="00E058DB" w:rsidRDefault="00E058DB" w:rsidP="00D15FF7">
            <w:pPr>
              <w:jc w:val="center"/>
              <w:rPr>
                <w:color w:val="000000"/>
              </w:rPr>
            </w:pPr>
            <w:r>
              <w:rPr>
                <w:color w:val="000000"/>
              </w:rPr>
              <w:t>5</w:t>
            </w:r>
          </w:p>
        </w:tc>
        <w:tc>
          <w:tcPr>
            <w:tcW w:w="1300" w:type="dxa"/>
            <w:tcBorders>
              <w:top w:val="nil"/>
              <w:left w:val="nil"/>
              <w:bottom w:val="nil"/>
              <w:right w:val="nil"/>
            </w:tcBorders>
            <w:shd w:val="clear" w:color="auto" w:fill="auto"/>
            <w:vAlign w:val="bottom"/>
            <w:hideMark/>
          </w:tcPr>
          <w:p w14:paraId="73C511B0" w14:textId="77777777" w:rsidR="00E058DB" w:rsidRDefault="00E058DB" w:rsidP="00D15FF7">
            <w:pPr>
              <w:jc w:val="center"/>
              <w:rPr>
                <w:color w:val="000000"/>
              </w:rPr>
            </w:pPr>
            <w:r>
              <w:rPr>
                <w:color w:val="000000"/>
              </w:rPr>
              <w:t>175</w:t>
            </w:r>
          </w:p>
        </w:tc>
      </w:tr>
      <w:tr w:rsidR="00E058DB" w14:paraId="52CD71F3" w14:textId="77777777" w:rsidTr="00D15FF7">
        <w:trPr>
          <w:trHeight w:val="320"/>
          <w:jc w:val="center"/>
        </w:trPr>
        <w:tc>
          <w:tcPr>
            <w:tcW w:w="1300" w:type="dxa"/>
            <w:tcBorders>
              <w:top w:val="nil"/>
              <w:left w:val="nil"/>
              <w:bottom w:val="nil"/>
              <w:right w:val="nil"/>
            </w:tcBorders>
            <w:shd w:val="clear" w:color="auto" w:fill="auto"/>
            <w:noWrap/>
            <w:vAlign w:val="bottom"/>
            <w:hideMark/>
          </w:tcPr>
          <w:p w14:paraId="60552D84" w14:textId="77777777" w:rsidR="00E058DB" w:rsidRDefault="00E058DB" w:rsidP="00D15FF7">
            <w:pPr>
              <w:jc w:val="center"/>
              <w:rPr>
                <w:color w:val="000000"/>
              </w:rPr>
            </w:pPr>
            <w:r>
              <w:rPr>
                <w:color w:val="000000"/>
              </w:rPr>
              <w:t>27</w:t>
            </w:r>
          </w:p>
        </w:tc>
        <w:tc>
          <w:tcPr>
            <w:tcW w:w="1300" w:type="dxa"/>
            <w:tcBorders>
              <w:top w:val="nil"/>
              <w:left w:val="nil"/>
              <w:bottom w:val="nil"/>
              <w:right w:val="nil"/>
            </w:tcBorders>
            <w:shd w:val="clear" w:color="auto" w:fill="auto"/>
            <w:vAlign w:val="bottom"/>
            <w:hideMark/>
          </w:tcPr>
          <w:p w14:paraId="3EBFF8EB" w14:textId="77777777" w:rsidR="00E058DB" w:rsidRDefault="00E058DB" w:rsidP="00D15FF7">
            <w:pPr>
              <w:jc w:val="center"/>
              <w:rPr>
                <w:color w:val="000000"/>
              </w:rPr>
            </w:pPr>
            <w:r>
              <w:rPr>
                <w:color w:val="000000"/>
              </w:rPr>
              <w:t>3</w:t>
            </w:r>
          </w:p>
        </w:tc>
        <w:tc>
          <w:tcPr>
            <w:tcW w:w="1300" w:type="dxa"/>
            <w:tcBorders>
              <w:top w:val="nil"/>
              <w:left w:val="nil"/>
              <w:bottom w:val="nil"/>
              <w:right w:val="nil"/>
            </w:tcBorders>
            <w:shd w:val="clear" w:color="auto" w:fill="auto"/>
            <w:vAlign w:val="bottom"/>
            <w:hideMark/>
          </w:tcPr>
          <w:p w14:paraId="65BD32A6" w14:textId="77777777" w:rsidR="00E058DB" w:rsidRDefault="00E058DB" w:rsidP="00D15FF7">
            <w:pPr>
              <w:jc w:val="center"/>
              <w:rPr>
                <w:color w:val="000000"/>
              </w:rPr>
            </w:pPr>
            <w:r>
              <w:rPr>
                <w:color w:val="000000"/>
              </w:rPr>
              <w:t>27</w:t>
            </w:r>
          </w:p>
        </w:tc>
        <w:tc>
          <w:tcPr>
            <w:tcW w:w="260" w:type="dxa"/>
            <w:tcBorders>
              <w:top w:val="nil"/>
              <w:left w:val="nil"/>
              <w:bottom w:val="nil"/>
              <w:right w:val="nil"/>
            </w:tcBorders>
            <w:shd w:val="clear" w:color="auto" w:fill="auto"/>
            <w:noWrap/>
            <w:vAlign w:val="bottom"/>
            <w:hideMark/>
          </w:tcPr>
          <w:p w14:paraId="264CFDFF" w14:textId="77777777" w:rsidR="00E058DB" w:rsidRDefault="00E058DB" w:rsidP="00D15FF7">
            <w:pPr>
              <w:jc w:val="center"/>
              <w:rPr>
                <w:color w:val="000000"/>
              </w:rPr>
            </w:pPr>
          </w:p>
        </w:tc>
        <w:tc>
          <w:tcPr>
            <w:tcW w:w="1300" w:type="dxa"/>
            <w:tcBorders>
              <w:top w:val="nil"/>
              <w:left w:val="nil"/>
              <w:bottom w:val="nil"/>
              <w:right w:val="nil"/>
            </w:tcBorders>
            <w:shd w:val="clear" w:color="auto" w:fill="auto"/>
            <w:vAlign w:val="bottom"/>
            <w:hideMark/>
          </w:tcPr>
          <w:p w14:paraId="72B8E47E" w14:textId="77777777" w:rsidR="00E058DB" w:rsidRDefault="00E058DB" w:rsidP="00D15FF7">
            <w:pPr>
              <w:jc w:val="center"/>
              <w:rPr>
                <w:color w:val="000000"/>
              </w:rPr>
            </w:pPr>
            <w:r>
              <w:rPr>
                <w:color w:val="000000"/>
              </w:rPr>
              <w:t>62</w:t>
            </w:r>
          </w:p>
        </w:tc>
        <w:tc>
          <w:tcPr>
            <w:tcW w:w="1300" w:type="dxa"/>
            <w:tcBorders>
              <w:top w:val="nil"/>
              <w:left w:val="nil"/>
              <w:bottom w:val="nil"/>
              <w:right w:val="nil"/>
            </w:tcBorders>
            <w:shd w:val="clear" w:color="auto" w:fill="auto"/>
            <w:vAlign w:val="bottom"/>
            <w:hideMark/>
          </w:tcPr>
          <w:p w14:paraId="3A22B334" w14:textId="77777777" w:rsidR="00E058DB" w:rsidRDefault="00E058DB" w:rsidP="00D15FF7">
            <w:pPr>
              <w:jc w:val="center"/>
              <w:rPr>
                <w:color w:val="000000"/>
              </w:rPr>
            </w:pPr>
            <w:r>
              <w:rPr>
                <w:color w:val="000000"/>
              </w:rPr>
              <w:t>12</w:t>
            </w:r>
          </w:p>
        </w:tc>
        <w:tc>
          <w:tcPr>
            <w:tcW w:w="1300" w:type="dxa"/>
            <w:tcBorders>
              <w:top w:val="nil"/>
              <w:left w:val="nil"/>
              <w:bottom w:val="nil"/>
              <w:right w:val="nil"/>
            </w:tcBorders>
            <w:shd w:val="clear" w:color="auto" w:fill="auto"/>
            <w:vAlign w:val="bottom"/>
            <w:hideMark/>
          </w:tcPr>
          <w:p w14:paraId="6041AE6D" w14:textId="77777777" w:rsidR="00E058DB" w:rsidRDefault="00E058DB" w:rsidP="00D15FF7">
            <w:pPr>
              <w:jc w:val="center"/>
              <w:rPr>
                <w:color w:val="000000"/>
              </w:rPr>
            </w:pPr>
            <w:r>
              <w:rPr>
                <w:color w:val="000000"/>
              </w:rPr>
              <w:t>12</w:t>
            </w:r>
          </w:p>
        </w:tc>
      </w:tr>
      <w:tr w:rsidR="00E058DB" w14:paraId="0DF65840" w14:textId="77777777" w:rsidTr="00D15FF7">
        <w:trPr>
          <w:trHeight w:val="320"/>
          <w:jc w:val="center"/>
        </w:trPr>
        <w:tc>
          <w:tcPr>
            <w:tcW w:w="1300" w:type="dxa"/>
            <w:tcBorders>
              <w:top w:val="nil"/>
              <w:left w:val="nil"/>
              <w:bottom w:val="nil"/>
              <w:right w:val="nil"/>
            </w:tcBorders>
            <w:shd w:val="clear" w:color="auto" w:fill="auto"/>
            <w:noWrap/>
            <w:vAlign w:val="bottom"/>
            <w:hideMark/>
          </w:tcPr>
          <w:p w14:paraId="2E9955C3" w14:textId="77777777" w:rsidR="00E058DB" w:rsidRDefault="00E058DB" w:rsidP="00D15FF7">
            <w:pPr>
              <w:jc w:val="center"/>
              <w:rPr>
                <w:color w:val="000000"/>
              </w:rPr>
            </w:pPr>
            <w:r>
              <w:rPr>
                <w:color w:val="000000"/>
              </w:rPr>
              <w:t>28</w:t>
            </w:r>
          </w:p>
        </w:tc>
        <w:tc>
          <w:tcPr>
            <w:tcW w:w="1300" w:type="dxa"/>
            <w:tcBorders>
              <w:top w:val="nil"/>
              <w:left w:val="nil"/>
              <w:bottom w:val="nil"/>
              <w:right w:val="nil"/>
            </w:tcBorders>
            <w:shd w:val="clear" w:color="auto" w:fill="auto"/>
            <w:vAlign w:val="bottom"/>
            <w:hideMark/>
          </w:tcPr>
          <w:p w14:paraId="4B7BF58D" w14:textId="77777777" w:rsidR="00E058DB" w:rsidRDefault="00E058DB" w:rsidP="00D15FF7">
            <w:pPr>
              <w:jc w:val="center"/>
              <w:rPr>
                <w:color w:val="000000"/>
              </w:rPr>
            </w:pPr>
            <w:r>
              <w:rPr>
                <w:color w:val="000000"/>
              </w:rPr>
              <w:t>110</w:t>
            </w:r>
          </w:p>
        </w:tc>
        <w:tc>
          <w:tcPr>
            <w:tcW w:w="1300" w:type="dxa"/>
            <w:tcBorders>
              <w:top w:val="nil"/>
              <w:left w:val="nil"/>
              <w:bottom w:val="nil"/>
              <w:right w:val="nil"/>
            </w:tcBorders>
            <w:shd w:val="clear" w:color="auto" w:fill="auto"/>
            <w:vAlign w:val="bottom"/>
            <w:hideMark/>
          </w:tcPr>
          <w:p w14:paraId="6D8808A6" w14:textId="77777777" w:rsidR="00E058DB" w:rsidRDefault="00E058DB" w:rsidP="00D15FF7">
            <w:pPr>
              <w:jc w:val="center"/>
              <w:rPr>
                <w:color w:val="000000"/>
              </w:rPr>
            </w:pPr>
            <w:r>
              <w:rPr>
                <w:color w:val="000000"/>
              </w:rPr>
              <w:t>868</w:t>
            </w:r>
          </w:p>
        </w:tc>
        <w:tc>
          <w:tcPr>
            <w:tcW w:w="260" w:type="dxa"/>
            <w:tcBorders>
              <w:top w:val="nil"/>
              <w:left w:val="nil"/>
              <w:bottom w:val="nil"/>
              <w:right w:val="nil"/>
            </w:tcBorders>
            <w:shd w:val="clear" w:color="auto" w:fill="auto"/>
            <w:noWrap/>
            <w:vAlign w:val="bottom"/>
            <w:hideMark/>
          </w:tcPr>
          <w:p w14:paraId="16C0ADC3" w14:textId="77777777" w:rsidR="00E058DB" w:rsidRDefault="00E058DB" w:rsidP="00D15FF7">
            <w:pPr>
              <w:jc w:val="center"/>
              <w:rPr>
                <w:color w:val="000000"/>
              </w:rPr>
            </w:pPr>
          </w:p>
        </w:tc>
        <w:tc>
          <w:tcPr>
            <w:tcW w:w="1300" w:type="dxa"/>
            <w:tcBorders>
              <w:top w:val="nil"/>
              <w:left w:val="nil"/>
              <w:bottom w:val="nil"/>
              <w:right w:val="nil"/>
            </w:tcBorders>
            <w:shd w:val="clear" w:color="auto" w:fill="auto"/>
            <w:vAlign w:val="bottom"/>
            <w:hideMark/>
          </w:tcPr>
          <w:p w14:paraId="78D6C337" w14:textId="77777777" w:rsidR="00E058DB" w:rsidRDefault="00E058DB" w:rsidP="00D15FF7">
            <w:pPr>
              <w:jc w:val="center"/>
              <w:rPr>
                <w:color w:val="000000"/>
              </w:rPr>
            </w:pPr>
            <w:r>
              <w:rPr>
                <w:color w:val="000000"/>
              </w:rPr>
              <w:t>65</w:t>
            </w:r>
          </w:p>
        </w:tc>
        <w:tc>
          <w:tcPr>
            <w:tcW w:w="1300" w:type="dxa"/>
            <w:tcBorders>
              <w:top w:val="nil"/>
              <w:left w:val="nil"/>
              <w:bottom w:val="nil"/>
              <w:right w:val="nil"/>
            </w:tcBorders>
            <w:shd w:val="clear" w:color="auto" w:fill="auto"/>
            <w:vAlign w:val="bottom"/>
            <w:hideMark/>
          </w:tcPr>
          <w:p w14:paraId="620C09B8" w14:textId="77777777" w:rsidR="00E058DB" w:rsidRDefault="00E058DB" w:rsidP="00D15FF7">
            <w:pPr>
              <w:jc w:val="center"/>
              <w:rPr>
                <w:color w:val="000000"/>
              </w:rPr>
            </w:pPr>
            <w:r>
              <w:rPr>
                <w:color w:val="000000"/>
              </w:rPr>
              <w:t>4</w:t>
            </w:r>
          </w:p>
        </w:tc>
        <w:tc>
          <w:tcPr>
            <w:tcW w:w="1300" w:type="dxa"/>
            <w:tcBorders>
              <w:top w:val="nil"/>
              <w:left w:val="nil"/>
              <w:bottom w:val="nil"/>
              <w:right w:val="nil"/>
            </w:tcBorders>
            <w:shd w:val="clear" w:color="auto" w:fill="auto"/>
            <w:vAlign w:val="bottom"/>
            <w:hideMark/>
          </w:tcPr>
          <w:p w14:paraId="02DDB1B0" w14:textId="77777777" w:rsidR="00E058DB" w:rsidRDefault="00E058DB" w:rsidP="00D15FF7">
            <w:pPr>
              <w:jc w:val="center"/>
              <w:rPr>
                <w:color w:val="000000"/>
              </w:rPr>
            </w:pPr>
            <w:r>
              <w:rPr>
                <w:color w:val="000000"/>
              </w:rPr>
              <w:t>2</w:t>
            </w:r>
          </w:p>
        </w:tc>
      </w:tr>
      <w:tr w:rsidR="00E058DB" w14:paraId="2C856E8B" w14:textId="77777777" w:rsidTr="00D15FF7">
        <w:trPr>
          <w:trHeight w:val="320"/>
          <w:jc w:val="center"/>
        </w:trPr>
        <w:tc>
          <w:tcPr>
            <w:tcW w:w="1300" w:type="dxa"/>
            <w:tcBorders>
              <w:top w:val="nil"/>
              <w:left w:val="nil"/>
              <w:bottom w:val="nil"/>
              <w:right w:val="nil"/>
            </w:tcBorders>
            <w:shd w:val="clear" w:color="auto" w:fill="auto"/>
            <w:noWrap/>
            <w:vAlign w:val="bottom"/>
            <w:hideMark/>
          </w:tcPr>
          <w:p w14:paraId="3EA44247" w14:textId="77777777" w:rsidR="00E058DB" w:rsidRDefault="00E058DB" w:rsidP="00D15FF7">
            <w:pPr>
              <w:jc w:val="center"/>
              <w:rPr>
                <w:color w:val="000000"/>
              </w:rPr>
            </w:pPr>
            <w:r>
              <w:rPr>
                <w:color w:val="000000"/>
              </w:rPr>
              <w:t>30</w:t>
            </w:r>
          </w:p>
        </w:tc>
        <w:tc>
          <w:tcPr>
            <w:tcW w:w="1300" w:type="dxa"/>
            <w:tcBorders>
              <w:top w:val="nil"/>
              <w:left w:val="nil"/>
              <w:bottom w:val="nil"/>
              <w:right w:val="nil"/>
            </w:tcBorders>
            <w:shd w:val="clear" w:color="auto" w:fill="auto"/>
            <w:vAlign w:val="bottom"/>
            <w:hideMark/>
          </w:tcPr>
          <w:p w14:paraId="3E8F8306" w14:textId="77777777" w:rsidR="00E058DB" w:rsidRDefault="00E058DB" w:rsidP="00D15FF7">
            <w:pPr>
              <w:jc w:val="center"/>
              <w:rPr>
                <w:color w:val="000000"/>
              </w:rPr>
            </w:pPr>
            <w:r>
              <w:rPr>
                <w:color w:val="000000"/>
              </w:rPr>
              <w:t>11</w:t>
            </w:r>
          </w:p>
        </w:tc>
        <w:tc>
          <w:tcPr>
            <w:tcW w:w="1300" w:type="dxa"/>
            <w:tcBorders>
              <w:top w:val="nil"/>
              <w:left w:val="nil"/>
              <w:bottom w:val="nil"/>
              <w:right w:val="nil"/>
            </w:tcBorders>
            <w:shd w:val="clear" w:color="auto" w:fill="auto"/>
            <w:vAlign w:val="bottom"/>
            <w:hideMark/>
          </w:tcPr>
          <w:p w14:paraId="22A23FDE" w14:textId="77777777" w:rsidR="00E058DB" w:rsidRDefault="00E058DB" w:rsidP="00D15FF7">
            <w:pPr>
              <w:jc w:val="center"/>
              <w:rPr>
                <w:color w:val="000000"/>
              </w:rPr>
            </w:pPr>
            <w:r>
              <w:rPr>
                <w:color w:val="000000"/>
              </w:rPr>
              <w:t>43</w:t>
            </w:r>
          </w:p>
        </w:tc>
        <w:tc>
          <w:tcPr>
            <w:tcW w:w="260" w:type="dxa"/>
            <w:tcBorders>
              <w:top w:val="nil"/>
              <w:left w:val="nil"/>
              <w:bottom w:val="nil"/>
              <w:right w:val="nil"/>
            </w:tcBorders>
            <w:shd w:val="clear" w:color="auto" w:fill="auto"/>
            <w:noWrap/>
            <w:vAlign w:val="bottom"/>
            <w:hideMark/>
          </w:tcPr>
          <w:p w14:paraId="4578F473" w14:textId="77777777" w:rsidR="00E058DB" w:rsidRDefault="00E058DB" w:rsidP="00D15FF7">
            <w:pPr>
              <w:jc w:val="center"/>
              <w:rPr>
                <w:color w:val="000000"/>
              </w:rPr>
            </w:pPr>
          </w:p>
        </w:tc>
        <w:tc>
          <w:tcPr>
            <w:tcW w:w="1300" w:type="dxa"/>
            <w:tcBorders>
              <w:top w:val="nil"/>
              <w:left w:val="nil"/>
              <w:bottom w:val="nil"/>
              <w:right w:val="nil"/>
            </w:tcBorders>
            <w:shd w:val="clear" w:color="auto" w:fill="auto"/>
            <w:vAlign w:val="bottom"/>
            <w:hideMark/>
          </w:tcPr>
          <w:p w14:paraId="4C46C096" w14:textId="77777777" w:rsidR="00E058DB" w:rsidRDefault="00E058DB" w:rsidP="00D15FF7">
            <w:pPr>
              <w:jc w:val="center"/>
              <w:rPr>
                <w:color w:val="000000"/>
              </w:rPr>
            </w:pPr>
            <w:r>
              <w:rPr>
                <w:color w:val="000000"/>
              </w:rPr>
              <w:t>67</w:t>
            </w:r>
          </w:p>
        </w:tc>
        <w:tc>
          <w:tcPr>
            <w:tcW w:w="1300" w:type="dxa"/>
            <w:tcBorders>
              <w:top w:val="nil"/>
              <w:left w:val="nil"/>
              <w:bottom w:val="nil"/>
              <w:right w:val="nil"/>
            </w:tcBorders>
            <w:shd w:val="clear" w:color="auto" w:fill="auto"/>
            <w:vAlign w:val="bottom"/>
            <w:hideMark/>
          </w:tcPr>
          <w:p w14:paraId="5157080B" w14:textId="77777777" w:rsidR="00E058DB" w:rsidRDefault="00E058DB" w:rsidP="00D15FF7">
            <w:pPr>
              <w:jc w:val="center"/>
              <w:rPr>
                <w:color w:val="000000"/>
              </w:rPr>
            </w:pPr>
            <w:r>
              <w:rPr>
                <w:color w:val="000000"/>
              </w:rPr>
              <w:t>10</w:t>
            </w:r>
          </w:p>
        </w:tc>
        <w:tc>
          <w:tcPr>
            <w:tcW w:w="1300" w:type="dxa"/>
            <w:tcBorders>
              <w:top w:val="nil"/>
              <w:left w:val="nil"/>
              <w:bottom w:val="nil"/>
              <w:right w:val="nil"/>
            </w:tcBorders>
            <w:shd w:val="clear" w:color="auto" w:fill="auto"/>
            <w:vAlign w:val="bottom"/>
            <w:hideMark/>
          </w:tcPr>
          <w:p w14:paraId="12DC67C3" w14:textId="77777777" w:rsidR="00E058DB" w:rsidRDefault="00E058DB" w:rsidP="00D15FF7">
            <w:pPr>
              <w:jc w:val="center"/>
              <w:rPr>
                <w:color w:val="000000"/>
              </w:rPr>
            </w:pPr>
            <w:r>
              <w:rPr>
                <w:color w:val="000000"/>
              </w:rPr>
              <w:t>4</w:t>
            </w:r>
          </w:p>
        </w:tc>
      </w:tr>
      <w:tr w:rsidR="00E058DB" w14:paraId="277BFA6F" w14:textId="77777777" w:rsidTr="00D15FF7">
        <w:trPr>
          <w:trHeight w:val="320"/>
          <w:jc w:val="center"/>
        </w:trPr>
        <w:tc>
          <w:tcPr>
            <w:tcW w:w="1300" w:type="dxa"/>
            <w:tcBorders>
              <w:top w:val="nil"/>
              <w:left w:val="nil"/>
              <w:bottom w:val="nil"/>
              <w:right w:val="nil"/>
            </w:tcBorders>
            <w:shd w:val="clear" w:color="auto" w:fill="auto"/>
            <w:noWrap/>
            <w:vAlign w:val="bottom"/>
            <w:hideMark/>
          </w:tcPr>
          <w:p w14:paraId="15EEA802" w14:textId="77777777" w:rsidR="00E058DB" w:rsidRDefault="00E058DB" w:rsidP="00D15FF7">
            <w:pPr>
              <w:jc w:val="center"/>
              <w:rPr>
                <w:color w:val="000000"/>
              </w:rPr>
            </w:pPr>
            <w:r>
              <w:rPr>
                <w:color w:val="000000"/>
              </w:rPr>
              <w:t>31</w:t>
            </w:r>
          </w:p>
        </w:tc>
        <w:tc>
          <w:tcPr>
            <w:tcW w:w="1300" w:type="dxa"/>
            <w:tcBorders>
              <w:top w:val="nil"/>
              <w:left w:val="nil"/>
              <w:bottom w:val="nil"/>
              <w:right w:val="nil"/>
            </w:tcBorders>
            <w:shd w:val="clear" w:color="auto" w:fill="auto"/>
            <w:vAlign w:val="bottom"/>
            <w:hideMark/>
          </w:tcPr>
          <w:p w14:paraId="7FB02293" w14:textId="77777777" w:rsidR="00E058DB" w:rsidRDefault="00E058DB" w:rsidP="00D15FF7">
            <w:pPr>
              <w:jc w:val="center"/>
              <w:rPr>
                <w:color w:val="000000"/>
              </w:rPr>
            </w:pPr>
            <w:r>
              <w:rPr>
                <w:color w:val="000000"/>
              </w:rPr>
              <w:t>6</w:t>
            </w:r>
          </w:p>
        </w:tc>
        <w:tc>
          <w:tcPr>
            <w:tcW w:w="1300" w:type="dxa"/>
            <w:tcBorders>
              <w:top w:val="nil"/>
              <w:left w:val="nil"/>
              <w:bottom w:val="nil"/>
              <w:right w:val="nil"/>
            </w:tcBorders>
            <w:shd w:val="clear" w:color="auto" w:fill="auto"/>
            <w:vAlign w:val="bottom"/>
            <w:hideMark/>
          </w:tcPr>
          <w:p w14:paraId="232B570B" w14:textId="77777777" w:rsidR="00E058DB" w:rsidRDefault="00E058DB" w:rsidP="00D15FF7">
            <w:pPr>
              <w:jc w:val="center"/>
              <w:rPr>
                <w:color w:val="000000"/>
              </w:rPr>
            </w:pPr>
            <w:r>
              <w:rPr>
                <w:color w:val="000000"/>
              </w:rPr>
              <w:t>5</w:t>
            </w:r>
          </w:p>
        </w:tc>
        <w:tc>
          <w:tcPr>
            <w:tcW w:w="260" w:type="dxa"/>
            <w:tcBorders>
              <w:top w:val="nil"/>
              <w:left w:val="nil"/>
              <w:bottom w:val="nil"/>
              <w:right w:val="nil"/>
            </w:tcBorders>
            <w:shd w:val="clear" w:color="auto" w:fill="auto"/>
            <w:noWrap/>
            <w:vAlign w:val="bottom"/>
            <w:hideMark/>
          </w:tcPr>
          <w:p w14:paraId="50B6FB5D" w14:textId="77777777" w:rsidR="00E058DB" w:rsidRDefault="00E058DB" w:rsidP="00D15FF7">
            <w:pPr>
              <w:jc w:val="center"/>
              <w:rPr>
                <w:color w:val="000000"/>
              </w:rPr>
            </w:pPr>
          </w:p>
        </w:tc>
        <w:tc>
          <w:tcPr>
            <w:tcW w:w="1300" w:type="dxa"/>
            <w:tcBorders>
              <w:top w:val="nil"/>
              <w:left w:val="nil"/>
              <w:bottom w:val="nil"/>
              <w:right w:val="nil"/>
            </w:tcBorders>
            <w:shd w:val="clear" w:color="auto" w:fill="auto"/>
            <w:vAlign w:val="bottom"/>
            <w:hideMark/>
          </w:tcPr>
          <w:p w14:paraId="16D60BBC" w14:textId="77777777" w:rsidR="00E058DB" w:rsidRDefault="00E058DB" w:rsidP="00D15FF7">
            <w:pPr>
              <w:jc w:val="center"/>
              <w:rPr>
                <w:color w:val="000000"/>
              </w:rPr>
            </w:pPr>
            <w:r>
              <w:rPr>
                <w:color w:val="000000"/>
              </w:rPr>
              <w:t>73</w:t>
            </w:r>
          </w:p>
        </w:tc>
        <w:tc>
          <w:tcPr>
            <w:tcW w:w="1300" w:type="dxa"/>
            <w:tcBorders>
              <w:top w:val="nil"/>
              <w:left w:val="nil"/>
              <w:bottom w:val="nil"/>
              <w:right w:val="nil"/>
            </w:tcBorders>
            <w:shd w:val="clear" w:color="auto" w:fill="auto"/>
            <w:vAlign w:val="bottom"/>
            <w:hideMark/>
          </w:tcPr>
          <w:p w14:paraId="2C8CE2D2" w14:textId="77777777" w:rsidR="00E058DB" w:rsidRDefault="00E058DB" w:rsidP="00D15FF7">
            <w:pPr>
              <w:jc w:val="center"/>
              <w:rPr>
                <w:color w:val="000000"/>
              </w:rPr>
            </w:pPr>
            <w:r>
              <w:rPr>
                <w:color w:val="000000"/>
              </w:rPr>
              <w:t>95</w:t>
            </w:r>
          </w:p>
        </w:tc>
        <w:tc>
          <w:tcPr>
            <w:tcW w:w="1300" w:type="dxa"/>
            <w:tcBorders>
              <w:top w:val="nil"/>
              <w:left w:val="nil"/>
              <w:bottom w:val="nil"/>
              <w:right w:val="nil"/>
            </w:tcBorders>
            <w:shd w:val="clear" w:color="auto" w:fill="auto"/>
            <w:vAlign w:val="bottom"/>
            <w:hideMark/>
          </w:tcPr>
          <w:p w14:paraId="33E65C9E" w14:textId="77777777" w:rsidR="00E058DB" w:rsidRDefault="00E058DB" w:rsidP="00D15FF7">
            <w:pPr>
              <w:jc w:val="center"/>
              <w:rPr>
                <w:color w:val="000000"/>
              </w:rPr>
            </w:pPr>
            <w:r>
              <w:rPr>
                <w:color w:val="000000"/>
              </w:rPr>
              <w:t>462</w:t>
            </w:r>
          </w:p>
        </w:tc>
      </w:tr>
      <w:tr w:rsidR="00E058DB" w14:paraId="4AD23629" w14:textId="77777777" w:rsidTr="00D15FF7">
        <w:trPr>
          <w:trHeight w:val="320"/>
          <w:jc w:val="center"/>
        </w:trPr>
        <w:tc>
          <w:tcPr>
            <w:tcW w:w="1300" w:type="dxa"/>
            <w:tcBorders>
              <w:top w:val="nil"/>
              <w:left w:val="nil"/>
              <w:bottom w:val="nil"/>
              <w:right w:val="nil"/>
            </w:tcBorders>
            <w:shd w:val="clear" w:color="auto" w:fill="auto"/>
            <w:noWrap/>
            <w:vAlign w:val="bottom"/>
            <w:hideMark/>
          </w:tcPr>
          <w:p w14:paraId="5A43306A" w14:textId="77777777" w:rsidR="00E058DB" w:rsidRDefault="00E058DB" w:rsidP="00D15FF7">
            <w:pPr>
              <w:jc w:val="center"/>
              <w:rPr>
                <w:color w:val="000000"/>
              </w:rPr>
            </w:pPr>
            <w:r>
              <w:rPr>
                <w:color w:val="000000"/>
              </w:rPr>
              <w:t>32</w:t>
            </w:r>
          </w:p>
        </w:tc>
        <w:tc>
          <w:tcPr>
            <w:tcW w:w="1300" w:type="dxa"/>
            <w:tcBorders>
              <w:top w:val="nil"/>
              <w:left w:val="nil"/>
              <w:bottom w:val="nil"/>
              <w:right w:val="nil"/>
            </w:tcBorders>
            <w:shd w:val="clear" w:color="auto" w:fill="auto"/>
            <w:vAlign w:val="bottom"/>
            <w:hideMark/>
          </w:tcPr>
          <w:p w14:paraId="5EA54645" w14:textId="77777777" w:rsidR="00E058DB" w:rsidRDefault="00E058DB" w:rsidP="00D15FF7">
            <w:pPr>
              <w:jc w:val="center"/>
              <w:rPr>
                <w:color w:val="000000"/>
              </w:rPr>
            </w:pPr>
            <w:r>
              <w:rPr>
                <w:color w:val="000000"/>
              </w:rPr>
              <w:t>3</w:t>
            </w:r>
          </w:p>
        </w:tc>
        <w:tc>
          <w:tcPr>
            <w:tcW w:w="1300" w:type="dxa"/>
            <w:tcBorders>
              <w:top w:val="nil"/>
              <w:left w:val="nil"/>
              <w:bottom w:val="nil"/>
              <w:right w:val="nil"/>
            </w:tcBorders>
            <w:shd w:val="clear" w:color="auto" w:fill="auto"/>
            <w:vAlign w:val="bottom"/>
            <w:hideMark/>
          </w:tcPr>
          <w:p w14:paraId="0585B743" w14:textId="77777777" w:rsidR="00E058DB" w:rsidRDefault="00E058DB" w:rsidP="00D15FF7">
            <w:pPr>
              <w:jc w:val="center"/>
              <w:rPr>
                <w:color w:val="000000"/>
              </w:rPr>
            </w:pPr>
            <w:r>
              <w:rPr>
                <w:color w:val="000000"/>
              </w:rPr>
              <w:t>10</w:t>
            </w:r>
          </w:p>
        </w:tc>
        <w:tc>
          <w:tcPr>
            <w:tcW w:w="260" w:type="dxa"/>
            <w:tcBorders>
              <w:top w:val="nil"/>
              <w:left w:val="nil"/>
              <w:bottom w:val="nil"/>
              <w:right w:val="nil"/>
            </w:tcBorders>
            <w:shd w:val="clear" w:color="auto" w:fill="auto"/>
            <w:noWrap/>
            <w:vAlign w:val="bottom"/>
            <w:hideMark/>
          </w:tcPr>
          <w:p w14:paraId="75D431EB" w14:textId="77777777" w:rsidR="00E058DB" w:rsidRDefault="00E058DB" w:rsidP="00D15FF7">
            <w:pPr>
              <w:jc w:val="center"/>
              <w:rPr>
                <w:color w:val="000000"/>
              </w:rPr>
            </w:pPr>
          </w:p>
        </w:tc>
        <w:tc>
          <w:tcPr>
            <w:tcW w:w="1300" w:type="dxa"/>
            <w:tcBorders>
              <w:top w:val="nil"/>
              <w:left w:val="nil"/>
              <w:bottom w:val="nil"/>
              <w:right w:val="nil"/>
            </w:tcBorders>
            <w:shd w:val="clear" w:color="auto" w:fill="auto"/>
            <w:vAlign w:val="bottom"/>
            <w:hideMark/>
          </w:tcPr>
          <w:p w14:paraId="688C077E" w14:textId="77777777" w:rsidR="00E058DB" w:rsidRDefault="00E058DB" w:rsidP="00D15FF7">
            <w:pPr>
              <w:jc w:val="center"/>
              <w:rPr>
                <w:color w:val="000000"/>
              </w:rPr>
            </w:pPr>
            <w:r>
              <w:rPr>
                <w:color w:val="000000"/>
              </w:rPr>
              <w:t>78</w:t>
            </w:r>
          </w:p>
        </w:tc>
        <w:tc>
          <w:tcPr>
            <w:tcW w:w="1300" w:type="dxa"/>
            <w:tcBorders>
              <w:top w:val="nil"/>
              <w:left w:val="nil"/>
              <w:bottom w:val="nil"/>
              <w:right w:val="nil"/>
            </w:tcBorders>
            <w:shd w:val="clear" w:color="auto" w:fill="auto"/>
            <w:vAlign w:val="bottom"/>
            <w:hideMark/>
          </w:tcPr>
          <w:p w14:paraId="5F08682E" w14:textId="77777777" w:rsidR="00E058DB" w:rsidRDefault="00E058DB" w:rsidP="00D15FF7">
            <w:pPr>
              <w:jc w:val="center"/>
              <w:rPr>
                <w:color w:val="000000"/>
              </w:rPr>
            </w:pPr>
            <w:r>
              <w:rPr>
                <w:color w:val="000000"/>
              </w:rPr>
              <w:t>4</w:t>
            </w:r>
          </w:p>
        </w:tc>
        <w:tc>
          <w:tcPr>
            <w:tcW w:w="1300" w:type="dxa"/>
            <w:tcBorders>
              <w:top w:val="nil"/>
              <w:left w:val="nil"/>
              <w:bottom w:val="nil"/>
              <w:right w:val="nil"/>
            </w:tcBorders>
            <w:shd w:val="clear" w:color="auto" w:fill="auto"/>
            <w:vAlign w:val="bottom"/>
            <w:hideMark/>
          </w:tcPr>
          <w:p w14:paraId="60918CC4" w14:textId="77777777" w:rsidR="00E058DB" w:rsidRDefault="00E058DB" w:rsidP="00D15FF7">
            <w:pPr>
              <w:jc w:val="center"/>
              <w:rPr>
                <w:color w:val="000000"/>
              </w:rPr>
            </w:pPr>
            <w:r>
              <w:rPr>
                <w:color w:val="000000"/>
              </w:rPr>
              <w:t>22</w:t>
            </w:r>
          </w:p>
        </w:tc>
      </w:tr>
      <w:tr w:rsidR="00E058DB" w14:paraId="467C3534" w14:textId="77777777" w:rsidTr="00D15FF7">
        <w:trPr>
          <w:trHeight w:val="320"/>
          <w:jc w:val="center"/>
        </w:trPr>
        <w:tc>
          <w:tcPr>
            <w:tcW w:w="1300" w:type="dxa"/>
            <w:tcBorders>
              <w:top w:val="nil"/>
              <w:left w:val="nil"/>
              <w:bottom w:val="nil"/>
              <w:right w:val="nil"/>
            </w:tcBorders>
            <w:shd w:val="clear" w:color="auto" w:fill="auto"/>
            <w:noWrap/>
            <w:vAlign w:val="bottom"/>
            <w:hideMark/>
          </w:tcPr>
          <w:p w14:paraId="7D749F81" w14:textId="77777777" w:rsidR="00E058DB" w:rsidRDefault="00E058DB" w:rsidP="00D15FF7">
            <w:pPr>
              <w:jc w:val="center"/>
              <w:rPr>
                <w:color w:val="000000"/>
              </w:rPr>
            </w:pPr>
            <w:r>
              <w:rPr>
                <w:color w:val="000000"/>
              </w:rPr>
              <w:t>33</w:t>
            </w:r>
          </w:p>
        </w:tc>
        <w:tc>
          <w:tcPr>
            <w:tcW w:w="1300" w:type="dxa"/>
            <w:tcBorders>
              <w:top w:val="nil"/>
              <w:left w:val="nil"/>
              <w:bottom w:val="nil"/>
              <w:right w:val="nil"/>
            </w:tcBorders>
            <w:shd w:val="clear" w:color="auto" w:fill="auto"/>
            <w:vAlign w:val="bottom"/>
            <w:hideMark/>
          </w:tcPr>
          <w:p w14:paraId="7E18052E" w14:textId="77777777" w:rsidR="00E058DB" w:rsidRDefault="00E058DB" w:rsidP="00D15FF7">
            <w:pPr>
              <w:jc w:val="center"/>
              <w:rPr>
                <w:color w:val="000000"/>
              </w:rPr>
            </w:pPr>
            <w:r>
              <w:rPr>
                <w:color w:val="000000"/>
              </w:rPr>
              <w:t>6</w:t>
            </w:r>
          </w:p>
        </w:tc>
        <w:tc>
          <w:tcPr>
            <w:tcW w:w="1300" w:type="dxa"/>
            <w:tcBorders>
              <w:top w:val="nil"/>
              <w:left w:val="nil"/>
              <w:bottom w:val="nil"/>
              <w:right w:val="nil"/>
            </w:tcBorders>
            <w:shd w:val="clear" w:color="auto" w:fill="auto"/>
            <w:vAlign w:val="bottom"/>
            <w:hideMark/>
          </w:tcPr>
          <w:p w14:paraId="7A8BB682" w14:textId="77777777" w:rsidR="00E058DB" w:rsidRDefault="00E058DB" w:rsidP="00D15FF7">
            <w:pPr>
              <w:jc w:val="center"/>
              <w:rPr>
                <w:color w:val="000000"/>
              </w:rPr>
            </w:pPr>
            <w:r>
              <w:rPr>
                <w:color w:val="000000"/>
              </w:rPr>
              <w:t>2</w:t>
            </w:r>
          </w:p>
        </w:tc>
        <w:tc>
          <w:tcPr>
            <w:tcW w:w="260" w:type="dxa"/>
            <w:tcBorders>
              <w:top w:val="nil"/>
              <w:left w:val="nil"/>
              <w:bottom w:val="nil"/>
              <w:right w:val="nil"/>
            </w:tcBorders>
            <w:shd w:val="clear" w:color="auto" w:fill="auto"/>
            <w:noWrap/>
            <w:vAlign w:val="bottom"/>
            <w:hideMark/>
          </w:tcPr>
          <w:p w14:paraId="5CE5A2B8" w14:textId="77777777" w:rsidR="00E058DB" w:rsidRDefault="00E058DB" w:rsidP="00D15FF7">
            <w:pPr>
              <w:jc w:val="center"/>
              <w:rPr>
                <w:color w:val="000000"/>
              </w:rPr>
            </w:pPr>
          </w:p>
        </w:tc>
        <w:tc>
          <w:tcPr>
            <w:tcW w:w="1300" w:type="dxa"/>
            <w:tcBorders>
              <w:top w:val="nil"/>
              <w:left w:val="nil"/>
              <w:bottom w:val="nil"/>
              <w:right w:val="nil"/>
            </w:tcBorders>
            <w:shd w:val="clear" w:color="auto" w:fill="auto"/>
            <w:vAlign w:val="bottom"/>
            <w:hideMark/>
          </w:tcPr>
          <w:p w14:paraId="70A052AB" w14:textId="77777777" w:rsidR="00E058DB" w:rsidRDefault="00E058DB" w:rsidP="00D15FF7">
            <w:pPr>
              <w:jc w:val="center"/>
              <w:rPr>
                <w:color w:val="000000"/>
              </w:rPr>
            </w:pPr>
            <w:r>
              <w:rPr>
                <w:color w:val="000000"/>
              </w:rPr>
              <w:t>79</w:t>
            </w:r>
          </w:p>
        </w:tc>
        <w:tc>
          <w:tcPr>
            <w:tcW w:w="1300" w:type="dxa"/>
            <w:tcBorders>
              <w:top w:val="nil"/>
              <w:left w:val="nil"/>
              <w:bottom w:val="nil"/>
              <w:right w:val="nil"/>
            </w:tcBorders>
            <w:shd w:val="clear" w:color="auto" w:fill="auto"/>
            <w:vAlign w:val="bottom"/>
            <w:hideMark/>
          </w:tcPr>
          <w:p w14:paraId="5190648E" w14:textId="77777777" w:rsidR="00E058DB" w:rsidRDefault="00E058DB" w:rsidP="00D15FF7">
            <w:pPr>
              <w:jc w:val="center"/>
              <w:rPr>
                <w:color w:val="000000"/>
              </w:rPr>
            </w:pPr>
            <w:r>
              <w:rPr>
                <w:color w:val="000000"/>
              </w:rPr>
              <w:t>2</w:t>
            </w:r>
          </w:p>
        </w:tc>
        <w:tc>
          <w:tcPr>
            <w:tcW w:w="1300" w:type="dxa"/>
            <w:tcBorders>
              <w:top w:val="nil"/>
              <w:left w:val="nil"/>
              <w:bottom w:val="nil"/>
              <w:right w:val="nil"/>
            </w:tcBorders>
            <w:shd w:val="clear" w:color="auto" w:fill="auto"/>
            <w:vAlign w:val="bottom"/>
            <w:hideMark/>
          </w:tcPr>
          <w:p w14:paraId="2B6E6DEF" w14:textId="77777777" w:rsidR="00E058DB" w:rsidRDefault="00E058DB" w:rsidP="00D15FF7">
            <w:pPr>
              <w:jc w:val="center"/>
              <w:rPr>
                <w:color w:val="000000"/>
              </w:rPr>
            </w:pPr>
            <w:r>
              <w:rPr>
                <w:color w:val="000000"/>
              </w:rPr>
              <w:t>1</w:t>
            </w:r>
          </w:p>
        </w:tc>
      </w:tr>
      <w:tr w:rsidR="00E058DB" w14:paraId="5959835B" w14:textId="77777777" w:rsidTr="00D15FF7">
        <w:trPr>
          <w:trHeight w:val="320"/>
          <w:jc w:val="center"/>
        </w:trPr>
        <w:tc>
          <w:tcPr>
            <w:tcW w:w="1300" w:type="dxa"/>
            <w:tcBorders>
              <w:top w:val="nil"/>
              <w:left w:val="nil"/>
              <w:bottom w:val="nil"/>
              <w:right w:val="nil"/>
            </w:tcBorders>
            <w:shd w:val="clear" w:color="auto" w:fill="auto"/>
            <w:noWrap/>
            <w:vAlign w:val="bottom"/>
            <w:hideMark/>
          </w:tcPr>
          <w:p w14:paraId="2611DB64" w14:textId="77777777" w:rsidR="00E058DB" w:rsidRDefault="00E058DB" w:rsidP="00D15FF7">
            <w:pPr>
              <w:jc w:val="center"/>
              <w:rPr>
                <w:color w:val="000000"/>
              </w:rPr>
            </w:pPr>
            <w:r>
              <w:rPr>
                <w:color w:val="000000"/>
              </w:rPr>
              <w:t>34</w:t>
            </w:r>
          </w:p>
        </w:tc>
        <w:tc>
          <w:tcPr>
            <w:tcW w:w="1300" w:type="dxa"/>
            <w:tcBorders>
              <w:top w:val="nil"/>
              <w:left w:val="nil"/>
              <w:bottom w:val="nil"/>
              <w:right w:val="nil"/>
            </w:tcBorders>
            <w:shd w:val="clear" w:color="auto" w:fill="auto"/>
            <w:vAlign w:val="bottom"/>
            <w:hideMark/>
          </w:tcPr>
          <w:p w14:paraId="161A5A75" w14:textId="77777777" w:rsidR="00E058DB" w:rsidRDefault="00E058DB" w:rsidP="00D15FF7">
            <w:pPr>
              <w:jc w:val="center"/>
              <w:rPr>
                <w:color w:val="000000"/>
              </w:rPr>
            </w:pPr>
            <w:r>
              <w:rPr>
                <w:color w:val="000000"/>
              </w:rPr>
              <w:t>22</w:t>
            </w:r>
          </w:p>
        </w:tc>
        <w:tc>
          <w:tcPr>
            <w:tcW w:w="1300" w:type="dxa"/>
            <w:tcBorders>
              <w:top w:val="nil"/>
              <w:left w:val="nil"/>
              <w:bottom w:val="nil"/>
              <w:right w:val="nil"/>
            </w:tcBorders>
            <w:shd w:val="clear" w:color="auto" w:fill="auto"/>
            <w:vAlign w:val="bottom"/>
            <w:hideMark/>
          </w:tcPr>
          <w:p w14:paraId="0C0CE6CA" w14:textId="77777777" w:rsidR="00E058DB" w:rsidRDefault="00E058DB" w:rsidP="00D15FF7">
            <w:pPr>
              <w:jc w:val="center"/>
              <w:rPr>
                <w:color w:val="000000"/>
              </w:rPr>
            </w:pPr>
            <w:r>
              <w:rPr>
                <w:color w:val="000000"/>
              </w:rPr>
              <w:t>23</w:t>
            </w:r>
          </w:p>
        </w:tc>
        <w:tc>
          <w:tcPr>
            <w:tcW w:w="260" w:type="dxa"/>
            <w:tcBorders>
              <w:top w:val="nil"/>
              <w:left w:val="nil"/>
              <w:bottom w:val="nil"/>
              <w:right w:val="nil"/>
            </w:tcBorders>
            <w:shd w:val="clear" w:color="auto" w:fill="auto"/>
            <w:noWrap/>
            <w:vAlign w:val="bottom"/>
            <w:hideMark/>
          </w:tcPr>
          <w:p w14:paraId="65FE9445" w14:textId="77777777" w:rsidR="00E058DB" w:rsidRDefault="00E058DB" w:rsidP="00D15FF7">
            <w:pPr>
              <w:jc w:val="center"/>
              <w:rPr>
                <w:color w:val="000000"/>
              </w:rPr>
            </w:pPr>
          </w:p>
        </w:tc>
        <w:tc>
          <w:tcPr>
            <w:tcW w:w="1300" w:type="dxa"/>
            <w:tcBorders>
              <w:top w:val="nil"/>
              <w:left w:val="nil"/>
              <w:bottom w:val="nil"/>
              <w:right w:val="nil"/>
            </w:tcBorders>
            <w:shd w:val="clear" w:color="auto" w:fill="auto"/>
            <w:vAlign w:val="bottom"/>
            <w:hideMark/>
          </w:tcPr>
          <w:p w14:paraId="728B0071" w14:textId="77777777" w:rsidR="00E058DB" w:rsidRDefault="00E058DB" w:rsidP="00D15FF7">
            <w:pPr>
              <w:jc w:val="center"/>
              <w:rPr>
                <w:color w:val="000000"/>
              </w:rPr>
            </w:pPr>
            <w:r>
              <w:rPr>
                <w:color w:val="000000"/>
              </w:rPr>
              <w:t>87</w:t>
            </w:r>
          </w:p>
        </w:tc>
        <w:tc>
          <w:tcPr>
            <w:tcW w:w="1300" w:type="dxa"/>
            <w:tcBorders>
              <w:top w:val="nil"/>
              <w:left w:val="nil"/>
              <w:bottom w:val="nil"/>
              <w:right w:val="nil"/>
            </w:tcBorders>
            <w:shd w:val="clear" w:color="auto" w:fill="auto"/>
            <w:vAlign w:val="bottom"/>
            <w:hideMark/>
          </w:tcPr>
          <w:p w14:paraId="599CE609" w14:textId="77777777" w:rsidR="00E058DB" w:rsidRDefault="00E058DB" w:rsidP="00D15FF7">
            <w:pPr>
              <w:jc w:val="center"/>
              <w:rPr>
                <w:color w:val="000000"/>
              </w:rPr>
            </w:pPr>
            <w:r>
              <w:rPr>
                <w:color w:val="000000"/>
              </w:rPr>
              <w:t>2</w:t>
            </w:r>
          </w:p>
        </w:tc>
        <w:tc>
          <w:tcPr>
            <w:tcW w:w="1300" w:type="dxa"/>
            <w:tcBorders>
              <w:top w:val="nil"/>
              <w:left w:val="nil"/>
              <w:bottom w:val="nil"/>
              <w:right w:val="nil"/>
            </w:tcBorders>
            <w:shd w:val="clear" w:color="auto" w:fill="auto"/>
            <w:vAlign w:val="bottom"/>
            <w:hideMark/>
          </w:tcPr>
          <w:p w14:paraId="7331D230" w14:textId="77777777" w:rsidR="00E058DB" w:rsidRDefault="00E058DB" w:rsidP="00D15FF7">
            <w:pPr>
              <w:jc w:val="center"/>
              <w:rPr>
                <w:color w:val="000000"/>
              </w:rPr>
            </w:pPr>
            <w:r>
              <w:rPr>
                <w:color w:val="000000"/>
              </w:rPr>
              <w:t>3</w:t>
            </w:r>
          </w:p>
        </w:tc>
      </w:tr>
      <w:tr w:rsidR="00E058DB" w14:paraId="496E1F7A" w14:textId="77777777" w:rsidTr="00D15FF7">
        <w:trPr>
          <w:trHeight w:val="320"/>
          <w:jc w:val="center"/>
        </w:trPr>
        <w:tc>
          <w:tcPr>
            <w:tcW w:w="1300" w:type="dxa"/>
            <w:tcBorders>
              <w:top w:val="nil"/>
              <w:left w:val="nil"/>
              <w:bottom w:val="nil"/>
              <w:right w:val="nil"/>
            </w:tcBorders>
            <w:shd w:val="clear" w:color="auto" w:fill="auto"/>
            <w:noWrap/>
            <w:vAlign w:val="bottom"/>
            <w:hideMark/>
          </w:tcPr>
          <w:p w14:paraId="5A112714" w14:textId="77777777" w:rsidR="00E058DB" w:rsidRDefault="00E058DB" w:rsidP="00D15FF7">
            <w:pPr>
              <w:jc w:val="center"/>
              <w:rPr>
                <w:color w:val="000000"/>
              </w:rPr>
            </w:pPr>
            <w:r>
              <w:rPr>
                <w:color w:val="000000"/>
              </w:rPr>
              <w:t>35</w:t>
            </w:r>
          </w:p>
        </w:tc>
        <w:tc>
          <w:tcPr>
            <w:tcW w:w="1300" w:type="dxa"/>
            <w:tcBorders>
              <w:top w:val="nil"/>
              <w:left w:val="nil"/>
              <w:bottom w:val="nil"/>
              <w:right w:val="nil"/>
            </w:tcBorders>
            <w:shd w:val="clear" w:color="auto" w:fill="auto"/>
            <w:vAlign w:val="bottom"/>
            <w:hideMark/>
          </w:tcPr>
          <w:p w14:paraId="5F150F1E" w14:textId="77777777" w:rsidR="00E058DB" w:rsidRDefault="00E058DB" w:rsidP="00D15FF7">
            <w:pPr>
              <w:jc w:val="center"/>
              <w:rPr>
                <w:color w:val="000000"/>
              </w:rPr>
            </w:pPr>
            <w:r>
              <w:rPr>
                <w:color w:val="000000"/>
              </w:rPr>
              <w:t>120</w:t>
            </w:r>
          </w:p>
        </w:tc>
        <w:tc>
          <w:tcPr>
            <w:tcW w:w="1300" w:type="dxa"/>
            <w:tcBorders>
              <w:top w:val="nil"/>
              <w:left w:val="nil"/>
              <w:bottom w:val="nil"/>
              <w:right w:val="nil"/>
            </w:tcBorders>
            <w:shd w:val="clear" w:color="auto" w:fill="auto"/>
            <w:vAlign w:val="bottom"/>
            <w:hideMark/>
          </w:tcPr>
          <w:p w14:paraId="45F1DE78" w14:textId="77777777" w:rsidR="00E058DB" w:rsidRDefault="00E058DB" w:rsidP="00D15FF7">
            <w:pPr>
              <w:jc w:val="center"/>
              <w:rPr>
                <w:color w:val="000000"/>
              </w:rPr>
            </w:pPr>
            <w:r>
              <w:rPr>
                <w:color w:val="000000"/>
              </w:rPr>
              <w:t>341</w:t>
            </w:r>
          </w:p>
        </w:tc>
        <w:tc>
          <w:tcPr>
            <w:tcW w:w="260" w:type="dxa"/>
            <w:tcBorders>
              <w:top w:val="nil"/>
              <w:left w:val="nil"/>
              <w:bottom w:val="nil"/>
              <w:right w:val="nil"/>
            </w:tcBorders>
            <w:shd w:val="clear" w:color="auto" w:fill="auto"/>
            <w:noWrap/>
            <w:vAlign w:val="bottom"/>
            <w:hideMark/>
          </w:tcPr>
          <w:p w14:paraId="6AF08300" w14:textId="77777777" w:rsidR="00E058DB" w:rsidRDefault="00E058DB" w:rsidP="00D15FF7">
            <w:pPr>
              <w:jc w:val="center"/>
              <w:rPr>
                <w:color w:val="000000"/>
              </w:rPr>
            </w:pPr>
          </w:p>
        </w:tc>
        <w:tc>
          <w:tcPr>
            <w:tcW w:w="1300" w:type="dxa"/>
            <w:tcBorders>
              <w:top w:val="nil"/>
              <w:left w:val="nil"/>
              <w:bottom w:val="nil"/>
              <w:right w:val="nil"/>
            </w:tcBorders>
            <w:shd w:val="clear" w:color="auto" w:fill="auto"/>
            <w:vAlign w:val="bottom"/>
            <w:hideMark/>
          </w:tcPr>
          <w:p w14:paraId="27DE75F0" w14:textId="77777777" w:rsidR="00E058DB" w:rsidRDefault="00E058DB" w:rsidP="00D15FF7">
            <w:pPr>
              <w:jc w:val="center"/>
              <w:rPr>
                <w:color w:val="000000"/>
              </w:rPr>
            </w:pPr>
            <w:r>
              <w:rPr>
                <w:color w:val="000000"/>
              </w:rPr>
              <w:t>99</w:t>
            </w:r>
          </w:p>
        </w:tc>
        <w:tc>
          <w:tcPr>
            <w:tcW w:w="1300" w:type="dxa"/>
            <w:tcBorders>
              <w:top w:val="nil"/>
              <w:left w:val="nil"/>
              <w:bottom w:val="nil"/>
              <w:right w:val="nil"/>
            </w:tcBorders>
            <w:shd w:val="clear" w:color="auto" w:fill="auto"/>
            <w:vAlign w:val="bottom"/>
            <w:hideMark/>
          </w:tcPr>
          <w:p w14:paraId="1C5F3110" w14:textId="77777777" w:rsidR="00E058DB" w:rsidRDefault="00E058DB" w:rsidP="00D15FF7">
            <w:pPr>
              <w:jc w:val="center"/>
              <w:rPr>
                <w:color w:val="000000"/>
              </w:rPr>
            </w:pPr>
            <w:r>
              <w:rPr>
                <w:color w:val="000000"/>
              </w:rPr>
              <w:t>12</w:t>
            </w:r>
          </w:p>
        </w:tc>
        <w:tc>
          <w:tcPr>
            <w:tcW w:w="1300" w:type="dxa"/>
            <w:tcBorders>
              <w:top w:val="nil"/>
              <w:left w:val="nil"/>
              <w:bottom w:val="nil"/>
              <w:right w:val="nil"/>
            </w:tcBorders>
            <w:shd w:val="clear" w:color="auto" w:fill="auto"/>
            <w:vAlign w:val="bottom"/>
            <w:hideMark/>
          </w:tcPr>
          <w:p w14:paraId="0AE9E11F" w14:textId="77777777" w:rsidR="00E058DB" w:rsidRDefault="00E058DB" w:rsidP="00D15FF7">
            <w:pPr>
              <w:jc w:val="center"/>
              <w:rPr>
                <w:color w:val="000000"/>
              </w:rPr>
            </w:pPr>
            <w:r>
              <w:rPr>
                <w:color w:val="000000"/>
              </w:rPr>
              <w:t>3</w:t>
            </w:r>
          </w:p>
        </w:tc>
      </w:tr>
      <w:tr w:rsidR="00E058DB" w14:paraId="4F7F9A01" w14:textId="77777777" w:rsidTr="00D15FF7">
        <w:trPr>
          <w:trHeight w:val="320"/>
          <w:jc w:val="center"/>
        </w:trPr>
        <w:tc>
          <w:tcPr>
            <w:tcW w:w="1300" w:type="dxa"/>
            <w:tcBorders>
              <w:top w:val="nil"/>
              <w:left w:val="nil"/>
              <w:bottom w:val="single" w:sz="4" w:space="0" w:color="auto"/>
              <w:right w:val="nil"/>
            </w:tcBorders>
            <w:shd w:val="clear" w:color="auto" w:fill="auto"/>
            <w:noWrap/>
            <w:vAlign w:val="bottom"/>
            <w:hideMark/>
          </w:tcPr>
          <w:p w14:paraId="20BA7486" w14:textId="77777777" w:rsidR="00E058DB" w:rsidRDefault="00E058DB" w:rsidP="00D15FF7">
            <w:pPr>
              <w:jc w:val="center"/>
              <w:rPr>
                <w:color w:val="000000"/>
              </w:rPr>
            </w:pPr>
            <w:r>
              <w:rPr>
                <w:color w:val="000000"/>
              </w:rPr>
              <w:t>36</w:t>
            </w:r>
          </w:p>
        </w:tc>
        <w:tc>
          <w:tcPr>
            <w:tcW w:w="1300" w:type="dxa"/>
            <w:tcBorders>
              <w:top w:val="nil"/>
              <w:left w:val="nil"/>
              <w:bottom w:val="single" w:sz="4" w:space="0" w:color="auto"/>
              <w:right w:val="nil"/>
            </w:tcBorders>
            <w:shd w:val="clear" w:color="auto" w:fill="auto"/>
            <w:vAlign w:val="bottom"/>
            <w:hideMark/>
          </w:tcPr>
          <w:p w14:paraId="2C14ED0E" w14:textId="77777777" w:rsidR="00E058DB" w:rsidRDefault="00E058DB" w:rsidP="00D15FF7">
            <w:pPr>
              <w:jc w:val="center"/>
              <w:rPr>
                <w:color w:val="000000"/>
              </w:rPr>
            </w:pPr>
            <w:r>
              <w:rPr>
                <w:color w:val="000000"/>
              </w:rPr>
              <w:t>135</w:t>
            </w:r>
          </w:p>
        </w:tc>
        <w:tc>
          <w:tcPr>
            <w:tcW w:w="1300" w:type="dxa"/>
            <w:tcBorders>
              <w:top w:val="nil"/>
              <w:left w:val="nil"/>
              <w:bottom w:val="single" w:sz="4" w:space="0" w:color="auto"/>
              <w:right w:val="nil"/>
            </w:tcBorders>
            <w:shd w:val="clear" w:color="auto" w:fill="auto"/>
            <w:vAlign w:val="bottom"/>
            <w:hideMark/>
          </w:tcPr>
          <w:p w14:paraId="39D70AA7" w14:textId="77777777" w:rsidR="00E058DB" w:rsidRDefault="00E058DB" w:rsidP="00D15FF7">
            <w:pPr>
              <w:jc w:val="center"/>
              <w:rPr>
                <w:color w:val="000000"/>
              </w:rPr>
            </w:pPr>
            <w:r>
              <w:rPr>
                <w:color w:val="000000"/>
              </w:rPr>
              <w:t>316</w:t>
            </w:r>
          </w:p>
        </w:tc>
        <w:tc>
          <w:tcPr>
            <w:tcW w:w="260" w:type="dxa"/>
            <w:tcBorders>
              <w:top w:val="nil"/>
              <w:left w:val="nil"/>
              <w:bottom w:val="nil"/>
              <w:right w:val="nil"/>
            </w:tcBorders>
            <w:shd w:val="clear" w:color="auto" w:fill="auto"/>
            <w:noWrap/>
            <w:vAlign w:val="bottom"/>
            <w:hideMark/>
          </w:tcPr>
          <w:p w14:paraId="09C076F9" w14:textId="77777777" w:rsidR="00E058DB" w:rsidRDefault="00E058DB" w:rsidP="00D15FF7">
            <w:pPr>
              <w:jc w:val="center"/>
              <w:rPr>
                <w:color w:val="000000"/>
              </w:rPr>
            </w:pPr>
          </w:p>
        </w:tc>
        <w:tc>
          <w:tcPr>
            <w:tcW w:w="1300" w:type="dxa"/>
            <w:tcBorders>
              <w:top w:val="nil"/>
              <w:left w:val="nil"/>
              <w:bottom w:val="single" w:sz="4" w:space="0" w:color="auto"/>
              <w:right w:val="nil"/>
            </w:tcBorders>
            <w:shd w:val="clear" w:color="auto" w:fill="auto"/>
            <w:vAlign w:val="bottom"/>
            <w:hideMark/>
          </w:tcPr>
          <w:p w14:paraId="37A0DAD1" w14:textId="77777777" w:rsidR="00E058DB" w:rsidRDefault="00E058DB" w:rsidP="00D15FF7">
            <w:pPr>
              <w:jc w:val="center"/>
              <w:rPr>
                <w:color w:val="000000"/>
              </w:rPr>
            </w:pPr>
            <w:r>
              <w:rPr>
                <w:color w:val="000000"/>
              </w:rPr>
              <w:t> </w:t>
            </w:r>
          </w:p>
        </w:tc>
        <w:tc>
          <w:tcPr>
            <w:tcW w:w="1300" w:type="dxa"/>
            <w:tcBorders>
              <w:top w:val="nil"/>
              <w:left w:val="nil"/>
              <w:bottom w:val="single" w:sz="4" w:space="0" w:color="auto"/>
              <w:right w:val="nil"/>
            </w:tcBorders>
            <w:shd w:val="clear" w:color="auto" w:fill="auto"/>
            <w:vAlign w:val="bottom"/>
            <w:hideMark/>
          </w:tcPr>
          <w:p w14:paraId="30F74BC9" w14:textId="77777777" w:rsidR="00E058DB" w:rsidRDefault="00E058DB" w:rsidP="00D15FF7">
            <w:pPr>
              <w:jc w:val="center"/>
              <w:rPr>
                <w:color w:val="000000"/>
              </w:rPr>
            </w:pPr>
            <w:r>
              <w:rPr>
                <w:color w:val="000000"/>
              </w:rPr>
              <w:t> </w:t>
            </w:r>
          </w:p>
        </w:tc>
        <w:tc>
          <w:tcPr>
            <w:tcW w:w="1300" w:type="dxa"/>
            <w:tcBorders>
              <w:top w:val="nil"/>
              <w:left w:val="nil"/>
              <w:bottom w:val="single" w:sz="4" w:space="0" w:color="auto"/>
              <w:right w:val="nil"/>
            </w:tcBorders>
            <w:shd w:val="clear" w:color="auto" w:fill="auto"/>
            <w:vAlign w:val="bottom"/>
            <w:hideMark/>
          </w:tcPr>
          <w:p w14:paraId="1A2318EA" w14:textId="77777777" w:rsidR="00E058DB" w:rsidRDefault="00E058DB" w:rsidP="00D15FF7">
            <w:pPr>
              <w:jc w:val="center"/>
              <w:rPr>
                <w:color w:val="000000"/>
              </w:rPr>
            </w:pPr>
            <w:r>
              <w:rPr>
                <w:color w:val="000000"/>
              </w:rPr>
              <w:t> </w:t>
            </w:r>
          </w:p>
        </w:tc>
      </w:tr>
    </w:tbl>
    <w:p w14:paraId="6D43FFC3" w14:textId="77777777" w:rsidR="00E058DB" w:rsidRPr="007C37B0" w:rsidRDefault="00E058DB" w:rsidP="00E058DB">
      <w:pPr>
        <w:widowControl w:val="0"/>
        <w:autoSpaceDE w:val="0"/>
        <w:autoSpaceDN w:val="0"/>
        <w:adjustRightInd w:val="0"/>
        <w:rPr>
          <w:color w:val="000000" w:themeColor="text1"/>
          <w:lang w:val="en-US"/>
        </w:rPr>
      </w:pPr>
    </w:p>
    <w:p w14:paraId="64B7CF27" w14:textId="77777777" w:rsidR="00E058DB" w:rsidRPr="007C37B0" w:rsidRDefault="00E058DB" w:rsidP="00E058DB">
      <w:pPr>
        <w:rPr>
          <w:b/>
          <w:color w:val="000000" w:themeColor="text1"/>
        </w:rPr>
      </w:pPr>
      <w:r w:rsidRPr="007C37B0">
        <w:rPr>
          <w:b/>
          <w:color w:val="000000" w:themeColor="text1"/>
        </w:rPr>
        <w:br w:type="page"/>
      </w:r>
    </w:p>
    <w:p w14:paraId="20144217" w14:textId="77777777" w:rsidR="00E058DB" w:rsidRPr="007C37B0" w:rsidRDefault="00E058DB" w:rsidP="00E058DB">
      <w:pPr>
        <w:pStyle w:val="Heading1"/>
        <w:rPr>
          <w:color w:val="000000" w:themeColor="text1"/>
        </w:rPr>
      </w:pPr>
      <w:r w:rsidRPr="007C37B0">
        <w:rPr>
          <w:color w:val="000000" w:themeColor="text1"/>
        </w:rPr>
        <w:lastRenderedPageBreak/>
        <w:t xml:space="preserve">WEB APPENDIX D: Robustness Checks and </w:t>
      </w:r>
      <w:r>
        <w:rPr>
          <w:color w:val="000000" w:themeColor="text1"/>
        </w:rPr>
        <w:t>ALTERNATIVE MODELING CHOICES</w:t>
      </w:r>
    </w:p>
    <w:p w14:paraId="443832DD" w14:textId="77777777" w:rsidR="00E058DB" w:rsidRPr="007C37B0" w:rsidRDefault="00E058DB" w:rsidP="00E058DB">
      <w:pPr>
        <w:rPr>
          <w:color w:val="000000" w:themeColor="text1"/>
          <w:lang w:val="en-US"/>
        </w:rPr>
      </w:pPr>
    </w:p>
    <w:p w14:paraId="3B041F34" w14:textId="77777777" w:rsidR="00E058DB" w:rsidRPr="007C37B0" w:rsidRDefault="00E058DB" w:rsidP="00E058DB">
      <w:pPr>
        <w:rPr>
          <w:b/>
          <w:iCs/>
          <w:color w:val="000000" w:themeColor="text1"/>
          <w:lang w:val="en-US"/>
        </w:rPr>
      </w:pPr>
      <w:r w:rsidRPr="007C37B0">
        <w:rPr>
          <w:b/>
          <w:iCs/>
          <w:color w:val="000000" w:themeColor="text1"/>
          <w:lang w:val="en-US"/>
        </w:rPr>
        <w:t xml:space="preserve">D1. </w:t>
      </w:r>
      <w:r>
        <w:rPr>
          <w:b/>
          <w:iCs/>
          <w:color w:val="000000" w:themeColor="text1"/>
          <w:lang w:val="en-US"/>
        </w:rPr>
        <w:t>System of Equations Modeling</w:t>
      </w:r>
    </w:p>
    <w:p w14:paraId="282DDC58" w14:textId="77777777" w:rsidR="00E058DB" w:rsidRPr="007C37B0" w:rsidRDefault="00E058DB" w:rsidP="00E058DB">
      <w:pPr>
        <w:pStyle w:val="Body"/>
        <w:spacing w:line="240" w:lineRule="auto"/>
        <w:ind w:firstLine="709"/>
        <w:rPr>
          <w:rFonts w:eastAsia="Times New Roman" w:hAnsi="Times New Roman" w:cs="Times New Roman"/>
          <w:color w:val="000000" w:themeColor="text1"/>
          <w:u w:color="000000"/>
          <w:lang w:val="en-US"/>
        </w:rPr>
      </w:pPr>
      <w:r w:rsidRPr="007C37B0">
        <w:rPr>
          <w:rFonts w:hAnsi="Times New Roman" w:cs="Times New Roman"/>
          <w:color w:val="000000" w:themeColor="text1"/>
          <w:lang w:val="en-US"/>
        </w:rPr>
        <w:t>W</w:t>
      </w:r>
      <w:r w:rsidRPr="007C37B0">
        <w:rPr>
          <w:rFonts w:eastAsia="Times New Roman" w:hAnsi="Times New Roman" w:cs="Times New Roman"/>
          <w:color w:val="000000" w:themeColor="text1"/>
          <w:lang w:val="en-US"/>
        </w:rPr>
        <w:t xml:space="preserve">hile not </w:t>
      </w:r>
      <w:r>
        <w:rPr>
          <w:rFonts w:eastAsia="Times New Roman" w:hAnsi="Times New Roman" w:cs="Times New Roman"/>
          <w:color w:val="000000" w:themeColor="text1"/>
          <w:lang w:val="en-US"/>
        </w:rPr>
        <w:t>part of</w:t>
      </w:r>
      <w:r w:rsidRPr="007C37B0">
        <w:rPr>
          <w:rFonts w:eastAsia="Times New Roman" w:hAnsi="Times New Roman" w:cs="Times New Roman"/>
          <w:color w:val="000000" w:themeColor="text1"/>
          <w:lang w:val="en-US"/>
        </w:rPr>
        <w:t xml:space="preserve"> our conceptual framework, we add Equation D1 below to our system of equations to account for a possible feedback loop in that advertising investments could increase the number of future shareholder complaints the firm receives. For instance, the increased visibility associated with advertising investments could make the firm a more prominent target for future complaints. Likewise, shareholders may be encouraged to spend more time analyzing the firm and thereby become aware of unsatisfying strategies, leading to an increase in future shareholder complaints.</w:t>
      </w:r>
    </w:p>
    <w:p w14:paraId="026AD644" w14:textId="77777777" w:rsidR="00E058DB" w:rsidRPr="007C37B0" w:rsidRDefault="00E058DB" w:rsidP="00E058DB">
      <w:pPr>
        <w:pStyle w:val="Body"/>
        <w:spacing w:line="240" w:lineRule="auto"/>
        <w:ind w:firstLine="709"/>
        <w:rPr>
          <w:rFonts w:eastAsia="Times New Roman" w:hAnsi="Times New Roman" w:cs="Times New Roman"/>
          <w:color w:val="000000" w:themeColor="text1"/>
        </w:rPr>
      </w:pPr>
      <w:r w:rsidRPr="007C37B0">
        <w:rPr>
          <w:rFonts w:hAnsi="Times New Roman" w:cs="Times New Roman"/>
          <w:color w:val="000000" w:themeColor="text1"/>
        </w:rPr>
        <w:t xml:space="preserve">(D1) </w:t>
      </w:r>
      <w:r w:rsidRPr="007C37B0">
        <w:rPr>
          <w:rFonts w:hAnsi="Times New Roman" w:cs="Times New Roman"/>
          <w:color w:val="000000" w:themeColor="text1"/>
        </w:rPr>
        <w:tab/>
        <w:t>SHC</w:t>
      </w:r>
      <w:r w:rsidRPr="007C37B0">
        <w:rPr>
          <w:rFonts w:hAnsi="Times New Roman" w:cs="Times New Roman"/>
          <w:color w:val="000000" w:themeColor="text1"/>
          <w:vertAlign w:val="subscript"/>
        </w:rPr>
        <w:t>i,t</w:t>
      </w:r>
      <w:r w:rsidRPr="007C37B0">
        <w:rPr>
          <w:rFonts w:hAnsi="Times New Roman" w:cs="Times New Roman"/>
          <w:color w:val="000000" w:themeColor="text1"/>
        </w:rPr>
        <w:t xml:space="preserve"> = </w:t>
      </w:r>
      <w:r w:rsidRPr="007C37B0">
        <w:rPr>
          <w:rFonts w:hAnsi="Times New Roman" w:cs="Times New Roman"/>
          <w:color w:val="000000" w:themeColor="text1"/>
          <w:lang w:val="en-US"/>
        </w:rPr>
        <w:sym w:font="Symbol" w:char="F062"/>
      </w:r>
      <w:r w:rsidRPr="007C37B0">
        <w:rPr>
          <w:rFonts w:hAnsi="Times New Roman" w:cs="Times New Roman"/>
          <w:color w:val="000000" w:themeColor="text1"/>
          <w:vertAlign w:val="subscript"/>
        </w:rPr>
        <w:t>0</w:t>
      </w:r>
      <w:r w:rsidRPr="007C37B0">
        <w:rPr>
          <w:rFonts w:hAnsi="Times New Roman" w:cs="Times New Roman"/>
          <w:color w:val="000000" w:themeColor="text1"/>
        </w:rPr>
        <w:t xml:space="preserve"> + </w:t>
      </w:r>
      <w:r w:rsidRPr="007C37B0">
        <w:rPr>
          <w:rFonts w:hAnsi="Times New Roman" w:cs="Times New Roman"/>
          <w:color w:val="000000" w:themeColor="text1"/>
          <w:lang w:val="en-US"/>
        </w:rPr>
        <w:sym w:font="Symbol" w:char="F062"/>
      </w:r>
      <w:r w:rsidRPr="007C37B0">
        <w:rPr>
          <w:rFonts w:hAnsi="Times New Roman" w:cs="Times New Roman"/>
          <w:color w:val="000000" w:themeColor="text1"/>
          <w:vertAlign w:val="subscript"/>
        </w:rPr>
        <w:t>1</w:t>
      </w:r>
      <w:r w:rsidRPr="007C37B0">
        <w:rPr>
          <w:rFonts w:hAnsi="Times New Roman" w:cs="Times New Roman"/>
          <w:color w:val="000000" w:themeColor="text1"/>
        </w:rPr>
        <w:t>UADV</w:t>
      </w:r>
      <w:r w:rsidRPr="007C37B0">
        <w:rPr>
          <w:rFonts w:hAnsi="Times New Roman" w:cs="Times New Roman"/>
          <w:color w:val="000000" w:themeColor="text1"/>
          <w:vertAlign w:val="subscript"/>
        </w:rPr>
        <w:t>i,t-1</w:t>
      </w:r>
      <w:r w:rsidRPr="007C37B0">
        <w:rPr>
          <w:rFonts w:hAnsi="Times New Roman" w:cs="Times New Roman"/>
          <w:color w:val="000000" w:themeColor="text1"/>
        </w:rPr>
        <w:t xml:space="preserve"> + </w:t>
      </w:r>
      <w:r w:rsidRPr="007C37B0">
        <w:rPr>
          <w:rFonts w:ascii="Symbol" w:hAnsi="Symbol"/>
          <w:color w:val="000000" w:themeColor="text1"/>
          <w:lang w:val="en-US"/>
        </w:rPr>
        <w:t></w:t>
      </w:r>
      <w:r w:rsidRPr="007C37B0">
        <w:rPr>
          <w:color w:val="000000" w:themeColor="text1"/>
        </w:rPr>
        <w:t>K</w:t>
      </w:r>
      <w:r w:rsidRPr="007C37B0">
        <w:rPr>
          <w:color w:val="000000" w:themeColor="text1"/>
          <w:vertAlign w:val="subscript"/>
        </w:rPr>
        <w:t>i,t</w:t>
      </w:r>
      <w:r w:rsidRPr="007C37B0">
        <w:rPr>
          <w:color w:val="000000" w:themeColor="text1"/>
        </w:rPr>
        <w:t xml:space="preserve"> + </w:t>
      </w:r>
      <w:r w:rsidRPr="007C37B0">
        <w:rPr>
          <w:rFonts w:ascii="Symbol" w:hAnsi="Symbol"/>
          <w:color w:val="000000" w:themeColor="text1"/>
          <w:lang w:val="en-US"/>
        </w:rPr>
        <w:t></w:t>
      </w:r>
      <w:r w:rsidRPr="007C37B0">
        <w:rPr>
          <w:rFonts w:hAnsi="Times New Roman" w:cs="Times New Roman"/>
          <w:color w:val="000000" w:themeColor="text1"/>
          <w:vertAlign w:val="subscript"/>
        </w:rPr>
        <w:t>1t</w:t>
      </w:r>
      <w:r w:rsidRPr="007C37B0">
        <w:rPr>
          <w:color w:val="000000" w:themeColor="text1"/>
        </w:rPr>
        <w:t>YR</w:t>
      </w:r>
      <w:r w:rsidRPr="007C37B0">
        <w:rPr>
          <w:color w:val="000000" w:themeColor="text1"/>
          <w:vertAlign w:val="subscript"/>
        </w:rPr>
        <w:t>t</w:t>
      </w:r>
      <w:r w:rsidRPr="007C37B0">
        <w:rPr>
          <w:color w:val="000000" w:themeColor="text1"/>
        </w:rPr>
        <w:t xml:space="preserve"> + </w:t>
      </w:r>
      <w:r w:rsidRPr="007C37B0">
        <w:rPr>
          <w:rFonts w:hAnsi="Times New Roman" w:cs="Times New Roman"/>
          <w:color w:val="000000" w:themeColor="text1"/>
          <w:lang w:val="en-US"/>
        </w:rPr>
        <w:t>α</w:t>
      </w:r>
      <w:r w:rsidRPr="007C37B0">
        <w:rPr>
          <w:rFonts w:hAnsi="Times New Roman" w:cs="Times New Roman"/>
          <w:color w:val="000000" w:themeColor="text1"/>
          <w:vertAlign w:val="subscript"/>
        </w:rPr>
        <w:t>i</w:t>
      </w:r>
      <w:r w:rsidRPr="007C37B0">
        <w:rPr>
          <w:color w:val="000000" w:themeColor="text1"/>
        </w:rPr>
        <w:t xml:space="preserve"> + </w:t>
      </w:r>
      <w:r w:rsidRPr="007C37B0">
        <w:rPr>
          <w:rFonts w:ascii="Symbol" w:hAnsi="Symbol"/>
          <w:color w:val="000000" w:themeColor="text1"/>
          <w:lang w:val="en-US"/>
        </w:rPr>
        <w:t></w:t>
      </w:r>
      <w:r w:rsidRPr="007C37B0">
        <w:rPr>
          <w:color w:val="000000" w:themeColor="text1"/>
          <w:vertAlign w:val="subscript"/>
        </w:rPr>
        <w:t>i</w:t>
      </w:r>
      <w:r w:rsidRPr="007C37B0">
        <w:rPr>
          <w:rFonts w:hAnsi="Times New Roman" w:cs="Times New Roman"/>
          <w:color w:val="000000" w:themeColor="text1"/>
        </w:rPr>
        <w:t>,</w:t>
      </w:r>
    </w:p>
    <w:p w14:paraId="57AAAE51" w14:textId="77777777" w:rsidR="00E058DB" w:rsidRPr="007C37B0" w:rsidRDefault="00E058DB" w:rsidP="00E058DB">
      <w:pPr>
        <w:pStyle w:val="Default"/>
        <w:ind w:firstLine="709"/>
        <w:rPr>
          <w:rFonts w:ascii="Times New Roman" w:hAnsi="Times New Roman" w:cs="Times New Roman"/>
          <w:color w:val="000000" w:themeColor="text1"/>
          <w:sz w:val="24"/>
          <w:szCs w:val="24"/>
        </w:rPr>
      </w:pPr>
      <w:r w:rsidRPr="007C37B0">
        <w:rPr>
          <w:rFonts w:ascii="Times New Roman" w:eastAsia="Times New Roman" w:hAnsi="Times New Roman" w:cs="Times New Roman"/>
          <w:color w:val="000000" w:themeColor="text1"/>
          <w:sz w:val="24"/>
          <w:szCs w:val="24"/>
          <w:u w:color="000000"/>
        </w:rPr>
        <w:t>Following Baue</w:t>
      </w:r>
      <w:r>
        <w:rPr>
          <w:rFonts w:ascii="Times New Roman" w:eastAsia="Times New Roman" w:hAnsi="Times New Roman" w:cs="Times New Roman"/>
          <w:color w:val="000000" w:themeColor="text1"/>
          <w:sz w:val="24"/>
          <w:szCs w:val="24"/>
          <w:u w:color="000000"/>
        </w:rPr>
        <w:t xml:space="preserve">r, Moers, and </w:t>
      </w:r>
      <w:proofErr w:type="spellStart"/>
      <w:r>
        <w:rPr>
          <w:rFonts w:ascii="Times New Roman" w:eastAsia="Times New Roman" w:hAnsi="Times New Roman" w:cs="Times New Roman"/>
          <w:color w:val="000000" w:themeColor="text1"/>
          <w:sz w:val="24"/>
          <w:szCs w:val="24"/>
          <w:u w:color="000000"/>
        </w:rPr>
        <w:t>Viehs</w:t>
      </w:r>
      <w:proofErr w:type="spellEnd"/>
      <w:r w:rsidRPr="007C37B0">
        <w:rPr>
          <w:rFonts w:ascii="Times New Roman" w:eastAsia="Times New Roman" w:hAnsi="Times New Roman" w:cs="Times New Roman"/>
          <w:color w:val="000000" w:themeColor="text1"/>
          <w:sz w:val="24"/>
          <w:szCs w:val="24"/>
          <w:u w:color="000000"/>
        </w:rPr>
        <w:t xml:space="preserve"> (2015), the vector of control variables </w:t>
      </w:r>
      <w:proofErr w:type="spellStart"/>
      <w:r w:rsidRPr="007C37B0">
        <w:rPr>
          <w:rFonts w:ascii="Times New Roman" w:eastAsia="Times New Roman" w:hAnsi="Times New Roman" w:cs="Times New Roman"/>
          <w:color w:val="000000" w:themeColor="text1"/>
          <w:sz w:val="24"/>
          <w:szCs w:val="24"/>
          <w:u w:color="000000"/>
        </w:rPr>
        <w:t>K</w:t>
      </w:r>
      <w:r w:rsidRPr="007C37B0">
        <w:rPr>
          <w:rFonts w:ascii="Times New Roman" w:eastAsia="Times New Roman" w:hAnsi="Times New Roman" w:cs="Times New Roman"/>
          <w:color w:val="000000" w:themeColor="text1"/>
          <w:sz w:val="24"/>
          <w:szCs w:val="24"/>
          <w:u w:color="000000"/>
          <w:vertAlign w:val="subscript"/>
        </w:rPr>
        <w:t>i,t</w:t>
      </w:r>
      <w:proofErr w:type="spellEnd"/>
      <w:r w:rsidRPr="007C37B0">
        <w:rPr>
          <w:rFonts w:ascii="Times New Roman" w:eastAsia="Times New Roman" w:hAnsi="Times New Roman" w:cs="Times New Roman"/>
          <w:color w:val="000000" w:themeColor="text1"/>
          <w:sz w:val="24"/>
          <w:szCs w:val="24"/>
          <w:u w:color="000000"/>
        </w:rPr>
        <w:t xml:space="preserve"> include</w:t>
      </w:r>
      <w:r>
        <w:rPr>
          <w:rFonts w:ascii="Times New Roman" w:eastAsia="Times New Roman" w:hAnsi="Times New Roman" w:cs="Times New Roman"/>
          <w:color w:val="000000" w:themeColor="text1"/>
          <w:sz w:val="24"/>
          <w:szCs w:val="24"/>
          <w:u w:color="000000"/>
        </w:rPr>
        <w:t>s</w:t>
      </w:r>
      <w:r w:rsidRPr="007C37B0">
        <w:rPr>
          <w:rFonts w:ascii="Times New Roman" w:eastAsia="Times New Roman" w:hAnsi="Times New Roman" w:cs="Times New Roman"/>
          <w:color w:val="000000" w:themeColor="text1"/>
          <w:sz w:val="24"/>
          <w:szCs w:val="24"/>
          <w:u w:color="000000"/>
        </w:rPr>
        <w:t xml:space="preserve"> firm size (total assets, retrieved from </w:t>
      </w:r>
      <w:proofErr w:type="spellStart"/>
      <w:r w:rsidRPr="007C37B0">
        <w:rPr>
          <w:rFonts w:ascii="Times New Roman" w:eastAsia="Times New Roman" w:hAnsi="Times New Roman" w:cs="Times New Roman"/>
          <w:color w:val="000000" w:themeColor="text1"/>
          <w:sz w:val="24"/>
          <w:szCs w:val="24"/>
          <w:u w:color="000000"/>
        </w:rPr>
        <w:t>Compustat</w:t>
      </w:r>
      <w:proofErr w:type="spellEnd"/>
      <w:r w:rsidRPr="007C37B0">
        <w:rPr>
          <w:rFonts w:ascii="Times New Roman" w:eastAsia="Times New Roman" w:hAnsi="Times New Roman" w:cs="Times New Roman"/>
          <w:color w:val="000000" w:themeColor="text1"/>
          <w:sz w:val="24"/>
          <w:szCs w:val="24"/>
          <w:u w:color="000000"/>
        </w:rPr>
        <w:t xml:space="preserve">) and firm performance variables (market-to-book ratio, dividend yield, profitability, all retrieved from </w:t>
      </w:r>
      <w:proofErr w:type="spellStart"/>
      <w:r w:rsidRPr="007C37B0">
        <w:rPr>
          <w:rFonts w:ascii="Times New Roman" w:eastAsia="Times New Roman" w:hAnsi="Times New Roman" w:cs="Times New Roman"/>
          <w:color w:val="000000" w:themeColor="text1"/>
          <w:sz w:val="24"/>
          <w:szCs w:val="24"/>
          <w:u w:color="000000"/>
        </w:rPr>
        <w:t>Compustat</w:t>
      </w:r>
      <w:proofErr w:type="spellEnd"/>
      <w:r w:rsidRPr="007C37B0">
        <w:rPr>
          <w:rFonts w:ascii="Times New Roman" w:eastAsia="Times New Roman" w:hAnsi="Times New Roman" w:cs="Times New Roman"/>
          <w:color w:val="000000" w:themeColor="text1"/>
          <w:sz w:val="24"/>
          <w:szCs w:val="24"/>
          <w:u w:color="000000"/>
        </w:rPr>
        <w:t xml:space="preserve">), </w:t>
      </w:r>
      <w:r>
        <w:rPr>
          <w:rFonts w:ascii="Times New Roman" w:eastAsia="Times New Roman" w:hAnsi="Times New Roman" w:cs="Times New Roman"/>
          <w:color w:val="000000" w:themeColor="text1"/>
          <w:sz w:val="24"/>
          <w:szCs w:val="24"/>
          <w:u w:color="000000"/>
        </w:rPr>
        <w:t xml:space="preserve">a </w:t>
      </w:r>
      <w:r w:rsidRPr="007C37B0">
        <w:rPr>
          <w:rFonts w:ascii="Times New Roman" w:eastAsia="Times New Roman" w:hAnsi="Times New Roman" w:cs="Times New Roman"/>
          <w:color w:val="000000" w:themeColor="text1"/>
          <w:sz w:val="24"/>
          <w:szCs w:val="24"/>
          <w:u w:color="000000"/>
        </w:rPr>
        <w:t xml:space="preserve">firm governance variable (G-index score, retrieved from </w:t>
      </w:r>
      <w:r>
        <w:rPr>
          <w:rFonts w:ascii="Times New Roman" w:eastAsia="Times New Roman" w:hAnsi="Times New Roman" w:cs="Times New Roman"/>
          <w:color w:val="000000" w:themeColor="text1"/>
          <w:sz w:val="24"/>
          <w:szCs w:val="24"/>
          <w:u w:color="000000"/>
        </w:rPr>
        <w:t xml:space="preserve">Andrew </w:t>
      </w:r>
      <w:proofErr w:type="spellStart"/>
      <w:r>
        <w:rPr>
          <w:rFonts w:ascii="Times New Roman" w:eastAsia="Times New Roman" w:hAnsi="Times New Roman" w:cs="Times New Roman"/>
          <w:color w:val="000000" w:themeColor="text1"/>
          <w:sz w:val="24"/>
          <w:szCs w:val="24"/>
          <w:u w:color="000000"/>
        </w:rPr>
        <w:t>Metrick’s</w:t>
      </w:r>
      <w:proofErr w:type="spellEnd"/>
      <w:r>
        <w:rPr>
          <w:rFonts w:ascii="Times New Roman" w:eastAsia="Times New Roman" w:hAnsi="Times New Roman" w:cs="Times New Roman"/>
          <w:color w:val="000000" w:themeColor="text1"/>
          <w:sz w:val="24"/>
          <w:szCs w:val="24"/>
          <w:u w:color="000000"/>
        </w:rPr>
        <w:t xml:space="preserve"> website</w:t>
      </w:r>
      <w:r w:rsidRPr="007C37B0">
        <w:rPr>
          <w:rFonts w:ascii="Times New Roman" w:eastAsia="Times New Roman" w:hAnsi="Times New Roman" w:cs="Times New Roman"/>
          <w:color w:val="000000" w:themeColor="text1"/>
          <w:sz w:val="24"/>
          <w:szCs w:val="24"/>
          <w:u w:color="000000"/>
        </w:rPr>
        <w:t xml:space="preserve">), and an industry control (industry concentration, as measured by the Herfindahl-Hirschman Index (HHI) and retrieved from </w:t>
      </w:r>
      <w:proofErr w:type="spellStart"/>
      <w:r w:rsidRPr="007C37B0">
        <w:rPr>
          <w:rFonts w:ascii="Times New Roman" w:eastAsia="Times New Roman" w:hAnsi="Times New Roman" w:cs="Times New Roman"/>
          <w:color w:val="000000" w:themeColor="text1"/>
          <w:sz w:val="24"/>
          <w:szCs w:val="24"/>
          <w:u w:color="000000"/>
        </w:rPr>
        <w:t>Compustat</w:t>
      </w:r>
      <w:proofErr w:type="spellEnd"/>
      <w:r w:rsidRPr="007C37B0">
        <w:rPr>
          <w:rFonts w:ascii="Times New Roman" w:eastAsia="Times New Roman" w:hAnsi="Times New Roman" w:cs="Times New Roman"/>
          <w:color w:val="000000" w:themeColor="text1"/>
          <w:sz w:val="24"/>
          <w:szCs w:val="24"/>
          <w:u w:color="000000"/>
        </w:rPr>
        <w:t>). We do not find that advertising investments influence future shareholder complaints (</w:t>
      </w:r>
      <w:r w:rsidRPr="007C37B0">
        <w:rPr>
          <w:rFonts w:ascii="Times New Roman" w:hAnsi="Times New Roman" w:cs="Times New Roman"/>
          <w:color w:val="000000" w:themeColor="text1"/>
          <w:sz w:val="24"/>
          <w:szCs w:val="24"/>
        </w:rPr>
        <w:sym w:font="Symbol" w:char="F062"/>
      </w:r>
      <w:r>
        <w:rPr>
          <w:rFonts w:ascii="Times New Roman" w:hAnsi="Times New Roman" w:cs="Times New Roman"/>
          <w:color w:val="000000" w:themeColor="text1"/>
          <w:sz w:val="24"/>
          <w:szCs w:val="24"/>
        </w:rPr>
        <w:t xml:space="preserve"> </w:t>
      </w:r>
      <w:r w:rsidRPr="007C37B0">
        <w:rPr>
          <w:rFonts w:ascii="Times New Roman" w:eastAsia="Times New Roman" w:hAnsi="Times New Roman" w:cs="Times New Roman"/>
          <w:color w:val="000000" w:themeColor="text1"/>
          <w:sz w:val="24"/>
          <w:szCs w:val="24"/>
          <w:u w:color="000000"/>
        </w:rPr>
        <w:t>=</w:t>
      </w:r>
      <w:r>
        <w:rPr>
          <w:rFonts w:ascii="Times New Roman" w:eastAsia="Times New Roman" w:hAnsi="Times New Roman" w:cs="Times New Roman"/>
          <w:color w:val="000000" w:themeColor="text1"/>
          <w:sz w:val="24"/>
          <w:szCs w:val="24"/>
          <w:u w:color="000000"/>
        </w:rPr>
        <w:t xml:space="preserve"> </w:t>
      </w:r>
      <w:r w:rsidRPr="007C37B0">
        <w:rPr>
          <w:rFonts w:ascii="Times New Roman" w:eastAsia="Times New Roman" w:hAnsi="Times New Roman" w:cs="Times New Roman"/>
          <w:color w:val="000000" w:themeColor="text1"/>
          <w:sz w:val="24"/>
          <w:szCs w:val="24"/>
          <w:u w:color="000000"/>
        </w:rPr>
        <w:t>-</w:t>
      </w:r>
      <w:r>
        <w:rPr>
          <w:rFonts w:ascii="Times New Roman" w:eastAsia="Times New Roman" w:hAnsi="Times New Roman" w:cs="Times New Roman"/>
          <w:color w:val="000000" w:themeColor="text1"/>
          <w:sz w:val="24"/>
          <w:szCs w:val="24"/>
          <w:u w:color="000000"/>
        </w:rPr>
        <w:t>.</w:t>
      </w:r>
      <w:r w:rsidRPr="007C37B0">
        <w:rPr>
          <w:rFonts w:ascii="Times New Roman" w:eastAsia="Times New Roman" w:hAnsi="Times New Roman" w:cs="Times New Roman"/>
          <w:color w:val="000000" w:themeColor="text1"/>
          <w:sz w:val="24"/>
          <w:szCs w:val="24"/>
          <w:u w:color="000000"/>
        </w:rPr>
        <w:t xml:space="preserve">001, </w:t>
      </w:r>
      <w:proofErr w:type="spellStart"/>
      <w:r w:rsidRPr="007C37B0">
        <w:rPr>
          <w:rFonts w:ascii="Times New Roman" w:eastAsia="Times New Roman" w:hAnsi="Times New Roman" w:cs="Times New Roman"/>
          <w:color w:val="000000" w:themeColor="text1"/>
          <w:sz w:val="24"/>
          <w:szCs w:val="24"/>
          <w:u w:color="000000"/>
        </w:rPr>
        <w:t>n.s</w:t>
      </w:r>
      <w:proofErr w:type="spellEnd"/>
      <w:r w:rsidRPr="007C37B0">
        <w:rPr>
          <w:rFonts w:ascii="Times New Roman" w:eastAsia="Times New Roman" w:hAnsi="Times New Roman" w:cs="Times New Roman"/>
          <w:color w:val="000000" w:themeColor="text1"/>
          <w:sz w:val="24"/>
          <w:szCs w:val="24"/>
          <w:u w:color="000000"/>
        </w:rPr>
        <w:t>). Next, we estimate this model simultaneously with Equations 2 and 3. We lose more than two thirds of the total observations in this estimation</w:t>
      </w:r>
      <w:r>
        <w:rPr>
          <w:rFonts w:ascii="Times New Roman" w:eastAsia="Times New Roman" w:hAnsi="Times New Roman" w:cs="Times New Roman"/>
          <w:color w:val="000000" w:themeColor="text1"/>
          <w:sz w:val="24"/>
          <w:szCs w:val="24"/>
          <w:u w:color="000000"/>
        </w:rPr>
        <w:t xml:space="preserve"> but replicate that shareholder complaints drive advertising investments. Results for the salience moderators and the effectiveness of an advertising investment response point into the same direction as reported in Tables 2 and 3 but are statistically weaker. We also</w:t>
      </w:r>
      <w:r w:rsidRPr="007C37B0">
        <w:rPr>
          <w:rFonts w:ascii="Times New Roman" w:eastAsia="Times New Roman" w:hAnsi="Times New Roman" w:cs="Times New Roman"/>
          <w:color w:val="000000" w:themeColor="text1"/>
          <w:sz w:val="24"/>
          <w:szCs w:val="24"/>
          <w:u w:color="000000"/>
        </w:rPr>
        <w:t xml:space="preserve"> account for the reverse causality concern between shareholder complaints and advertising investments using the residual approach that Roberts and Dowling (2002) recommend. We estimate Equation D1 and use the estimated residuals as our measure of shareholder complaints in estimating Equations 2 and 3. </w:t>
      </w:r>
      <w:r>
        <w:rPr>
          <w:rFonts w:ascii="Times New Roman" w:eastAsia="Times New Roman" w:hAnsi="Times New Roman" w:cs="Times New Roman"/>
          <w:color w:val="000000" w:themeColor="text1"/>
          <w:sz w:val="24"/>
          <w:szCs w:val="24"/>
          <w:u w:color="000000"/>
        </w:rPr>
        <w:t>Again, using only a third of the observations, w</w:t>
      </w:r>
      <w:r w:rsidRPr="007C37B0">
        <w:rPr>
          <w:rFonts w:ascii="Times New Roman" w:eastAsia="Times New Roman" w:hAnsi="Times New Roman" w:cs="Times New Roman"/>
          <w:color w:val="000000" w:themeColor="text1"/>
          <w:sz w:val="24"/>
          <w:szCs w:val="24"/>
          <w:u w:color="000000"/>
        </w:rPr>
        <w:t xml:space="preserve">e replicate results for the </w:t>
      </w:r>
      <w:r>
        <w:rPr>
          <w:rFonts w:ascii="Times New Roman" w:eastAsia="Times New Roman" w:hAnsi="Times New Roman" w:cs="Times New Roman"/>
          <w:color w:val="000000" w:themeColor="text1"/>
          <w:sz w:val="24"/>
          <w:szCs w:val="24"/>
          <w:u w:color="000000"/>
        </w:rPr>
        <w:t>advertising investment response but results for the salience moderators and effectiveness of an advertising investment response are statistically weaker than reported in Tables 2 and 3.</w:t>
      </w:r>
    </w:p>
    <w:p w14:paraId="49EE3B6F" w14:textId="77777777" w:rsidR="00E058DB" w:rsidRPr="007C37B0" w:rsidRDefault="00E058DB" w:rsidP="00E058DB">
      <w:pPr>
        <w:pStyle w:val="Default"/>
        <w:rPr>
          <w:rFonts w:ascii="Times New Roman" w:eastAsia="Times New Roman" w:hAnsi="Times New Roman" w:cs="Times New Roman"/>
          <w:b/>
          <w:i/>
          <w:color w:val="000000" w:themeColor="text1"/>
          <w:sz w:val="24"/>
          <w:szCs w:val="24"/>
          <w:u w:color="000000"/>
        </w:rPr>
      </w:pPr>
    </w:p>
    <w:p w14:paraId="536AF248" w14:textId="77777777" w:rsidR="00E058DB" w:rsidRPr="007C37B0" w:rsidRDefault="00E058DB" w:rsidP="00E058DB">
      <w:pPr>
        <w:pStyle w:val="Default"/>
        <w:rPr>
          <w:iCs/>
          <w:color w:val="000000" w:themeColor="text1"/>
        </w:rPr>
      </w:pPr>
      <w:r w:rsidRPr="007C37B0">
        <w:rPr>
          <w:rFonts w:ascii="Times New Roman" w:eastAsia="Times New Roman" w:hAnsi="Times New Roman" w:cs="Times New Roman"/>
          <w:b/>
          <w:color w:val="000000" w:themeColor="text1"/>
          <w:sz w:val="24"/>
          <w:szCs w:val="24"/>
          <w:u w:color="000000"/>
        </w:rPr>
        <w:t>D2. Advertising Investment Robustness Checks</w:t>
      </w:r>
    </w:p>
    <w:p w14:paraId="48DD8FA5" w14:textId="77777777" w:rsidR="00E058DB" w:rsidRPr="007C37B0" w:rsidRDefault="00E058DB" w:rsidP="00E058DB">
      <w:pPr>
        <w:pStyle w:val="Default"/>
        <w:ind w:firstLine="709"/>
        <w:rPr>
          <w:rFonts w:ascii="Times New Roman" w:eastAsia="Times New Roman" w:hAnsi="Times New Roman" w:cs="Times New Roman"/>
          <w:i/>
          <w:color w:val="000000" w:themeColor="text1"/>
          <w:sz w:val="24"/>
          <w:szCs w:val="24"/>
          <w:u w:color="000000"/>
        </w:rPr>
      </w:pPr>
    </w:p>
    <w:p w14:paraId="76DC7E76" w14:textId="77777777" w:rsidR="00E058DB" w:rsidRPr="007C37B0" w:rsidRDefault="00E058DB" w:rsidP="00E058DB">
      <w:pPr>
        <w:pStyle w:val="Default"/>
        <w:ind w:firstLine="709"/>
        <w:rPr>
          <w:rFonts w:ascii="Times New Roman" w:hAnsi="Times New Roman" w:cs="Times New Roman"/>
          <w:color w:val="000000" w:themeColor="text1"/>
          <w:sz w:val="24"/>
          <w:szCs w:val="24"/>
        </w:rPr>
      </w:pPr>
      <w:r w:rsidRPr="007C37B0">
        <w:rPr>
          <w:rFonts w:ascii="Times New Roman" w:eastAsia="Times New Roman" w:hAnsi="Times New Roman" w:cs="Times New Roman"/>
          <w:i/>
          <w:color w:val="000000" w:themeColor="text1"/>
          <w:sz w:val="24"/>
          <w:szCs w:val="24"/>
          <w:u w:color="000000"/>
        </w:rPr>
        <w:t xml:space="preserve">Accounting for industry effects in estimating unexpected advertising investments. </w:t>
      </w:r>
      <w:r>
        <w:rPr>
          <w:rFonts w:ascii="Times New Roman" w:hAnsi="Times New Roman" w:cs="Times New Roman"/>
          <w:color w:val="000000" w:themeColor="text1"/>
          <w:sz w:val="24"/>
          <w:szCs w:val="24"/>
        </w:rPr>
        <w:t>F</w:t>
      </w:r>
      <w:r w:rsidRPr="007C37B0">
        <w:rPr>
          <w:rFonts w:ascii="Times New Roman" w:hAnsi="Times New Roman" w:cs="Times New Roman"/>
          <w:color w:val="000000" w:themeColor="text1"/>
          <w:sz w:val="24"/>
          <w:szCs w:val="24"/>
        </w:rPr>
        <w:t xml:space="preserve">ollowing Kurt and Hulland (2013), we calculate unexpected advertising investments as deviations from industry forecasts using a cross-sectional model. To do so, we first estimate Equation D2 </w:t>
      </w:r>
      <w:r w:rsidRPr="007C37B0">
        <w:rPr>
          <w:rFonts w:ascii="Times New Roman" w:eastAsia="Times New Roman" w:hAnsi="Times New Roman" w:cs="Times New Roman"/>
          <w:color w:val="000000" w:themeColor="text1"/>
          <w:sz w:val="24"/>
          <w:szCs w:val="24"/>
        </w:rPr>
        <w:t>for each year and every two-digit SIC industry that comprises at least ten firms:</w:t>
      </w:r>
    </w:p>
    <w:p w14:paraId="03EC66B0" w14:textId="77777777" w:rsidR="00E058DB" w:rsidRPr="007C37B0" w:rsidRDefault="00E058DB" w:rsidP="00E058DB">
      <w:pPr>
        <w:ind w:firstLine="709"/>
        <w:rPr>
          <w:color w:val="000000" w:themeColor="text1"/>
        </w:rPr>
      </w:pPr>
      <w:r w:rsidRPr="007C37B0">
        <w:rPr>
          <w:color w:val="000000" w:themeColor="text1"/>
        </w:rPr>
        <w:t>(D2)</w:t>
      </w:r>
      <w:r w:rsidRPr="007C37B0">
        <w:rPr>
          <w:color w:val="000000" w:themeColor="text1"/>
        </w:rPr>
        <w:tab/>
        <w:t>ADV</w:t>
      </w:r>
      <w:r w:rsidRPr="007C37B0">
        <w:rPr>
          <w:color w:val="000000" w:themeColor="text1"/>
          <w:vertAlign w:val="subscript"/>
        </w:rPr>
        <w:t>i,t</w:t>
      </w:r>
      <w:r w:rsidRPr="007C37B0">
        <w:rPr>
          <w:color w:val="000000" w:themeColor="text1"/>
        </w:rPr>
        <w:t xml:space="preserve"> = β</w:t>
      </w:r>
      <w:r w:rsidRPr="007C37B0">
        <w:rPr>
          <w:color w:val="000000" w:themeColor="text1"/>
          <w:vertAlign w:val="subscript"/>
        </w:rPr>
        <w:t>0</w:t>
      </w:r>
      <w:r w:rsidRPr="007C37B0">
        <w:rPr>
          <w:color w:val="000000" w:themeColor="text1"/>
        </w:rPr>
        <w:t xml:space="preserve"> + β</w:t>
      </w:r>
      <w:r w:rsidRPr="007C37B0">
        <w:rPr>
          <w:color w:val="000000" w:themeColor="text1"/>
          <w:vertAlign w:val="subscript"/>
        </w:rPr>
        <w:t>1</w:t>
      </w:r>
      <w:r w:rsidRPr="007C37B0">
        <w:rPr>
          <w:color w:val="000000" w:themeColor="text1"/>
        </w:rPr>
        <w:t>(1/</w:t>
      </w:r>
      <w:r>
        <w:rPr>
          <w:color w:val="000000" w:themeColor="text1"/>
        </w:rPr>
        <w:t>TA</w:t>
      </w:r>
      <w:r w:rsidRPr="007C37B0">
        <w:rPr>
          <w:color w:val="000000" w:themeColor="text1"/>
          <w:vertAlign w:val="subscript"/>
        </w:rPr>
        <w:t>i,t-1</w:t>
      </w:r>
      <w:r w:rsidRPr="007C37B0">
        <w:rPr>
          <w:color w:val="000000" w:themeColor="text1"/>
        </w:rPr>
        <w:t>) + β</w:t>
      </w:r>
      <w:r w:rsidRPr="007C37B0">
        <w:rPr>
          <w:color w:val="000000" w:themeColor="text1"/>
          <w:vertAlign w:val="subscript"/>
        </w:rPr>
        <w:t>2</w:t>
      </w:r>
      <w:r w:rsidRPr="007C37B0">
        <w:rPr>
          <w:color w:val="000000" w:themeColor="text1"/>
        </w:rPr>
        <w:t>(SALE</w:t>
      </w:r>
      <w:r w:rsidRPr="007C37B0">
        <w:rPr>
          <w:color w:val="000000" w:themeColor="text1"/>
          <w:vertAlign w:val="subscript"/>
        </w:rPr>
        <w:t>i,t-1</w:t>
      </w:r>
      <w:r w:rsidRPr="007C37B0">
        <w:rPr>
          <w:color w:val="000000" w:themeColor="text1"/>
        </w:rPr>
        <w:t>/T</w:t>
      </w:r>
      <w:r>
        <w:rPr>
          <w:color w:val="000000" w:themeColor="text1"/>
        </w:rPr>
        <w:t>A</w:t>
      </w:r>
      <w:r w:rsidRPr="007C37B0">
        <w:rPr>
          <w:color w:val="000000" w:themeColor="text1"/>
          <w:vertAlign w:val="subscript"/>
        </w:rPr>
        <w:t>i,t-1</w:t>
      </w:r>
      <w:r w:rsidRPr="007C37B0">
        <w:rPr>
          <w:color w:val="000000" w:themeColor="text1"/>
        </w:rPr>
        <w:t>) + ε</w:t>
      </w:r>
      <w:r w:rsidRPr="007C37B0">
        <w:rPr>
          <w:color w:val="000000" w:themeColor="text1"/>
          <w:vertAlign w:val="subscript"/>
        </w:rPr>
        <w:t>i,t</w:t>
      </w:r>
      <w:r w:rsidRPr="007C37B0">
        <w:rPr>
          <w:color w:val="000000" w:themeColor="text1"/>
        </w:rPr>
        <w:t xml:space="preserve">, </w:t>
      </w:r>
      <w:r w:rsidRPr="007C37B0">
        <w:rPr>
          <w:color w:val="000000" w:themeColor="text1"/>
        </w:rPr>
        <w:tab/>
      </w:r>
    </w:p>
    <w:p w14:paraId="1F2C1E1E" w14:textId="77777777" w:rsidR="00E058DB" w:rsidRPr="007C37B0" w:rsidRDefault="00E058DB" w:rsidP="00E058DB">
      <w:pPr>
        <w:ind w:firstLine="720"/>
        <w:rPr>
          <w:color w:val="000000" w:themeColor="text1"/>
          <w:lang w:val="en-US"/>
        </w:rPr>
      </w:pPr>
      <w:r w:rsidRPr="007C37B0">
        <w:rPr>
          <w:color w:val="000000" w:themeColor="text1"/>
          <w:lang w:val="en-US"/>
        </w:rPr>
        <w:t xml:space="preserve">where ADV is </w:t>
      </w:r>
      <w:r>
        <w:rPr>
          <w:color w:val="000000" w:themeColor="text1"/>
          <w:lang w:val="en-US"/>
        </w:rPr>
        <w:t xml:space="preserve">unscaled </w:t>
      </w:r>
      <w:r w:rsidRPr="007C37B0">
        <w:rPr>
          <w:color w:val="000000" w:themeColor="text1"/>
          <w:lang w:val="en-US"/>
        </w:rPr>
        <w:t>advertising investment</w:t>
      </w:r>
      <w:r>
        <w:rPr>
          <w:color w:val="000000" w:themeColor="text1"/>
          <w:lang w:val="en-US"/>
        </w:rPr>
        <w:t>s</w:t>
      </w:r>
      <w:r w:rsidRPr="007C37B0">
        <w:rPr>
          <w:color w:val="000000" w:themeColor="text1"/>
          <w:lang w:val="en-US"/>
        </w:rPr>
        <w:t xml:space="preserve">, </w:t>
      </w:r>
      <w:r>
        <w:rPr>
          <w:color w:val="000000" w:themeColor="text1"/>
          <w:lang w:val="en-US"/>
        </w:rPr>
        <w:t>TA</w:t>
      </w:r>
      <w:r w:rsidRPr="007C37B0">
        <w:rPr>
          <w:color w:val="000000" w:themeColor="text1"/>
          <w:lang w:val="en-US"/>
        </w:rPr>
        <w:t xml:space="preserve"> is firm assets, and SALE is firm sales for firm i in year t. Using the estimated beta coefficients from each industry-year group (</w:t>
      </w:r>
      <m:oMath>
        <m:acc>
          <m:accPr>
            <m:ctrlPr>
              <w:rPr>
                <w:rFonts w:ascii="Cambria Math" w:hAnsi="Cambria Math"/>
                <w:i/>
                <w:color w:val="000000" w:themeColor="text1"/>
                <w:lang w:val="en-US"/>
              </w:rPr>
            </m:ctrlPr>
          </m:accPr>
          <m:e>
            <m:sSub>
              <m:sSubPr>
                <m:ctrlPr>
                  <w:rPr>
                    <w:rFonts w:ascii="Cambria Math" w:hAnsi="Cambria Math"/>
                    <w:i/>
                    <w:color w:val="000000" w:themeColor="text1"/>
                    <w:lang w:val="en-US"/>
                  </w:rPr>
                </m:ctrlPr>
              </m:sSubPr>
              <m:e>
                <m:r>
                  <w:rPr>
                    <w:rFonts w:ascii="Cambria Math" w:hAnsi="Cambria Math"/>
                    <w:color w:val="000000" w:themeColor="text1"/>
                  </w:rPr>
                  <m:t>β</m:t>
                </m:r>
              </m:e>
              <m:sub>
                <m:r>
                  <w:rPr>
                    <w:rFonts w:ascii="Cambria Math" w:hAnsi="Cambria Math"/>
                    <w:color w:val="000000" w:themeColor="text1"/>
                    <w:lang w:val="en-US"/>
                  </w:rPr>
                  <m:t>0</m:t>
                </m:r>
              </m:sub>
            </m:sSub>
          </m:e>
        </m:acc>
      </m:oMath>
      <w:r w:rsidRPr="007C37B0">
        <w:rPr>
          <w:color w:val="000000" w:themeColor="text1"/>
          <w:lang w:val="en-US"/>
        </w:rPr>
        <w:t xml:space="preserve">, </w:t>
      </w:r>
      <m:oMath>
        <m:acc>
          <m:accPr>
            <m:ctrlPr>
              <w:rPr>
                <w:rFonts w:ascii="Cambria Math" w:hAnsi="Cambria Math"/>
                <w:i/>
                <w:color w:val="000000" w:themeColor="text1"/>
                <w:lang w:val="en-US"/>
              </w:rPr>
            </m:ctrlPr>
          </m:accPr>
          <m:e>
            <m:sSub>
              <m:sSubPr>
                <m:ctrlPr>
                  <w:rPr>
                    <w:rFonts w:ascii="Cambria Math" w:hAnsi="Cambria Math"/>
                    <w:i/>
                    <w:color w:val="000000" w:themeColor="text1"/>
                    <w:lang w:val="en-US"/>
                  </w:rPr>
                </m:ctrlPr>
              </m:sSubPr>
              <m:e>
                <m:r>
                  <w:rPr>
                    <w:rFonts w:ascii="Cambria Math" w:hAnsi="Cambria Math"/>
                    <w:color w:val="000000" w:themeColor="text1"/>
                  </w:rPr>
                  <m:t>β</m:t>
                </m:r>
              </m:e>
              <m:sub>
                <m:r>
                  <w:rPr>
                    <w:rFonts w:ascii="Cambria Math" w:hAnsi="Cambria Math"/>
                    <w:color w:val="000000" w:themeColor="text1"/>
                    <w:lang w:val="en-US"/>
                  </w:rPr>
                  <m:t>1</m:t>
                </m:r>
              </m:sub>
            </m:sSub>
          </m:e>
        </m:acc>
      </m:oMath>
      <w:r w:rsidRPr="007C37B0">
        <w:rPr>
          <w:color w:val="000000" w:themeColor="text1"/>
          <w:lang w:val="en-US"/>
        </w:rPr>
        <w:t xml:space="preserve">, </w:t>
      </w:r>
      <m:oMath>
        <m:acc>
          <m:accPr>
            <m:ctrlPr>
              <w:rPr>
                <w:rFonts w:ascii="Cambria Math" w:hAnsi="Cambria Math"/>
                <w:i/>
                <w:color w:val="000000" w:themeColor="text1"/>
                <w:lang w:val="en-US"/>
              </w:rPr>
            </m:ctrlPr>
          </m:accPr>
          <m:e>
            <m:sSub>
              <m:sSubPr>
                <m:ctrlPr>
                  <w:rPr>
                    <w:rFonts w:ascii="Cambria Math" w:hAnsi="Cambria Math"/>
                    <w:i/>
                    <w:color w:val="000000" w:themeColor="text1"/>
                    <w:lang w:val="en-US"/>
                  </w:rPr>
                </m:ctrlPr>
              </m:sSubPr>
              <m:e>
                <m:r>
                  <w:rPr>
                    <w:rFonts w:ascii="Cambria Math" w:hAnsi="Cambria Math"/>
                    <w:color w:val="000000" w:themeColor="text1"/>
                  </w:rPr>
                  <m:t>β</m:t>
                </m:r>
              </m:e>
              <m:sub>
                <m:r>
                  <w:rPr>
                    <w:rFonts w:ascii="Cambria Math" w:hAnsi="Cambria Math"/>
                    <w:color w:val="000000" w:themeColor="text1"/>
                    <w:lang w:val="en-US"/>
                  </w:rPr>
                  <m:t>2</m:t>
                </m:r>
              </m:sub>
            </m:sSub>
          </m:e>
        </m:acc>
      </m:oMath>
      <w:r w:rsidRPr="007C37B0">
        <w:rPr>
          <w:color w:val="000000" w:themeColor="text1"/>
          <w:lang w:val="en-US"/>
        </w:rPr>
        <w:t>) we fit expected firm advertising investment levels as follows:</w:t>
      </w:r>
    </w:p>
    <w:p w14:paraId="7A8C36DE" w14:textId="77777777" w:rsidR="00E058DB" w:rsidRPr="007C37B0" w:rsidRDefault="00E058DB" w:rsidP="00E058DB">
      <w:pPr>
        <w:ind w:firstLine="720"/>
        <w:rPr>
          <w:color w:val="000000" w:themeColor="text1"/>
        </w:rPr>
      </w:pPr>
      <w:r w:rsidRPr="007C37B0">
        <w:rPr>
          <w:color w:val="000000" w:themeColor="text1"/>
        </w:rPr>
        <w:t>(D3)</w:t>
      </w:r>
      <w:r w:rsidRPr="007C37B0">
        <w:rPr>
          <w:color w:val="000000" w:themeColor="text1"/>
        </w:rPr>
        <w:tab/>
      </w:r>
      <m:oMath>
        <m:acc>
          <m:accPr>
            <m:ctrlPr>
              <w:rPr>
                <w:rFonts w:ascii="Cambria Math" w:hAnsi="Cambria Math"/>
                <w:i/>
                <w:color w:val="000000" w:themeColor="text1"/>
                <w:lang w:val="en-US"/>
              </w:rPr>
            </m:ctrlPr>
          </m:accPr>
          <m:e>
            <m:sSub>
              <m:sSubPr>
                <m:ctrlPr>
                  <w:rPr>
                    <w:rFonts w:ascii="Cambria Math" w:hAnsi="Cambria Math"/>
                    <w:i/>
                    <w:color w:val="000000" w:themeColor="text1"/>
                    <w:lang w:val="en-US"/>
                  </w:rPr>
                </m:ctrlPr>
              </m:sSubPr>
              <m:e>
                <m:r>
                  <w:rPr>
                    <w:rFonts w:ascii="Cambria Math" w:hAnsi="Cambria Math"/>
                    <w:color w:val="000000" w:themeColor="text1"/>
                  </w:rPr>
                  <m:t>ADV</m:t>
                </m:r>
              </m:e>
              <m:sub>
                <m:r>
                  <w:rPr>
                    <w:rFonts w:ascii="Cambria Math" w:hAnsi="Cambria Math"/>
                    <w:color w:val="000000" w:themeColor="text1"/>
                  </w:rPr>
                  <m:t>i,t</m:t>
                </m:r>
              </m:sub>
            </m:sSub>
          </m:e>
        </m:acc>
      </m:oMath>
      <w:r w:rsidRPr="007C37B0">
        <w:rPr>
          <w:color w:val="000000" w:themeColor="text1"/>
        </w:rPr>
        <w:t xml:space="preserve"> = </w:t>
      </w:r>
      <m:oMath>
        <m:acc>
          <m:accPr>
            <m:ctrlPr>
              <w:rPr>
                <w:rFonts w:ascii="Cambria Math" w:hAnsi="Cambria Math"/>
                <w:i/>
                <w:color w:val="000000" w:themeColor="text1"/>
                <w:lang w:val="en-US"/>
              </w:rPr>
            </m:ctrlPr>
          </m:accPr>
          <m:e>
            <m:sSub>
              <m:sSubPr>
                <m:ctrlPr>
                  <w:rPr>
                    <w:rFonts w:ascii="Cambria Math" w:hAnsi="Cambria Math"/>
                    <w:i/>
                    <w:color w:val="000000" w:themeColor="text1"/>
                    <w:lang w:val="en-US"/>
                  </w:rPr>
                </m:ctrlPr>
              </m:sSubPr>
              <m:e>
                <m:r>
                  <w:rPr>
                    <w:rFonts w:ascii="Cambria Math" w:hAnsi="Cambria Math"/>
                    <w:color w:val="000000" w:themeColor="text1"/>
                  </w:rPr>
                  <m:t>β</m:t>
                </m:r>
              </m:e>
              <m:sub>
                <m:r>
                  <w:rPr>
                    <w:rFonts w:ascii="Cambria Math" w:hAnsi="Cambria Math"/>
                    <w:color w:val="000000" w:themeColor="text1"/>
                  </w:rPr>
                  <m:t>0</m:t>
                </m:r>
              </m:sub>
            </m:sSub>
          </m:e>
        </m:acc>
      </m:oMath>
      <w:r w:rsidRPr="007C37B0">
        <w:rPr>
          <w:color w:val="000000" w:themeColor="text1"/>
        </w:rPr>
        <w:t xml:space="preserve"> + </w:t>
      </w:r>
      <m:oMath>
        <m:acc>
          <m:accPr>
            <m:ctrlPr>
              <w:rPr>
                <w:rFonts w:ascii="Cambria Math" w:hAnsi="Cambria Math"/>
                <w:i/>
                <w:color w:val="000000" w:themeColor="text1"/>
                <w:lang w:val="en-US"/>
              </w:rPr>
            </m:ctrlPr>
          </m:accPr>
          <m:e>
            <m:sSub>
              <m:sSubPr>
                <m:ctrlPr>
                  <w:rPr>
                    <w:rFonts w:ascii="Cambria Math" w:hAnsi="Cambria Math"/>
                    <w:i/>
                    <w:color w:val="000000" w:themeColor="text1"/>
                    <w:lang w:val="en-US"/>
                  </w:rPr>
                </m:ctrlPr>
              </m:sSubPr>
              <m:e>
                <m:r>
                  <w:rPr>
                    <w:rFonts w:ascii="Cambria Math" w:hAnsi="Cambria Math"/>
                    <w:color w:val="000000" w:themeColor="text1"/>
                  </w:rPr>
                  <m:t>β</m:t>
                </m:r>
              </m:e>
              <m:sub>
                <m:r>
                  <w:rPr>
                    <w:rFonts w:ascii="Cambria Math" w:hAnsi="Cambria Math"/>
                    <w:color w:val="000000" w:themeColor="text1"/>
                  </w:rPr>
                  <m:t>1</m:t>
                </m:r>
              </m:sub>
            </m:sSub>
          </m:e>
        </m:acc>
      </m:oMath>
      <w:r w:rsidRPr="007C37B0">
        <w:rPr>
          <w:color w:val="000000" w:themeColor="text1"/>
        </w:rPr>
        <w:t>(1/T</w:t>
      </w:r>
      <w:r>
        <w:rPr>
          <w:color w:val="000000" w:themeColor="text1"/>
        </w:rPr>
        <w:t>A</w:t>
      </w:r>
      <w:r w:rsidRPr="007C37B0">
        <w:rPr>
          <w:color w:val="000000" w:themeColor="text1"/>
          <w:vertAlign w:val="subscript"/>
        </w:rPr>
        <w:t>i,t-1</w:t>
      </w:r>
      <w:r w:rsidRPr="007C37B0">
        <w:rPr>
          <w:color w:val="000000" w:themeColor="text1"/>
        </w:rPr>
        <w:t xml:space="preserve">) + </w:t>
      </w:r>
      <m:oMath>
        <m:acc>
          <m:accPr>
            <m:ctrlPr>
              <w:rPr>
                <w:rFonts w:ascii="Cambria Math" w:hAnsi="Cambria Math"/>
                <w:i/>
                <w:color w:val="000000" w:themeColor="text1"/>
                <w:lang w:val="en-US"/>
              </w:rPr>
            </m:ctrlPr>
          </m:accPr>
          <m:e>
            <m:sSub>
              <m:sSubPr>
                <m:ctrlPr>
                  <w:rPr>
                    <w:rFonts w:ascii="Cambria Math" w:hAnsi="Cambria Math"/>
                    <w:i/>
                    <w:color w:val="000000" w:themeColor="text1"/>
                    <w:lang w:val="en-US"/>
                  </w:rPr>
                </m:ctrlPr>
              </m:sSubPr>
              <m:e>
                <m:r>
                  <w:rPr>
                    <w:rFonts w:ascii="Cambria Math" w:hAnsi="Cambria Math"/>
                    <w:color w:val="000000" w:themeColor="text1"/>
                  </w:rPr>
                  <m:t>β</m:t>
                </m:r>
              </m:e>
              <m:sub>
                <m:r>
                  <w:rPr>
                    <w:rFonts w:ascii="Cambria Math" w:hAnsi="Cambria Math"/>
                    <w:color w:val="000000" w:themeColor="text1"/>
                  </w:rPr>
                  <m:t>2</m:t>
                </m:r>
              </m:sub>
            </m:sSub>
          </m:e>
        </m:acc>
      </m:oMath>
      <w:r w:rsidRPr="007C37B0">
        <w:rPr>
          <w:color w:val="000000" w:themeColor="text1"/>
        </w:rPr>
        <w:t>(SALE</w:t>
      </w:r>
      <w:r w:rsidRPr="007C37B0">
        <w:rPr>
          <w:color w:val="000000" w:themeColor="text1"/>
          <w:vertAlign w:val="subscript"/>
        </w:rPr>
        <w:t>i,t-1</w:t>
      </w:r>
      <w:r w:rsidRPr="007C37B0">
        <w:rPr>
          <w:color w:val="000000" w:themeColor="text1"/>
        </w:rPr>
        <w:t>/T</w:t>
      </w:r>
      <w:r>
        <w:rPr>
          <w:color w:val="000000" w:themeColor="text1"/>
        </w:rPr>
        <w:t>A</w:t>
      </w:r>
      <w:r w:rsidRPr="007C37B0">
        <w:rPr>
          <w:color w:val="000000" w:themeColor="text1"/>
          <w:vertAlign w:val="subscript"/>
        </w:rPr>
        <w:t>i,t-1</w:t>
      </w:r>
      <w:r w:rsidRPr="007C37B0">
        <w:rPr>
          <w:color w:val="000000" w:themeColor="text1"/>
        </w:rPr>
        <w:t xml:space="preserve">). </w:t>
      </w:r>
      <w:r w:rsidRPr="007C37B0">
        <w:rPr>
          <w:color w:val="000000" w:themeColor="text1"/>
        </w:rPr>
        <w:tab/>
      </w:r>
    </w:p>
    <w:p w14:paraId="7021D7E9" w14:textId="77777777" w:rsidR="00E058DB" w:rsidRPr="007C37B0" w:rsidRDefault="00E058DB" w:rsidP="00E058DB">
      <w:pPr>
        <w:ind w:firstLine="720"/>
        <w:rPr>
          <w:color w:val="000000" w:themeColor="text1"/>
          <w:lang w:val="en-US"/>
        </w:rPr>
      </w:pPr>
      <w:r w:rsidRPr="007C37B0">
        <w:rPr>
          <w:color w:val="000000" w:themeColor="text1"/>
          <w:lang w:val="en-US"/>
        </w:rPr>
        <w:t xml:space="preserve">Unexpected advertising investment levels, </w:t>
      </w:r>
      <w:proofErr w:type="spellStart"/>
      <w:r w:rsidRPr="007C37B0">
        <w:rPr>
          <w:color w:val="000000" w:themeColor="text1"/>
          <w:lang w:val="en-US"/>
        </w:rPr>
        <w:t>UADV</w:t>
      </w:r>
      <w:r w:rsidRPr="007C37B0">
        <w:rPr>
          <w:color w:val="000000" w:themeColor="text1"/>
          <w:vertAlign w:val="subscript"/>
          <w:lang w:val="en-US"/>
        </w:rPr>
        <w:t>i,t</w:t>
      </w:r>
      <w:proofErr w:type="spellEnd"/>
      <w:r w:rsidRPr="007C37B0">
        <w:rPr>
          <w:color w:val="000000" w:themeColor="text1"/>
          <w:lang w:val="en-US"/>
        </w:rPr>
        <w:t>, are then calculated as the difference between actual and expected advertising investments. We find results pointing into the same direction but showing up partly less statistically significant than the results in our main analyses.</w:t>
      </w:r>
    </w:p>
    <w:p w14:paraId="5D64E9D2" w14:textId="77777777" w:rsidR="00E058DB" w:rsidRPr="007C37B0" w:rsidRDefault="00E058DB" w:rsidP="00E058DB">
      <w:pPr>
        <w:ind w:firstLine="720"/>
        <w:rPr>
          <w:color w:val="000000" w:themeColor="text1"/>
          <w:lang w:val="en-US"/>
        </w:rPr>
      </w:pPr>
    </w:p>
    <w:p w14:paraId="036B17F3" w14:textId="77777777" w:rsidR="00E058DB" w:rsidRPr="007C37B0" w:rsidRDefault="00E058DB" w:rsidP="00E058DB">
      <w:pPr>
        <w:ind w:firstLine="720"/>
        <w:rPr>
          <w:color w:val="000000" w:themeColor="text1"/>
          <w:lang w:val="en-US"/>
        </w:rPr>
      </w:pPr>
      <w:r w:rsidRPr="007C37B0">
        <w:rPr>
          <w:i/>
          <w:color w:val="000000" w:themeColor="text1"/>
          <w:lang w:val="en-US"/>
        </w:rPr>
        <w:lastRenderedPageBreak/>
        <w:t xml:space="preserve">Using </w:t>
      </w:r>
      <w:proofErr w:type="spellStart"/>
      <w:r w:rsidRPr="007C37B0">
        <w:rPr>
          <w:i/>
          <w:color w:val="000000" w:themeColor="text1"/>
          <w:lang w:val="en-US"/>
        </w:rPr>
        <w:t>Compustat</w:t>
      </w:r>
      <w:proofErr w:type="spellEnd"/>
      <w:r w:rsidRPr="007C37B0">
        <w:rPr>
          <w:i/>
          <w:color w:val="000000" w:themeColor="text1"/>
          <w:lang w:val="en-US"/>
        </w:rPr>
        <w:t xml:space="preserve"> advertising investments </w:t>
      </w:r>
      <w:r w:rsidRPr="007C37B0">
        <w:rPr>
          <w:i/>
          <w:color w:val="000000" w:themeColor="text1"/>
          <w:u w:color="000000"/>
          <w:lang w:val="en-US"/>
        </w:rPr>
        <w:t>in estimating unexpected advertising investments</w:t>
      </w:r>
      <w:r w:rsidRPr="007C37B0">
        <w:rPr>
          <w:i/>
          <w:color w:val="000000" w:themeColor="text1"/>
          <w:lang w:val="en-US"/>
        </w:rPr>
        <w:t>.</w:t>
      </w:r>
      <w:r w:rsidRPr="007C37B0">
        <w:rPr>
          <w:color w:val="000000" w:themeColor="text1"/>
          <w:lang w:val="en-US"/>
        </w:rPr>
        <w:t xml:space="preserve"> For reasons of comparability to previous literature, we use </w:t>
      </w:r>
      <w:proofErr w:type="spellStart"/>
      <w:r w:rsidRPr="007C37B0">
        <w:rPr>
          <w:color w:val="000000" w:themeColor="text1"/>
          <w:lang w:val="en-US"/>
        </w:rPr>
        <w:t>Compustat’s</w:t>
      </w:r>
      <w:proofErr w:type="spellEnd"/>
      <w:r w:rsidRPr="007C37B0">
        <w:rPr>
          <w:color w:val="000000" w:themeColor="text1"/>
          <w:lang w:val="en-US"/>
        </w:rPr>
        <w:t xml:space="preserve"> advertising data instead of Kantar Media’s advertising data to calculate unexpected advertising investments. 74% of firms in </w:t>
      </w:r>
      <w:proofErr w:type="spellStart"/>
      <w:r w:rsidRPr="007C37B0">
        <w:rPr>
          <w:color w:val="000000" w:themeColor="text1"/>
          <w:lang w:val="en-US"/>
        </w:rPr>
        <w:t>Compustat</w:t>
      </w:r>
      <w:proofErr w:type="spellEnd"/>
      <w:r w:rsidRPr="007C37B0">
        <w:rPr>
          <w:color w:val="000000" w:themeColor="text1"/>
          <w:lang w:val="en-US"/>
        </w:rPr>
        <w:t xml:space="preserve"> and 62% of firms in our sample do not disclose their advertising investments and are hence not covered by </w:t>
      </w:r>
      <w:proofErr w:type="spellStart"/>
      <w:r w:rsidRPr="007C37B0">
        <w:rPr>
          <w:color w:val="000000" w:themeColor="text1"/>
          <w:lang w:val="en-US"/>
        </w:rPr>
        <w:t>Compustat</w:t>
      </w:r>
      <w:proofErr w:type="spellEnd"/>
      <w:r w:rsidRPr="007C37B0">
        <w:rPr>
          <w:color w:val="000000" w:themeColor="text1"/>
          <w:lang w:val="en-US"/>
        </w:rPr>
        <w:t xml:space="preserve">, reducing our sample size substantially. We replicate partial results of our main analyses (see Table D3) but fail to detect the effectiveness of an advertising investment response in protecting firm value (see Table D4). </w:t>
      </w:r>
      <w:r w:rsidRPr="007C37B0">
        <w:rPr>
          <w:iCs/>
          <w:color w:val="000000" w:themeColor="text1"/>
          <w:lang w:val="en-US"/>
        </w:rPr>
        <w:t xml:space="preserve">We </w:t>
      </w:r>
      <w:r>
        <w:rPr>
          <w:iCs/>
          <w:color w:val="000000" w:themeColor="text1"/>
          <w:lang w:val="en-US"/>
        </w:rPr>
        <w:t>obtain</w:t>
      </w:r>
      <w:r w:rsidRPr="007C37B0">
        <w:rPr>
          <w:iCs/>
          <w:color w:val="000000" w:themeColor="text1"/>
          <w:lang w:val="en-US"/>
        </w:rPr>
        <w:t xml:space="preserve"> marginally significant results for the advertising investment effectiveness if we set missing advertising expenses to 0 (Kashmiri and Mahajan 2017).</w:t>
      </w:r>
    </w:p>
    <w:p w14:paraId="3E828604" w14:textId="77777777" w:rsidR="00E058DB" w:rsidRPr="007C37B0" w:rsidRDefault="00E058DB" w:rsidP="00E058DB">
      <w:pPr>
        <w:pStyle w:val="NoSpacing"/>
        <w:spacing w:line="240" w:lineRule="auto"/>
        <w:ind w:firstLine="720"/>
        <w:rPr>
          <w:i/>
          <w:iCs/>
          <w:color w:val="000000" w:themeColor="text1"/>
          <w:lang w:val="en-US"/>
        </w:rPr>
      </w:pPr>
    </w:p>
    <w:p w14:paraId="305C1EE5" w14:textId="77777777" w:rsidR="00E058DB" w:rsidRPr="007C37B0" w:rsidRDefault="00E058DB" w:rsidP="00E058DB">
      <w:pPr>
        <w:pStyle w:val="NoSpacing"/>
        <w:spacing w:line="240" w:lineRule="auto"/>
        <w:ind w:firstLine="720"/>
        <w:rPr>
          <w:color w:val="000000" w:themeColor="text1"/>
          <w:lang w:val="en-US"/>
        </w:rPr>
      </w:pPr>
      <w:r w:rsidRPr="007C37B0">
        <w:rPr>
          <w:i/>
          <w:iCs/>
          <w:color w:val="000000" w:themeColor="text1"/>
          <w:lang w:val="en-US"/>
        </w:rPr>
        <w:t xml:space="preserve">Using an advertising stock measure </w:t>
      </w:r>
      <w:r w:rsidRPr="007C37B0">
        <w:rPr>
          <w:i/>
          <w:color w:val="000000" w:themeColor="text1"/>
          <w:lang w:val="en-US"/>
        </w:rPr>
        <w:t>in estimating unexpected advertising investments</w:t>
      </w:r>
      <w:r w:rsidRPr="007C37B0">
        <w:rPr>
          <w:i/>
          <w:iCs/>
          <w:color w:val="000000" w:themeColor="text1"/>
          <w:lang w:val="en-US"/>
        </w:rPr>
        <w:t>.</w:t>
      </w:r>
      <w:r w:rsidRPr="007C37B0">
        <w:rPr>
          <w:iCs/>
          <w:color w:val="000000" w:themeColor="text1"/>
          <w:lang w:val="en-US"/>
        </w:rPr>
        <w:t xml:space="preserve"> Given advertising investment effects might carry over to subsequent periods, we employ a measure of advertising stock, which is the cumulative value of a firm</w:t>
      </w:r>
      <w:r w:rsidRPr="007C37B0">
        <w:rPr>
          <w:color w:val="000000" w:themeColor="text1"/>
          <w:lang w:val="en-US"/>
        </w:rPr>
        <w:t>’</w:t>
      </w:r>
      <w:r w:rsidRPr="007C37B0">
        <w:rPr>
          <w:iCs/>
          <w:color w:val="000000" w:themeColor="text1"/>
          <w:lang w:val="en-US"/>
        </w:rPr>
        <w:t>s advertising in a given period that will decay over time. Following Dinner</w:t>
      </w:r>
      <w:r>
        <w:rPr>
          <w:iCs/>
          <w:color w:val="000000" w:themeColor="text1"/>
          <w:lang w:val="en-US"/>
        </w:rPr>
        <w:t xml:space="preserve">, van Heerde, and </w:t>
      </w:r>
      <w:proofErr w:type="spellStart"/>
      <w:r>
        <w:rPr>
          <w:iCs/>
          <w:color w:val="000000" w:themeColor="text1"/>
          <w:lang w:val="en-US"/>
        </w:rPr>
        <w:t>Neslin</w:t>
      </w:r>
      <w:proofErr w:type="spellEnd"/>
      <w:r w:rsidRPr="007C37B0">
        <w:rPr>
          <w:iCs/>
          <w:color w:val="000000" w:themeColor="text1"/>
          <w:lang w:val="en-US"/>
        </w:rPr>
        <w:t xml:space="preserve"> (2014), we model advertising stock as </w:t>
      </w:r>
      <w:proofErr w:type="spellStart"/>
      <w:r w:rsidRPr="007C37B0">
        <w:rPr>
          <w:iCs/>
          <w:color w:val="000000" w:themeColor="text1"/>
          <w:lang w:val="en-US"/>
        </w:rPr>
        <w:t>ADV_S</w:t>
      </w:r>
      <w:r w:rsidRPr="007C37B0">
        <w:rPr>
          <w:iCs/>
          <w:color w:val="000000" w:themeColor="text1"/>
          <w:vertAlign w:val="subscript"/>
          <w:lang w:val="en-US"/>
        </w:rPr>
        <w:t>i,t</w:t>
      </w:r>
      <w:proofErr w:type="spellEnd"/>
      <w:r>
        <w:rPr>
          <w:iCs/>
          <w:color w:val="000000" w:themeColor="text1"/>
          <w:vertAlign w:val="subscript"/>
          <w:lang w:val="en-US"/>
        </w:rPr>
        <w:t xml:space="preserve"> </w:t>
      </w:r>
      <w:r w:rsidRPr="007C37B0">
        <w:rPr>
          <w:iCs/>
          <w:color w:val="000000" w:themeColor="text1"/>
          <w:lang w:val="en-US"/>
        </w:rPr>
        <w:t>=</w:t>
      </w:r>
      <w:r>
        <w:rPr>
          <w:iCs/>
          <w:color w:val="000000" w:themeColor="text1"/>
          <w:lang w:val="en-US"/>
        </w:rPr>
        <w:t xml:space="preserve"> </w:t>
      </w:r>
      <w:r w:rsidRPr="007C37B0">
        <w:rPr>
          <w:iCs/>
          <w:color w:val="000000" w:themeColor="text1"/>
        </w:rPr>
        <w:t>λ</w:t>
      </w:r>
      <w:r w:rsidRPr="007C37B0">
        <w:rPr>
          <w:iCs/>
          <w:color w:val="000000" w:themeColor="text1"/>
          <w:lang w:val="en-US"/>
        </w:rPr>
        <w:t>ADV_S</w:t>
      </w:r>
      <w:r w:rsidRPr="007C37B0">
        <w:rPr>
          <w:iCs/>
          <w:color w:val="000000" w:themeColor="text1"/>
          <w:vertAlign w:val="subscript"/>
          <w:lang w:val="en-US"/>
        </w:rPr>
        <w:t>i,t-1</w:t>
      </w:r>
      <w:r>
        <w:rPr>
          <w:iCs/>
          <w:color w:val="000000" w:themeColor="text1"/>
          <w:vertAlign w:val="subscript"/>
          <w:lang w:val="en-US"/>
        </w:rPr>
        <w:t xml:space="preserve"> </w:t>
      </w:r>
      <w:r w:rsidRPr="007C37B0">
        <w:rPr>
          <w:iCs/>
          <w:color w:val="000000" w:themeColor="text1"/>
          <w:lang w:val="en-US"/>
        </w:rPr>
        <w:t>+</w:t>
      </w:r>
      <w:r>
        <w:rPr>
          <w:iCs/>
          <w:color w:val="000000" w:themeColor="text1"/>
          <w:lang w:val="en-US"/>
        </w:rPr>
        <w:t xml:space="preserve"> </w:t>
      </w:r>
      <w:r w:rsidRPr="007C37B0">
        <w:rPr>
          <w:iCs/>
          <w:color w:val="000000" w:themeColor="text1"/>
          <w:lang w:val="en-US"/>
        </w:rPr>
        <w:t>(1-</w:t>
      </w:r>
      <w:r w:rsidRPr="007C37B0">
        <w:rPr>
          <w:iCs/>
          <w:color w:val="000000" w:themeColor="text1"/>
        </w:rPr>
        <w:t>λ</w:t>
      </w:r>
      <w:r w:rsidRPr="007C37B0">
        <w:rPr>
          <w:iCs/>
          <w:color w:val="000000" w:themeColor="text1"/>
          <w:lang w:val="en-US"/>
        </w:rPr>
        <w:t>)</w:t>
      </w:r>
      <w:proofErr w:type="spellStart"/>
      <w:r w:rsidRPr="007C37B0">
        <w:rPr>
          <w:iCs/>
          <w:color w:val="000000" w:themeColor="text1"/>
          <w:lang w:val="en-US"/>
        </w:rPr>
        <w:t>ADV</w:t>
      </w:r>
      <w:r w:rsidRPr="007C37B0">
        <w:rPr>
          <w:iCs/>
          <w:color w:val="000000" w:themeColor="text1"/>
          <w:vertAlign w:val="subscript"/>
          <w:lang w:val="en-US"/>
        </w:rPr>
        <w:t>i,t</w:t>
      </w:r>
      <w:proofErr w:type="spellEnd"/>
      <w:r w:rsidRPr="007C37B0">
        <w:rPr>
          <w:iCs/>
          <w:color w:val="000000" w:themeColor="text1"/>
          <w:lang w:val="en-US"/>
        </w:rPr>
        <w:t xml:space="preserve">, where </w:t>
      </w:r>
      <w:proofErr w:type="spellStart"/>
      <w:r w:rsidRPr="007C37B0">
        <w:rPr>
          <w:iCs/>
          <w:color w:val="000000" w:themeColor="text1"/>
          <w:lang w:val="en-US"/>
        </w:rPr>
        <w:t>ADV</w:t>
      </w:r>
      <w:r w:rsidRPr="007C37B0">
        <w:rPr>
          <w:iCs/>
          <w:color w:val="000000" w:themeColor="text1"/>
          <w:vertAlign w:val="subscript"/>
          <w:lang w:val="en-US"/>
        </w:rPr>
        <w:t>i,t</w:t>
      </w:r>
      <w:proofErr w:type="spellEnd"/>
      <w:r w:rsidRPr="007C37B0">
        <w:rPr>
          <w:iCs/>
          <w:color w:val="000000" w:themeColor="text1"/>
          <w:lang w:val="en-US"/>
        </w:rPr>
        <w:t xml:space="preserve"> is the natural logarithm of advertising of firm i in year t. To estimate the decay parameter </w:t>
      </w:r>
      <w:r w:rsidRPr="007C37B0">
        <w:rPr>
          <w:iCs/>
          <w:color w:val="000000" w:themeColor="text1"/>
        </w:rPr>
        <w:t>λ</w:t>
      </w:r>
      <w:r w:rsidRPr="007C37B0">
        <w:rPr>
          <w:iCs/>
          <w:color w:val="000000" w:themeColor="text1"/>
          <w:lang w:val="en-US"/>
        </w:rPr>
        <w:t xml:space="preserve">, we use a bivariate grid search maximizing model fit, where </w:t>
      </w:r>
      <w:r w:rsidRPr="007C37B0">
        <w:rPr>
          <w:iCs/>
          <w:color w:val="000000" w:themeColor="text1"/>
        </w:rPr>
        <w:t>λ</w:t>
      </w:r>
      <w:r w:rsidRPr="007C37B0">
        <w:rPr>
          <w:iCs/>
          <w:color w:val="000000" w:themeColor="text1"/>
          <w:lang w:val="en-US"/>
        </w:rPr>
        <w:t xml:space="preserve"> varies in increments of </w:t>
      </w:r>
      <w:r>
        <w:rPr>
          <w:iCs/>
          <w:color w:val="000000" w:themeColor="text1"/>
          <w:lang w:val="en-US"/>
        </w:rPr>
        <w:t>.</w:t>
      </w:r>
      <w:r w:rsidRPr="007C37B0">
        <w:rPr>
          <w:iCs/>
          <w:color w:val="000000" w:themeColor="text1"/>
          <w:lang w:val="en-US"/>
        </w:rPr>
        <w:t xml:space="preserve">05. The estimated carry-over parameter of </w:t>
      </w:r>
      <w:r>
        <w:rPr>
          <w:iCs/>
          <w:color w:val="000000" w:themeColor="text1"/>
          <w:lang w:val="en-US"/>
        </w:rPr>
        <w:t>.</w:t>
      </w:r>
      <w:r w:rsidRPr="007C37B0">
        <w:rPr>
          <w:iCs/>
          <w:color w:val="000000" w:themeColor="text1"/>
          <w:lang w:val="en-US"/>
        </w:rPr>
        <w:t xml:space="preserve">67 compares well to other advertising investment research (e.g., Dinner et al. 2014). Replacing the unexpected advertising investment variable in Equations 2 and 3 with the advertising stock variable replicates our findings. </w:t>
      </w:r>
    </w:p>
    <w:p w14:paraId="591A100E" w14:textId="77777777" w:rsidR="00E058DB" w:rsidRPr="007C37B0" w:rsidRDefault="00E058DB" w:rsidP="00E058DB">
      <w:pPr>
        <w:rPr>
          <w:color w:val="000000" w:themeColor="text1"/>
          <w:lang w:val="en-US"/>
        </w:rPr>
      </w:pPr>
    </w:p>
    <w:p w14:paraId="57E6D342" w14:textId="77777777" w:rsidR="00E058DB" w:rsidRPr="007C37B0" w:rsidRDefault="00E058DB" w:rsidP="00E058DB">
      <w:pPr>
        <w:rPr>
          <w:b/>
          <w:color w:val="000000" w:themeColor="text1"/>
          <w:lang w:val="en-US"/>
        </w:rPr>
      </w:pPr>
      <w:r w:rsidRPr="007C37B0">
        <w:rPr>
          <w:b/>
          <w:color w:val="000000" w:themeColor="text1"/>
          <w:lang w:val="en-US"/>
        </w:rPr>
        <w:t>D3. Shareholder Complaints Robustness Checks</w:t>
      </w:r>
    </w:p>
    <w:p w14:paraId="4D437393" w14:textId="77777777" w:rsidR="00E058DB" w:rsidRPr="007C37B0" w:rsidRDefault="00E058DB" w:rsidP="00E058DB">
      <w:pPr>
        <w:rPr>
          <w:i/>
          <w:color w:val="000000" w:themeColor="text1"/>
          <w:lang w:val="en-US"/>
        </w:rPr>
      </w:pPr>
    </w:p>
    <w:p w14:paraId="2FB5BE1F" w14:textId="77777777" w:rsidR="00E058DB" w:rsidRPr="007C37B0" w:rsidRDefault="00E058DB" w:rsidP="00E058DB">
      <w:pPr>
        <w:rPr>
          <w:color w:val="000000" w:themeColor="text1"/>
          <w:lang w:val="en-US"/>
        </w:rPr>
      </w:pPr>
      <w:r w:rsidRPr="007C37B0">
        <w:rPr>
          <w:i/>
          <w:color w:val="000000" w:themeColor="text1"/>
          <w:lang w:val="en-US"/>
        </w:rPr>
        <w:tab/>
        <w:t>Shareholder complaints sample construction.</w:t>
      </w:r>
      <w:r w:rsidRPr="007C37B0">
        <w:rPr>
          <w:color w:val="000000" w:themeColor="text1"/>
          <w:lang w:val="en-US"/>
        </w:rPr>
        <w:t xml:space="preserve"> Since many firms receive zero or very few shareholder complaints, we re-estimate Equation 2 including only firms that experience at least one shareholder complaint during the sample period. We </w:t>
      </w:r>
      <w:r>
        <w:rPr>
          <w:color w:val="000000" w:themeColor="text1"/>
          <w:lang w:val="en-US"/>
        </w:rPr>
        <w:t xml:space="preserve">confirm the findings in Table 2. </w:t>
      </w:r>
      <w:r w:rsidRPr="007C37B0">
        <w:rPr>
          <w:color w:val="000000" w:themeColor="text1"/>
          <w:lang w:val="en-US"/>
        </w:rPr>
        <w:t xml:space="preserve">We further re-estimate the model and include only those shareholder complaints that were eventually voted on (i.e., excluding omitted and withdrawn complaints). </w:t>
      </w:r>
      <w:r>
        <w:rPr>
          <w:color w:val="000000" w:themeColor="text1"/>
          <w:lang w:val="en-US"/>
        </w:rPr>
        <w:t>Results are reported</w:t>
      </w:r>
      <w:r w:rsidRPr="007C37B0">
        <w:rPr>
          <w:color w:val="000000" w:themeColor="text1"/>
          <w:lang w:val="en-US"/>
        </w:rPr>
        <w:t xml:space="preserve"> in Tables D5 and D6</w:t>
      </w:r>
      <w:r w:rsidRPr="007C37B0">
        <w:rPr>
          <w:color w:val="000000" w:themeColor="text1"/>
          <w:spacing w:val="-2"/>
          <w:lang w:val="en-US"/>
        </w:rPr>
        <w:t>.</w:t>
      </w:r>
    </w:p>
    <w:p w14:paraId="6A4B7E6E" w14:textId="77777777" w:rsidR="00E058DB" w:rsidRPr="007C37B0" w:rsidRDefault="00E058DB" w:rsidP="00E058DB">
      <w:pPr>
        <w:rPr>
          <w:color w:val="000000" w:themeColor="text1"/>
          <w:lang w:val="en-US"/>
        </w:rPr>
      </w:pPr>
    </w:p>
    <w:p w14:paraId="6D3E33A0" w14:textId="77777777" w:rsidR="00E058DB" w:rsidRPr="007C37B0" w:rsidRDefault="00E058DB" w:rsidP="00E058DB">
      <w:pPr>
        <w:rPr>
          <w:color w:val="000000" w:themeColor="text1"/>
          <w:lang w:val="en-US"/>
        </w:rPr>
      </w:pPr>
      <w:r w:rsidRPr="007C37B0">
        <w:rPr>
          <w:color w:val="000000" w:themeColor="text1"/>
          <w:lang w:val="en-US"/>
        </w:rPr>
        <w:tab/>
      </w:r>
      <w:r w:rsidRPr="007C37B0">
        <w:rPr>
          <w:i/>
          <w:color w:val="000000" w:themeColor="text1"/>
          <w:lang w:val="en-US"/>
        </w:rPr>
        <w:t>Shareholder complaints modeling.</w:t>
      </w:r>
      <w:r w:rsidRPr="007C37B0">
        <w:rPr>
          <w:color w:val="000000" w:themeColor="text1"/>
          <w:lang w:val="en-US"/>
        </w:rPr>
        <w:t xml:space="preserve"> As a further robustness test, we replace the level of shareholder complaints with a dummy variable that indicates whether or not a firm received any shareholder complaints in the previous period and confirm our results in Table 2</w:t>
      </w:r>
      <w:r>
        <w:rPr>
          <w:color w:val="000000" w:themeColor="text1"/>
          <w:lang w:val="en-US"/>
        </w:rPr>
        <w:t>, although the coefficient estimate of complaint nonfinancial type is marginally insignificant</w:t>
      </w:r>
      <w:r w:rsidRPr="007C37B0">
        <w:rPr>
          <w:color w:val="000000" w:themeColor="text1"/>
          <w:lang w:val="en-US"/>
        </w:rPr>
        <w:t xml:space="preserve">. We also test for curvilinear effects by adding this variable to Equation 2 and find the coefficient of the quadratic term of shareholder complaints to be negative, suggesting that the rate of increase in advertising investments becomes smaller with more shareholder complaints. </w:t>
      </w:r>
    </w:p>
    <w:p w14:paraId="064F7006" w14:textId="77777777" w:rsidR="00E058DB" w:rsidRPr="007C37B0" w:rsidRDefault="00E058DB" w:rsidP="00E058DB">
      <w:pPr>
        <w:rPr>
          <w:i/>
          <w:color w:val="000000" w:themeColor="text1"/>
          <w:lang w:val="en-US"/>
        </w:rPr>
      </w:pPr>
    </w:p>
    <w:p w14:paraId="30894310" w14:textId="77777777" w:rsidR="00E058DB" w:rsidRDefault="00E058DB" w:rsidP="00E058DB">
      <w:pPr>
        <w:ind w:firstLine="720"/>
        <w:rPr>
          <w:b/>
          <w:i/>
          <w:color w:val="000000" w:themeColor="text1"/>
          <w:lang w:val="en-US"/>
        </w:rPr>
      </w:pPr>
      <w:r w:rsidRPr="007C37B0">
        <w:rPr>
          <w:i/>
          <w:color w:val="000000" w:themeColor="text1"/>
          <w:lang w:val="en-US"/>
        </w:rPr>
        <w:t xml:space="preserve">Unexpected shareholder complaints. </w:t>
      </w:r>
      <w:r w:rsidRPr="007C37B0">
        <w:rPr>
          <w:color w:val="000000" w:themeColor="text1"/>
          <w:lang w:val="en-US"/>
        </w:rPr>
        <w:t xml:space="preserve">We control </w:t>
      </w:r>
      <w:r>
        <w:rPr>
          <w:color w:val="000000" w:themeColor="text1"/>
          <w:lang w:val="en-US"/>
        </w:rPr>
        <w:t xml:space="preserve">for </w:t>
      </w:r>
      <w:r w:rsidRPr="007C37B0">
        <w:rPr>
          <w:color w:val="000000" w:themeColor="text1"/>
          <w:lang w:val="en-US"/>
        </w:rPr>
        <w:t xml:space="preserve">whether an advertising investment response is dependent on whether shareholder complaints were expected or not. First, we estimate </w:t>
      </w:r>
      <w:r>
        <w:rPr>
          <w:color w:val="000000" w:themeColor="text1"/>
          <w:lang w:val="en-US"/>
        </w:rPr>
        <w:t xml:space="preserve">Equation 2 </w:t>
      </w:r>
      <w:r w:rsidRPr="007C37B0">
        <w:rPr>
          <w:color w:val="000000" w:themeColor="text1"/>
          <w:lang w:val="en-US"/>
        </w:rPr>
        <w:t xml:space="preserve">using the unexpected number of shareholder complaints as </w:t>
      </w:r>
      <w:r>
        <w:rPr>
          <w:color w:val="000000" w:themeColor="text1"/>
          <w:lang w:val="en-US"/>
        </w:rPr>
        <w:t xml:space="preserve">a </w:t>
      </w:r>
      <w:r w:rsidRPr="007C37B0">
        <w:rPr>
          <w:color w:val="000000" w:themeColor="text1"/>
          <w:lang w:val="en-US"/>
        </w:rPr>
        <w:t>measure of shareholder complaints. We estimate a simple autoregressive fixed-effects panel model of yearly shareholder complaints (Bendig et al. 2018), and use the derived residuals as our measure of unexpected shareholder complaints. Results are marginally weaker</w:t>
      </w:r>
      <w:r>
        <w:rPr>
          <w:color w:val="000000" w:themeColor="text1"/>
          <w:lang w:val="en-US"/>
        </w:rPr>
        <w:t xml:space="preserve"> for the moderators</w:t>
      </w:r>
      <w:r w:rsidRPr="007C37B0">
        <w:rPr>
          <w:color w:val="000000" w:themeColor="text1"/>
          <w:lang w:val="en-US"/>
        </w:rPr>
        <w:t xml:space="preserve">, but point into the same direction as </w:t>
      </w:r>
      <w:r>
        <w:rPr>
          <w:color w:val="000000" w:themeColor="text1"/>
          <w:lang w:val="en-US"/>
        </w:rPr>
        <w:t>reported in Table 2</w:t>
      </w:r>
      <w:r w:rsidRPr="007C37B0">
        <w:rPr>
          <w:color w:val="000000" w:themeColor="text1"/>
          <w:lang w:val="en-US"/>
        </w:rPr>
        <w:t xml:space="preserve">. Second, we include a </w:t>
      </w:r>
      <w:r>
        <w:rPr>
          <w:color w:val="000000" w:themeColor="text1"/>
          <w:lang w:val="en-US"/>
        </w:rPr>
        <w:t>dummy</w:t>
      </w:r>
      <w:r w:rsidRPr="007C37B0">
        <w:rPr>
          <w:color w:val="000000" w:themeColor="text1"/>
          <w:lang w:val="en-US"/>
        </w:rPr>
        <w:t xml:space="preserve"> variable that indicates whether any of the complaints feature topics that </w:t>
      </w:r>
      <w:r>
        <w:rPr>
          <w:color w:val="000000" w:themeColor="text1"/>
          <w:lang w:val="en-US"/>
        </w:rPr>
        <w:t>had</w:t>
      </w:r>
      <w:r w:rsidRPr="007C37B0">
        <w:rPr>
          <w:color w:val="000000" w:themeColor="text1"/>
          <w:lang w:val="en-US"/>
        </w:rPr>
        <w:t xml:space="preserve"> been submitted as complaints in </w:t>
      </w:r>
      <w:r w:rsidRPr="007C37B0">
        <w:rPr>
          <w:color w:val="000000" w:themeColor="text1"/>
          <w:lang w:val="en-US"/>
        </w:rPr>
        <w:lastRenderedPageBreak/>
        <w:t>previous periods. We assume that shareholder complaints are considered as more unexpected if the topics have not been complained about before. Estimating our models including this additional control does not alter our results, and we find the control variable to be insignificant.</w:t>
      </w:r>
    </w:p>
    <w:p w14:paraId="1CDE8F16" w14:textId="77777777" w:rsidR="00E058DB" w:rsidRPr="007C37B0" w:rsidRDefault="00E058DB" w:rsidP="00E058DB">
      <w:pPr>
        <w:ind w:firstLine="720"/>
        <w:rPr>
          <w:color w:val="000000" w:themeColor="text1"/>
          <w:lang w:val="en-US"/>
        </w:rPr>
      </w:pPr>
    </w:p>
    <w:p w14:paraId="21240367" w14:textId="77777777" w:rsidR="00E058DB" w:rsidRPr="007C37B0" w:rsidRDefault="00E058DB" w:rsidP="00E058DB">
      <w:pPr>
        <w:ind w:firstLine="720"/>
        <w:rPr>
          <w:color w:val="000000" w:themeColor="text1"/>
          <w:lang w:val="en-US"/>
        </w:rPr>
      </w:pPr>
      <w:r w:rsidRPr="007C37B0">
        <w:rPr>
          <w:i/>
          <w:color w:val="000000" w:themeColor="text1"/>
          <w:lang w:val="en-US"/>
        </w:rPr>
        <w:t xml:space="preserve">Number of shareholder complaints in the industry. </w:t>
      </w:r>
      <w:r w:rsidRPr="007C37B0">
        <w:rPr>
          <w:color w:val="000000" w:themeColor="text1"/>
          <w:lang w:val="en-US"/>
        </w:rPr>
        <w:t>We also test whether the number of shareholder complaints submitted in a firm’s two-digit SIC industry confound</w:t>
      </w:r>
      <w:r>
        <w:rPr>
          <w:color w:val="000000" w:themeColor="text1"/>
          <w:lang w:val="en-US"/>
        </w:rPr>
        <w:t>s</w:t>
      </w:r>
      <w:r w:rsidRPr="007C37B0">
        <w:rPr>
          <w:color w:val="000000" w:themeColor="text1"/>
          <w:lang w:val="en-US"/>
        </w:rPr>
        <w:t xml:space="preserve"> our results and include an additional variable measured as the log-transformed number of industry shareholder complaints. We find this variable to be insignificant in </w:t>
      </w:r>
      <w:r>
        <w:rPr>
          <w:color w:val="000000" w:themeColor="text1"/>
          <w:lang w:val="en-US"/>
        </w:rPr>
        <w:t>estimating Equation 2</w:t>
      </w:r>
      <w:r w:rsidRPr="007C37B0">
        <w:rPr>
          <w:color w:val="000000" w:themeColor="text1"/>
          <w:lang w:val="en-US"/>
        </w:rPr>
        <w:t xml:space="preserve">. </w:t>
      </w:r>
    </w:p>
    <w:p w14:paraId="7DA35A09" w14:textId="77777777" w:rsidR="00E058DB" w:rsidRPr="007C37B0" w:rsidRDefault="00E058DB" w:rsidP="00E058DB">
      <w:pPr>
        <w:rPr>
          <w:color w:val="000000" w:themeColor="text1"/>
          <w:lang w:val="en-US"/>
        </w:rPr>
      </w:pPr>
    </w:p>
    <w:p w14:paraId="7EC20061" w14:textId="77777777" w:rsidR="00E058DB" w:rsidRPr="007C37B0" w:rsidRDefault="00E058DB" w:rsidP="00E058DB">
      <w:pPr>
        <w:rPr>
          <w:b/>
          <w:color w:val="000000" w:themeColor="text1"/>
          <w:lang w:val="en-US"/>
        </w:rPr>
      </w:pPr>
      <w:r w:rsidRPr="007C37B0">
        <w:rPr>
          <w:b/>
          <w:color w:val="000000" w:themeColor="text1"/>
          <w:lang w:val="en-US"/>
        </w:rPr>
        <w:t>D4. Unit of analysis</w:t>
      </w:r>
    </w:p>
    <w:p w14:paraId="739585D7" w14:textId="77777777" w:rsidR="00E058DB" w:rsidRPr="007C37B0" w:rsidRDefault="00E058DB" w:rsidP="00E058DB">
      <w:pPr>
        <w:rPr>
          <w:color w:val="000000" w:themeColor="text1"/>
          <w:lang w:val="en-US"/>
        </w:rPr>
      </w:pPr>
      <w:r w:rsidRPr="007C37B0">
        <w:rPr>
          <w:color w:val="000000" w:themeColor="text1"/>
          <w:lang w:val="en-US"/>
        </w:rPr>
        <w:tab/>
        <w:t>We replicate our findings at even stronger statistical significance levels when we move to a quarterly level of analysis. Given the challenge of aligning annual shareholder complaint data with quarterly advertising investments and firm value data, we nevertheless focus on annual data in our main analyses.</w:t>
      </w:r>
    </w:p>
    <w:p w14:paraId="4A3C8C01" w14:textId="77777777" w:rsidR="00E058DB" w:rsidRPr="007C37B0" w:rsidRDefault="00E058DB" w:rsidP="00E058DB">
      <w:pPr>
        <w:rPr>
          <w:b/>
          <w:color w:val="000000" w:themeColor="text1"/>
          <w:lang w:val="en-US"/>
        </w:rPr>
      </w:pPr>
    </w:p>
    <w:p w14:paraId="0FD3E8CB" w14:textId="77777777" w:rsidR="00E058DB" w:rsidRPr="007C37B0" w:rsidRDefault="00E058DB" w:rsidP="00E058DB">
      <w:pPr>
        <w:rPr>
          <w:b/>
          <w:color w:val="000000" w:themeColor="text1"/>
          <w:lang w:val="en-US"/>
        </w:rPr>
      </w:pPr>
    </w:p>
    <w:p w14:paraId="4F9672D6" w14:textId="77777777" w:rsidR="00E058DB" w:rsidRPr="007C37B0" w:rsidRDefault="00E058DB" w:rsidP="00E058DB">
      <w:pPr>
        <w:rPr>
          <w:b/>
          <w:color w:val="000000" w:themeColor="text1"/>
          <w:lang w:val="en-US"/>
        </w:rPr>
      </w:pPr>
    </w:p>
    <w:p w14:paraId="59C05355" w14:textId="77777777" w:rsidR="00E058DB" w:rsidRPr="007C37B0" w:rsidRDefault="00E058DB" w:rsidP="00E058DB">
      <w:pPr>
        <w:rPr>
          <w:b/>
          <w:color w:val="000000" w:themeColor="text1"/>
          <w:lang w:val="en-US"/>
        </w:rPr>
      </w:pPr>
    </w:p>
    <w:p w14:paraId="4249CAAE" w14:textId="77777777" w:rsidR="00E058DB" w:rsidRPr="007C37B0" w:rsidRDefault="00E058DB" w:rsidP="00E058DB">
      <w:pPr>
        <w:rPr>
          <w:b/>
          <w:color w:val="000000" w:themeColor="text1"/>
          <w:lang w:val="en-US"/>
        </w:rPr>
      </w:pPr>
    </w:p>
    <w:p w14:paraId="23F15725" w14:textId="77777777" w:rsidR="00E058DB" w:rsidRPr="007C37B0" w:rsidRDefault="00E058DB" w:rsidP="00E058DB">
      <w:pPr>
        <w:rPr>
          <w:b/>
          <w:color w:val="000000" w:themeColor="text1"/>
          <w:lang w:val="en-US"/>
        </w:rPr>
      </w:pPr>
    </w:p>
    <w:p w14:paraId="7CA8E96D" w14:textId="77777777" w:rsidR="00E058DB" w:rsidRPr="007C37B0" w:rsidRDefault="00E058DB" w:rsidP="00E058DB">
      <w:pPr>
        <w:rPr>
          <w:b/>
          <w:color w:val="000000" w:themeColor="text1"/>
          <w:lang w:val="en-US"/>
        </w:rPr>
      </w:pPr>
    </w:p>
    <w:p w14:paraId="770FE345" w14:textId="77777777" w:rsidR="00E058DB" w:rsidRPr="007C37B0" w:rsidRDefault="00E058DB" w:rsidP="00E058DB">
      <w:pPr>
        <w:rPr>
          <w:b/>
          <w:color w:val="000000" w:themeColor="text1"/>
          <w:lang w:val="en-US"/>
        </w:rPr>
      </w:pPr>
    </w:p>
    <w:p w14:paraId="378EC4D4" w14:textId="77777777" w:rsidR="00E058DB" w:rsidRPr="007C37B0" w:rsidRDefault="00E058DB" w:rsidP="00E058DB">
      <w:pPr>
        <w:rPr>
          <w:b/>
          <w:color w:val="000000" w:themeColor="text1"/>
          <w:lang w:val="en-US"/>
        </w:rPr>
      </w:pPr>
      <w:r w:rsidRPr="007C37B0">
        <w:rPr>
          <w:b/>
          <w:color w:val="000000" w:themeColor="text1"/>
          <w:lang w:val="en-US"/>
        </w:rPr>
        <w:tab/>
      </w:r>
    </w:p>
    <w:p w14:paraId="7B21CF1B" w14:textId="77777777" w:rsidR="00E058DB" w:rsidRPr="007C37B0" w:rsidRDefault="00E058DB" w:rsidP="00E058DB">
      <w:pPr>
        <w:rPr>
          <w:b/>
          <w:color w:val="000000" w:themeColor="text1"/>
          <w:lang w:val="en-US"/>
        </w:rPr>
      </w:pPr>
      <w:r w:rsidRPr="007C37B0">
        <w:rPr>
          <w:b/>
          <w:color w:val="000000" w:themeColor="text1"/>
          <w:lang w:val="en-US"/>
        </w:rPr>
        <w:br w:type="page"/>
      </w:r>
    </w:p>
    <w:p w14:paraId="5B1333B2" w14:textId="77777777" w:rsidR="00E058DB" w:rsidRPr="007C37B0" w:rsidRDefault="00E058DB" w:rsidP="00E058DB">
      <w:pPr>
        <w:jc w:val="center"/>
        <w:rPr>
          <w:caps/>
          <w:color w:val="000000" w:themeColor="text1"/>
          <w:u w:color="000000"/>
          <w:lang w:val="en-US"/>
        </w:rPr>
      </w:pPr>
      <w:r w:rsidRPr="007C37B0">
        <w:rPr>
          <w:b/>
          <w:caps/>
          <w:color w:val="000000" w:themeColor="text1"/>
          <w:u w:color="000000"/>
          <w:lang w:val="en-US"/>
        </w:rPr>
        <w:lastRenderedPageBreak/>
        <w:t>Table D1: Advertising Investment Response (Share of Voice)</w:t>
      </w:r>
    </w:p>
    <w:p w14:paraId="0AB31B4B" w14:textId="77777777" w:rsidR="00E058DB" w:rsidRDefault="00E058DB" w:rsidP="00E058DB">
      <w:pPr>
        <w:rPr>
          <w:color w:val="000000" w:themeColor="text1"/>
          <w:lang w:val="en-US"/>
        </w:rPr>
      </w:pPr>
    </w:p>
    <w:tbl>
      <w:tblPr>
        <w:tblW w:w="10011" w:type="dxa"/>
        <w:jc w:val="center"/>
        <w:tblLayout w:type="fixed"/>
        <w:tblCellMar>
          <w:left w:w="75" w:type="dxa"/>
          <w:right w:w="75" w:type="dxa"/>
        </w:tblCellMar>
        <w:tblLook w:val="0000" w:firstRow="0" w:lastRow="0" w:firstColumn="0" w:lastColumn="0" w:noHBand="0" w:noVBand="0"/>
      </w:tblPr>
      <w:tblGrid>
        <w:gridCol w:w="6555"/>
        <w:gridCol w:w="3456"/>
      </w:tblGrid>
      <w:tr w:rsidR="00E058DB" w:rsidRPr="00064F56" w14:paraId="7A65EC6D" w14:textId="77777777" w:rsidTr="00D15FF7">
        <w:trPr>
          <w:jc w:val="center"/>
        </w:trPr>
        <w:tc>
          <w:tcPr>
            <w:tcW w:w="6555" w:type="dxa"/>
            <w:tcBorders>
              <w:top w:val="single" w:sz="6" w:space="0" w:color="auto"/>
              <w:left w:val="nil"/>
              <w:bottom w:val="nil"/>
              <w:right w:val="nil"/>
            </w:tcBorders>
          </w:tcPr>
          <w:p w14:paraId="142AC7BE" w14:textId="77777777" w:rsidR="00E058DB" w:rsidRPr="007C37B0" w:rsidRDefault="00E058DB" w:rsidP="00D15FF7">
            <w:pPr>
              <w:widowControl w:val="0"/>
              <w:autoSpaceDE w:val="0"/>
              <w:autoSpaceDN w:val="0"/>
              <w:adjustRightInd w:val="0"/>
              <w:rPr>
                <w:b/>
                <w:color w:val="000000" w:themeColor="text1"/>
                <w:lang w:val="en-US"/>
              </w:rPr>
            </w:pPr>
          </w:p>
        </w:tc>
        <w:tc>
          <w:tcPr>
            <w:tcW w:w="3456" w:type="dxa"/>
            <w:tcBorders>
              <w:top w:val="single" w:sz="6" w:space="0" w:color="auto"/>
              <w:left w:val="nil"/>
              <w:bottom w:val="nil"/>
              <w:right w:val="nil"/>
            </w:tcBorders>
          </w:tcPr>
          <w:p w14:paraId="483D800A" w14:textId="77777777" w:rsidR="00E058DB" w:rsidRPr="007C37B0" w:rsidRDefault="00E058DB" w:rsidP="00D15FF7">
            <w:pPr>
              <w:widowControl w:val="0"/>
              <w:autoSpaceDE w:val="0"/>
              <w:autoSpaceDN w:val="0"/>
              <w:adjustRightInd w:val="0"/>
              <w:jc w:val="center"/>
              <w:rPr>
                <w:b/>
                <w:color w:val="000000" w:themeColor="text1"/>
                <w:lang w:val="en-US"/>
              </w:rPr>
            </w:pPr>
            <w:r w:rsidRPr="007C37B0">
              <w:rPr>
                <w:b/>
                <w:color w:val="000000" w:themeColor="text1"/>
                <w:lang w:val="en-US"/>
              </w:rPr>
              <w:t>Advertising investments</w:t>
            </w:r>
          </w:p>
        </w:tc>
      </w:tr>
      <w:tr w:rsidR="00E058DB" w:rsidRPr="00FB6512" w14:paraId="793A2621" w14:textId="77777777" w:rsidTr="00D15FF7">
        <w:trPr>
          <w:jc w:val="center"/>
        </w:trPr>
        <w:tc>
          <w:tcPr>
            <w:tcW w:w="6555" w:type="dxa"/>
            <w:tcBorders>
              <w:top w:val="nil"/>
              <w:left w:val="nil"/>
              <w:bottom w:val="single" w:sz="6" w:space="0" w:color="auto"/>
              <w:right w:val="nil"/>
            </w:tcBorders>
          </w:tcPr>
          <w:p w14:paraId="332C07E9" w14:textId="77777777" w:rsidR="00E058DB" w:rsidRPr="007C37B0" w:rsidRDefault="00E058DB" w:rsidP="00D15FF7">
            <w:pPr>
              <w:widowControl w:val="0"/>
              <w:autoSpaceDE w:val="0"/>
              <w:autoSpaceDN w:val="0"/>
              <w:adjustRightInd w:val="0"/>
              <w:rPr>
                <w:b/>
                <w:color w:val="000000" w:themeColor="text1"/>
                <w:lang w:val="en-US"/>
              </w:rPr>
            </w:pPr>
          </w:p>
        </w:tc>
        <w:tc>
          <w:tcPr>
            <w:tcW w:w="3456" w:type="dxa"/>
            <w:tcBorders>
              <w:top w:val="nil"/>
              <w:left w:val="nil"/>
              <w:bottom w:val="single" w:sz="6" w:space="0" w:color="auto"/>
              <w:right w:val="nil"/>
            </w:tcBorders>
          </w:tcPr>
          <w:p w14:paraId="3B38484B" w14:textId="77777777" w:rsidR="00E058DB" w:rsidRPr="007C37B0" w:rsidRDefault="00E058DB" w:rsidP="00D15FF7">
            <w:pPr>
              <w:widowControl w:val="0"/>
              <w:autoSpaceDE w:val="0"/>
              <w:autoSpaceDN w:val="0"/>
              <w:adjustRightInd w:val="0"/>
              <w:jc w:val="center"/>
              <w:rPr>
                <w:b/>
                <w:color w:val="000000" w:themeColor="text1"/>
                <w:lang w:val="en-US"/>
              </w:rPr>
            </w:pPr>
            <w:r w:rsidRPr="007C37B0">
              <w:rPr>
                <w:b/>
                <w:color w:val="000000" w:themeColor="text1"/>
                <w:lang w:val="en-US"/>
              </w:rPr>
              <w:t>(</w:t>
            </w:r>
            <w:r w:rsidRPr="007C37B0">
              <w:rPr>
                <w:b/>
                <w:i/>
                <w:color w:val="000000" w:themeColor="text1"/>
                <w:lang w:val="en-US"/>
              </w:rPr>
              <w:t>UAD</w:t>
            </w:r>
            <w:r>
              <w:rPr>
                <w:b/>
                <w:i/>
                <w:color w:val="000000" w:themeColor="text1"/>
                <w:lang w:val="en-US"/>
              </w:rPr>
              <w:t>V_</w:t>
            </w:r>
            <w:r w:rsidRPr="007C37B0">
              <w:rPr>
                <w:b/>
                <w:color w:val="000000" w:themeColor="text1"/>
                <w:lang w:val="en-US"/>
              </w:rPr>
              <w:t>)</w:t>
            </w:r>
          </w:p>
        </w:tc>
      </w:tr>
      <w:tr w:rsidR="00E058DB" w:rsidRPr="00FB6512" w14:paraId="727A3360" w14:textId="77777777" w:rsidTr="00D15FF7">
        <w:trPr>
          <w:jc w:val="center"/>
        </w:trPr>
        <w:tc>
          <w:tcPr>
            <w:tcW w:w="6555" w:type="dxa"/>
            <w:tcBorders>
              <w:top w:val="nil"/>
              <w:left w:val="nil"/>
              <w:bottom w:val="nil"/>
              <w:right w:val="nil"/>
            </w:tcBorders>
          </w:tcPr>
          <w:p w14:paraId="46D5CBBB"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12F595A2" w14:textId="77777777" w:rsidR="00E058DB" w:rsidRPr="00064F56" w:rsidRDefault="00E058DB" w:rsidP="00D15FF7">
            <w:pPr>
              <w:widowControl w:val="0"/>
              <w:autoSpaceDE w:val="0"/>
              <w:autoSpaceDN w:val="0"/>
              <w:adjustRightInd w:val="0"/>
              <w:jc w:val="center"/>
              <w:rPr>
                <w:color w:val="000000" w:themeColor="text1"/>
                <w:lang w:val="en-US"/>
              </w:rPr>
            </w:pPr>
          </w:p>
        </w:tc>
      </w:tr>
      <w:tr w:rsidR="00E058DB" w:rsidRPr="00FB6512" w14:paraId="10D8D534" w14:textId="77777777" w:rsidTr="00D15FF7">
        <w:trPr>
          <w:jc w:val="center"/>
        </w:trPr>
        <w:tc>
          <w:tcPr>
            <w:tcW w:w="6555" w:type="dxa"/>
            <w:tcBorders>
              <w:top w:val="nil"/>
              <w:left w:val="nil"/>
              <w:bottom w:val="nil"/>
              <w:right w:val="nil"/>
            </w:tcBorders>
          </w:tcPr>
          <w:p w14:paraId="5511EDAC"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complaints</w:t>
            </w:r>
            <w:r>
              <w:rPr>
                <w:color w:val="000000" w:themeColor="text1"/>
                <w:lang w:val="en-US"/>
              </w:rPr>
              <w:t xml:space="preserve"> (</w:t>
            </w:r>
            <w:r w:rsidRPr="00064F56">
              <w:rPr>
                <w:i/>
                <w:color w:val="000000" w:themeColor="text1"/>
                <w:lang w:val="en-US"/>
              </w:rPr>
              <w:t>SHC</w:t>
            </w:r>
            <w:r>
              <w:rPr>
                <w:color w:val="000000" w:themeColor="text1"/>
                <w:lang w:val="en-US"/>
              </w:rPr>
              <w:t xml:space="preserve">) </w:t>
            </w:r>
          </w:p>
        </w:tc>
        <w:tc>
          <w:tcPr>
            <w:tcW w:w="3456" w:type="dxa"/>
            <w:tcBorders>
              <w:top w:val="nil"/>
              <w:left w:val="nil"/>
              <w:bottom w:val="nil"/>
              <w:right w:val="nil"/>
            </w:tcBorders>
          </w:tcPr>
          <w:p w14:paraId="2BD7CCCE"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0102***</w:t>
            </w:r>
          </w:p>
        </w:tc>
      </w:tr>
      <w:tr w:rsidR="00E058DB" w:rsidRPr="00FB6512" w14:paraId="0E3DBC67" w14:textId="77777777" w:rsidTr="00D15FF7">
        <w:trPr>
          <w:jc w:val="center"/>
        </w:trPr>
        <w:tc>
          <w:tcPr>
            <w:tcW w:w="6555" w:type="dxa"/>
            <w:tcBorders>
              <w:top w:val="nil"/>
              <w:left w:val="nil"/>
              <w:bottom w:val="nil"/>
              <w:right w:val="nil"/>
            </w:tcBorders>
          </w:tcPr>
          <w:p w14:paraId="6977E19D"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371726F1"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002)</w:t>
            </w:r>
          </w:p>
        </w:tc>
      </w:tr>
      <w:tr w:rsidR="00E058DB" w:rsidRPr="00FB6512" w14:paraId="353E9E4C" w14:textId="77777777" w:rsidTr="00D15FF7">
        <w:trPr>
          <w:jc w:val="center"/>
        </w:trPr>
        <w:tc>
          <w:tcPr>
            <w:tcW w:w="6555" w:type="dxa"/>
            <w:tcBorders>
              <w:top w:val="nil"/>
              <w:left w:val="nil"/>
              <w:bottom w:val="nil"/>
              <w:right w:val="nil"/>
            </w:tcBorders>
          </w:tcPr>
          <w:p w14:paraId="71716E84"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 xml:space="preserve">Shareholder complaints </w:t>
            </w:r>
            <w:r>
              <w:rPr>
                <w:color w:val="000000" w:themeColor="text1"/>
                <w:lang w:val="en-US"/>
              </w:rPr>
              <w:t>(</w:t>
            </w:r>
            <w:r w:rsidRPr="006A4731">
              <w:rPr>
                <w:i/>
                <w:color w:val="000000" w:themeColor="text1"/>
                <w:lang w:val="en-US"/>
              </w:rPr>
              <w:t>SHC</w:t>
            </w:r>
            <w:r>
              <w:rPr>
                <w:color w:val="000000" w:themeColor="text1"/>
                <w:lang w:val="en-US"/>
              </w:rPr>
              <w:t xml:space="preserve">) </w:t>
            </w:r>
            <w:r w:rsidRPr="00064F56">
              <w:rPr>
                <w:color w:val="000000" w:themeColor="text1"/>
                <w:lang w:val="en-US"/>
              </w:rPr>
              <w:t xml:space="preserve">* Institutional submitter </w:t>
            </w:r>
            <w:r>
              <w:rPr>
                <w:color w:val="000000" w:themeColor="text1"/>
                <w:lang w:val="en-US"/>
              </w:rPr>
              <w:t>(</w:t>
            </w:r>
            <w:r w:rsidRPr="00064F56">
              <w:rPr>
                <w:i/>
                <w:color w:val="000000" w:themeColor="text1"/>
                <w:lang w:val="en-US"/>
              </w:rPr>
              <w:t>INST</w:t>
            </w:r>
            <w:r>
              <w:rPr>
                <w:color w:val="000000" w:themeColor="text1"/>
                <w:lang w:val="en-US"/>
              </w:rPr>
              <w:t>)</w:t>
            </w:r>
          </w:p>
        </w:tc>
        <w:tc>
          <w:tcPr>
            <w:tcW w:w="3456" w:type="dxa"/>
            <w:tcBorders>
              <w:top w:val="nil"/>
              <w:left w:val="nil"/>
              <w:bottom w:val="nil"/>
              <w:right w:val="nil"/>
            </w:tcBorders>
          </w:tcPr>
          <w:p w14:paraId="27A9B983"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0405***</w:t>
            </w:r>
          </w:p>
        </w:tc>
      </w:tr>
      <w:tr w:rsidR="00E058DB" w:rsidRPr="00FB6512" w14:paraId="4EC2CCAE" w14:textId="77777777" w:rsidTr="00D15FF7">
        <w:trPr>
          <w:jc w:val="center"/>
        </w:trPr>
        <w:tc>
          <w:tcPr>
            <w:tcW w:w="6555" w:type="dxa"/>
            <w:tcBorders>
              <w:top w:val="nil"/>
              <w:left w:val="nil"/>
              <w:bottom w:val="nil"/>
              <w:right w:val="nil"/>
            </w:tcBorders>
          </w:tcPr>
          <w:p w14:paraId="3E4B9CEE"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75D02FB3"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009)</w:t>
            </w:r>
          </w:p>
        </w:tc>
      </w:tr>
      <w:tr w:rsidR="00E058DB" w:rsidRPr="00FB6512" w14:paraId="2260D165" w14:textId="77777777" w:rsidTr="00D15FF7">
        <w:trPr>
          <w:jc w:val="center"/>
        </w:trPr>
        <w:tc>
          <w:tcPr>
            <w:tcW w:w="6555" w:type="dxa"/>
            <w:tcBorders>
              <w:top w:val="nil"/>
              <w:left w:val="nil"/>
              <w:bottom w:val="nil"/>
              <w:right w:val="nil"/>
            </w:tcBorders>
          </w:tcPr>
          <w:p w14:paraId="2233035C"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 xml:space="preserve">Shareholder complaints </w:t>
            </w:r>
            <w:r>
              <w:rPr>
                <w:color w:val="000000" w:themeColor="text1"/>
                <w:lang w:val="en-US"/>
              </w:rPr>
              <w:t>(</w:t>
            </w:r>
            <w:r w:rsidRPr="006A4731">
              <w:rPr>
                <w:i/>
                <w:color w:val="000000" w:themeColor="text1"/>
                <w:lang w:val="en-US"/>
              </w:rPr>
              <w:t>SHC</w:t>
            </w:r>
            <w:r>
              <w:rPr>
                <w:color w:val="000000" w:themeColor="text1"/>
                <w:lang w:val="en-US"/>
              </w:rPr>
              <w:t xml:space="preserve">) </w:t>
            </w:r>
            <w:r w:rsidRPr="00064F56">
              <w:rPr>
                <w:color w:val="000000" w:themeColor="text1"/>
                <w:lang w:val="en-US"/>
              </w:rPr>
              <w:t>* Nonfinancial type</w:t>
            </w:r>
            <w:r>
              <w:rPr>
                <w:color w:val="000000" w:themeColor="text1"/>
                <w:lang w:val="en-US"/>
              </w:rPr>
              <w:t xml:space="preserve"> (</w:t>
            </w:r>
            <w:r w:rsidRPr="00064F56">
              <w:rPr>
                <w:i/>
                <w:color w:val="000000" w:themeColor="text1"/>
                <w:lang w:val="en-US"/>
              </w:rPr>
              <w:t>NONFIN</w:t>
            </w:r>
            <w:r>
              <w:rPr>
                <w:color w:val="000000" w:themeColor="text1"/>
                <w:lang w:val="en-US"/>
              </w:rPr>
              <w:t>)</w:t>
            </w:r>
          </w:p>
        </w:tc>
        <w:tc>
          <w:tcPr>
            <w:tcW w:w="3456" w:type="dxa"/>
            <w:tcBorders>
              <w:top w:val="nil"/>
              <w:left w:val="nil"/>
              <w:bottom w:val="nil"/>
              <w:right w:val="nil"/>
            </w:tcBorders>
          </w:tcPr>
          <w:p w14:paraId="1A14933A"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0179***</w:t>
            </w:r>
          </w:p>
        </w:tc>
      </w:tr>
      <w:tr w:rsidR="00E058DB" w:rsidRPr="00FB6512" w14:paraId="76BB0539" w14:textId="77777777" w:rsidTr="00D15FF7">
        <w:trPr>
          <w:jc w:val="center"/>
        </w:trPr>
        <w:tc>
          <w:tcPr>
            <w:tcW w:w="6555" w:type="dxa"/>
            <w:tcBorders>
              <w:top w:val="nil"/>
              <w:left w:val="nil"/>
              <w:bottom w:val="nil"/>
              <w:right w:val="nil"/>
            </w:tcBorders>
          </w:tcPr>
          <w:p w14:paraId="774DC171"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7D02FD44"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004)</w:t>
            </w:r>
          </w:p>
        </w:tc>
      </w:tr>
      <w:tr w:rsidR="00E058DB" w:rsidRPr="00FB6512" w14:paraId="6E4CCF00" w14:textId="77777777" w:rsidTr="00D15FF7">
        <w:trPr>
          <w:jc w:val="center"/>
        </w:trPr>
        <w:tc>
          <w:tcPr>
            <w:tcW w:w="6555" w:type="dxa"/>
            <w:tcBorders>
              <w:top w:val="nil"/>
              <w:left w:val="nil"/>
              <w:bottom w:val="nil"/>
              <w:right w:val="nil"/>
            </w:tcBorders>
          </w:tcPr>
          <w:p w14:paraId="7FC44EB8"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 xml:space="preserve">Shareholder complaints </w:t>
            </w:r>
            <w:r>
              <w:rPr>
                <w:color w:val="000000" w:themeColor="text1"/>
                <w:lang w:val="en-US"/>
              </w:rPr>
              <w:t>(</w:t>
            </w:r>
            <w:r w:rsidRPr="006A4731">
              <w:rPr>
                <w:i/>
                <w:color w:val="000000" w:themeColor="text1"/>
                <w:lang w:val="en-US"/>
              </w:rPr>
              <w:t>SHC</w:t>
            </w:r>
            <w:r>
              <w:rPr>
                <w:color w:val="000000" w:themeColor="text1"/>
                <w:lang w:val="en-US"/>
              </w:rPr>
              <w:t xml:space="preserve">) </w:t>
            </w:r>
            <w:r w:rsidRPr="00064F56">
              <w:rPr>
                <w:color w:val="000000" w:themeColor="text1"/>
                <w:lang w:val="en-US"/>
              </w:rPr>
              <w:t>* Topic media attention</w:t>
            </w:r>
            <w:r>
              <w:rPr>
                <w:color w:val="000000" w:themeColor="text1"/>
                <w:lang w:val="en-US"/>
              </w:rPr>
              <w:t xml:space="preserve"> (</w:t>
            </w:r>
            <w:r w:rsidRPr="00064F56">
              <w:rPr>
                <w:i/>
                <w:color w:val="000000" w:themeColor="text1"/>
                <w:lang w:val="en-US"/>
              </w:rPr>
              <w:t>MEDIA</w:t>
            </w:r>
            <w:r>
              <w:rPr>
                <w:color w:val="000000" w:themeColor="text1"/>
                <w:lang w:val="en-US"/>
              </w:rPr>
              <w:t>)</w:t>
            </w:r>
          </w:p>
        </w:tc>
        <w:tc>
          <w:tcPr>
            <w:tcW w:w="3456" w:type="dxa"/>
            <w:tcBorders>
              <w:top w:val="nil"/>
              <w:left w:val="nil"/>
              <w:bottom w:val="nil"/>
              <w:right w:val="nil"/>
            </w:tcBorders>
          </w:tcPr>
          <w:p w14:paraId="290CE228"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025</w:t>
            </w:r>
            <w:r>
              <w:rPr>
                <w:color w:val="000000" w:themeColor="text1"/>
                <w:lang w:val="en-US"/>
              </w:rPr>
              <w:t>6</w:t>
            </w:r>
            <w:r w:rsidRPr="00064F56">
              <w:rPr>
                <w:color w:val="000000" w:themeColor="text1"/>
                <w:lang w:val="en-US"/>
              </w:rPr>
              <w:t>***</w:t>
            </w:r>
          </w:p>
        </w:tc>
      </w:tr>
      <w:tr w:rsidR="00E058DB" w:rsidRPr="00FB6512" w14:paraId="3EA70F7E" w14:textId="77777777" w:rsidTr="00D15FF7">
        <w:trPr>
          <w:jc w:val="center"/>
        </w:trPr>
        <w:tc>
          <w:tcPr>
            <w:tcW w:w="6555" w:type="dxa"/>
            <w:tcBorders>
              <w:top w:val="nil"/>
              <w:left w:val="nil"/>
              <w:bottom w:val="nil"/>
              <w:right w:val="nil"/>
            </w:tcBorders>
          </w:tcPr>
          <w:p w14:paraId="13AE353A"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1D3CC039"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03</w:t>
            </w:r>
            <w:r>
              <w:rPr>
                <w:color w:val="000000" w:themeColor="text1"/>
                <w:lang w:val="en-US"/>
              </w:rPr>
              <w:t>0</w:t>
            </w:r>
            <w:r w:rsidRPr="00064F56">
              <w:rPr>
                <w:color w:val="000000" w:themeColor="text1"/>
                <w:lang w:val="en-US"/>
              </w:rPr>
              <w:t>)</w:t>
            </w:r>
          </w:p>
        </w:tc>
      </w:tr>
      <w:tr w:rsidR="00E058DB" w:rsidRPr="00FB6512" w14:paraId="349E495C" w14:textId="77777777" w:rsidTr="00D15FF7">
        <w:trPr>
          <w:jc w:val="center"/>
        </w:trPr>
        <w:tc>
          <w:tcPr>
            <w:tcW w:w="6555" w:type="dxa"/>
            <w:tcBorders>
              <w:top w:val="nil"/>
              <w:left w:val="nil"/>
              <w:bottom w:val="nil"/>
              <w:right w:val="nil"/>
            </w:tcBorders>
          </w:tcPr>
          <w:p w14:paraId="2A0A24E0"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 institutional submitter</w:t>
            </w:r>
            <w:r>
              <w:rPr>
                <w:color w:val="000000" w:themeColor="text1"/>
                <w:lang w:val="en-US"/>
              </w:rPr>
              <w:t xml:space="preserve"> (</w:t>
            </w:r>
            <w:r w:rsidRPr="006A4731">
              <w:rPr>
                <w:i/>
                <w:color w:val="000000" w:themeColor="text1"/>
                <w:lang w:val="en-US"/>
              </w:rPr>
              <w:t>INST</w:t>
            </w:r>
            <w:r>
              <w:rPr>
                <w:color w:val="000000" w:themeColor="text1"/>
                <w:lang w:val="en-US"/>
              </w:rPr>
              <w:t>)</w:t>
            </w:r>
          </w:p>
        </w:tc>
        <w:tc>
          <w:tcPr>
            <w:tcW w:w="3456" w:type="dxa"/>
            <w:tcBorders>
              <w:top w:val="nil"/>
              <w:left w:val="nil"/>
              <w:bottom w:val="nil"/>
              <w:right w:val="nil"/>
            </w:tcBorders>
          </w:tcPr>
          <w:p w14:paraId="62355F85"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0306***</w:t>
            </w:r>
          </w:p>
        </w:tc>
      </w:tr>
      <w:tr w:rsidR="00E058DB" w:rsidRPr="00FB6512" w14:paraId="0ACC6E85" w14:textId="77777777" w:rsidTr="00D15FF7">
        <w:trPr>
          <w:jc w:val="center"/>
        </w:trPr>
        <w:tc>
          <w:tcPr>
            <w:tcW w:w="6555" w:type="dxa"/>
            <w:tcBorders>
              <w:top w:val="nil"/>
              <w:left w:val="nil"/>
              <w:bottom w:val="nil"/>
              <w:right w:val="nil"/>
            </w:tcBorders>
          </w:tcPr>
          <w:p w14:paraId="3771124F"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07D829E8"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007)</w:t>
            </w:r>
          </w:p>
        </w:tc>
      </w:tr>
      <w:tr w:rsidR="00E058DB" w:rsidRPr="00FB6512" w14:paraId="4E2EDB72" w14:textId="77777777" w:rsidTr="00D15FF7">
        <w:trPr>
          <w:jc w:val="center"/>
        </w:trPr>
        <w:tc>
          <w:tcPr>
            <w:tcW w:w="6555" w:type="dxa"/>
            <w:tcBorders>
              <w:top w:val="nil"/>
              <w:left w:val="nil"/>
              <w:bottom w:val="nil"/>
              <w:right w:val="nil"/>
            </w:tcBorders>
          </w:tcPr>
          <w:p w14:paraId="5FB8917F"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 nonfinancial type</w:t>
            </w:r>
            <w:r>
              <w:rPr>
                <w:color w:val="000000" w:themeColor="text1"/>
                <w:lang w:val="en-US"/>
              </w:rPr>
              <w:t xml:space="preserve"> (</w:t>
            </w:r>
            <w:r w:rsidRPr="00064F56">
              <w:rPr>
                <w:i/>
                <w:color w:val="000000" w:themeColor="text1"/>
                <w:lang w:val="en-US"/>
              </w:rPr>
              <w:t>NONFIN</w:t>
            </w:r>
            <w:r>
              <w:rPr>
                <w:color w:val="000000" w:themeColor="text1"/>
                <w:lang w:val="en-US"/>
              </w:rPr>
              <w:t>)</w:t>
            </w:r>
          </w:p>
        </w:tc>
        <w:tc>
          <w:tcPr>
            <w:tcW w:w="3456" w:type="dxa"/>
            <w:tcBorders>
              <w:top w:val="nil"/>
              <w:left w:val="nil"/>
              <w:bottom w:val="nil"/>
              <w:right w:val="nil"/>
            </w:tcBorders>
          </w:tcPr>
          <w:p w14:paraId="46B2A348"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0159***</w:t>
            </w:r>
          </w:p>
        </w:tc>
      </w:tr>
      <w:tr w:rsidR="00E058DB" w:rsidRPr="00FB6512" w14:paraId="00259BE0" w14:textId="77777777" w:rsidTr="00D15FF7">
        <w:trPr>
          <w:jc w:val="center"/>
        </w:trPr>
        <w:tc>
          <w:tcPr>
            <w:tcW w:w="6555" w:type="dxa"/>
            <w:tcBorders>
              <w:top w:val="nil"/>
              <w:left w:val="nil"/>
              <w:bottom w:val="nil"/>
              <w:right w:val="nil"/>
            </w:tcBorders>
          </w:tcPr>
          <w:p w14:paraId="76A57988"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45343D6F"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004)</w:t>
            </w:r>
          </w:p>
        </w:tc>
      </w:tr>
      <w:tr w:rsidR="00E058DB" w:rsidRPr="00FB6512" w14:paraId="40997AAA" w14:textId="77777777" w:rsidTr="00D15FF7">
        <w:trPr>
          <w:jc w:val="center"/>
        </w:trPr>
        <w:tc>
          <w:tcPr>
            <w:tcW w:w="6555" w:type="dxa"/>
            <w:tcBorders>
              <w:top w:val="nil"/>
              <w:left w:val="nil"/>
              <w:bottom w:val="nil"/>
              <w:right w:val="nil"/>
            </w:tcBorders>
          </w:tcPr>
          <w:p w14:paraId="3DD99DF7"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 topic media attention</w:t>
            </w:r>
            <w:r>
              <w:rPr>
                <w:color w:val="000000" w:themeColor="text1"/>
                <w:lang w:val="en-US"/>
              </w:rPr>
              <w:t xml:space="preserve"> (</w:t>
            </w:r>
            <w:r>
              <w:rPr>
                <w:i/>
                <w:color w:val="000000" w:themeColor="text1"/>
                <w:lang w:val="en-US"/>
              </w:rPr>
              <w:t>MEDIA</w:t>
            </w:r>
            <w:r>
              <w:rPr>
                <w:color w:val="000000" w:themeColor="text1"/>
                <w:lang w:val="en-US"/>
              </w:rPr>
              <w:t>)</w:t>
            </w:r>
          </w:p>
        </w:tc>
        <w:tc>
          <w:tcPr>
            <w:tcW w:w="3456" w:type="dxa"/>
            <w:tcBorders>
              <w:top w:val="nil"/>
              <w:left w:val="nil"/>
              <w:bottom w:val="nil"/>
              <w:right w:val="nil"/>
            </w:tcBorders>
          </w:tcPr>
          <w:p w14:paraId="608DF268"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011</w:t>
            </w:r>
            <w:r>
              <w:rPr>
                <w:color w:val="000000" w:themeColor="text1"/>
                <w:lang w:val="en-US"/>
              </w:rPr>
              <w:t>0</w:t>
            </w:r>
            <w:r w:rsidRPr="00064F56">
              <w:rPr>
                <w:color w:val="000000" w:themeColor="text1"/>
                <w:lang w:val="en-US"/>
              </w:rPr>
              <w:t>***</w:t>
            </w:r>
          </w:p>
        </w:tc>
      </w:tr>
      <w:tr w:rsidR="00E058DB" w:rsidRPr="00FB6512" w14:paraId="67B35D20" w14:textId="77777777" w:rsidTr="00D15FF7">
        <w:trPr>
          <w:jc w:val="center"/>
        </w:trPr>
        <w:tc>
          <w:tcPr>
            <w:tcW w:w="6555" w:type="dxa"/>
            <w:tcBorders>
              <w:top w:val="nil"/>
              <w:left w:val="nil"/>
              <w:bottom w:val="nil"/>
              <w:right w:val="nil"/>
            </w:tcBorders>
          </w:tcPr>
          <w:p w14:paraId="5B03A166"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3553B77F"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01</w:t>
            </w:r>
            <w:r>
              <w:rPr>
                <w:color w:val="000000" w:themeColor="text1"/>
                <w:lang w:val="en-US"/>
              </w:rPr>
              <w:t>0</w:t>
            </w:r>
            <w:r w:rsidRPr="00064F56">
              <w:rPr>
                <w:color w:val="000000" w:themeColor="text1"/>
                <w:lang w:val="en-US"/>
              </w:rPr>
              <w:t>)</w:t>
            </w:r>
          </w:p>
        </w:tc>
      </w:tr>
      <w:tr w:rsidR="00E058DB" w:rsidRPr="00FB6512" w14:paraId="5DF7FCE3" w14:textId="77777777" w:rsidTr="00D15FF7">
        <w:trPr>
          <w:jc w:val="center"/>
        </w:trPr>
        <w:tc>
          <w:tcPr>
            <w:tcW w:w="6555" w:type="dxa"/>
            <w:tcBorders>
              <w:top w:val="nil"/>
              <w:left w:val="nil"/>
              <w:bottom w:val="nil"/>
              <w:right w:val="nil"/>
            </w:tcBorders>
          </w:tcPr>
          <w:p w14:paraId="6708743B"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complaints excluded</w:t>
            </w:r>
          </w:p>
        </w:tc>
        <w:tc>
          <w:tcPr>
            <w:tcW w:w="3456" w:type="dxa"/>
            <w:tcBorders>
              <w:top w:val="nil"/>
              <w:left w:val="nil"/>
              <w:bottom w:val="nil"/>
              <w:right w:val="nil"/>
            </w:tcBorders>
          </w:tcPr>
          <w:p w14:paraId="4A5FF2F2"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0029*</w:t>
            </w:r>
          </w:p>
        </w:tc>
      </w:tr>
      <w:tr w:rsidR="00E058DB" w:rsidRPr="00FB6512" w14:paraId="03EDBCF9" w14:textId="77777777" w:rsidTr="00D15FF7">
        <w:trPr>
          <w:jc w:val="center"/>
        </w:trPr>
        <w:tc>
          <w:tcPr>
            <w:tcW w:w="6555" w:type="dxa"/>
            <w:tcBorders>
              <w:top w:val="nil"/>
              <w:left w:val="nil"/>
              <w:bottom w:val="nil"/>
              <w:right w:val="nil"/>
            </w:tcBorders>
          </w:tcPr>
          <w:p w14:paraId="0DAD7B8A"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53692643"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002)</w:t>
            </w:r>
          </w:p>
        </w:tc>
      </w:tr>
      <w:tr w:rsidR="00E058DB" w:rsidRPr="00FB6512" w14:paraId="7BDCC3B2" w14:textId="77777777" w:rsidTr="00D15FF7">
        <w:trPr>
          <w:jc w:val="center"/>
        </w:trPr>
        <w:tc>
          <w:tcPr>
            <w:tcW w:w="6555" w:type="dxa"/>
            <w:tcBorders>
              <w:top w:val="nil"/>
              <w:left w:val="nil"/>
              <w:bottom w:val="nil"/>
              <w:right w:val="nil"/>
            </w:tcBorders>
          </w:tcPr>
          <w:p w14:paraId="52774DC2"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 voting support</w:t>
            </w:r>
          </w:p>
        </w:tc>
        <w:tc>
          <w:tcPr>
            <w:tcW w:w="3456" w:type="dxa"/>
            <w:tcBorders>
              <w:top w:val="nil"/>
              <w:left w:val="nil"/>
              <w:bottom w:val="nil"/>
              <w:right w:val="nil"/>
            </w:tcBorders>
          </w:tcPr>
          <w:p w14:paraId="45EEF93F"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0029**</w:t>
            </w:r>
          </w:p>
        </w:tc>
      </w:tr>
      <w:tr w:rsidR="00E058DB" w:rsidRPr="00FB6512" w14:paraId="2463C4DA" w14:textId="77777777" w:rsidTr="00D15FF7">
        <w:trPr>
          <w:jc w:val="center"/>
        </w:trPr>
        <w:tc>
          <w:tcPr>
            <w:tcW w:w="6555" w:type="dxa"/>
            <w:tcBorders>
              <w:top w:val="nil"/>
              <w:left w:val="nil"/>
              <w:bottom w:val="nil"/>
              <w:right w:val="nil"/>
            </w:tcBorders>
          </w:tcPr>
          <w:p w14:paraId="5F4C6D63"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120D5432"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002)</w:t>
            </w:r>
          </w:p>
        </w:tc>
      </w:tr>
      <w:tr w:rsidR="00E058DB" w:rsidRPr="00FB6512" w14:paraId="75B780F6" w14:textId="77777777" w:rsidTr="00D15FF7">
        <w:trPr>
          <w:jc w:val="center"/>
        </w:trPr>
        <w:tc>
          <w:tcPr>
            <w:tcW w:w="6555" w:type="dxa"/>
            <w:tcBorders>
              <w:top w:val="nil"/>
              <w:left w:val="nil"/>
              <w:bottom w:val="nil"/>
              <w:right w:val="nil"/>
            </w:tcBorders>
          </w:tcPr>
          <w:p w14:paraId="2283AC00"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Firm size</w:t>
            </w:r>
          </w:p>
        </w:tc>
        <w:tc>
          <w:tcPr>
            <w:tcW w:w="3456" w:type="dxa"/>
            <w:tcBorders>
              <w:top w:val="nil"/>
              <w:left w:val="nil"/>
              <w:bottom w:val="nil"/>
              <w:right w:val="nil"/>
            </w:tcBorders>
          </w:tcPr>
          <w:p w14:paraId="306A3672"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0000*</w:t>
            </w:r>
          </w:p>
        </w:tc>
      </w:tr>
      <w:tr w:rsidR="00E058DB" w:rsidRPr="00FB6512" w14:paraId="64D3245B" w14:textId="77777777" w:rsidTr="00D15FF7">
        <w:trPr>
          <w:jc w:val="center"/>
        </w:trPr>
        <w:tc>
          <w:tcPr>
            <w:tcW w:w="6555" w:type="dxa"/>
            <w:tcBorders>
              <w:top w:val="nil"/>
              <w:left w:val="nil"/>
              <w:bottom w:val="nil"/>
              <w:right w:val="nil"/>
            </w:tcBorders>
          </w:tcPr>
          <w:p w14:paraId="1BDB5D7F"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499E9BFD"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000)</w:t>
            </w:r>
          </w:p>
        </w:tc>
      </w:tr>
      <w:tr w:rsidR="00E058DB" w:rsidRPr="00FB6512" w14:paraId="30403900" w14:textId="77777777" w:rsidTr="00D15FF7">
        <w:trPr>
          <w:jc w:val="center"/>
        </w:trPr>
        <w:tc>
          <w:tcPr>
            <w:tcW w:w="6555" w:type="dxa"/>
            <w:tcBorders>
              <w:top w:val="nil"/>
              <w:left w:val="nil"/>
              <w:bottom w:val="nil"/>
              <w:right w:val="nil"/>
            </w:tcBorders>
          </w:tcPr>
          <w:p w14:paraId="1326A309"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Cash flows</w:t>
            </w:r>
          </w:p>
        </w:tc>
        <w:tc>
          <w:tcPr>
            <w:tcW w:w="3456" w:type="dxa"/>
            <w:tcBorders>
              <w:top w:val="nil"/>
              <w:left w:val="nil"/>
              <w:bottom w:val="nil"/>
              <w:right w:val="nil"/>
            </w:tcBorders>
          </w:tcPr>
          <w:p w14:paraId="4C4939EE"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0010</w:t>
            </w:r>
          </w:p>
        </w:tc>
      </w:tr>
      <w:tr w:rsidR="00E058DB" w:rsidRPr="00FB6512" w14:paraId="3D78414B" w14:textId="77777777" w:rsidTr="00D15FF7">
        <w:trPr>
          <w:jc w:val="center"/>
        </w:trPr>
        <w:tc>
          <w:tcPr>
            <w:tcW w:w="6555" w:type="dxa"/>
            <w:tcBorders>
              <w:top w:val="nil"/>
              <w:left w:val="nil"/>
              <w:bottom w:val="nil"/>
              <w:right w:val="nil"/>
            </w:tcBorders>
          </w:tcPr>
          <w:p w14:paraId="2AD7912A"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2AE8BBC5"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002)</w:t>
            </w:r>
          </w:p>
        </w:tc>
      </w:tr>
      <w:tr w:rsidR="00E058DB" w:rsidRPr="00FB6512" w14:paraId="45553026" w14:textId="77777777" w:rsidTr="00D15FF7">
        <w:trPr>
          <w:jc w:val="center"/>
        </w:trPr>
        <w:tc>
          <w:tcPr>
            <w:tcW w:w="6555" w:type="dxa"/>
            <w:tcBorders>
              <w:top w:val="nil"/>
              <w:left w:val="nil"/>
              <w:bottom w:val="nil"/>
              <w:right w:val="nil"/>
            </w:tcBorders>
          </w:tcPr>
          <w:p w14:paraId="496DB416"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Stock returns</w:t>
            </w:r>
          </w:p>
        </w:tc>
        <w:tc>
          <w:tcPr>
            <w:tcW w:w="3456" w:type="dxa"/>
            <w:tcBorders>
              <w:top w:val="nil"/>
              <w:left w:val="nil"/>
              <w:bottom w:val="nil"/>
              <w:right w:val="nil"/>
            </w:tcBorders>
          </w:tcPr>
          <w:p w14:paraId="10A281AB"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0072</w:t>
            </w:r>
          </w:p>
        </w:tc>
      </w:tr>
      <w:tr w:rsidR="00E058DB" w:rsidRPr="00FB6512" w14:paraId="651FD572" w14:textId="77777777" w:rsidTr="00D15FF7">
        <w:trPr>
          <w:jc w:val="center"/>
        </w:trPr>
        <w:tc>
          <w:tcPr>
            <w:tcW w:w="6555" w:type="dxa"/>
            <w:tcBorders>
              <w:top w:val="nil"/>
              <w:left w:val="nil"/>
              <w:bottom w:val="nil"/>
              <w:right w:val="nil"/>
            </w:tcBorders>
          </w:tcPr>
          <w:p w14:paraId="7024F007"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54192EA8"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007)</w:t>
            </w:r>
          </w:p>
        </w:tc>
      </w:tr>
      <w:tr w:rsidR="00E058DB" w:rsidRPr="00FB6512" w14:paraId="74EDE676" w14:textId="77777777" w:rsidTr="00D15FF7">
        <w:trPr>
          <w:jc w:val="center"/>
        </w:trPr>
        <w:tc>
          <w:tcPr>
            <w:tcW w:w="6555" w:type="dxa"/>
            <w:tcBorders>
              <w:top w:val="nil"/>
              <w:left w:val="nil"/>
              <w:bottom w:val="nil"/>
              <w:right w:val="nil"/>
            </w:tcBorders>
          </w:tcPr>
          <w:p w14:paraId="114C5E45"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Sales growth</w:t>
            </w:r>
          </w:p>
        </w:tc>
        <w:tc>
          <w:tcPr>
            <w:tcW w:w="3456" w:type="dxa"/>
            <w:tcBorders>
              <w:top w:val="nil"/>
              <w:left w:val="nil"/>
              <w:bottom w:val="nil"/>
              <w:right w:val="nil"/>
            </w:tcBorders>
          </w:tcPr>
          <w:p w14:paraId="39C9271A"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0003</w:t>
            </w:r>
          </w:p>
        </w:tc>
      </w:tr>
      <w:tr w:rsidR="00E058DB" w:rsidRPr="00FB6512" w14:paraId="5BD5BC8E" w14:textId="77777777" w:rsidTr="00D15FF7">
        <w:trPr>
          <w:jc w:val="center"/>
        </w:trPr>
        <w:tc>
          <w:tcPr>
            <w:tcW w:w="6555" w:type="dxa"/>
            <w:tcBorders>
              <w:top w:val="nil"/>
              <w:left w:val="nil"/>
              <w:bottom w:val="nil"/>
              <w:right w:val="nil"/>
            </w:tcBorders>
          </w:tcPr>
          <w:p w14:paraId="65AF2AC9"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0C094CD8"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005)</w:t>
            </w:r>
          </w:p>
        </w:tc>
      </w:tr>
      <w:tr w:rsidR="00E058DB" w:rsidRPr="00FB6512" w14:paraId="4AD5C8DE" w14:textId="77777777" w:rsidTr="00D15FF7">
        <w:trPr>
          <w:jc w:val="center"/>
        </w:trPr>
        <w:tc>
          <w:tcPr>
            <w:tcW w:w="6555" w:type="dxa"/>
            <w:tcBorders>
              <w:top w:val="nil"/>
              <w:left w:val="nil"/>
              <w:bottom w:val="nil"/>
              <w:right w:val="nil"/>
            </w:tcBorders>
          </w:tcPr>
          <w:p w14:paraId="31AF755E"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Financial leverage</w:t>
            </w:r>
          </w:p>
        </w:tc>
        <w:tc>
          <w:tcPr>
            <w:tcW w:w="3456" w:type="dxa"/>
            <w:tcBorders>
              <w:top w:val="nil"/>
              <w:left w:val="nil"/>
              <w:bottom w:val="nil"/>
              <w:right w:val="nil"/>
            </w:tcBorders>
          </w:tcPr>
          <w:p w14:paraId="33367290"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0000</w:t>
            </w:r>
          </w:p>
        </w:tc>
      </w:tr>
      <w:tr w:rsidR="00E058DB" w:rsidRPr="00FB6512" w14:paraId="388E0300" w14:textId="77777777" w:rsidTr="00D15FF7">
        <w:trPr>
          <w:jc w:val="center"/>
        </w:trPr>
        <w:tc>
          <w:tcPr>
            <w:tcW w:w="6555" w:type="dxa"/>
            <w:tcBorders>
              <w:top w:val="nil"/>
              <w:left w:val="nil"/>
              <w:bottom w:val="nil"/>
              <w:right w:val="nil"/>
            </w:tcBorders>
          </w:tcPr>
          <w:p w14:paraId="0687BC3A"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204CACCD"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000)</w:t>
            </w:r>
          </w:p>
        </w:tc>
      </w:tr>
      <w:tr w:rsidR="00E058DB" w:rsidRPr="00FB6512" w14:paraId="060EB48C" w14:textId="77777777" w:rsidTr="00D15FF7">
        <w:trPr>
          <w:jc w:val="center"/>
        </w:trPr>
        <w:tc>
          <w:tcPr>
            <w:tcW w:w="6555" w:type="dxa"/>
            <w:tcBorders>
              <w:top w:val="nil"/>
              <w:left w:val="nil"/>
              <w:bottom w:val="nil"/>
              <w:right w:val="nil"/>
            </w:tcBorders>
          </w:tcPr>
          <w:p w14:paraId="3B15D843"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Constant</w:t>
            </w:r>
          </w:p>
        </w:tc>
        <w:tc>
          <w:tcPr>
            <w:tcW w:w="3456" w:type="dxa"/>
            <w:tcBorders>
              <w:top w:val="nil"/>
              <w:left w:val="nil"/>
              <w:bottom w:val="nil"/>
              <w:right w:val="nil"/>
            </w:tcBorders>
          </w:tcPr>
          <w:p w14:paraId="50166432"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1222***</w:t>
            </w:r>
          </w:p>
        </w:tc>
      </w:tr>
      <w:tr w:rsidR="00E058DB" w:rsidRPr="00FB6512" w14:paraId="33A616D0" w14:textId="77777777" w:rsidTr="00D15FF7">
        <w:trPr>
          <w:jc w:val="center"/>
        </w:trPr>
        <w:tc>
          <w:tcPr>
            <w:tcW w:w="6555" w:type="dxa"/>
            <w:tcBorders>
              <w:top w:val="nil"/>
              <w:left w:val="nil"/>
              <w:bottom w:val="nil"/>
              <w:right w:val="nil"/>
            </w:tcBorders>
          </w:tcPr>
          <w:p w14:paraId="7D31254A"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61707E31"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020)</w:t>
            </w:r>
          </w:p>
        </w:tc>
      </w:tr>
      <w:tr w:rsidR="00E058DB" w:rsidRPr="00FB6512" w14:paraId="2A118628" w14:textId="77777777" w:rsidTr="00D15FF7">
        <w:trPr>
          <w:jc w:val="center"/>
        </w:trPr>
        <w:tc>
          <w:tcPr>
            <w:tcW w:w="6555" w:type="dxa"/>
            <w:tcBorders>
              <w:top w:val="nil"/>
              <w:left w:val="nil"/>
              <w:bottom w:val="nil"/>
              <w:right w:val="nil"/>
            </w:tcBorders>
          </w:tcPr>
          <w:p w14:paraId="05C5EA74"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14C02329" w14:textId="77777777" w:rsidR="00E058DB" w:rsidRPr="00064F56" w:rsidRDefault="00E058DB" w:rsidP="00D15FF7">
            <w:pPr>
              <w:widowControl w:val="0"/>
              <w:autoSpaceDE w:val="0"/>
              <w:autoSpaceDN w:val="0"/>
              <w:adjustRightInd w:val="0"/>
              <w:jc w:val="center"/>
              <w:rPr>
                <w:color w:val="000000" w:themeColor="text1"/>
                <w:lang w:val="en-US"/>
              </w:rPr>
            </w:pPr>
          </w:p>
        </w:tc>
      </w:tr>
      <w:tr w:rsidR="00E058DB" w:rsidRPr="00FB6512" w14:paraId="6A29B7AA" w14:textId="77777777" w:rsidTr="00D15FF7">
        <w:trPr>
          <w:jc w:val="center"/>
        </w:trPr>
        <w:tc>
          <w:tcPr>
            <w:tcW w:w="6555" w:type="dxa"/>
            <w:tcBorders>
              <w:top w:val="nil"/>
              <w:left w:val="nil"/>
              <w:bottom w:val="nil"/>
              <w:right w:val="nil"/>
            </w:tcBorders>
          </w:tcPr>
          <w:p w14:paraId="7D547116"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Observations</w:t>
            </w:r>
          </w:p>
        </w:tc>
        <w:tc>
          <w:tcPr>
            <w:tcW w:w="3456" w:type="dxa"/>
            <w:tcBorders>
              <w:top w:val="nil"/>
              <w:left w:val="nil"/>
              <w:bottom w:val="nil"/>
              <w:right w:val="nil"/>
            </w:tcBorders>
          </w:tcPr>
          <w:p w14:paraId="2B8360EA"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4,428</w:t>
            </w:r>
          </w:p>
        </w:tc>
      </w:tr>
      <w:tr w:rsidR="00E058DB" w:rsidRPr="00FB6512" w14:paraId="200285EF" w14:textId="77777777" w:rsidTr="00D15FF7">
        <w:trPr>
          <w:jc w:val="center"/>
        </w:trPr>
        <w:tc>
          <w:tcPr>
            <w:tcW w:w="6555" w:type="dxa"/>
            <w:tcBorders>
              <w:top w:val="nil"/>
              <w:left w:val="nil"/>
              <w:bottom w:val="nil"/>
              <w:right w:val="nil"/>
            </w:tcBorders>
          </w:tcPr>
          <w:p w14:paraId="5D77D99C"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Adjusted R-squared</w:t>
            </w:r>
          </w:p>
        </w:tc>
        <w:tc>
          <w:tcPr>
            <w:tcW w:w="3456" w:type="dxa"/>
            <w:tcBorders>
              <w:top w:val="nil"/>
              <w:left w:val="nil"/>
              <w:bottom w:val="nil"/>
              <w:right w:val="nil"/>
            </w:tcBorders>
          </w:tcPr>
          <w:p w14:paraId="59E4223E"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060</w:t>
            </w:r>
          </w:p>
        </w:tc>
      </w:tr>
      <w:tr w:rsidR="00E058DB" w:rsidRPr="00FB6512" w14:paraId="38B4FFE6" w14:textId="77777777" w:rsidTr="00D15FF7">
        <w:tblPrEx>
          <w:tblBorders>
            <w:bottom w:val="single" w:sz="6" w:space="0" w:color="auto"/>
          </w:tblBorders>
        </w:tblPrEx>
        <w:trPr>
          <w:jc w:val="center"/>
        </w:trPr>
        <w:tc>
          <w:tcPr>
            <w:tcW w:w="6555" w:type="dxa"/>
            <w:tcBorders>
              <w:top w:val="nil"/>
              <w:left w:val="nil"/>
              <w:bottom w:val="single" w:sz="6" w:space="0" w:color="auto"/>
              <w:right w:val="nil"/>
            </w:tcBorders>
          </w:tcPr>
          <w:p w14:paraId="1BD8DA66"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Model F-statistic</w:t>
            </w:r>
          </w:p>
        </w:tc>
        <w:tc>
          <w:tcPr>
            <w:tcW w:w="3456" w:type="dxa"/>
            <w:tcBorders>
              <w:top w:val="nil"/>
              <w:left w:val="nil"/>
              <w:bottom w:val="single" w:sz="6" w:space="0" w:color="auto"/>
              <w:right w:val="nil"/>
            </w:tcBorders>
          </w:tcPr>
          <w:p w14:paraId="693F33D9"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8.42*** (26)</w:t>
            </w:r>
          </w:p>
        </w:tc>
      </w:tr>
    </w:tbl>
    <w:p w14:paraId="12C9DBE5" w14:textId="77777777" w:rsidR="00E058DB" w:rsidRPr="007C37B0" w:rsidRDefault="00E058DB" w:rsidP="00E058DB">
      <w:pPr>
        <w:pStyle w:val="NoSpacing"/>
        <w:spacing w:line="240" w:lineRule="auto"/>
        <w:ind w:left="-284"/>
        <w:rPr>
          <w:color w:val="000000" w:themeColor="text1"/>
          <w:sz w:val="20"/>
          <w:lang w:val="en-US"/>
        </w:rPr>
      </w:pPr>
      <w:r w:rsidRPr="007C37B0">
        <w:rPr>
          <w:i/>
          <w:color w:val="000000" w:themeColor="text1"/>
          <w:sz w:val="20"/>
          <w:lang w:val="en-US"/>
        </w:rPr>
        <w:t>Notes</w:t>
      </w:r>
      <w:r w:rsidRPr="007C37B0">
        <w:rPr>
          <w:color w:val="000000" w:themeColor="text1"/>
          <w:sz w:val="20"/>
          <w:lang w:val="en-US"/>
        </w:rPr>
        <w:t xml:space="preserve">: </w:t>
      </w:r>
      <w:r>
        <w:rPr>
          <w:color w:val="000000" w:themeColor="text1"/>
          <w:sz w:val="20"/>
          <w:lang w:val="en-US"/>
        </w:rPr>
        <w:t xml:space="preserve">UADV_ measured as share of voice. </w:t>
      </w:r>
      <w:r w:rsidRPr="007C37B0">
        <w:rPr>
          <w:color w:val="000000" w:themeColor="text1"/>
          <w:sz w:val="20"/>
          <w:lang w:val="en-US"/>
        </w:rPr>
        <w:t>Standard errors in parentheses. Predictors calculated at period t-1. Firm and year fixed effects not reported. ***</w:t>
      </w:r>
      <w:r w:rsidRPr="007C37B0">
        <w:rPr>
          <w:i/>
          <w:color w:val="000000" w:themeColor="text1"/>
          <w:sz w:val="20"/>
          <w:lang w:val="en-US"/>
        </w:rPr>
        <w:t>p</w:t>
      </w:r>
      <w:r w:rsidRPr="007C37B0">
        <w:rPr>
          <w:color w:val="000000" w:themeColor="text1"/>
          <w:sz w:val="20"/>
          <w:lang w:val="en-US"/>
        </w:rPr>
        <w:t>&lt;</w:t>
      </w:r>
      <w:r>
        <w:rPr>
          <w:color w:val="000000" w:themeColor="text1"/>
          <w:sz w:val="20"/>
          <w:lang w:val="en-US"/>
        </w:rPr>
        <w:t>.</w:t>
      </w:r>
      <w:r w:rsidRPr="007C37B0">
        <w:rPr>
          <w:color w:val="000000" w:themeColor="text1"/>
          <w:sz w:val="20"/>
          <w:lang w:val="en-US"/>
        </w:rPr>
        <w:t>01, **</w:t>
      </w:r>
      <w:r w:rsidRPr="007C37B0">
        <w:rPr>
          <w:i/>
          <w:color w:val="000000" w:themeColor="text1"/>
          <w:sz w:val="20"/>
          <w:lang w:val="en-US"/>
        </w:rPr>
        <w:t>p</w:t>
      </w:r>
      <w:r w:rsidRPr="007C37B0">
        <w:rPr>
          <w:color w:val="000000" w:themeColor="text1"/>
          <w:sz w:val="20"/>
          <w:lang w:val="en-US"/>
        </w:rPr>
        <w:t>&lt;</w:t>
      </w:r>
      <w:r>
        <w:rPr>
          <w:color w:val="000000" w:themeColor="text1"/>
          <w:sz w:val="20"/>
          <w:lang w:val="en-US"/>
        </w:rPr>
        <w:t>.</w:t>
      </w:r>
      <w:r w:rsidRPr="007C37B0">
        <w:rPr>
          <w:color w:val="000000" w:themeColor="text1"/>
          <w:sz w:val="20"/>
          <w:lang w:val="en-US"/>
        </w:rPr>
        <w:t>05, *</w:t>
      </w:r>
      <w:r w:rsidRPr="007C37B0">
        <w:rPr>
          <w:i/>
          <w:color w:val="000000" w:themeColor="text1"/>
          <w:sz w:val="20"/>
          <w:lang w:val="en-US"/>
        </w:rPr>
        <w:t>p</w:t>
      </w:r>
      <w:r w:rsidRPr="007C37B0">
        <w:rPr>
          <w:color w:val="000000" w:themeColor="text1"/>
          <w:sz w:val="20"/>
          <w:lang w:val="en-US"/>
        </w:rPr>
        <w:t>&lt;</w:t>
      </w:r>
      <w:r>
        <w:rPr>
          <w:color w:val="000000" w:themeColor="text1"/>
          <w:sz w:val="20"/>
          <w:lang w:val="en-US"/>
        </w:rPr>
        <w:t>.</w:t>
      </w:r>
      <w:r w:rsidRPr="007C37B0">
        <w:rPr>
          <w:color w:val="000000" w:themeColor="text1"/>
          <w:sz w:val="20"/>
          <w:lang w:val="en-US"/>
        </w:rPr>
        <w:t>1</w:t>
      </w:r>
      <w:r>
        <w:rPr>
          <w:color w:val="000000" w:themeColor="text1"/>
          <w:sz w:val="20"/>
          <w:lang w:val="en-US"/>
        </w:rPr>
        <w:t>.</w:t>
      </w:r>
      <w:r w:rsidRPr="007C37B0">
        <w:rPr>
          <w:color w:val="000000" w:themeColor="text1"/>
          <w:sz w:val="20"/>
          <w:lang w:val="en-US"/>
        </w:rPr>
        <w:t xml:space="preserve"> </w:t>
      </w:r>
    </w:p>
    <w:p w14:paraId="6505A2A7" w14:textId="77777777" w:rsidR="00E058DB" w:rsidRPr="007C37B0" w:rsidRDefault="00E058DB" w:rsidP="00E058DB">
      <w:pPr>
        <w:rPr>
          <w:color w:val="000000" w:themeColor="text1"/>
          <w:lang w:val="en-US"/>
        </w:rPr>
      </w:pPr>
    </w:p>
    <w:p w14:paraId="243DBEEE" w14:textId="77777777" w:rsidR="00E058DB" w:rsidRPr="007C37B0" w:rsidRDefault="00E058DB" w:rsidP="00E058DB">
      <w:pPr>
        <w:rPr>
          <w:color w:val="000000" w:themeColor="text1"/>
          <w:lang w:val="en-US"/>
        </w:rPr>
      </w:pPr>
      <w:r w:rsidRPr="007C37B0">
        <w:rPr>
          <w:color w:val="000000" w:themeColor="text1"/>
          <w:lang w:val="en-US"/>
        </w:rPr>
        <w:br w:type="page"/>
      </w:r>
    </w:p>
    <w:p w14:paraId="6FD27744" w14:textId="77777777" w:rsidR="00E058DB" w:rsidRPr="007C37B0" w:rsidRDefault="00E058DB" w:rsidP="00E058DB">
      <w:pPr>
        <w:jc w:val="center"/>
        <w:rPr>
          <w:caps/>
          <w:color w:val="000000" w:themeColor="text1"/>
          <w:u w:color="000000"/>
          <w:lang w:val="en-US"/>
        </w:rPr>
      </w:pPr>
      <w:r w:rsidRPr="007C37B0">
        <w:rPr>
          <w:b/>
          <w:caps/>
          <w:color w:val="000000" w:themeColor="text1"/>
          <w:u w:color="000000"/>
          <w:lang w:val="en-US"/>
        </w:rPr>
        <w:lastRenderedPageBreak/>
        <w:t>Table D2: Effectiveness of an Advertising Investment Response (Share of Voice)</w:t>
      </w:r>
    </w:p>
    <w:p w14:paraId="78365E7D" w14:textId="77777777" w:rsidR="00E058DB" w:rsidRDefault="00E058DB" w:rsidP="00E058DB">
      <w:pPr>
        <w:rPr>
          <w:color w:val="000000" w:themeColor="text1"/>
          <w:lang w:val="en-US"/>
        </w:rPr>
      </w:pPr>
    </w:p>
    <w:tbl>
      <w:tblPr>
        <w:tblW w:w="0" w:type="auto"/>
        <w:jc w:val="center"/>
        <w:tblLayout w:type="fixed"/>
        <w:tblCellMar>
          <w:left w:w="75" w:type="dxa"/>
          <w:right w:w="75" w:type="dxa"/>
        </w:tblCellMar>
        <w:tblLook w:val="0000" w:firstRow="0" w:lastRow="0" w:firstColumn="0" w:lastColumn="0" w:noHBand="0" w:noVBand="0"/>
      </w:tblPr>
      <w:tblGrid>
        <w:gridCol w:w="6555"/>
        <w:gridCol w:w="1584"/>
      </w:tblGrid>
      <w:tr w:rsidR="00E058DB" w:rsidRPr="00064F56" w14:paraId="356962B5" w14:textId="77777777" w:rsidTr="00D15FF7">
        <w:trPr>
          <w:jc w:val="center"/>
        </w:trPr>
        <w:tc>
          <w:tcPr>
            <w:tcW w:w="6555" w:type="dxa"/>
            <w:tcBorders>
              <w:top w:val="single" w:sz="6" w:space="0" w:color="auto"/>
              <w:left w:val="nil"/>
              <w:bottom w:val="nil"/>
              <w:right w:val="nil"/>
            </w:tcBorders>
          </w:tcPr>
          <w:p w14:paraId="58D3EC1A"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single" w:sz="6" w:space="0" w:color="auto"/>
              <w:left w:val="nil"/>
              <w:bottom w:val="nil"/>
              <w:right w:val="nil"/>
            </w:tcBorders>
          </w:tcPr>
          <w:p w14:paraId="551583AD" w14:textId="77777777" w:rsidR="00E058DB" w:rsidRPr="007C37B0" w:rsidRDefault="00E058DB" w:rsidP="00D15FF7">
            <w:pPr>
              <w:widowControl w:val="0"/>
              <w:autoSpaceDE w:val="0"/>
              <w:autoSpaceDN w:val="0"/>
              <w:adjustRightInd w:val="0"/>
              <w:jc w:val="center"/>
              <w:rPr>
                <w:b/>
                <w:color w:val="000000" w:themeColor="text1"/>
                <w:lang w:val="en-US"/>
              </w:rPr>
            </w:pPr>
            <w:r w:rsidRPr="007C37B0">
              <w:rPr>
                <w:b/>
                <w:color w:val="000000" w:themeColor="text1"/>
                <w:lang w:val="en-US"/>
              </w:rPr>
              <w:t>Tobin’s q</w:t>
            </w:r>
          </w:p>
        </w:tc>
      </w:tr>
      <w:tr w:rsidR="00E058DB" w:rsidRPr="00FB6512" w14:paraId="07768DA0" w14:textId="77777777" w:rsidTr="00D15FF7">
        <w:trPr>
          <w:jc w:val="center"/>
        </w:trPr>
        <w:tc>
          <w:tcPr>
            <w:tcW w:w="6555" w:type="dxa"/>
            <w:tcBorders>
              <w:top w:val="nil"/>
              <w:left w:val="nil"/>
              <w:bottom w:val="single" w:sz="6" w:space="0" w:color="auto"/>
              <w:right w:val="nil"/>
            </w:tcBorders>
          </w:tcPr>
          <w:p w14:paraId="26FC91F2"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single" w:sz="6" w:space="0" w:color="auto"/>
              <w:right w:val="nil"/>
            </w:tcBorders>
          </w:tcPr>
          <w:p w14:paraId="4277C2BC" w14:textId="77777777" w:rsidR="00E058DB" w:rsidRPr="007C37B0" w:rsidRDefault="00E058DB" w:rsidP="00D15FF7">
            <w:pPr>
              <w:widowControl w:val="0"/>
              <w:autoSpaceDE w:val="0"/>
              <w:autoSpaceDN w:val="0"/>
              <w:adjustRightInd w:val="0"/>
              <w:jc w:val="center"/>
              <w:rPr>
                <w:b/>
                <w:color w:val="000000" w:themeColor="text1"/>
                <w:lang w:val="en-US"/>
              </w:rPr>
            </w:pPr>
            <w:r w:rsidRPr="007C37B0">
              <w:rPr>
                <w:b/>
                <w:color w:val="000000" w:themeColor="text1"/>
                <w:lang w:val="en-US"/>
              </w:rPr>
              <w:t>(</w:t>
            </w:r>
            <w:r w:rsidRPr="007C37B0">
              <w:rPr>
                <w:b/>
                <w:i/>
                <w:color w:val="000000" w:themeColor="text1"/>
                <w:lang w:val="en-US"/>
              </w:rPr>
              <w:t>TQ</w:t>
            </w:r>
            <w:r w:rsidRPr="007C37B0">
              <w:rPr>
                <w:b/>
                <w:color w:val="000000" w:themeColor="text1"/>
                <w:lang w:val="en-US"/>
              </w:rPr>
              <w:t>)</w:t>
            </w:r>
          </w:p>
        </w:tc>
      </w:tr>
      <w:tr w:rsidR="00E058DB" w:rsidRPr="00FB6512" w14:paraId="221A78C9" w14:textId="77777777" w:rsidTr="00D15FF7">
        <w:trPr>
          <w:jc w:val="center"/>
        </w:trPr>
        <w:tc>
          <w:tcPr>
            <w:tcW w:w="6555" w:type="dxa"/>
            <w:tcBorders>
              <w:top w:val="nil"/>
              <w:left w:val="nil"/>
              <w:bottom w:val="nil"/>
              <w:right w:val="nil"/>
            </w:tcBorders>
          </w:tcPr>
          <w:p w14:paraId="6A23F91B"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011873AE" w14:textId="77777777" w:rsidR="00E058DB" w:rsidRPr="00064F56" w:rsidRDefault="00E058DB" w:rsidP="00D15FF7">
            <w:pPr>
              <w:widowControl w:val="0"/>
              <w:autoSpaceDE w:val="0"/>
              <w:autoSpaceDN w:val="0"/>
              <w:adjustRightInd w:val="0"/>
              <w:jc w:val="center"/>
              <w:rPr>
                <w:color w:val="000000" w:themeColor="text1"/>
                <w:lang w:val="en-US"/>
              </w:rPr>
            </w:pPr>
          </w:p>
        </w:tc>
      </w:tr>
      <w:tr w:rsidR="00E058DB" w:rsidRPr="00FB6512" w14:paraId="310153A7" w14:textId="77777777" w:rsidTr="00D15FF7">
        <w:trPr>
          <w:jc w:val="center"/>
        </w:trPr>
        <w:tc>
          <w:tcPr>
            <w:tcW w:w="6555" w:type="dxa"/>
            <w:tcBorders>
              <w:top w:val="nil"/>
              <w:left w:val="nil"/>
              <w:bottom w:val="nil"/>
              <w:right w:val="nil"/>
            </w:tcBorders>
          </w:tcPr>
          <w:p w14:paraId="6C986EB1"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complaints</w:t>
            </w:r>
            <w:r>
              <w:rPr>
                <w:color w:val="000000" w:themeColor="text1"/>
                <w:lang w:val="en-US"/>
              </w:rPr>
              <w:t xml:space="preserve"> (</w:t>
            </w:r>
            <w:r w:rsidRPr="00064F56">
              <w:rPr>
                <w:i/>
                <w:color w:val="000000" w:themeColor="text1"/>
                <w:lang w:val="en-US"/>
              </w:rPr>
              <w:t>SHC</w:t>
            </w:r>
            <w:r>
              <w:rPr>
                <w:color w:val="000000" w:themeColor="text1"/>
                <w:lang w:val="en-US"/>
              </w:rPr>
              <w:t>)</w:t>
            </w:r>
          </w:p>
        </w:tc>
        <w:tc>
          <w:tcPr>
            <w:tcW w:w="1584" w:type="dxa"/>
            <w:tcBorders>
              <w:top w:val="nil"/>
              <w:left w:val="nil"/>
              <w:bottom w:val="nil"/>
              <w:right w:val="nil"/>
            </w:tcBorders>
          </w:tcPr>
          <w:p w14:paraId="2EDB6012"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0571**</w:t>
            </w:r>
          </w:p>
        </w:tc>
      </w:tr>
      <w:tr w:rsidR="00E058DB" w:rsidRPr="00FB6512" w14:paraId="0773BE96" w14:textId="77777777" w:rsidTr="00D15FF7">
        <w:trPr>
          <w:jc w:val="center"/>
        </w:trPr>
        <w:tc>
          <w:tcPr>
            <w:tcW w:w="6555" w:type="dxa"/>
            <w:tcBorders>
              <w:top w:val="nil"/>
              <w:left w:val="nil"/>
              <w:bottom w:val="nil"/>
              <w:right w:val="nil"/>
            </w:tcBorders>
          </w:tcPr>
          <w:p w14:paraId="1AF30197"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7790C21D"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024)</w:t>
            </w:r>
          </w:p>
        </w:tc>
      </w:tr>
      <w:tr w:rsidR="00E058DB" w:rsidRPr="00FB6512" w14:paraId="6B378EAD" w14:textId="77777777" w:rsidTr="00D15FF7">
        <w:trPr>
          <w:jc w:val="center"/>
        </w:trPr>
        <w:tc>
          <w:tcPr>
            <w:tcW w:w="6555" w:type="dxa"/>
            <w:tcBorders>
              <w:top w:val="nil"/>
              <w:left w:val="nil"/>
              <w:bottom w:val="nil"/>
              <w:right w:val="nil"/>
            </w:tcBorders>
          </w:tcPr>
          <w:p w14:paraId="7E633144" w14:textId="77777777" w:rsidR="00E058DB" w:rsidRPr="007C37B0" w:rsidRDefault="00E058DB" w:rsidP="00D15FF7">
            <w:pPr>
              <w:widowControl w:val="0"/>
              <w:autoSpaceDE w:val="0"/>
              <w:autoSpaceDN w:val="0"/>
              <w:adjustRightInd w:val="0"/>
              <w:rPr>
                <w:color w:val="000000" w:themeColor="text1"/>
                <w:lang w:val="en-US"/>
              </w:rPr>
            </w:pPr>
            <w:r w:rsidRPr="00064F56">
              <w:rPr>
                <w:color w:val="000000" w:themeColor="text1"/>
                <w:lang w:val="en-US"/>
              </w:rPr>
              <w:t xml:space="preserve">Shareholder complaints </w:t>
            </w:r>
            <w:r>
              <w:rPr>
                <w:color w:val="000000" w:themeColor="text1"/>
                <w:lang w:val="en-US"/>
              </w:rPr>
              <w:t>(</w:t>
            </w:r>
            <w:r w:rsidRPr="00064F56">
              <w:rPr>
                <w:i/>
                <w:color w:val="000000" w:themeColor="text1"/>
                <w:lang w:val="en-US"/>
              </w:rPr>
              <w:t>SHC</w:t>
            </w:r>
            <w:r>
              <w:rPr>
                <w:color w:val="000000" w:themeColor="text1"/>
                <w:lang w:val="en-US"/>
              </w:rPr>
              <w:t xml:space="preserve">) </w:t>
            </w:r>
            <w:r w:rsidRPr="00064F56">
              <w:rPr>
                <w:color w:val="000000" w:themeColor="text1"/>
                <w:lang w:val="en-US"/>
              </w:rPr>
              <w:t xml:space="preserve">* </w:t>
            </w:r>
            <w:r>
              <w:rPr>
                <w:color w:val="000000" w:themeColor="text1"/>
                <w:lang w:val="en-US"/>
              </w:rPr>
              <w:t xml:space="preserve">Advertising investments </w:t>
            </w:r>
          </w:p>
        </w:tc>
        <w:tc>
          <w:tcPr>
            <w:tcW w:w="1584" w:type="dxa"/>
            <w:tcBorders>
              <w:top w:val="nil"/>
              <w:left w:val="nil"/>
              <w:bottom w:val="nil"/>
              <w:right w:val="nil"/>
            </w:tcBorders>
          </w:tcPr>
          <w:p w14:paraId="3E66076C"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1038*</w:t>
            </w:r>
          </w:p>
        </w:tc>
      </w:tr>
      <w:tr w:rsidR="00E058DB" w:rsidRPr="00FB6512" w14:paraId="5C2A291D" w14:textId="77777777" w:rsidTr="00D15FF7">
        <w:trPr>
          <w:jc w:val="center"/>
        </w:trPr>
        <w:tc>
          <w:tcPr>
            <w:tcW w:w="6555" w:type="dxa"/>
            <w:tcBorders>
              <w:top w:val="nil"/>
              <w:left w:val="nil"/>
              <w:bottom w:val="nil"/>
              <w:right w:val="nil"/>
            </w:tcBorders>
          </w:tcPr>
          <w:p w14:paraId="4D6977E3" w14:textId="77777777" w:rsidR="00E058DB" w:rsidRPr="00064F56" w:rsidRDefault="00E058DB" w:rsidP="00D15FF7">
            <w:pPr>
              <w:widowControl w:val="0"/>
              <w:autoSpaceDE w:val="0"/>
              <w:autoSpaceDN w:val="0"/>
              <w:adjustRightInd w:val="0"/>
              <w:rPr>
                <w:color w:val="000000" w:themeColor="text1"/>
                <w:lang w:val="en-US"/>
              </w:rPr>
            </w:pPr>
            <w:r>
              <w:rPr>
                <w:color w:val="000000" w:themeColor="text1"/>
                <w:lang w:val="en-US"/>
              </w:rPr>
              <w:t>(</w:t>
            </w:r>
            <w:r>
              <w:rPr>
                <w:i/>
                <w:color w:val="000000" w:themeColor="text1"/>
                <w:lang w:val="en-US"/>
              </w:rPr>
              <w:t>UADV_</w:t>
            </w:r>
            <w:r>
              <w:rPr>
                <w:color w:val="000000" w:themeColor="text1"/>
                <w:lang w:val="en-US"/>
              </w:rPr>
              <w:t>)</w:t>
            </w:r>
          </w:p>
        </w:tc>
        <w:tc>
          <w:tcPr>
            <w:tcW w:w="1584" w:type="dxa"/>
            <w:tcBorders>
              <w:top w:val="nil"/>
              <w:left w:val="nil"/>
              <w:bottom w:val="nil"/>
              <w:right w:val="nil"/>
            </w:tcBorders>
          </w:tcPr>
          <w:p w14:paraId="62290ED0"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060)</w:t>
            </w:r>
          </w:p>
        </w:tc>
      </w:tr>
      <w:tr w:rsidR="00E058DB" w:rsidRPr="00FB6512" w14:paraId="4DDA91B8" w14:textId="77777777" w:rsidTr="00D15FF7">
        <w:trPr>
          <w:jc w:val="center"/>
        </w:trPr>
        <w:tc>
          <w:tcPr>
            <w:tcW w:w="6555" w:type="dxa"/>
            <w:tcBorders>
              <w:top w:val="nil"/>
              <w:left w:val="nil"/>
              <w:bottom w:val="nil"/>
              <w:right w:val="nil"/>
            </w:tcBorders>
          </w:tcPr>
          <w:p w14:paraId="5878186C" w14:textId="77777777" w:rsidR="00E058DB" w:rsidRPr="007C37B0" w:rsidRDefault="00E058DB" w:rsidP="00D15FF7">
            <w:pPr>
              <w:widowControl w:val="0"/>
              <w:autoSpaceDE w:val="0"/>
              <w:autoSpaceDN w:val="0"/>
              <w:adjustRightInd w:val="0"/>
              <w:rPr>
                <w:color w:val="000000" w:themeColor="text1"/>
                <w:lang w:val="en-US"/>
              </w:rPr>
            </w:pPr>
            <w:r>
              <w:rPr>
                <w:color w:val="000000" w:themeColor="text1"/>
                <w:lang w:val="en-US"/>
              </w:rPr>
              <w:t>Advertising investments (</w:t>
            </w:r>
            <w:r>
              <w:rPr>
                <w:i/>
                <w:color w:val="000000" w:themeColor="text1"/>
                <w:lang w:val="en-US"/>
              </w:rPr>
              <w:t>UADV_</w:t>
            </w:r>
            <w:r>
              <w:rPr>
                <w:color w:val="000000" w:themeColor="text1"/>
                <w:lang w:val="en-US"/>
              </w:rPr>
              <w:t>)</w:t>
            </w:r>
          </w:p>
        </w:tc>
        <w:tc>
          <w:tcPr>
            <w:tcW w:w="1584" w:type="dxa"/>
            <w:tcBorders>
              <w:top w:val="nil"/>
              <w:left w:val="nil"/>
              <w:bottom w:val="nil"/>
              <w:right w:val="nil"/>
            </w:tcBorders>
          </w:tcPr>
          <w:p w14:paraId="124DCDBD"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-7.4525</w:t>
            </w:r>
          </w:p>
        </w:tc>
      </w:tr>
      <w:tr w:rsidR="00E058DB" w:rsidRPr="00FB6512" w14:paraId="2E8BC192" w14:textId="77777777" w:rsidTr="00D15FF7">
        <w:trPr>
          <w:jc w:val="center"/>
        </w:trPr>
        <w:tc>
          <w:tcPr>
            <w:tcW w:w="6555" w:type="dxa"/>
            <w:tcBorders>
              <w:top w:val="nil"/>
              <w:left w:val="nil"/>
              <w:bottom w:val="nil"/>
              <w:right w:val="nil"/>
            </w:tcBorders>
          </w:tcPr>
          <w:p w14:paraId="55151350"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2492CB3E"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(5.740)</w:t>
            </w:r>
          </w:p>
        </w:tc>
      </w:tr>
      <w:tr w:rsidR="00E058DB" w:rsidRPr="00FB6512" w14:paraId="7ABF08F7" w14:textId="77777777" w:rsidTr="00D15FF7">
        <w:trPr>
          <w:jc w:val="center"/>
        </w:trPr>
        <w:tc>
          <w:tcPr>
            <w:tcW w:w="6555" w:type="dxa"/>
            <w:tcBorders>
              <w:top w:val="nil"/>
              <w:left w:val="nil"/>
              <w:bottom w:val="nil"/>
              <w:right w:val="nil"/>
            </w:tcBorders>
          </w:tcPr>
          <w:p w14:paraId="428DD2C8" w14:textId="77777777" w:rsidR="00E058DB" w:rsidRPr="00A24288" w:rsidRDefault="00E058DB" w:rsidP="00D15FF7">
            <w:pPr>
              <w:widowControl w:val="0"/>
              <w:autoSpaceDE w:val="0"/>
              <w:autoSpaceDN w:val="0"/>
              <w:adjustRightInd w:val="0"/>
              <w:rPr>
                <w:color w:val="000000" w:themeColor="text1"/>
                <w:lang w:val="en-US"/>
              </w:rPr>
            </w:pPr>
            <w:r w:rsidRPr="00A24288">
              <w:rPr>
                <w:color w:val="000000" w:themeColor="text1"/>
                <w:lang w:val="en-US"/>
              </w:rPr>
              <w:t>Shareholder complaint institutional submitter</w:t>
            </w:r>
            <w:r>
              <w:rPr>
                <w:color w:val="000000" w:themeColor="text1"/>
                <w:lang w:val="en-US"/>
              </w:rPr>
              <w:t xml:space="preserve"> (</w:t>
            </w:r>
            <w:r w:rsidRPr="00A24288">
              <w:rPr>
                <w:i/>
                <w:color w:val="000000" w:themeColor="text1"/>
                <w:lang w:val="en-US"/>
              </w:rPr>
              <w:t>INST</w:t>
            </w:r>
            <w:r>
              <w:rPr>
                <w:color w:val="000000" w:themeColor="text1"/>
                <w:lang w:val="en-US"/>
              </w:rPr>
              <w:t>)</w:t>
            </w:r>
          </w:p>
        </w:tc>
        <w:tc>
          <w:tcPr>
            <w:tcW w:w="1584" w:type="dxa"/>
            <w:tcBorders>
              <w:top w:val="nil"/>
              <w:left w:val="nil"/>
              <w:bottom w:val="nil"/>
              <w:right w:val="nil"/>
            </w:tcBorders>
          </w:tcPr>
          <w:p w14:paraId="55DC2D34" w14:textId="77777777" w:rsidR="00E058DB" w:rsidRPr="00A24288" w:rsidRDefault="00E058DB" w:rsidP="00D15FF7">
            <w:pPr>
              <w:widowControl w:val="0"/>
              <w:autoSpaceDE w:val="0"/>
              <w:autoSpaceDN w:val="0"/>
              <w:adjustRightInd w:val="0"/>
              <w:jc w:val="center"/>
              <w:rPr>
                <w:color w:val="000000" w:themeColor="text1"/>
                <w:lang w:val="en-US"/>
              </w:rPr>
            </w:pPr>
            <w:r w:rsidRPr="00A24288">
              <w:rPr>
                <w:color w:val="000000" w:themeColor="text1"/>
                <w:lang w:val="en-US"/>
              </w:rPr>
              <w:t>-</w:t>
            </w:r>
            <w:r>
              <w:rPr>
                <w:color w:val="000000" w:themeColor="text1"/>
                <w:lang w:val="en-US"/>
              </w:rPr>
              <w:t>.</w:t>
            </w:r>
            <w:r w:rsidRPr="00A24288">
              <w:rPr>
                <w:color w:val="000000" w:themeColor="text1"/>
                <w:lang w:val="en-US"/>
              </w:rPr>
              <w:t>0035</w:t>
            </w:r>
          </w:p>
        </w:tc>
      </w:tr>
      <w:tr w:rsidR="00E058DB" w:rsidRPr="00FB6512" w14:paraId="45FA46AB" w14:textId="77777777" w:rsidTr="00D15FF7">
        <w:trPr>
          <w:jc w:val="center"/>
        </w:trPr>
        <w:tc>
          <w:tcPr>
            <w:tcW w:w="6555" w:type="dxa"/>
            <w:tcBorders>
              <w:top w:val="nil"/>
              <w:left w:val="nil"/>
              <w:bottom w:val="nil"/>
              <w:right w:val="nil"/>
            </w:tcBorders>
          </w:tcPr>
          <w:p w14:paraId="0DC7ED36" w14:textId="77777777" w:rsidR="00E058DB" w:rsidRPr="00A24288"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49E3DF4C" w14:textId="77777777" w:rsidR="00E058DB" w:rsidRPr="00A24288" w:rsidRDefault="00E058DB" w:rsidP="00D15FF7">
            <w:pPr>
              <w:widowControl w:val="0"/>
              <w:autoSpaceDE w:val="0"/>
              <w:autoSpaceDN w:val="0"/>
              <w:adjustRightInd w:val="0"/>
              <w:jc w:val="center"/>
              <w:rPr>
                <w:color w:val="000000" w:themeColor="text1"/>
                <w:lang w:val="en-US"/>
              </w:rPr>
            </w:pPr>
            <w:r w:rsidRPr="00A24288">
              <w:rPr>
                <w:color w:val="000000" w:themeColor="text1"/>
                <w:lang w:val="en-US"/>
              </w:rPr>
              <w:t>(</w:t>
            </w:r>
            <w:r>
              <w:rPr>
                <w:color w:val="000000" w:themeColor="text1"/>
                <w:lang w:val="en-US"/>
              </w:rPr>
              <w:t>.</w:t>
            </w:r>
            <w:r w:rsidRPr="00A24288">
              <w:rPr>
                <w:color w:val="000000" w:themeColor="text1"/>
                <w:lang w:val="en-US"/>
              </w:rPr>
              <w:t>030)</w:t>
            </w:r>
          </w:p>
        </w:tc>
      </w:tr>
      <w:tr w:rsidR="00E058DB" w:rsidRPr="00FB6512" w14:paraId="4AF156AD" w14:textId="77777777" w:rsidTr="00D15FF7">
        <w:trPr>
          <w:jc w:val="center"/>
        </w:trPr>
        <w:tc>
          <w:tcPr>
            <w:tcW w:w="6555" w:type="dxa"/>
            <w:tcBorders>
              <w:top w:val="nil"/>
              <w:left w:val="nil"/>
              <w:bottom w:val="nil"/>
              <w:right w:val="nil"/>
            </w:tcBorders>
          </w:tcPr>
          <w:p w14:paraId="2D75E2B7" w14:textId="77777777" w:rsidR="00E058DB" w:rsidRPr="00D44C29" w:rsidRDefault="00E058DB" w:rsidP="00D15FF7">
            <w:pPr>
              <w:widowControl w:val="0"/>
              <w:autoSpaceDE w:val="0"/>
              <w:autoSpaceDN w:val="0"/>
              <w:adjustRightInd w:val="0"/>
              <w:rPr>
                <w:color w:val="000000" w:themeColor="text1"/>
                <w:lang w:val="en-US"/>
              </w:rPr>
            </w:pPr>
            <w:r w:rsidRPr="00CB1466">
              <w:rPr>
                <w:color w:val="000000" w:themeColor="text1"/>
                <w:lang w:val="en-US"/>
              </w:rPr>
              <w:t>Shareholder complaint nonfinancial type</w:t>
            </w:r>
            <w:r>
              <w:rPr>
                <w:color w:val="000000" w:themeColor="text1"/>
                <w:lang w:val="en-US"/>
              </w:rPr>
              <w:t xml:space="preserve"> (</w:t>
            </w:r>
            <w:r w:rsidRPr="00CB1466">
              <w:rPr>
                <w:i/>
                <w:color w:val="000000" w:themeColor="text1"/>
                <w:lang w:val="en-US"/>
              </w:rPr>
              <w:t>NONFIN</w:t>
            </w:r>
            <w:r>
              <w:rPr>
                <w:color w:val="000000" w:themeColor="text1"/>
                <w:lang w:val="en-US"/>
              </w:rPr>
              <w:t>)</w:t>
            </w:r>
          </w:p>
        </w:tc>
        <w:tc>
          <w:tcPr>
            <w:tcW w:w="1584" w:type="dxa"/>
            <w:tcBorders>
              <w:top w:val="nil"/>
              <w:left w:val="nil"/>
              <w:bottom w:val="nil"/>
              <w:right w:val="nil"/>
            </w:tcBorders>
          </w:tcPr>
          <w:p w14:paraId="1E876318" w14:textId="77777777" w:rsidR="00E058DB" w:rsidRPr="00D44C29" w:rsidRDefault="00E058DB" w:rsidP="00D15FF7">
            <w:pPr>
              <w:widowControl w:val="0"/>
              <w:autoSpaceDE w:val="0"/>
              <w:autoSpaceDN w:val="0"/>
              <w:adjustRightInd w:val="0"/>
              <w:jc w:val="center"/>
              <w:rPr>
                <w:color w:val="000000" w:themeColor="text1"/>
                <w:lang w:val="en-US"/>
              </w:rPr>
            </w:pPr>
            <w:r w:rsidRPr="00CB1466">
              <w:rPr>
                <w:color w:val="000000" w:themeColor="text1"/>
                <w:lang w:val="en-US"/>
              </w:rPr>
              <w:t>-</w:t>
            </w:r>
            <w:r>
              <w:rPr>
                <w:color w:val="000000" w:themeColor="text1"/>
                <w:lang w:val="en-US"/>
              </w:rPr>
              <w:t>.</w:t>
            </w:r>
            <w:r w:rsidRPr="00CB1466">
              <w:rPr>
                <w:color w:val="000000" w:themeColor="text1"/>
                <w:lang w:val="en-US"/>
              </w:rPr>
              <w:t>0056</w:t>
            </w:r>
          </w:p>
        </w:tc>
      </w:tr>
      <w:tr w:rsidR="00E058DB" w:rsidRPr="00FB6512" w14:paraId="5D1A104B" w14:textId="77777777" w:rsidTr="00D15FF7">
        <w:trPr>
          <w:jc w:val="center"/>
        </w:trPr>
        <w:tc>
          <w:tcPr>
            <w:tcW w:w="6555" w:type="dxa"/>
            <w:tcBorders>
              <w:top w:val="nil"/>
              <w:left w:val="nil"/>
              <w:bottom w:val="nil"/>
              <w:right w:val="nil"/>
            </w:tcBorders>
          </w:tcPr>
          <w:p w14:paraId="27970537" w14:textId="77777777" w:rsidR="00E058DB" w:rsidRPr="00D44C29"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67AFC4B4" w14:textId="77777777" w:rsidR="00E058DB" w:rsidRPr="00D44C29" w:rsidRDefault="00E058DB" w:rsidP="00D15FF7">
            <w:pPr>
              <w:widowControl w:val="0"/>
              <w:autoSpaceDE w:val="0"/>
              <w:autoSpaceDN w:val="0"/>
              <w:adjustRightInd w:val="0"/>
              <w:jc w:val="center"/>
              <w:rPr>
                <w:color w:val="000000" w:themeColor="text1"/>
                <w:lang w:val="en-US"/>
              </w:rPr>
            </w:pPr>
            <w:r w:rsidRPr="00CB1466">
              <w:rPr>
                <w:color w:val="000000" w:themeColor="text1"/>
                <w:lang w:val="en-US"/>
              </w:rPr>
              <w:t>(</w:t>
            </w:r>
            <w:r>
              <w:rPr>
                <w:color w:val="000000" w:themeColor="text1"/>
                <w:lang w:val="en-US"/>
              </w:rPr>
              <w:t>.</w:t>
            </w:r>
            <w:r w:rsidRPr="00CB1466">
              <w:rPr>
                <w:color w:val="000000" w:themeColor="text1"/>
                <w:lang w:val="en-US"/>
              </w:rPr>
              <w:t>022)</w:t>
            </w:r>
          </w:p>
        </w:tc>
      </w:tr>
      <w:tr w:rsidR="00E058DB" w:rsidRPr="00FB6512" w14:paraId="4608604A" w14:textId="77777777" w:rsidTr="00D15FF7">
        <w:trPr>
          <w:jc w:val="center"/>
        </w:trPr>
        <w:tc>
          <w:tcPr>
            <w:tcW w:w="6555" w:type="dxa"/>
            <w:tcBorders>
              <w:top w:val="nil"/>
              <w:left w:val="nil"/>
              <w:bottom w:val="nil"/>
              <w:right w:val="nil"/>
            </w:tcBorders>
          </w:tcPr>
          <w:p w14:paraId="4BF00475"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 topic media attention</w:t>
            </w:r>
            <w:r>
              <w:rPr>
                <w:color w:val="000000" w:themeColor="text1"/>
                <w:lang w:val="en-US"/>
              </w:rPr>
              <w:t xml:space="preserve"> (</w:t>
            </w:r>
            <w:r w:rsidRPr="00064F56">
              <w:rPr>
                <w:i/>
                <w:color w:val="000000" w:themeColor="text1"/>
                <w:lang w:val="en-US"/>
              </w:rPr>
              <w:t>MEDIA</w:t>
            </w:r>
            <w:r>
              <w:rPr>
                <w:color w:val="000000" w:themeColor="text1"/>
                <w:lang w:val="en-US"/>
              </w:rPr>
              <w:t>)</w:t>
            </w:r>
          </w:p>
        </w:tc>
        <w:tc>
          <w:tcPr>
            <w:tcW w:w="1584" w:type="dxa"/>
            <w:tcBorders>
              <w:top w:val="nil"/>
              <w:left w:val="nil"/>
              <w:bottom w:val="nil"/>
              <w:right w:val="nil"/>
            </w:tcBorders>
          </w:tcPr>
          <w:p w14:paraId="51E7D5F8"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4999</w:t>
            </w:r>
          </w:p>
        </w:tc>
      </w:tr>
      <w:tr w:rsidR="00E058DB" w:rsidRPr="00FB6512" w14:paraId="5BB37FB2" w14:textId="77777777" w:rsidTr="00D15FF7">
        <w:trPr>
          <w:jc w:val="center"/>
        </w:trPr>
        <w:tc>
          <w:tcPr>
            <w:tcW w:w="6555" w:type="dxa"/>
            <w:tcBorders>
              <w:top w:val="nil"/>
              <w:left w:val="nil"/>
              <w:bottom w:val="nil"/>
              <w:right w:val="nil"/>
            </w:tcBorders>
          </w:tcPr>
          <w:p w14:paraId="4A62BE84"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49339A4E"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368)</w:t>
            </w:r>
          </w:p>
        </w:tc>
      </w:tr>
      <w:tr w:rsidR="00E058DB" w:rsidRPr="00FB6512" w14:paraId="69CB8A02" w14:textId="77777777" w:rsidTr="00D15FF7">
        <w:trPr>
          <w:jc w:val="center"/>
        </w:trPr>
        <w:tc>
          <w:tcPr>
            <w:tcW w:w="6555" w:type="dxa"/>
            <w:tcBorders>
              <w:top w:val="nil"/>
              <w:left w:val="nil"/>
              <w:bottom w:val="nil"/>
              <w:right w:val="nil"/>
            </w:tcBorders>
          </w:tcPr>
          <w:p w14:paraId="1036B5F2"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complaints excluded</w:t>
            </w:r>
          </w:p>
        </w:tc>
        <w:tc>
          <w:tcPr>
            <w:tcW w:w="1584" w:type="dxa"/>
            <w:tcBorders>
              <w:top w:val="nil"/>
              <w:left w:val="nil"/>
              <w:bottom w:val="nil"/>
              <w:right w:val="nil"/>
            </w:tcBorders>
          </w:tcPr>
          <w:p w14:paraId="1DEEB612"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0377*</w:t>
            </w:r>
          </w:p>
        </w:tc>
      </w:tr>
      <w:tr w:rsidR="00E058DB" w:rsidRPr="00FB6512" w14:paraId="6D6EFFE6" w14:textId="77777777" w:rsidTr="00D15FF7">
        <w:trPr>
          <w:jc w:val="center"/>
        </w:trPr>
        <w:tc>
          <w:tcPr>
            <w:tcW w:w="6555" w:type="dxa"/>
            <w:tcBorders>
              <w:top w:val="nil"/>
              <w:left w:val="nil"/>
              <w:bottom w:val="nil"/>
              <w:right w:val="nil"/>
            </w:tcBorders>
          </w:tcPr>
          <w:p w14:paraId="407A54C7"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30133F45"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021)</w:t>
            </w:r>
          </w:p>
        </w:tc>
      </w:tr>
      <w:tr w:rsidR="00E058DB" w:rsidRPr="00FB6512" w14:paraId="188918DE" w14:textId="77777777" w:rsidTr="00D15FF7">
        <w:trPr>
          <w:jc w:val="center"/>
        </w:trPr>
        <w:tc>
          <w:tcPr>
            <w:tcW w:w="6555" w:type="dxa"/>
            <w:tcBorders>
              <w:top w:val="nil"/>
              <w:left w:val="nil"/>
              <w:bottom w:val="nil"/>
              <w:right w:val="nil"/>
            </w:tcBorders>
          </w:tcPr>
          <w:p w14:paraId="565BFF7B"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 voting support</w:t>
            </w:r>
          </w:p>
        </w:tc>
        <w:tc>
          <w:tcPr>
            <w:tcW w:w="1584" w:type="dxa"/>
            <w:tcBorders>
              <w:top w:val="nil"/>
              <w:left w:val="nil"/>
              <w:bottom w:val="nil"/>
              <w:right w:val="nil"/>
            </w:tcBorders>
          </w:tcPr>
          <w:p w14:paraId="2265054D"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0003</w:t>
            </w:r>
          </w:p>
        </w:tc>
      </w:tr>
      <w:tr w:rsidR="00E058DB" w:rsidRPr="00FB6512" w14:paraId="7B5CE807" w14:textId="77777777" w:rsidTr="00D15FF7">
        <w:trPr>
          <w:jc w:val="center"/>
        </w:trPr>
        <w:tc>
          <w:tcPr>
            <w:tcW w:w="6555" w:type="dxa"/>
            <w:tcBorders>
              <w:top w:val="nil"/>
              <w:left w:val="nil"/>
              <w:bottom w:val="nil"/>
              <w:right w:val="nil"/>
            </w:tcBorders>
          </w:tcPr>
          <w:p w14:paraId="5E8BB179"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30244AF8"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017)</w:t>
            </w:r>
          </w:p>
        </w:tc>
      </w:tr>
      <w:tr w:rsidR="00E058DB" w:rsidRPr="00FB6512" w14:paraId="66FBF6AF" w14:textId="77777777" w:rsidTr="00D15FF7">
        <w:trPr>
          <w:jc w:val="center"/>
        </w:trPr>
        <w:tc>
          <w:tcPr>
            <w:tcW w:w="6555" w:type="dxa"/>
            <w:tcBorders>
              <w:top w:val="nil"/>
              <w:left w:val="nil"/>
              <w:bottom w:val="nil"/>
              <w:right w:val="nil"/>
            </w:tcBorders>
          </w:tcPr>
          <w:p w14:paraId="363E4FE0"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Firm size</w:t>
            </w:r>
          </w:p>
        </w:tc>
        <w:tc>
          <w:tcPr>
            <w:tcW w:w="1584" w:type="dxa"/>
            <w:tcBorders>
              <w:top w:val="nil"/>
              <w:left w:val="nil"/>
              <w:bottom w:val="nil"/>
              <w:right w:val="nil"/>
            </w:tcBorders>
          </w:tcPr>
          <w:p w14:paraId="0F8B1D9E"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0605**</w:t>
            </w:r>
          </w:p>
        </w:tc>
      </w:tr>
      <w:tr w:rsidR="00E058DB" w:rsidRPr="00FB6512" w14:paraId="1F695FA7" w14:textId="77777777" w:rsidTr="00D15FF7">
        <w:trPr>
          <w:jc w:val="center"/>
        </w:trPr>
        <w:tc>
          <w:tcPr>
            <w:tcW w:w="6555" w:type="dxa"/>
            <w:tcBorders>
              <w:top w:val="nil"/>
              <w:left w:val="nil"/>
              <w:bottom w:val="nil"/>
              <w:right w:val="nil"/>
            </w:tcBorders>
          </w:tcPr>
          <w:p w14:paraId="6B3391EE"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3472490E"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029)</w:t>
            </w:r>
          </w:p>
        </w:tc>
      </w:tr>
      <w:tr w:rsidR="00E058DB" w:rsidRPr="00FB6512" w14:paraId="20AF3989" w14:textId="77777777" w:rsidTr="00D15FF7">
        <w:trPr>
          <w:jc w:val="center"/>
        </w:trPr>
        <w:tc>
          <w:tcPr>
            <w:tcW w:w="6555" w:type="dxa"/>
            <w:tcBorders>
              <w:top w:val="nil"/>
              <w:left w:val="nil"/>
              <w:bottom w:val="nil"/>
              <w:right w:val="nil"/>
            </w:tcBorders>
          </w:tcPr>
          <w:p w14:paraId="28873AAC"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Profitability</w:t>
            </w:r>
          </w:p>
        </w:tc>
        <w:tc>
          <w:tcPr>
            <w:tcW w:w="1584" w:type="dxa"/>
            <w:tcBorders>
              <w:top w:val="nil"/>
              <w:left w:val="nil"/>
              <w:bottom w:val="nil"/>
              <w:right w:val="nil"/>
            </w:tcBorders>
          </w:tcPr>
          <w:p w14:paraId="66E2AA61"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0502***</w:t>
            </w:r>
          </w:p>
        </w:tc>
      </w:tr>
      <w:tr w:rsidR="00E058DB" w:rsidRPr="00FB6512" w14:paraId="526E1C7F" w14:textId="77777777" w:rsidTr="00D15FF7">
        <w:trPr>
          <w:jc w:val="center"/>
        </w:trPr>
        <w:tc>
          <w:tcPr>
            <w:tcW w:w="6555" w:type="dxa"/>
            <w:tcBorders>
              <w:top w:val="nil"/>
              <w:left w:val="nil"/>
              <w:bottom w:val="nil"/>
              <w:right w:val="nil"/>
            </w:tcBorders>
          </w:tcPr>
          <w:p w14:paraId="7D3EFEA1"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74BB59BA"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009)</w:t>
            </w:r>
          </w:p>
        </w:tc>
      </w:tr>
      <w:tr w:rsidR="00E058DB" w:rsidRPr="00FB6512" w14:paraId="1471DBAA" w14:textId="77777777" w:rsidTr="00D15FF7">
        <w:trPr>
          <w:jc w:val="center"/>
        </w:trPr>
        <w:tc>
          <w:tcPr>
            <w:tcW w:w="6555" w:type="dxa"/>
            <w:tcBorders>
              <w:top w:val="nil"/>
              <w:left w:val="nil"/>
              <w:bottom w:val="nil"/>
              <w:right w:val="nil"/>
            </w:tcBorders>
          </w:tcPr>
          <w:p w14:paraId="65480B93"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Sales growth</w:t>
            </w:r>
          </w:p>
        </w:tc>
        <w:tc>
          <w:tcPr>
            <w:tcW w:w="1584" w:type="dxa"/>
            <w:tcBorders>
              <w:top w:val="nil"/>
              <w:left w:val="nil"/>
              <w:bottom w:val="nil"/>
              <w:right w:val="nil"/>
            </w:tcBorders>
          </w:tcPr>
          <w:p w14:paraId="17F105A2"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0816***</w:t>
            </w:r>
          </w:p>
        </w:tc>
      </w:tr>
      <w:tr w:rsidR="00E058DB" w:rsidRPr="00FB6512" w14:paraId="78782084" w14:textId="77777777" w:rsidTr="00D15FF7">
        <w:trPr>
          <w:jc w:val="center"/>
        </w:trPr>
        <w:tc>
          <w:tcPr>
            <w:tcW w:w="6555" w:type="dxa"/>
            <w:tcBorders>
              <w:top w:val="nil"/>
              <w:left w:val="nil"/>
              <w:bottom w:val="nil"/>
              <w:right w:val="nil"/>
            </w:tcBorders>
          </w:tcPr>
          <w:p w14:paraId="6F04CAFE"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25EC61FE"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031)</w:t>
            </w:r>
          </w:p>
        </w:tc>
      </w:tr>
      <w:tr w:rsidR="00E058DB" w:rsidRPr="00FB6512" w14:paraId="05C5D511" w14:textId="77777777" w:rsidTr="00D15FF7">
        <w:trPr>
          <w:jc w:val="center"/>
        </w:trPr>
        <w:tc>
          <w:tcPr>
            <w:tcW w:w="6555" w:type="dxa"/>
            <w:tcBorders>
              <w:top w:val="nil"/>
              <w:left w:val="nil"/>
              <w:bottom w:val="nil"/>
              <w:right w:val="nil"/>
            </w:tcBorders>
          </w:tcPr>
          <w:p w14:paraId="33846097"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Market share</w:t>
            </w:r>
          </w:p>
        </w:tc>
        <w:tc>
          <w:tcPr>
            <w:tcW w:w="1584" w:type="dxa"/>
            <w:tcBorders>
              <w:top w:val="nil"/>
              <w:left w:val="nil"/>
              <w:bottom w:val="nil"/>
              <w:right w:val="nil"/>
            </w:tcBorders>
          </w:tcPr>
          <w:p w14:paraId="787A4569"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1088</w:t>
            </w:r>
          </w:p>
        </w:tc>
      </w:tr>
      <w:tr w:rsidR="00E058DB" w:rsidRPr="00FB6512" w14:paraId="1813DF02" w14:textId="77777777" w:rsidTr="00D15FF7">
        <w:trPr>
          <w:jc w:val="center"/>
        </w:trPr>
        <w:tc>
          <w:tcPr>
            <w:tcW w:w="6555" w:type="dxa"/>
            <w:tcBorders>
              <w:top w:val="nil"/>
              <w:left w:val="nil"/>
              <w:bottom w:val="nil"/>
              <w:right w:val="nil"/>
            </w:tcBorders>
          </w:tcPr>
          <w:p w14:paraId="118BB3D6"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377ED73C"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095)</w:t>
            </w:r>
          </w:p>
        </w:tc>
      </w:tr>
      <w:tr w:rsidR="00E058DB" w:rsidRPr="00FB6512" w14:paraId="245F3BA9" w14:textId="77777777" w:rsidTr="00D15FF7">
        <w:trPr>
          <w:jc w:val="center"/>
        </w:trPr>
        <w:tc>
          <w:tcPr>
            <w:tcW w:w="6555" w:type="dxa"/>
            <w:tcBorders>
              <w:top w:val="nil"/>
              <w:left w:val="nil"/>
              <w:bottom w:val="nil"/>
              <w:right w:val="nil"/>
            </w:tcBorders>
          </w:tcPr>
          <w:p w14:paraId="4D5F0AC5"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Financial leverage</w:t>
            </w:r>
          </w:p>
        </w:tc>
        <w:tc>
          <w:tcPr>
            <w:tcW w:w="1584" w:type="dxa"/>
            <w:tcBorders>
              <w:top w:val="nil"/>
              <w:left w:val="nil"/>
              <w:bottom w:val="nil"/>
              <w:right w:val="nil"/>
            </w:tcBorders>
          </w:tcPr>
          <w:p w14:paraId="522D0680"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0001</w:t>
            </w:r>
          </w:p>
        </w:tc>
      </w:tr>
      <w:tr w:rsidR="00E058DB" w:rsidRPr="00FB6512" w14:paraId="365C81B2" w14:textId="77777777" w:rsidTr="00D15FF7">
        <w:trPr>
          <w:jc w:val="center"/>
        </w:trPr>
        <w:tc>
          <w:tcPr>
            <w:tcW w:w="6555" w:type="dxa"/>
            <w:tcBorders>
              <w:top w:val="nil"/>
              <w:left w:val="nil"/>
              <w:bottom w:val="nil"/>
              <w:right w:val="nil"/>
            </w:tcBorders>
          </w:tcPr>
          <w:p w14:paraId="74809018"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0324D06C"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000)</w:t>
            </w:r>
          </w:p>
        </w:tc>
      </w:tr>
      <w:tr w:rsidR="00E058DB" w:rsidRPr="00FB6512" w14:paraId="4AACCA01" w14:textId="77777777" w:rsidTr="00D15FF7">
        <w:trPr>
          <w:jc w:val="center"/>
        </w:trPr>
        <w:tc>
          <w:tcPr>
            <w:tcW w:w="6555" w:type="dxa"/>
            <w:tcBorders>
              <w:top w:val="nil"/>
              <w:left w:val="nil"/>
              <w:bottom w:val="nil"/>
              <w:right w:val="nil"/>
            </w:tcBorders>
          </w:tcPr>
          <w:p w14:paraId="15E867EE"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Constant</w:t>
            </w:r>
          </w:p>
        </w:tc>
        <w:tc>
          <w:tcPr>
            <w:tcW w:w="1584" w:type="dxa"/>
            <w:tcBorders>
              <w:top w:val="nil"/>
              <w:left w:val="nil"/>
              <w:bottom w:val="nil"/>
              <w:right w:val="nil"/>
            </w:tcBorders>
          </w:tcPr>
          <w:p w14:paraId="0FE7CCE9"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0858</w:t>
            </w:r>
          </w:p>
        </w:tc>
      </w:tr>
      <w:tr w:rsidR="00E058DB" w:rsidRPr="00FB6512" w14:paraId="53B48131" w14:textId="77777777" w:rsidTr="00D15FF7">
        <w:trPr>
          <w:jc w:val="center"/>
        </w:trPr>
        <w:tc>
          <w:tcPr>
            <w:tcW w:w="6555" w:type="dxa"/>
            <w:tcBorders>
              <w:top w:val="nil"/>
              <w:left w:val="nil"/>
              <w:bottom w:val="nil"/>
              <w:right w:val="nil"/>
            </w:tcBorders>
          </w:tcPr>
          <w:p w14:paraId="61CE6D84"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474C4309"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671)</w:t>
            </w:r>
          </w:p>
        </w:tc>
      </w:tr>
      <w:tr w:rsidR="00E058DB" w:rsidRPr="00FB6512" w14:paraId="21348605" w14:textId="77777777" w:rsidTr="00D15FF7">
        <w:trPr>
          <w:jc w:val="center"/>
        </w:trPr>
        <w:tc>
          <w:tcPr>
            <w:tcW w:w="6555" w:type="dxa"/>
            <w:tcBorders>
              <w:top w:val="nil"/>
              <w:left w:val="nil"/>
              <w:bottom w:val="nil"/>
              <w:right w:val="nil"/>
            </w:tcBorders>
          </w:tcPr>
          <w:p w14:paraId="4ECD153C"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2CB46FDF" w14:textId="77777777" w:rsidR="00E058DB" w:rsidRPr="00064F56" w:rsidRDefault="00E058DB" w:rsidP="00D15FF7">
            <w:pPr>
              <w:widowControl w:val="0"/>
              <w:autoSpaceDE w:val="0"/>
              <w:autoSpaceDN w:val="0"/>
              <w:adjustRightInd w:val="0"/>
              <w:jc w:val="center"/>
              <w:rPr>
                <w:color w:val="000000" w:themeColor="text1"/>
                <w:lang w:val="en-US"/>
              </w:rPr>
            </w:pPr>
          </w:p>
        </w:tc>
      </w:tr>
      <w:tr w:rsidR="00E058DB" w:rsidRPr="00FB6512" w14:paraId="6291F2AC" w14:textId="77777777" w:rsidTr="00D15FF7">
        <w:trPr>
          <w:jc w:val="center"/>
        </w:trPr>
        <w:tc>
          <w:tcPr>
            <w:tcW w:w="6555" w:type="dxa"/>
            <w:tcBorders>
              <w:top w:val="nil"/>
              <w:left w:val="nil"/>
              <w:bottom w:val="nil"/>
              <w:right w:val="nil"/>
            </w:tcBorders>
          </w:tcPr>
          <w:p w14:paraId="770636A5"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Observations</w:t>
            </w:r>
          </w:p>
        </w:tc>
        <w:tc>
          <w:tcPr>
            <w:tcW w:w="1584" w:type="dxa"/>
            <w:tcBorders>
              <w:top w:val="nil"/>
              <w:left w:val="nil"/>
              <w:bottom w:val="nil"/>
              <w:right w:val="nil"/>
            </w:tcBorders>
          </w:tcPr>
          <w:p w14:paraId="446B470F"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4,372</w:t>
            </w:r>
          </w:p>
        </w:tc>
      </w:tr>
      <w:tr w:rsidR="00E058DB" w:rsidRPr="00FB6512" w14:paraId="579AA7FA" w14:textId="77777777" w:rsidTr="00D15FF7">
        <w:trPr>
          <w:jc w:val="center"/>
        </w:trPr>
        <w:tc>
          <w:tcPr>
            <w:tcW w:w="6555" w:type="dxa"/>
            <w:tcBorders>
              <w:top w:val="nil"/>
              <w:left w:val="nil"/>
              <w:bottom w:val="nil"/>
              <w:right w:val="nil"/>
            </w:tcBorders>
          </w:tcPr>
          <w:p w14:paraId="1417A3BA"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Adjusted R-squared</w:t>
            </w:r>
          </w:p>
        </w:tc>
        <w:tc>
          <w:tcPr>
            <w:tcW w:w="1584" w:type="dxa"/>
            <w:tcBorders>
              <w:top w:val="nil"/>
              <w:left w:val="nil"/>
              <w:bottom w:val="nil"/>
              <w:right w:val="nil"/>
            </w:tcBorders>
          </w:tcPr>
          <w:p w14:paraId="69F0D7FB"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214</w:t>
            </w:r>
          </w:p>
        </w:tc>
      </w:tr>
      <w:tr w:rsidR="00E058DB" w:rsidRPr="00FB6512" w14:paraId="37909121" w14:textId="77777777" w:rsidTr="00D15FF7">
        <w:tblPrEx>
          <w:tblBorders>
            <w:bottom w:val="single" w:sz="6" w:space="0" w:color="auto"/>
          </w:tblBorders>
        </w:tblPrEx>
        <w:trPr>
          <w:jc w:val="center"/>
        </w:trPr>
        <w:tc>
          <w:tcPr>
            <w:tcW w:w="6555" w:type="dxa"/>
            <w:tcBorders>
              <w:top w:val="nil"/>
              <w:left w:val="nil"/>
              <w:bottom w:val="single" w:sz="6" w:space="0" w:color="auto"/>
              <w:right w:val="nil"/>
            </w:tcBorders>
          </w:tcPr>
          <w:p w14:paraId="632AFBF5"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Model F-statistic</w:t>
            </w:r>
          </w:p>
        </w:tc>
        <w:tc>
          <w:tcPr>
            <w:tcW w:w="1584" w:type="dxa"/>
            <w:tcBorders>
              <w:top w:val="nil"/>
              <w:left w:val="nil"/>
              <w:bottom w:val="single" w:sz="6" w:space="0" w:color="auto"/>
              <w:right w:val="nil"/>
            </w:tcBorders>
          </w:tcPr>
          <w:p w14:paraId="0310D38E"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28.36*** (22)</w:t>
            </w:r>
          </w:p>
        </w:tc>
      </w:tr>
    </w:tbl>
    <w:p w14:paraId="401C6EB7" w14:textId="77777777" w:rsidR="00E058DB" w:rsidRPr="007C37B0" w:rsidRDefault="00E058DB" w:rsidP="00E058DB">
      <w:pPr>
        <w:pStyle w:val="NoSpacing"/>
        <w:spacing w:line="240" w:lineRule="auto"/>
        <w:ind w:left="720"/>
        <w:rPr>
          <w:color w:val="000000" w:themeColor="text1"/>
          <w:sz w:val="20"/>
          <w:lang w:val="en-US"/>
        </w:rPr>
      </w:pPr>
      <w:r w:rsidRPr="007C37B0">
        <w:rPr>
          <w:i/>
          <w:color w:val="000000" w:themeColor="text1"/>
          <w:sz w:val="20"/>
          <w:lang w:val="en-US"/>
        </w:rPr>
        <w:t>Notes</w:t>
      </w:r>
      <w:r w:rsidRPr="007C37B0">
        <w:rPr>
          <w:color w:val="000000" w:themeColor="text1"/>
          <w:sz w:val="20"/>
          <w:lang w:val="en-US"/>
        </w:rPr>
        <w:t xml:space="preserve">: </w:t>
      </w:r>
      <w:r>
        <w:rPr>
          <w:color w:val="000000" w:themeColor="text1"/>
          <w:sz w:val="20"/>
          <w:lang w:val="en-US"/>
        </w:rPr>
        <w:t xml:space="preserve">UADV_ measured as share of voice. </w:t>
      </w:r>
      <w:r w:rsidRPr="007C37B0">
        <w:rPr>
          <w:color w:val="000000" w:themeColor="text1"/>
          <w:sz w:val="20"/>
          <w:lang w:val="en-US"/>
        </w:rPr>
        <w:t>Standard errors in parentheses. Shareholder complaints calculated at period t-1. Firm and year fixed effects not reported. ***</w:t>
      </w:r>
      <w:r w:rsidRPr="007C37B0">
        <w:rPr>
          <w:i/>
          <w:color w:val="000000" w:themeColor="text1"/>
          <w:sz w:val="20"/>
          <w:lang w:val="en-US"/>
        </w:rPr>
        <w:t>p</w:t>
      </w:r>
      <w:r w:rsidRPr="007C37B0">
        <w:rPr>
          <w:color w:val="000000" w:themeColor="text1"/>
          <w:sz w:val="20"/>
          <w:lang w:val="en-US"/>
        </w:rPr>
        <w:t>&lt;</w:t>
      </w:r>
      <w:r>
        <w:rPr>
          <w:color w:val="000000" w:themeColor="text1"/>
          <w:sz w:val="20"/>
          <w:lang w:val="en-US"/>
        </w:rPr>
        <w:t>.</w:t>
      </w:r>
      <w:r w:rsidRPr="007C37B0">
        <w:rPr>
          <w:color w:val="000000" w:themeColor="text1"/>
          <w:sz w:val="20"/>
          <w:lang w:val="en-US"/>
        </w:rPr>
        <w:t>01, **</w:t>
      </w:r>
      <w:r w:rsidRPr="007C37B0">
        <w:rPr>
          <w:i/>
          <w:color w:val="000000" w:themeColor="text1"/>
          <w:sz w:val="20"/>
          <w:lang w:val="en-US"/>
        </w:rPr>
        <w:t>p</w:t>
      </w:r>
      <w:r w:rsidRPr="007C37B0">
        <w:rPr>
          <w:color w:val="000000" w:themeColor="text1"/>
          <w:sz w:val="20"/>
          <w:lang w:val="en-US"/>
        </w:rPr>
        <w:t>&lt;</w:t>
      </w:r>
      <w:r>
        <w:rPr>
          <w:color w:val="000000" w:themeColor="text1"/>
          <w:sz w:val="20"/>
          <w:lang w:val="en-US"/>
        </w:rPr>
        <w:t>.</w:t>
      </w:r>
      <w:r w:rsidRPr="007C37B0">
        <w:rPr>
          <w:color w:val="000000" w:themeColor="text1"/>
          <w:sz w:val="20"/>
          <w:lang w:val="en-US"/>
        </w:rPr>
        <w:t>05, *</w:t>
      </w:r>
      <w:r w:rsidRPr="007C37B0">
        <w:rPr>
          <w:i/>
          <w:color w:val="000000" w:themeColor="text1"/>
          <w:sz w:val="20"/>
          <w:lang w:val="en-US"/>
        </w:rPr>
        <w:t>p</w:t>
      </w:r>
      <w:r w:rsidRPr="007C37B0">
        <w:rPr>
          <w:color w:val="000000" w:themeColor="text1"/>
          <w:sz w:val="20"/>
          <w:lang w:val="en-US"/>
        </w:rPr>
        <w:t>&lt;</w:t>
      </w:r>
      <w:r>
        <w:rPr>
          <w:color w:val="000000" w:themeColor="text1"/>
          <w:sz w:val="20"/>
          <w:lang w:val="en-US"/>
        </w:rPr>
        <w:t>.</w:t>
      </w:r>
      <w:r w:rsidRPr="007C37B0">
        <w:rPr>
          <w:color w:val="000000" w:themeColor="text1"/>
          <w:sz w:val="20"/>
          <w:lang w:val="en-US"/>
        </w:rPr>
        <w:t>1</w:t>
      </w:r>
      <w:r>
        <w:rPr>
          <w:color w:val="000000" w:themeColor="text1"/>
          <w:sz w:val="20"/>
          <w:lang w:val="en-US"/>
        </w:rPr>
        <w:t>.</w:t>
      </w:r>
      <w:r w:rsidRPr="007C37B0">
        <w:rPr>
          <w:color w:val="000000" w:themeColor="text1"/>
          <w:sz w:val="20"/>
          <w:lang w:val="en-US"/>
        </w:rPr>
        <w:t xml:space="preserve"> </w:t>
      </w:r>
    </w:p>
    <w:p w14:paraId="1DD03727" w14:textId="77777777" w:rsidR="00E058DB" w:rsidRPr="007C37B0" w:rsidRDefault="00E058DB" w:rsidP="00E058DB">
      <w:pPr>
        <w:jc w:val="center"/>
        <w:rPr>
          <w:b/>
          <w:color w:val="000000" w:themeColor="text1"/>
          <w:lang w:val="en-US"/>
        </w:rPr>
      </w:pPr>
    </w:p>
    <w:p w14:paraId="57E09062" w14:textId="77777777" w:rsidR="00E058DB" w:rsidRPr="007C37B0" w:rsidRDefault="00E058DB" w:rsidP="00E058DB">
      <w:pPr>
        <w:rPr>
          <w:b/>
          <w:color w:val="000000" w:themeColor="text1"/>
          <w:lang w:val="en-US"/>
        </w:rPr>
      </w:pPr>
      <w:r w:rsidRPr="007C37B0">
        <w:rPr>
          <w:b/>
          <w:color w:val="000000" w:themeColor="text1"/>
          <w:lang w:val="en-US"/>
        </w:rPr>
        <w:br w:type="page"/>
      </w:r>
    </w:p>
    <w:p w14:paraId="5D0FE8CD" w14:textId="77777777" w:rsidR="00E058DB" w:rsidRPr="007C37B0" w:rsidRDefault="00E058DB" w:rsidP="00E058DB">
      <w:pPr>
        <w:jc w:val="center"/>
        <w:rPr>
          <w:b/>
          <w:color w:val="000000" w:themeColor="text1"/>
          <w:u w:color="000000"/>
          <w:lang w:val="en-US"/>
        </w:rPr>
        <w:sectPr w:rsidR="00E058DB" w:rsidRPr="007C37B0" w:rsidSect="00E87BE6">
          <w:pgSz w:w="12240" w:h="15840"/>
          <w:pgMar w:top="1440" w:right="1440" w:bottom="1440" w:left="1440" w:header="720" w:footer="720" w:gutter="0"/>
          <w:cols w:space="708"/>
          <w:docGrid w:linePitch="360"/>
        </w:sectPr>
      </w:pPr>
    </w:p>
    <w:p w14:paraId="4662DB36" w14:textId="77777777" w:rsidR="00E058DB" w:rsidRPr="007C37B0" w:rsidRDefault="00E058DB" w:rsidP="00E058DB">
      <w:pPr>
        <w:jc w:val="center"/>
        <w:rPr>
          <w:b/>
          <w:caps/>
          <w:color w:val="000000" w:themeColor="text1"/>
          <w:u w:color="000000"/>
          <w:lang w:val="en-US"/>
        </w:rPr>
      </w:pPr>
      <w:r w:rsidRPr="007C37B0">
        <w:rPr>
          <w:b/>
          <w:caps/>
          <w:color w:val="000000" w:themeColor="text1"/>
          <w:u w:color="000000"/>
          <w:lang w:val="en-US"/>
        </w:rPr>
        <w:lastRenderedPageBreak/>
        <w:t>Table D3: Advertising Investment Response (Compustat Advertising)</w:t>
      </w:r>
    </w:p>
    <w:p w14:paraId="59807F2E" w14:textId="77777777" w:rsidR="00E058DB" w:rsidRDefault="00E058DB" w:rsidP="00E058DB">
      <w:pPr>
        <w:jc w:val="center"/>
        <w:rPr>
          <w:color w:val="000000" w:themeColor="text1"/>
          <w:u w:color="000000"/>
          <w:lang w:val="en-US"/>
        </w:rPr>
      </w:pPr>
    </w:p>
    <w:tbl>
      <w:tblPr>
        <w:tblW w:w="8690" w:type="dxa"/>
        <w:jc w:val="center"/>
        <w:tblLayout w:type="fixed"/>
        <w:tblCellMar>
          <w:left w:w="75" w:type="dxa"/>
          <w:right w:w="75" w:type="dxa"/>
        </w:tblCellMar>
        <w:tblLook w:val="0000" w:firstRow="0" w:lastRow="0" w:firstColumn="0" w:lastColumn="0" w:noHBand="0" w:noVBand="0"/>
      </w:tblPr>
      <w:tblGrid>
        <w:gridCol w:w="4579"/>
        <w:gridCol w:w="2268"/>
        <w:gridCol w:w="1843"/>
      </w:tblGrid>
      <w:tr w:rsidR="00E058DB" w:rsidRPr="00FB6512" w14:paraId="1E26E10C" w14:textId="77777777" w:rsidTr="00D15FF7">
        <w:trPr>
          <w:jc w:val="center"/>
        </w:trPr>
        <w:tc>
          <w:tcPr>
            <w:tcW w:w="4579" w:type="dxa"/>
            <w:tcBorders>
              <w:top w:val="single" w:sz="6" w:space="0" w:color="auto"/>
              <w:left w:val="nil"/>
              <w:bottom w:val="nil"/>
              <w:right w:val="nil"/>
            </w:tcBorders>
          </w:tcPr>
          <w:p w14:paraId="319BFC60" w14:textId="77777777" w:rsidR="00E058DB" w:rsidRPr="00064F56" w:rsidRDefault="00E058DB" w:rsidP="00D15FF7">
            <w:pPr>
              <w:widowControl w:val="0"/>
              <w:autoSpaceDE w:val="0"/>
              <w:autoSpaceDN w:val="0"/>
              <w:adjustRightInd w:val="0"/>
              <w:rPr>
                <w:color w:val="000000" w:themeColor="text1"/>
                <w:lang w:val="en-US"/>
              </w:rPr>
            </w:pPr>
          </w:p>
        </w:tc>
        <w:tc>
          <w:tcPr>
            <w:tcW w:w="2268" w:type="dxa"/>
            <w:tcBorders>
              <w:top w:val="single" w:sz="6" w:space="0" w:color="auto"/>
              <w:left w:val="nil"/>
              <w:bottom w:val="nil"/>
              <w:right w:val="nil"/>
            </w:tcBorders>
          </w:tcPr>
          <w:p w14:paraId="482DC198" w14:textId="77777777" w:rsidR="00E058DB" w:rsidRPr="007C37B0" w:rsidRDefault="00E058DB" w:rsidP="00D15FF7">
            <w:pPr>
              <w:widowControl w:val="0"/>
              <w:autoSpaceDE w:val="0"/>
              <w:autoSpaceDN w:val="0"/>
              <w:adjustRightInd w:val="0"/>
              <w:jc w:val="center"/>
              <w:rPr>
                <w:b/>
                <w:color w:val="000000" w:themeColor="text1"/>
                <w:lang w:val="en-US"/>
              </w:rPr>
            </w:pPr>
            <w:r w:rsidRPr="007C37B0">
              <w:rPr>
                <w:b/>
                <w:color w:val="000000" w:themeColor="text1"/>
                <w:lang w:val="en-US"/>
              </w:rPr>
              <w:t>(1)</w:t>
            </w:r>
          </w:p>
          <w:p w14:paraId="1E68D271" w14:textId="77777777" w:rsidR="00E058DB" w:rsidRPr="007C37B0" w:rsidRDefault="00E058DB" w:rsidP="00D15FF7">
            <w:pPr>
              <w:widowControl w:val="0"/>
              <w:autoSpaceDE w:val="0"/>
              <w:autoSpaceDN w:val="0"/>
              <w:adjustRightInd w:val="0"/>
              <w:jc w:val="center"/>
              <w:rPr>
                <w:b/>
                <w:color w:val="000000" w:themeColor="text1"/>
                <w:lang w:val="en-US"/>
              </w:rPr>
            </w:pPr>
            <w:r w:rsidRPr="007C37B0">
              <w:rPr>
                <w:b/>
                <w:color w:val="000000" w:themeColor="text1"/>
                <w:lang w:val="en-US"/>
              </w:rPr>
              <w:t>Advertising investments</w:t>
            </w:r>
          </w:p>
        </w:tc>
        <w:tc>
          <w:tcPr>
            <w:tcW w:w="1843" w:type="dxa"/>
            <w:tcBorders>
              <w:top w:val="single" w:sz="6" w:space="0" w:color="auto"/>
              <w:left w:val="nil"/>
              <w:bottom w:val="nil"/>
              <w:right w:val="nil"/>
            </w:tcBorders>
          </w:tcPr>
          <w:p w14:paraId="365DF3F2" w14:textId="77777777" w:rsidR="00E058DB" w:rsidRPr="007C37B0" w:rsidRDefault="00E058DB" w:rsidP="00D15FF7">
            <w:pPr>
              <w:widowControl w:val="0"/>
              <w:autoSpaceDE w:val="0"/>
              <w:autoSpaceDN w:val="0"/>
              <w:adjustRightInd w:val="0"/>
              <w:jc w:val="center"/>
              <w:rPr>
                <w:b/>
                <w:color w:val="000000" w:themeColor="text1"/>
                <w:lang w:val="en-US"/>
              </w:rPr>
            </w:pPr>
            <w:r w:rsidRPr="007C37B0">
              <w:rPr>
                <w:b/>
                <w:color w:val="000000" w:themeColor="text1"/>
                <w:lang w:val="en-US"/>
              </w:rPr>
              <w:t>(2)</w:t>
            </w:r>
          </w:p>
          <w:p w14:paraId="4D645BE9" w14:textId="77777777" w:rsidR="00E058DB" w:rsidRPr="007C37B0" w:rsidRDefault="00E058DB" w:rsidP="00D15FF7">
            <w:pPr>
              <w:widowControl w:val="0"/>
              <w:autoSpaceDE w:val="0"/>
              <w:autoSpaceDN w:val="0"/>
              <w:adjustRightInd w:val="0"/>
              <w:jc w:val="center"/>
              <w:rPr>
                <w:b/>
                <w:color w:val="000000" w:themeColor="text1"/>
                <w:lang w:val="en-US"/>
              </w:rPr>
            </w:pPr>
            <w:r w:rsidRPr="007C37B0">
              <w:rPr>
                <w:b/>
                <w:color w:val="000000" w:themeColor="text1"/>
                <w:lang w:val="en-US"/>
              </w:rPr>
              <w:t>Advertising investments</w:t>
            </w:r>
          </w:p>
        </w:tc>
      </w:tr>
      <w:tr w:rsidR="00E058DB" w:rsidRPr="00FB6512" w14:paraId="5A5620B8" w14:textId="77777777" w:rsidTr="00D15FF7">
        <w:trPr>
          <w:jc w:val="center"/>
        </w:trPr>
        <w:tc>
          <w:tcPr>
            <w:tcW w:w="4579" w:type="dxa"/>
            <w:tcBorders>
              <w:top w:val="nil"/>
              <w:left w:val="nil"/>
              <w:bottom w:val="single" w:sz="6" w:space="0" w:color="auto"/>
              <w:right w:val="nil"/>
            </w:tcBorders>
          </w:tcPr>
          <w:p w14:paraId="5494564F" w14:textId="77777777" w:rsidR="00E058DB" w:rsidRPr="00064F56" w:rsidRDefault="00E058DB" w:rsidP="00D15FF7">
            <w:pPr>
              <w:widowControl w:val="0"/>
              <w:autoSpaceDE w:val="0"/>
              <w:autoSpaceDN w:val="0"/>
              <w:adjustRightInd w:val="0"/>
              <w:rPr>
                <w:color w:val="000000" w:themeColor="text1"/>
                <w:lang w:val="en-US"/>
              </w:rPr>
            </w:pPr>
          </w:p>
        </w:tc>
        <w:tc>
          <w:tcPr>
            <w:tcW w:w="2268" w:type="dxa"/>
            <w:tcBorders>
              <w:top w:val="nil"/>
              <w:left w:val="nil"/>
              <w:bottom w:val="single" w:sz="6" w:space="0" w:color="auto"/>
              <w:right w:val="nil"/>
            </w:tcBorders>
          </w:tcPr>
          <w:p w14:paraId="59C00371" w14:textId="77777777" w:rsidR="00E058DB" w:rsidRPr="007C37B0" w:rsidRDefault="00E058DB" w:rsidP="00D15FF7">
            <w:pPr>
              <w:widowControl w:val="0"/>
              <w:autoSpaceDE w:val="0"/>
              <w:autoSpaceDN w:val="0"/>
              <w:adjustRightInd w:val="0"/>
              <w:jc w:val="center"/>
              <w:rPr>
                <w:b/>
                <w:color w:val="000000" w:themeColor="text1"/>
                <w:lang w:val="en-US"/>
              </w:rPr>
            </w:pPr>
            <w:r w:rsidRPr="007C37B0">
              <w:rPr>
                <w:b/>
                <w:color w:val="000000" w:themeColor="text1"/>
                <w:lang w:val="en-US"/>
              </w:rPr>
              <w:t>(</w:t>
            </w:r>
            <w:r w:rsidRPr="007C37B0">
              <w:rPr>
                <w:b/>
                <w:i/>
                <w:color w:val="000000" w:themeColor="text1"/>
                <w:lang w:val="en-US"/>
              </w:rPr>
              <w:t>UADV</w:t>
            </w:r>
            <w:r>
              <w:rPr>
                <w:b/>
                <w:i/>
                <w:color w:val="000000" w:themeColor="text1"/>
                <w:lang w:val="en-US"/>
              </w:rPr>
              <w:t>_</w:t>
            </w:r>
            <w:r w:rsidRPr="007C37B0">
              <w:rPr>
                <w:b/>
                <w:color w:val="000000" w:themeColor="text1"/>
                <w:lang w:val="en-US"/>
              </w:rPr>
              <w:t>)</w:t>
            </w:r>
          </w:p>
        </w:tc>
        <w:tc>
          <w:tcPr>
            <w:tcW w:w="1843" w:type="dxa"/>
            <w:tcBorders>
              <w:top w:val="nil"/>
              <w:left w:val="nil"/>
              <w:bottom w:val="single" w:sz="6" w:space="0" w:color="auto"/>
              <w:right w:val="nil"/>
            </w:tcBorders>
          </w:tcPr>
          <w:p w14:paraId="3650F1B9" w14:textId="77777777" w:rsidR="00E058DB" w:rsidRPr="007C37B0" w:rsidRDefault="00E058DB" w:rsidP="00D15FF7">
            <w:pPr>
              <w:widowControl w:val="0"/>
              <w:autoSpaceDE w:val="0"/>
              <w:autoSpaceDN w:val="0"/>
              <w:adjustRightInd w:val="0"/>
              <w:jc w:val="center"/>
              <w:rPr>
                <w:b/>
                <w:color w:val="000000" w:themeColor="text1"/>
                <w:lang w:val="en-US"/>
              </w:rPr>
            </w:pPr>
            <w:r w:rsidRPr="007C37B0">
              <w:rPr>
                <w:b/>
                <w:color w:val="000000" w:themeColor="text1"/>
                <w:lang w:val="en-US"/>
              </w:rPr>
              <w:t>(</w:t>
            </w:r>
            <w:r w:rsidRPr="007C37B0">
              <w:rPr>
                <w:b/>
                <w:i/>
                <w:color w:val="000000" w:themeColor="text1"/>
                <w:lang w:val="en-US"/>
              </w:rPr>
              <w:t>UADV</w:t>
            </w:r>
            <w:r>
              <w:rPr>
                <w:b/>
                <w:i/>
                <w:color w:val="000000" w:themeColor="text1"/>
                <w:lang w:val="en-US"/>
              </w:rPr>
              <w:t>_</w:t>
            </w:r>
            <w:r w:rsidRPr="007C37B0">
              <w:rPr>
                <w:b/>
                <w:color w:val="000000" w:themeColor="text1"/>
                <w:lang w:val="en-US"/>
              </w:rPr>
              <w:t>)</w:t>
            </w:r>
          </w:p>
        </w:tc>
      </w:tr>
      <w:tr w:rsidR="00E058DB" w:rsidRPr="00FB6512" w14:paraId="6AB0DED0" w14:textId="77777777" w:rsidTr="00D15FF7">
        <w:trPr>
          <w:jc w:val="center"/>
        </w:trPr>
        <w:tc>
          <w:tcPr>
            <w:tcW w:w="4579" w:type="dxa"/>
            <w:tcBorders>
              <w:top w:val="nil"/>
              <w:left w:val="nil"/>
              <w:bottom w:val="nil"/>
              <w:right w:val="nil"/>
            </w:tcBorders>
          </w:tcPr>
          <w:p w14:paraId="35321CDE" w14:textId="77777777" w:rsidR="00E058DB" w:rsidRPr="00064F56" w:rsidRDefault="00E058DB" w:rsidP="00D15FF7">
            <w:pPr>
              <w:widowControl w:val="0"/>
              <w:autoSpaceDE w:val="0"/>
              <w:autoSpaceDN w:val="0"/>
              <w:adjustRightInd w:val="0"/>
              <w:rPr>
                <w:color w:val="000000" w:themeColor="text1"/>
                <w:lang w:val="en-US"/>
              </w:rPr>
            </w:pPr>
          </w:p>
        </w:tc>
        <w:tc>
          <w:tcPr>
            <w:tcW w:w="2268" w:type="dxa"/>
            <w:tcBorders>
              <w:top w:val="nil"/>
              <w:left w:val="nil"/>
              <w:bottom w:val="nil"/>
              <w:right w:val="nil"/>
            </w:tcBorders>
          </w:tcPr>
          <w:p w14:paraId="5E8A4B4F" w14:textId="77777777" w:rsidR="00E058DB" w:rsidRPr="00064F56" w:rsidRDefault="00E058DB" w:rsidP="00D15FF7">
            <w:pPr>
              <w:widowControl w:val="0"/>
              <w:autoSpaceDE w:val="0"/>
              <w:autoSpaceDN w:val="0"/>
              <w:adjustRightInd w:val="0"/>
              <w:jc w:val="center"/>
              <w:rPr>
                <w:color w:val="000000" w:themeColor="text1"/>
                <w:lang w:val="en-US"/>
              </w:rPr>
            </w:pPr>
          </w:p>
        </w:tc>
        <w:tc>
          <w:tcPr>
            <w:tcW w:w="1843" w:type="dxa"/>
            <w:tcBorders>
              <w:top w:val="nil"/>
              <w:left w:val="nil"/>
              <w:bottom w:val="nil"/>
              <w:right w:val="nil"/>
            </w:tcBorders>
          </w:tcPr>
          <w:p w14:paraId="7A780DA8" w14:textId="77777777" w:rsidR="00E058DB" w:rsidRPr="00064F56" w:rsidRDefault="00E058DB" w:rsidP="00D15FF7">
            <w:pPr>
              <w:widowControl w:val="0"/>
              <w:autoSpaceDE w:val="0"/>
              <w:autoSpaceDN w:val="0"/>
              <w:adjustRightInd w:val="0"/>
              <w:jc w:val="center"/>
              <w:rPr>
                <w:color w:val="000000" w:themeColor="text1"/>
                <w:lang w:val="en-US"/>
              </w:rPr>
            </w:pPr>
          </w:p>
        </w:tc>
      </w:tr>
      <w:tr w:rsidR="00E058DB" w:rsidRPr="00FB6512" w14:paraId="5CAF2027" w14:textId="77777777" w:rsidTr="00D15FF7">
        <w:trPr>
          <w:jc w:val="center"/>
        </w:trPr>
        <w:tc>
          <w:tcPr>
            <w:tcW w:w="4579" w:type="dxa"/>
            <w:tcBorders>
              <w:top w:val="nil"/>
              <w:left w:val="nil"/>
              <w:bottom w:val="nil"/>
              <w:right w:val="nil"/>
            </w:tcBorders>
          </w:tcPr>
          <w:p w14:paraId="1E60CA46"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complaints</w:t>
            </w:r>
            <w:r>
              <w:rPr>
                <w:color w:val="000000" w:themeColor="text1"/>
                <w:lang w:val="en-US"/>
              </w:rPr>
              <w:t xml:space="preserve"> (</w:t>
            </w:r>
            <w:r w:rsidRPr="00064F56">
              <w:rPr>
                <w:i/>
                <w:color w:val="000000" w:themeColor="text1"/>
                <w:lang w:val="en-US"/>
              </w:rPr>
              <w:t>SHC</w:t>
            </w:r>
            <w:r>
              <w:rPr>
                <w:color w:val="000000" w:themeColor="text1"/>
                <w:lang w:val="en-US"/>
              </w:rPr>
              <w:t>)</w:t>
            </w:r>
          </w:p>
        </w:tc>
        <w:tc>
          <w:tcPr>
            <w:tcW w:w="2268" w:type="dxa"/>
            <w:tcBorders>
              <w:top w:val="nil"/>
              <w:left w:val="nil"/>
              <w:bottom w:val="nil"/>
              <w:right w:val="nil"/>
            </w:tcBorders>
          </w:tcPr>
          <w:p w14:paraId="023CAAD0"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4969***</w:t>
            </w:r>
          </w:p>
        </w:tc>
        <w:tc>
          <w:tcPr>
            <w:tcW w:w="1843" w:type="dxa"/>
            <w:tcBorders>
              <w:top w:val="nil"/>
              <w:left w:val="nil"/>
              <w:bottom w:val="nil"/>
              <w:right w:val="nil"/>
            </w:tcBorders>
          </w:tcPr>
          <w:p w14:paraId="6C7196B2"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3934</w:t>
            </w:r>
          </w:p>
        </w:tc>
      </w:tr>
      <w:tr w:rsidR="00E058DB" w:rsidRPr="00FB6512" w14:paraId="244DD0A1" w14:textId="77777777" w:rsidTr="00D15FF7">
        <w:trPr>
          <w:jc w:val="center"/>
        </w:trPr>
        <w:tc>
          <w:tcPr>
            <w:tcW w:w="4579" w:type="dxa"/>
            <w:tcBorders>
              <w:top w:val="nil"/>
              <w:left w:val="nil"/>
              <w:bottom w:val="nil"/>
              <w:right w:val="nil"/>
            </w:tcBorders>
          </w:tcPr>
          <w:p w14:paraId="457161E4" w14:textId="77777777" w:rsidR="00E058DB" w:rsidRPr="00064F56" w:rsidRDefault="00E058DB" w:rsidP="00D15FF7">
            <w:pPr>
              <w:widowControl w:val="0"/>
              <w:autoSpaceDE w:val="0"/>
              <w:autoSpaceDN w:val="0"/>
              <w:adjustRightInd w:val="0"/>
              <w:rPr>
                <w:color w:val="000000" w:themeColor="text1"/>
                <w:lang w:val="en-US"/>
              </w:rPr>
            </w:pPr>
          </w:p>
        </w:tc>
        <w:tc>
          <w:tcPr>
            <w:tcW w:w="2268" w:type="dxa"/>
            <w:tcBorders>
              <w:top w:val="nil"/>
              <w:left w:val="nil"/>
              <w:bottom w:val="nil"/>
              <w:right w:val="nil"/>
            </w:tcBorders>
          </w:tcPr>
          <w:p w14:paraId="29C54CFC"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098)</w:t>
            </w:r>
          </w:p>
        </w:tc>
        <w:tc>
          <w:tcPr>
            <w:tcW w:w="1843" w:type="dxa"/>
            <w:tcBorders>
              <w:top w:val="nil"/>
              <w:left w:val="nil"/>
              <w:bottom w:val="nil"/>
              <w:right w:val="nil"/>
            </w:tcBorders>
          </w:tcPr>
          <w:p w14:paraId="11271B45"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531)</w:t>
            </w:r>
          </w:p>
        </w:tc>
      </w:tr>
      <w:tr w:rsidR="00E058DB" w:rsidRPr="00FB6512" w14:paraId="0085B946" w14:textId="77777777" w:rsidTr="00D15FF7">
        <w:trPr>
          <w:jc w:val="center"/>
        </w:trPr>
        <w:tc>
          <w:tcPr>
            <w:tcW w:w="4579" w:type="dxa"/>
            <w:tcBorders>
              <w:top w:val="nil"/>
              <w:left w:val="nil"/>
              <w:bottom w:val="nil"/>
              <w:right w:val="nil"/>
            </w:tcBorders>
          </w:tcPr>
          <w:p w14:paraId="58496A8E"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 xml:space="preserve">Shareholder complaints </w:t>
            </w:r>
            <w:r>
              <w:rPr>
                <w:color w:val="000000" w:themeColor="text1"/>
                <w:lang w:val="en-US"/>
              </w:rPr>
              <w:t>(</w:t>
            </w:r>
            <w:r w:rsidRPr="00064F56">
              <w:rPr>
                <w:i/>
                <w:color w:val="000000" w:themeColor="text1"/>
                <w:lang w:val="en-US"/>
              </w:rPr>
              <w:t>SHC</w:t>
            </w:r>
            <w:r>
              <w:rPr>
                <w:color w:val="000000" w:themeColor="text1"/>
                <w:lang w:val="en-US"/>
              </w:rPr>
              <w:t xml:space="preserve">) </w:t>
            </w:r>
            <w:r w:rsidRPr="00064F56">
              <w:rPr>
                <w:color w:val="000000" w:themeColor="text1"/>
                <w:lang w:val="en-US"/>
              </w:rPr>
              <w:t xml:space="preserve">* Institutional </w:t>
            </w:r>
          </w:p>
        </w:tc>
        <w:tc>
          <w:tcPr>
            <w:tcW w:w="2268" w:type="dxa"/>
            <w:tcBorders>
              <w:top w:val="nil"/>
              <w:left w:val="nil"/>
              <w:bottom w:val="nil"/>
              <w:right w:val="nil"/>
            </w:tcBorders>
          </w:tcPr>
          <w:p w14:paraId="1389C106" w14:textId="77777777" w:rsidR="00E058DB" w:rsidRPr="00064F56" w:rsidRDefault="00E058DB" w:rsidP="00D15FF7">
            <w:pPr>
              <w:widowControl w:val="0"/>
              <w:autoSpaceDE w:val="0"/>
              <w:autoSpaceDN w:val="0"/>
              <w:adjustRightInd w:val="0"/>
              <w:jc w:val="center"/>
              <w:rPr>
                <w:color w:val="000000" w:themeColor="text1"/>
                <w:lang w:val="en-US"/>
              </w:rPr>
            </w:pPr>
          </w:p>
        </w:tc>
        <w:tc>
          <w:tcPr>
            <w:tcW w:w="1843" w:type="dxa"/>
            <w:tcBorders>
              <w:top w:val="nil"/>
              <w:left w:val="nil"/>
              <w:bottom w:val="nil"/>
              <w:right w:val="nil"/>
            </w:tcBorders>
          </w:tcPr>
          <w:p w14:paraId="26BECB30"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0826</w:t>
            </w:r>
          </w:p>
        </w:tc>
      </w:tr>
      <w:tr w:rsidR="00E058DB" w:rsidRPr="00FB6512" w14:paraId="176B470D" w14:textId="77777777" w:rsidTr="00D15FF7">
        <w:trPr>
          <w:jc w:val="center"/>
        </w:trPr>
        <w:tc>
          <w:tcPr>
            <w:tcW w:w="4579" w:type="dxa"/>
            <w:tcBorders>
              <w:top w:val="nil"/>
              <w:left w:val="nil"/>
              <w:bottom w:val="nil"/>
              <w:right w:val="nil"/>
            </w:tcBorders>
          </w:tcPr>
          <w:p w14:paraId="252154D3" w14:textId="77777777" w:rsidR="00E058DB" w:rsidRPr="00064F56" w:rsidRDefault="00E058DB" w:rsidP="00D15FF7">
            <w:pPr>
              <w:widowControl w:val="0"/>
              <w:autoSpaceDE w:val="0"/>
              <w:autoSpaceDN w:val="0"/>
              <w:adjustRightInd w:val="0"/>
              <w:rPr>
                <w:color w:val="000000" w:themeColor="text1"/>
                <w:lang w:val="en-US"/>
              </w:rPr>
            </w:pPr>
            <w:r>
              <w:rPr>
                <w:color w:val="000000" w:themeColor="text1"/>
                <w:lang w:val="en-US"/>
              </w:rPr>
              <w:t>s</w:t>
            </w:r>
            <w:r w:rsidRPr="00064F56">
              <w:rPr>
                <w:color w:val="000000" w:themeColor="text1"/>
                <w:lang w:val="en-US"/>
              </w:rPr>
              <w:t>ubmitter</w:t>
            </w:r>
            <w:r>
              <w:rPr>
                <w:color w:val="000000" w:themeColor="text1"/>
                <w:lang w:val="en-US"/>
              </w:rPr>
              <w:t xml:space="preserve"> (</w:t>
            </w:r>
            <w:r w:rsidRPr="006635C9">
              <w:rPr>
                <w:i/>
                <w:color w:val="000000" w:themeColor="text1"/>
                <w:lang w:val="en-US"/>
              </w:rPr>
              <w:t>INST</w:t>
            </w:r>
            <w:r>
              <w:rPr>
                <w:color w:val="000000" w:themeColor="text1"/>
                <w:lang w:val="en-US"/>
              </w:rPr>
              <w:t>)</w:t>
            </w:r>
          </w:p>
        </w:tc>
        <w:tc>
          <w:tcPr>
            <w:tcW w:w="2268" w:type="dxa"/>
            <w:tcBorders>
              <w:top w:val="nil"/>
              <w:left w:val="nil"/>
              <w:bottom w:val="nil"/>
              <w:right w:val="nil"/>
            </w:tcBorders>
          </w:tcPr>
          <w:p w14:paraId="0ABFE472" w14:textId="77777777" w:rsidR="00E058DB" w:rsidRPr="00064F56" w:rsidRDefault="00E058DB" w:rsidP="00D15FF7">
            <w:pPr>
              <w:widowControl w:val="0"/>
              <w:autoSpaceDE w:val="0"/>
              <w:autoSpaceDN w:val="0"/>
              <w:adjustRightInd w:val="0"/>
              <w:jc w:val="center"/>
              <w:rPr>
                <w:color w:val="000000" w:themeColor="text1"/>
                <w:lang w:val="en-US"/>
              </w:rPr>
            </w:pPr>
          </w:p>
        </w:tc>
        <w:tc>
          <w:tcPr>
            <w:tcW w:w="1843" w:type="dxa"/>
            <w:tcBorders>
              <w:top w:val="nil"/>
              <w:left w:val="nil"/>
              <w:bottom w:val="nil"/>
              <w:right w:val="nil"/>
            </w:tcBorders>
          </w:tcPr>
          <w:p w14:paraId="7EAB9475"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058)</w:t>
            </w:r>
          </w:p>
        </w:tc>
      </w:tr>
      <w:tr w:rsidR="00E058DB" w:rsidRPr="00FB6512" w14:paraId="21216536" w14:textId="77777777" w:rsidTr="00D15FF7">
        <w:trPr>
          <w:jc w:val="center"/>
        </w:trPr>
        <w:tc>
          <w:tcPr>
            <w:tcW w:w="4579" w:type="dxa"/>
            <w:tcBorders>
              <w:top w:val="nil"/>
              <w:left w:val="nil"/>
              <w:bottom w:val="nil"/>
              <w:right w:val="nil"/>
            </w:tcBorders>
          </w:tcPr>
          <w:p w14:paraId="0991873B"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 xml:space="preserve">Shareholder complaints </w:t>
            </w:r>
            <w:r>
              <w:rPr>
                <w:color w:val="000000" w:themeColor="text1"/>
                <w:lang w:val="en-US"/>
              </w:rPr>
              <w:t>(</w:t>
            </w:r>
            <w:r w:rsidRPr="00064F56">
              <w:rPr>
                <w:i/>
                <w:color w:val="000000" w:themeColor="text1"/>
                <w:lang w:val="en-US"/>
              </w:rPr>
              <w:t>SHC</w:t>
            </w:r>
            <w:r>
              <w:rPr>
                <w:color w:val="000000" w:themeColor="text1"/>
                <w:lang w:val="en-US"/>
              </w:rPr>
              <w:t xml:space="preserve">) </w:t>
            </w:r>
            <w:r w:rsidRPr="00064F56">
              <w:rPr>
                <w:color w:val="000000" w:themeColor="text1"/>
                <w:lang w:val="en-US"/>
              </w:rPr>
              <w:t xml:space="preserve">* </w:t>
            </w:r>
          </w:p>
        </w:tc>
        <w:tc>
          <w:tcPr>
            <w:tcW w:w="2268" w:type="dxa"/>
            <w:tcBorders>
              <w:top w:val="nil"/>
              <w:left w:val="nil"/>
              <w:bottom w:val="nil"/>
              <w:right w:val="nil"/>
            </w:tcBorders>
          </w:tcPr>
          <w:p w14:paraId="2EFD9D2E" w14:textId="77777777" w:rsidR="00E058DB" w:rsidRPr="00064F56" w:rsidRDefault="00E058DB" w:rsidP="00D15FF7">
            <w:pPr>
              <w:widowControl w:val="0"/>
              <w:autoSpaceDE w:val="0"/>
              <w:autoSpaceDN w:val="0"/>
              <w:adjustRightInd w:val="0"/>
              <w:jc w:val="center"/>
              <w:rPr>
                <w:color w:val="000000" w:themeColor="text1"/>
                <w:lang w:val="en-US"/>
              </w:rPr>
            </w:pPr>
          </w:p>
        </w:tc>
        <w:tc>
          <w:tcPr>
            <w:tcW w:w="1843" w:type="dxa"/>
            <w:tcBorders>
              <w:top w:val="nil"/>
              <w:left w:val="nil"/>
              <w:bottom w:val="nil"/>
              <w:right w:val="nil"/>
            </w:tcBorders>
          </w:tcPr>
          <w:p w14:paraId="5283B0C5"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0855</w:t>
            </w:r>
          </w:p>
        </w:tc>
      </w:tr>
      <w:tr w:rsidR="00E058DB" w:rsidRPr="00FB6512" w14:paraId="7D4DCAFA" w14:textId="77777777" w:rsidTr="00D15FF7">
        <w:trPr>
          <w:jc w:val="center"/>
        </w:trPr>
        <w:tc>
          <w:tcPr>
            <w:tcW w:w="4579" w:type="dxa"/>
            <w:tcBorders>
              <w:top w:val="nil"/>
              <w:left w:val="nil"/>
              <w:bottom w:val="nil"/>
              <w:right w:val="nil"/>
            </w:tcBorders>
          </w:tcPr>
          <w:p w14:paraId="193494D2" w14:textId="77777777" w:rsidR="00E058DB" w:rsidRPr="00064F56" w:rsidRDefault="00E058DB" w:rsidP="00D15FF7">
            <w:pPr>
              <w:widowControl w:val="0"/>
              <w:autoSpaceDE w:val="0"/>
              <w:autoSpaceDN w:val="0"/>
              <w:adjustRightInd w:val="0"/>
              <w:rPr>
                <w:color w:val="000000" w:themeColor="text1"/>
                <w:lang w:val="en-US"/>
              </w:rPr>
            </w:pPr>
            <w:r>
              <w:rPr>
                <w:color w:val="000000" w:themeColor="text1"/>
                <w:lang w:val="en-US"/>
              </w:rPr>
              <w:t>N</w:t>
            </w:r>
            <w:r w:rsidRPr="006A4731">
              <w:rPr>
                <w:color w:val="000000" w:themeColor="text1"/>
                <w:lang w:val="en-US"/>
              </w:rPr>
              <w:t>onfinancial type</w:t>
            </w:r>
            <w:r>
              <w:rPr>
                <w:color w:val="000000" w:themeColor="text1"/>
                <w:lang w:val="en-US"/>
              </w:rPr>
              <w:t xml:space="preserve"> (</w:t>
            </w:r>
            <w:r w:rsidRPr="006A4731">
              <w:rPr>
                <w:i/>
                <w:color w:val="000000" w:themeColor="text1"/>
                <w:lang w:val="en-US"/>
              </w:rPr>
              <w:t>NONFIN</w:t>
            </w:r>
            <w:r>
              <w:rPr>
                <w:color w:val="000000" w:themeColor="text1"/>
                <w:lang w:val="en-US"/>
              </w:rPr>
              <w:t>)</w:t>
            </w:r>
          </w:p>
        </w:tc>
        <w:tc>
          <w:tcPr>
            <w:tcW w:w="2268" w:type="dxa"/>
            <w:tcBorders>
              <w:top w:val="nil"/>
              <w:left w:val="nil"/>
              <w:bottom w:val="nil"/>
              <w:right w:val="nil"/>
            </w:tcBorders>
          </w:tcPr>
          <w:p w14:paraId="113E0BB7" w14:textId="77777777" w:rsidR="00E058DB" w:rsidRPr="00064F56" w:rsidRDefault="00E058DB" w:rsidP="00D15FF7">
            <w:pPr>
              <w:widowControl w:val="0"/>
              <w:autoSpaceDE w:val="0"/>
              <w:autoSpaceDN w:val="0"/>
              <w:adjustRightInd w:val="0"/>
              <w:jc w:val="center"/>
              <w:rPr>
                <w:color w:val="000000" w:themeColor="text1"/>
                <w:lang w:val="en-US"/>
              </w:rPr>
            </w:pPr>
          </w:p>
        </w:tc>
        <w:tc>
          <w:tcPr>
            <w:tcW w:w="1843" w:type="dxa"/>
            <w:tcBorders>
              <w:top w:val="nil"/>
              <w:left w:val="nil"/>
              <w:bottom w:val="nil"/>
              <w:right w:val="nil"/>
            </w:tcBorders>
          </w:tcPr>
          <w:p w14:paraId="145433A4"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076)</w:t>
            </w:r>
          </w:p>
        </w:tc>
      </w:tr>
      <w:tr w:rsidR="00E058DB" w:rsidRPr="00FB6512" w14:paraId="320515E5" w14:textId="77777777" w:rsidTr="00D15FF7">
        <w:trPr>
          <w:jc w:val="center"/>
        </w:trPr>
        <w:tc>
          <w:tcPr>
            <w:tcW w:w="4579" w:type="dxa"/>
            <w:tcBorders>
              <w:top w:val="nil"/>
              <w:left w:val="nil"/>
              <w:bottom w:val="nil"/>
              <w:right w:val="nil"/>
            </w:tcBorders>
          </w:tcPr>
          <w:p w14:paraId="2C70E610"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 xml:space="preserve">Shareholder complaints </w:t>
            </w:r>
            <w:r>
              <w:rPr>
                <w:color w:val="000000" w:themeColor="text1"/>
                <w:lang w:val="en-US"/>
              </w:rPr>
              <w:t>(</w:t>
            </w:r>
            <w:r w:rsidRPr="00064F56">
              <w:rPr>
                <w:i/>
                <w:color w:val="000000" w:themeColor="text1"/>
                <w:lang w:val="en-US"/>
              </w:rPr>
              <w:t>SHC</w:t>
            </w:r>
            <w:r>
              <w:rPr>
                <w:color w:val="000000" w:themeColor="text1"/>
                <w:lang w:val="en-US"/>
              </w:rPr>
              <w:t xml:space="preserve">) </w:t>
            </w:r>
            <w:r w:rsidRPr="00064F56">
              <w:rPr>
                <w:color w:val="000000" w:themeColor="text1"/>
                <w:lang w:val="en-US"/>
              </w:rPr>
              <w:t xml:space="preserve">* Topic media </w:t>
            </w:r>
          </w:p>
        </w:tc>
        <w:tc>
          <w:tcPr>
            <w:tcW w:w="2268" w:type="dxa"/>
            <w:tcBorders>
              <w:top w:val="nil"/>
              <w:left w:val="nil"/>
              <w:bottom w:val="nil"/>
              <w:right w:val="nil"/>
            </w:tcBorders>
          </w:tcPr>
          <w:p w14:paraId="0236B66E" w14:textId="77777777" w:rsidR="00E058DB" w:rsidRPr="00064F56" w:rsidRDefault="00E058DB" w:rsidP="00D15FF7">
            <w:pPr>
              <w:widowControl w:val="0"/>
              <w:autoSpaceDE w:val="0"/>
              <w:autoSpaceDN w:val="0"/>
              <w:adjustRightInd w:val="0"/>
              <w:jc w:val="center"/>
              <w:rPr>
                <w:color w:val="000000" w:themeColor="text1"/>
                <w:lang w:val="en-US"/>
              </w:rPr>
            </w:pPr>
          </w:p>
        </w:tc>
        <w:tc>
          <w:tcPr>
            <w:tcW w:w="1843" w:type="dxa"/>
            <w:tcBorders>
              <w:top w:val="nil"/>
              <w:left w:val="nil"/>
              <w:bottom w:val="nil"/>
              <w:right w:val="nil"/>
            </w:tcBorders>
          </w:tcPr>
          <w:p w14:paraId="0801396F"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1719*</w:t>
            </w:r>
          </w:p>
        </w:tc>
      </w:tr>
      <w:tr w:rsidR="00E058DB" w:rsidRPr="00FB6512" w14:paraId="7CCA8F21" w14:textId="77777777" w:rsidTr="00D15FF7">
        <w:trPr>
          <w:jc w:val="center"/>
        </w:trPr>
        <w:tc>
          <w:tcPr>
            <w:tcW w:w="4579" w:type="dxa"/>
            <w:tcBorders>
              <w:top w:val="nil"/>
              <w:left w:val="nil"/>
              <w:bottom w:val="nil"/>
              <w:right w:val="nil"/>
            </w:tcBorders>
          </w:tcPr>
          <w:p w14:paraId="0825B000" w14:textId="77777777" w:rsidR="00E058DB" w:rsidRPr="00064F56" w:rsidRDefault="00E058DB" w:rsidP="00D15FF7">
            <w:pPr>
              <w:widowControl w:val="0"/>
              <w:autoSpaceDE w:val="0"/>
              <w:autoSpaceDN w:val="0"/>
              <w:adjustRightInd w:val="0"/>
              <w:rPr>
                <w:color w:val="000000" w:themeColor="text1"/>
                <w:lang w:val="en-US"/>
              </w:rPr>
            </w:pPr>
            <w:r>
              <w:rPr>
                <w:color w:val="000000" w:themeColor="text1"/>
                <w:lang w:val="en-US"/>
              </w:rPr>
              <w:t>a</w:t>
            </w:r>
            <w:r w:rsidRPr="00064F56">
              <w:rPr>
                <w:color w:val="000000" w:themeColor="text1"/>
                <w:lang w:val="en-US"/>
              </w:rPr>
              <w:t>ttention</w:t>
            </w:r>
            <w:r>
              <w:rPr>
                <w:color w:val="000000" w:themeColor="text1"/>
                <w:lang w:val="en-US"/>
              </w:rPr>
              <w:t xml:space="preserve"> (</w:t>
            </w:r>
            <w:r w:rsidRPr="00064F56">
              <w:rPr>
                <w:i/>
                <w:color w:val="000000" w:themeColor="text1"/>
                <w:lang w:val="en-US"/>
              </w:rPr>
              <w:t>MEDIA</w:t>
            </w:r>
            <w:r>
              <w:rPr>
                <w:color w:val="000000" w:themeColor="text1"/>
                <w:lang w:val="en-US"/>
              </w:rPr>
              <w:t>)</w:t>
            </w:r>
          </w:p>
        </w:tc>
        <w:tc>
          <w:tcPr>
            <w:tcW w:w="2268" w:type="dxa"/>
            <w:tcBorders>
              <w:top w:val="nil"/>
              <w:left w:val="nil"/>
              <w:bottom w:val="nil"/>
              <w:right w:val="nil"/>
            </w:tcBorders>
          </w:tcPr>
          <w:p w14:paraId="28DDB4F9" w14:textId="77777777" w:rsidR="00E058DB" w:rsidRPr="00064F56" w:rsidRDefault="00E058DB" w:rsidP="00D15FF7">
            <w:pPr>
              <w:widowControl w:val="0"/>
              <w:autoSpaceDE w:val="0"/>
              <w:autoSpaceDN w:val="0"/>
              <w:adjustRightInd w:val="0"/>
              <w:jc w:val="center"/>
              <w:rPr>
                <w:color w:val="000000" w:themeColor="text1"/>
                <w:lang w:val="en-US"/>
              </w:rPr>
            </w:pPr>
          </w:p>
        </w:tc>
        <w:tc>
          <w:tcPr>
            <w:tcW w:w="1843" w:type="dxa"/>
            <w:tcBorders>
              <w:top w:val="nil"/>
              <w:left w:val="nil"/>
              <w:bottom w:val="nil"/>
              <w:right w:val="nil"/>
            </w:tcBorders>
          </w:tcPr>
          <w:p w14:paraId="5C7482CB"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095)</w:t>
            </w:r>
          </w:p>
        </w:tc>
      </w:tr>
      <w:tr w:rsidR="00E058DB" w:rsidRPr="00FB6512" w14:paraId="69C0A254" w14:textId="77777777" w:rsidTr="00D15FF7">
        <w:trPr>
          <w:jc w:val="center"/>
        </w:trPr>
        <w:tc>
          <w:tcPr>
            <w:tcW w:w="4579" w:type="dxa"/>
            <w:tcBorders>
              <w:top w:val="nil"/>
              <w:left w:val="nil"/>
              <w:bottom w:val="nil"/>
              <w:right w:val="nil"/>
            </w:tcBorders>
          </w:tcPr>
          <w:p w14:paraId="01E1E45F"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 institutional submitter</w:t>
            </w:r>
            <w:r>
              <w:rPr>
                <w:color w:val="000000" w:themeColor="text1"/>
                <w:lang w:val="en-US"/>
              </w:rPr>
              <w:t xml:space="preserve"> </w:t>
            </w:r>
          </w:p>
        </w:tc>
        <w:tc>
          <w:tcPr>
            <w:tcW w:w="2268" w:type="dxa"/>
            <w:tcBorders>
              <w:top w:val="nil"/>
              <w:left w:val="nil"/>
              <w:bottom w:val="nil"/>
              <w:right w:val="nil"/>
            </w:tcBorders>
          </w:tcPr>
          <w:p w14:paraId="5202BBE5" w14:textId="77777777" w:rsidR="00E058DB" w:rsidRPr="00064F56" w:rsidRDefault="00E058DB" w:rsidP="00D15FF7">
            <w:pPr>
              <w:widowControl w:val="0"/>
              <w:autoSpaceDE w:val="0"/>
              <w:autoSpaceDN w:val="0"/>
              <w:adjustRightInd w:val="0"/>
              <w:jc w:val="center"/>
              <w:rPr>
                <w:color w:val="000000" w:themeColor="text1"/>
                <w:lang w:val="en-US"/>
              </w:rPr>
            </w:pPr>
          </w:p>
        </w:tc>
        <w:tc>
          <w:tcPr>
            <w:tcW w:w="1843" w:type="dxa"/>
            <w:tcBorders>
              <w:top w:val="nil"/>
              <w:left w:val="nil"/>
              <w:bottom w:val="nil"/>
              <w:right w:val="nil"/>
            </w:tcBorders>
          </w:tcPr>
          <w:p w14:paraId="4DEF208D"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0847*</w:t>
            </w:r>
          </w:p>
        </w:tc>
      </w:tr>
      <w:tr w:rsidR="00E058DB" w:rsidRPr="00FB6512" w14:paraId="61E7F18D" w14:textId="77777777" w:rsidTr="00D15FF7">
        <w:trPr>
          <w:jc w:val="center"/>
        </w:trPr>
        <w:tc>
          <w:tcPr>
            <w:tcW w:w="4579" w:type="dxa"/>
            <w:tcBorders>
              <w:top w:val="nil"/>
              <w:left w:val="nil"/>
              <w:bottom w:val="nil"/>
              <w:right w:val="nil"/>
            </w:tcBorders>
          </w:tcPr>
          <w:p w14:paraId="1E2059F1" w14:textId="77777777" w:rsidR="00E058DB" w:rsidRPr="00064F56" w:rsidRDefault="00E058DB" w:rsidP="00D15FF7">
            <w:pPr>
              <w:widowControl w:val="0"/>
              <w:autoSpaceDE w:val="0"/>
              <w:autoSpaceDN w:val="0"/>
              <w:adjustRightInd w:val="0"/>
              <w:rPr>
                <w:color w:val="000000" w:themeColor="text1"/>
                <w:lang w:val="en-US"/>
              </w:rPr>
            </w:pPr>
            <w:r>
              <w:rPr>
                <w:color w:val="000000" w:themeColor="text1"/>
                <w:lang w:val="en-US"/>
              </w:rPr>
              <w:t>(</w:t>
            </w:r>
            <w:r w:rsidRPr="00064F56">
              <w:rPr>
                <w:i/>
                <w:color w:val="000000" w:themeColor="text1"/>
                <w:lang w:val="en-US"/>
              </w:rPr>
              <w:t>INST</w:t>
            </w:r>
            <w:r>
              <w:rPr>
                <w:color w:val="000000" w:themeColor="text1"/>
                <w:lang w:val="en-US"/>
              </w:rPr>
              <w:t>)</w:t>
            </w:r>
          </w:p>
        </w:tc>
        <w:tc>
          <w:tcPr>
            <w:tcW w:w="2268" w:type="dxa"/>
            <w:tcBorders>
              <w:top w:val="nil"/>
              <w:left w:val="nil"/>
              <w:bottom w:val="nil"/>
              <w:right w:val="nil"/>
            </w:tcBorders>
          </w:tcPr>
          <w:p w14:paraId="5A273BD4" w14:textId="77777777" w:rsidR="00E058DB" w:rsidRPr="00064F56" w:rsidRDefault="00E058DB" w:rsidP="00D15FF7">
            <w:pPr>
              <w:widowControl w:val="0"/>
              <w:autoSpaceDE w:val="0"/>
              <w:autoSpaceDN w:val="0"/>
              <w:adjustRightInd w:val="0"/>
              <w:jc w:val="center"/>
              <w:rPr>
                <w:color w:val="000000" w:themeColor="text1"/>
                <w:lang w:val="en-US"/>
              </w:rPr>
            </w:pPr>
          </w:p>
        </w:tc>
        <w:tc>
          <w:tcPr>
            <w:tcW w:w="1843" w:type="dxa"/>
            <w:tcBorders>
              <w:top w:val="nil"/>
              <w:left w:val="nil"/>
              <w:bottom w:val="nil"/>
              <w:right w:val="nil"/>
            </w:tcBorders>
          </w:tcPr>
          <w:p w14:paraId="2E2F2695"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045)</w:t>
            </w:r>
          </w:p>
        </w:tc>
      </w:tr>
      <w:tr w:rsidR="00E058DB" w:rsidRPr="00FB6512" w14:paraId="06C4DBF4" w14:textId="77777777" w:rsidTr="00D15FF7">
        <w:trPr>
          <w:jc w:val="center"/>
        </w:trPr>
        <w:tc>
          <w:tcPr>
            <w:tcW w:w="4579" w:type="dxa"/>
            <w:tcBorders>
              <w:top w:val="nil"/>
              <w:left w:val="nil"/>
              <w:bottom w:val="nil"/>
              <w:right w:val="nil"/>
            </w:tcBorders>
          </w:tcPr>
          <w:p w14:paraId="1A2A9CBF"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 nonfinancial type</w:t>
            </w:r>
          </w:p>
        </w:tc>
        <w:tc>
          <w:tcPr>
            <w:tcW w:w="2268" w:type="dxa"/>
            <w:tcBorders>
              <w:top w:val="nil"/>
              <w:left w:val="nil"/>
              <w:bottom w:val="nil"/>
              <w:right w:val="nil"/>
            </w:tcBorders>
          </w:tcPr>
          <w:p w14:paraId="6FCBFBCA" w14:textId="77777777" w:rsidR="00E058DB" w:rsidRPr="00064F56" w:rsidRDefault="00E058DB" w:rsidP="00D15FF7">
            <w:pPr>
              <w:widowControl w:val="0"/>
              <w:autoSpaceDE w:val="0"/>
              <w:autoSpaceDN w:val="0"/>
              <w:adjustRightInd w:val="0"/>
              <w:jc w:val="center"/>
              <w:rPr>
                <w:color w:val="000000" w:themeColor="text1"/>
                <w:lang w:val="en-US"/>
              </w:rPr>
            </w:pPr>
          </w:p>
        </w:tc>
        <w:tc>
          <w:tcPr>
            <w:tcW w:w="1843" w:type="dxa"/>
            <w:tcBorders>
              <w:top w:val="nil"/>
              <w:left w:val="nil"/>
              <w:bottom w:val="nil"/>
              <w:right w:val="nil"/>
            </w:tcBorders>
          </w:tcPr>
          <w:p w14:paraId="7F875B41"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0955</w:t>
            </w:r>
          </w:p>
        </w:tc>
      </w:tr>
      <w:tr w:rsidR="00E058DB" w:rsidRPr="00FB6512" w14:paraId="2E3DDD11" w14:textId="77777777" w:rsidTr="00D15FF7">
        <w:trPr>
          <w:jc w:val="center"/>
        </w:trPr>
        <w:tc>
          <w:tcPr>
            <w:tcW w:w="4579" w:type="dxa"/>
            <w:tcBorders>
              <w:top w:val="nil"/>
              <w:left w:val="nil"/>
              <w:bottom w:val="nil"/>
              <w:right w:val="nil"/>
            </w:tcBorders>
          </w:tcPr>
          <w:p w14:paraId="4936E58C" w14:textId="77777777" w:rsidR="00E058DB" w:rsidRPr="00064F56" w:rsidRDefault="00E058DB" w:rsidP="00D15FF7">
            <w:pPr>
              <w:widowControl w:val="0"/>
              <w:autoSpaceDE w:val="0"/>
              <w:autoSpaceDN w:val="0"/>
              <w:adjustRightInd w:val="0"/>
              <w:rPr>
                <w:color w:val="000000" w:themeColor="text1"/>
                <w:lang w:val="en-US"/>
              </w:rPr>
            </w:pPr>
            <w:r>
              <w:rPr>
                <w:color w:val="000000" w:themeColor="text1"/>
                <w:lang w:val="en-US"/>
              </w:rPr>
              <w:t>(</w:t>
            </w:r>
            <w:r w:rsidRPr="00064F56">
              <w:rPr>
                <w:i/>
                <w:color w:val="000000" w:themeColor="text1"/>
                <w:lang w:val="en-US"/>
              </w:rPr>
              <w:t>NONFIN</w:t>
            </w:r>
            <w:r>
              <w:rPr>
                <w:color w:val="000000" w:themeColor="text1"/>
                <w:lang w:val="en-US"/>
              </w:rPr>
              <w:t>)</w:t>
            </w:r>
          </w:p>
        </w:tc>
        <w:tc>
          <w:tcPr>
            <w:tcW w:w="2268" w:type="dxa"/>
            <w:tcBorders>
              <w:top w:val="nil"/>
              <w:left w:val="nil"/>
              <w:bottom w:val="nil"/>
              <w:right w:val="nil"/>
            </w:tcBorders>
          </w:tcPr>
          <w:p w14:paraId="5A1117C1" w14:textId="77777777" w:rsidR="00E058DB" w:rsidRPr="00064F56" w:rsidRDefault="00E058DB" w:rsidP="00D15FF7">
            <w:pPr>
              <w:widowControl w:val="0"/>
              <w:autoSpaceDE w:val="0"/>
              <w:autoSpaceDN w:val="0"/>
              <w:adjustRightInd w:val="0"/>
              <w:jc w:val="center"/>
              <w:rPr>
                <w:color w:val="000000" w:themeColor="text1"/>
                <w:lang w:val="en-US"/>
              </w:rPr>
            </w:pPr>
          </w:p>
        </w:tc>
        <w:tc>
          <w:tcPr>
            <w:tcW w:w="1843" w:type="dxa"/>
            <w:tcBorders>
              <w:top w:val="nil"/>
              <w:left w:val="nil"/>
              <w:bottom w:val="nil"/>
              <w:right w:val="nil"/>
            </w:tcBorders>
          </w:tcPr>
          <w:p w14:paraId="5CC93688"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062)</w:t>
            </w:r>
          </w:p>
        </w:tc>
      </w:tr>
      <w:tr w:rsidR="00E058DB" w:rsidRPr="00FB6512" w14:paraId="44A5EBF3" w14:textId="77777777" w:rsidTr="00D15FF7">
        <w:trPr>
          <w:jc w:val="center"/>
        </w:trPr>
        <w:tc>
          <w:tcPr>
            <w:tcW w:w="4579" w:type="dxa"/>
            <w:tcBorders>
              <w:top w:val="nil"/>
              <w:left w:val="nil"/>
              <w:bottom w:val="nil"/>
              <w:right w:val="nil"/>
            </w:tcBorders>
          </w:tcPr>
          <w:p w14:paraId="1656B0F7"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 topic media attention</w:t>
            </w:r>
          </w:p>
        </w:tc>
        <w:tc>
          <w:tcPr>
            <w:tcW w:w="2268" w:type="dxa"/>
            <w:tcBorders>
              <w:top w:val="nil"/>
              <w:left w:val="nil"/>
              <w:bottom w:val="nil"/>
              <w:right w:val="nil"/>
            </w:tcBorders>
          </w:tcPr>
          <w:p w14:paraId="16CFBAC4" w14:textId="77777777" w:rsidR="00E058DB" w:rsidRPr="00064F56" w:rsidRDefault="00E058DB" w:rsidP="00D15FF7">
            <w:pPr>
              <w:widowControl w:val="0"/>
              <w:autoSpaceDE w:val="0"/>
              <w:autoSpaceDN w:val="0"/>
              <w:adjustRightInd w:val="0"/>
              <w:jc w:val="center"/>
              <w:rPr>
                <w:color w:val="000000" w:themeColor="text1"/>
                <w:lang w:val="en-US"/>
              </w:rPr>
            </w:pPr>
          </w:p>
        </w:tc>
        <w:tc>
          <w:tcPr>
            <w:tcW w:w="1843" w:type="dxa"/>
            <w:tcBorders>
              <w:top w:val="nil"/>
              <w:left w:val="nil"/>
              <w:bottom w:val="nil"/>
              <w:right w:val="nil"/>
            </w:tcBorders>
          </w:tcPr>
          <w:p w14:paraId="3A3CAC2C"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1228***</w:t>
            </w:r>
          </w:p>
        </w:tc>
      </w:tr>
      <w:tr w:rsidR="00E058DB" w:rsidRPr="00FB6512" w14:paraId="34A654BC" w14:textId="77777777" w:rsidTr="00D15FF7">
        <w:trPr>
          <w:jc w:val="center"/>
        </w:trPr>
        <w:tc>
          <w:tcPr>
            <w:tcW w:w="4579" w:type="dxa"/>
            <w:tcBorders>
              <w:top w:val="nil"/>
              <w:left w:val="nil"/>
              <w:bottom w:val="nil"/>
              <w:right w:val="nil"/>
            </w:tcBorders>
          </w:tcPr>
          <w:p w14:paraId="2C59AC8F" w14:textId="77777777" w:rsidR="00E058DB" w:rsidRPr="00064F56" w:rsidRDefault="00E058DB" w:rsidP="00D15FF7">
            <w:pPr>
              <w:widowControl w:val="0"/>
              <w:autoSpaceDE w:val="0"/>
              <w:autoSpaceDN w:val="0"/>
              <w:adjustRightInd w:val="0"/>
              <w:rPr>
                <w:color w:val="000000" w:themeColor="text1"/>
                <w:lang w:val="en-US"/>
              </w:rPr>
            </w:pPr>
            <w:r>
              <w:rPr>
                <w:color w:val="000000" w:themeColor="text1"/>
                <w:lang w:val="en-US"/>
              </w:rPr>
              <w:t>(</w:t>
            </w:r>
            <w:r w:rsidRPr="00064F56">
              <w:rPr>
                <w:i/>
                <w:color w:val="000000" w:themeColor="text1"/>
                <w:lang w:val="en-US"/>
              </w:rPr>
              <w:t>MEDIA</w:t>
            </w:r>
            <w:r>
              <w:rPr>
                <w:color w:val="000000" w:themeColor="text1"/>
                <w:lang w:val="en-US"/>
              </w:rPr>
              <w:t>)</w:t>
            </w:r>
          </w:p>
        </w:tc>
        <w:tc>
          <w:tcPr>
            <w:tcW w:w="2268" w:type="dxa"/>
            <w:tcBorders>
              <w:top w:val="nil"/>
              <w:left w:val="nil"/>
              <w:bottom w:val="nil"/>
              <w:right w:val="nil"/>
            </w:tcBorders>
          </w:tcPr>
          <w:p w14:paraId="073DB747" w14:textId="77777777" w:rsidR="00E058DB" w:rsidRPr="00064F56" w:rsidRDefault="00E058DB" w:rsidP="00D15FF7">
            <w:pPr>
              <w:widowControl w:val="0"/>
              <w:autoSpaceDE w:val="0"/>
              <w:autoSpaceDN w:val="0"/>
              <w:adjustRightInd w:val="0"/>
              <w:jc w:val="center"/>
              <w:rPr>
                <w:color w:val="000000" w:themeColor="text1"/>
                <w:lang w:val="en-US"/>
              </w:rPr>
            </w:pPr>
          </w:p>
        </w:tc>
        <w:tc>
          <w:tcPr>
            <w:tcW w:w="1843" w:type="dxa"/>
            <w:tcBorders>
              <w:top w:val="nil"/>
              <w:left w:val="nil"/>
              <w:bottom w:val="nil"/>
              <w:right w:val="nil"/>
            </w:tcBorders>
          </w:tcPr>
          <w:p w14:paraId="65ACE3A6"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038)</w:t>
            </w:r>
          </w:p>
        </w:tc>
      </w:tr>
      <w:tr w:rsidR="00E058DB" w:rsidRPr="00FB6512" w14:paraId="7557ED2D" w14:textId="77777777" w:rsidTr="00D15FF7">
        <w:trPr>
          <w:jc w:val="center"/>
        </w:trPr>
        <w:tc>
          <w:tcPr>
            <w:tcW w:w="4579" w:type="dxa"/>
            <w:tcBorders>
              <w:top w:val="nil"/>
              <w:left w:val="nil"/>
              <w:bottom w:val="nil"/>
              <w:right w:val="nil"/>
            </w:tcBorders>
          </w:tcPr>
          <w:p w14:paraId="6C0D8CAE"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complaints excluded</w:t>
            </w:r>
          </w:p>
        </w:tc>
        <w:tc>
          <w:tcPr>
            <w:tcW w:w="2268" w:type="dxa"/>
            <w:tcBorders>
              <w:top w:val="nil"/>
              <w:left w:val="nil"/>
              <w:bottom w:val="nil"/>
              <w:right w:val="nil"/>
            </w:tcBorders>
          </w:tcPr>
          <w:p w14:paraId="5EDAEDFD"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2780**</w:t>
            </w:r>
          </w:p>
        </w:tc>
        <w:tc>
          <w:tcPr>
            <w:tcW w:w="1843" w:type="dxa"/>
            <w:tcBorders>
              <w:top w:val="nil"/>
              <w:left w:val="nil"/>
              <w:bottom w:val="nil"/>
              <w:right w:val="nil"/>
            </w:tcBorders>
          </w:tcPr>
          <w:p w14:paraId="0FE8E9A4"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2179</w:t>
            </w:r>
          </w:p>
        </w:tc>
      </w:tr>
      <w:tr w:rsidR="00E058DB" w:rsidRPr="00FB6512" w14:paraId="7788B08D" w14:textId="77777777" w:rsidTr="00D15FF7">
        <w:trPr>
          <w:jc w:val="center"/>
        </w:trPr>
        <w:tc>
          <w:tcPr>
            <w:tcW w:w="4579" w:type="dxa"/>
            <w:tcBorders>
              <w:top w:val="nil"/>
              <w:left w:val="nil"/>
              <w:bottom w:val="nil"/>
              <w:right w:val="nil"/>
            </w:tcBorders>
          </w:tcPr>
          <w:p w14:paraId="4932C4D1" w14:textId="77777777" w:rsidR="00E058DB" w:rsidRPr="00064F56" w:rsidRDefault="00E058DB" w:rsidP="00D15FF7">
            <w:pPr>
              <w:widowControl w:val="0"/>
              <w:autoSpaceDE w:val="0"/>
              <w:autoSpaceDN w:val="0"/>
              <w:adjustRightInd w:val="0"/>
              <w:rPr>
                <w:color w:val="000000" w:themeColor="text1"/>
                <w:lang w:val="en-US"/>
              </w:rPr>
            </w:pPr>
          </w:p>
        </w:tc>
        <w:tc>
          <w:tcPr>
            <w:tcW w:w="2268" w:type="dxa"/>
            <w:tcBorders>
              <w:top w:val="nil"/>
              <w:left w:val="nil"/>
              <w:bottom w:val="nil"/>
              <w:right w:val="nil"/>
            </w:tcBorders>
          </w:tcPr>
          <w:p w14:paraId="3BB56E4D"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139)</w:t>
            </w:r>
          </w:p>
        </w:tc>
        <w:tc>
          <w:tcPr>
            <w:tcW w:w="1843" w:type="dxa"/>
            <w:tcBorders>
              <w:top w:val="nil"/>
              <w:left w:val="nil"/>
              <w:bottom w:val="nil"/>
              <w:right w:val="nil"/>
            </w:tcBorders>
          </w:tcPr>
          <w:p w14:paraId="3A555AC9"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198)</w:t>
            </w:r>
          </w:p>
        </w:tc>
      </w:tr>
      <w:tr w:rsidR="00E058DB" w:rsidRPr="00FB6512" w14:paraId="71731421" w14:textId="77777777" w:rsidTr="00D15FF7">
        <w:trPr>
          <w:jc w:val="center"/>
        </w:trPr>
        <w:tc>
          <w:tcPr>
            <w:tcW w:w="4579" w:type="dxa"/>
            <w:tcBorders>
              <w:top w:val="nil"/>
              <w:left w:val="nil"/>
              <w:bottom w:val="nil"/>
              <w:right w:val="nil"/>
            </w:tcBorders>
          </w:tcPr>
          <w:p w14:paraId="51EA01C4"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 voting support</w:t>
            </w:r>
          </w:p>
        </w:tc>
        <w:tc>
          <w:tcPr>
            <w:tcW w:w="2268" w:type="dxa"/>
            <w:tcBorders>
              <w:top w:val="nil"/>
              <w:left w:val="nil"/>
              <w:bottom w:val="nil"/>
              <w:right w:val="nil"/>
            </w:tcBorders>
          </w:tcPr>
          <w:p w14:paraId="19528F73"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0700</w:t>
            </w:r>
          </w:p>
        </w:tc>
        <w:tc>
          <w:tcPr>
            <w:tcW w:w="1843" w:type="dxa"/>
            <w:tcBorders>
              <w:top w:val="nil"/>
              <w:left w:val="nil"/>
              <w:bottom w:val="nil"/>
              <w:right w:val="nil"/>
            </w:tcBorders>
          </w:tcPr>
          <w:p w14:paraId="0F56010D"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1009</w:t>
            </w:r>
          </w:p>
        </w:tc>
      </w:tr>
      <w:tr w:rsidR="00E058DB" w:rsidRPr="00FB6512" w14:paraId="276191BB" w14:textId="77777777" w:rsidTr="00D15FF7">
        <w:trPr>
          <w:jc w:val="center"/>
        </w:trPr>
        <w:tc>
          <w:tcPr>
            <w:tcW w:w="4579" w:type="dxa"/>
            <w:tcBorders>
              <w:top w:val="nil"/>
              <w:left w:val="nil"/>
              <w:bottom w:val="nil"/>
              <w:right w:val="nil"/>
            </w:tcBorders>
          </w:tcPr>
          <w:p w14:paraId="66D82FF8" w14:textId="77777777" w:rsidR="00E058DB" w:rsidRPr="00064F56" w:rsidRDefault="00E058DB" w:rsidP="00D15FF7">
            <w:pPr>
              <w:widowControl w:val="0"/>
              <w:autoSpaceDE w:val="0"/>
              <w:autoSpaceDN w:val="0"/>
              <w:adjustRightInd w:val="0"/>
              <w:rPr>
                <w:color w:val="000000" w:themeColor="text1"/>
                <w:lang w:val="en-US"/>
              </w:rPr>
            </w:pPr>
          </w:p>
        </w:tc>
        <w:tc>
          <w:tcPr>
            <w:tcW w:w="2268" w:type="dxa"/>
            <w:tcBorders>
              <w:top w:val="nil"/>
              <w:left w:val="nil"/>
              <w:bottom w:val="nil"/>
              <w:right w:val="nil"/>
            </w:tcBorders>
          </w:tcPr>
          <w:p w14:paraId="0EB53236"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106)</w:t>
            </w:r>
          </w:p>
        </w:tc>
        <w:tc>
          <w:tcPr>
            <w:tcW w:w="1843" w:type="dxa"/>
            <w:tcBorders>
              <w:top w:val="nil"/>
              <w:left w:val="nil"/>
              <w:bottom w:val="nil"/>
              <w:right w:val="nil"/>
            </w:tcBorders>
          </w:tcPr>
          <w:p w14:paraId="5853F16C"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312)</w:t>
            </w:r>
          </w:p>
        </w:tc>
      </w:tr>
      <w:tr w:rsidR="00E058DB" w:rsidRPr="00FB6512" w14:paraId="1DD0ADCF" w14:textId="77777777" w:rsidTr="00D15FF7">
        <w:trPr>
          <w:jc w:val="center"/>
        </w:trPr>
        <w:tc>
          <w:tcPr>
            <w:tcW w:w="4579" w:type="dxa"/>
            <w:tcBorders>
              <w:top w:val="nil"/>
              <w:left w:val="nil"/>
              <w:bottom w:val="nil"/>
              <w:right w:val="nil"/>
            </w:tcBorders>
          </w:tcPr>
          <w:p w14:paraId="65207013"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Firm size</w:t>
            </w:r>
          </w:p>
        </w:tc>
        <w:tc>
          <w:tcPr>
            <w:tcW w:w="2268" w:type="dxa"/>
            <w:tcBorders>
              <w:top w:val="nil"/>
              <w:left w:val="nil"/>
              <w:bottom w:val="nil"/>
              <w:right w:val="nil"/>
            </w:tcBorders>
          </w:tcPr>
          <w:p w14:paraId="28786B23"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0000***</w:t>
            </w:r>
          </w:p>
        </w:tc>
        <w:tc>
          <w:tcPr>
            <w:tcW w:w="1843" w:type="dxa"/>
            <w:tcBorders>
              <w:top w:val="nil"/>
              <w:left w:val="nil"/>
              <w:bottom w:val="nil"/>
              <w:right w:val="nil"/>
            </w:tcBorders>
          </w:tcPr>
          <w:p w14:paraId="2EB2D636"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0000</w:t>
            </w:r>
          </w:p>
        </w:tc>
      </w:tr>
      <w:tr w:rsidR="00E058DB" w:rsidRPr="00FB6512" w14:paraId="7D991E19" w14:textId="77777777" w:rsidTr="00D15FF7">
        <w:trPr>
          <w:jc w:val="center"/>
        </w:trPr>
        <w:tc>
          <w:tcPr>
            <w:tcW w:w="4579" w:type="dxa"/>
            <w:tcBorders>
              <w:top w:val="nil"/>
              <w:left w:val="nil"/>
              <w:bottom w:val="nil"/>
              <w:right w:val="nil"/>
            </w:tcBorders>
          </w:tcPr>
          <w:p w14:paraId="69A8B005" w14:textId="77777777" w:rsidR="00E058DB" w:rsidRPr="00064F56" w:rsidRDefault="00E058DB" w:rsidP="00D15FF7">
            <w:pPr>
              <w:widowControl w:val="0"/>
              <w:autoSpaceDE w:val="0"/>
              <w:autoSpaceDN w:val="0"/>
              <w:adjustRightInd w:val="0"/>
              <w:rPr>
                <w:color w:val="000000" w:themeColor="text1"/>
                <w:lang w:val="en-US"/>
              </w:rPr>
            </w:pPr>
          </w:p>
        </w:tc>
        <w:tc>
          <w:tcPr>
            <w:tcW w:w="2268" w:type="dxa"/>
            <w:tcBorders>
              <w:top w:val="nil"/>
              <w:left w:val="nil"/>
              <w:bottom w:val="nil"/>
              <w:right w:val="nil"/>
            </w:tcBorders>
          </w:tcPr>
          <w:p w14:paraId="07759725"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000)</w:t>
            </w:r>
          </w:p>
        </w:tc>
        <w:tc>
          <w:tcPr>
            <w:tcW w:w="1843" w:type="dxa"/>
            <w:tcBorders>
              <w:top w:val="nil"/>
              <w:left w:val="nil"/>
              <w:bottom w:val="nil"/>
              <w:right w:val="nil"/>
            </w:tcBorders>
          </w:tcPr>
          <w:p w14:paraId="45342C6D"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000)</w:t>
            </w:r>
          </w:p>
        </w:tc>
      </w:tr>
      <w:tr w:rsidR="00E058DB" w:rsidRPr="00FB6512" w14:paraId="5507F566" w14:textId="77777777" w:rsidTr="00D15FF7">
        <w:trPr>
          <w:jc w:val="center"/>
        </w:trPr>
        <w:tc>
          <w:tcPr>
            <w:tcW w:w="4579" w:type="dxa"/>
            <w:tcBorders>
              <w:top w:val="nil"/>
              <w:left w:val="nil"/>
              <w:bottom w:val="nil"/>
              <w:right w:val="nil"/>
            </w:tcBorders>
          </w:tcPr>
          <w:p w14:paraId="76249060"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Cash flows</w:t>
            </w:r>
          </w:p>
        </w:tc>
        <w:tc>
          <w:tcPr>
            <w:tcW w:w="2268" w:type="dxa"/>
            <w:tcBorders>
              <w:top w:val="nil"/>
              <w:left w:val="nil"/>
              <w:bottom w:val="nil"/>
              <w:right w:val="nil"/>
            </w:tcBorders>
          </w:tcPr>
          <w:p w14:paraId="73C3B745"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1961***</w:t>
            </w:r>
          </w:p>
        </w:tc>
        <w:tc>
          <w:tcPr>
            <w:tcW w:w="1843" w:type="dxa"/>
            <w:tcBorders>
              <w:top w:val="nil"/>
              <w:left w:val="nil"/>
              <w:bottom w:val="nil"/>
              <w:right w:val="nil"/>
            </w:tcBorders>
          </w:tcPr>
          <w:p w14:paraId="365AD0C5"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1954**</w:t>
            </w:r>
          </w:p>
        </w:tc>
      </w:tr>
      <w:tr w:rsidR="00E058DB" w:rsidRPr="00FB6512" w14:paraId="3064E820" w14:textId="77777777" w:rsidTr="00D15FF7">
        <w:trPr>
          <w:jc w:val="center"/>
        </w:trPr>
        <w:tc>
          <w:tcPr>
            <w:tcW w:w="4579" w:type="dxa"/>
            <w:tcBorders>
              <w:top w:val="nil"/>
              <w:left w:val="nil"/>
              <w:bottom w:val="nil"/>
              <w:right w:val="nil"/>
            </w:tcBorders>
          </w:tcPr>
          <w:p w14:paraId="2D5E301C" w14:textId="77777777" w:rsidR="00E058DB" w:rsidRPr="00064F56" w:rsidRDefault="00E058DB" w:rsidP="00D15FF7">
            <w:pPr>
              <w:widowControl w:val="0"/>
              <w:autoSpaceDE w:val="0"/>
              <w:autoSpaceDN w:val="0"/>
              <w:adjustRightInd w:val="0"/>
              <w:rPr>
                <w:color w:val="000000" w:themeColor="text1"/>
                <w:lang w:val="en-US"/>
              </w:rPr>
            </w:pPr>
          </w:p>
        </w:tc>
        <w:tc>
          <w:tcPr>
            <w:tcW w:w="2268" w:type="dxa"/>
            <w:tcBorders>
              <w:top w:val="nil"/>
              <w:left w:val="nil"/>
              <w:bottom w:val="nil"/>
              <w:right w:val="nil"/>
            </w:tcBorders>
          </w:tcPr>
          <w:p w14:paraId="116864C9"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031)</w:t>
            </w:r>
          </w:p>
        </w:tc>
        <w:tc>
          <w:tcPr>
            <w:tcW w:w="1843" w:type="dxa"/>
            <w:tcBorders>
              <w:top w:val="nil"/>
              <w:left w:val="nil"/>
              <w:bottom w:val="nil"/>
              <w:right w:val="nil"/>
            </w:tcBorders>
          </w:tcPr>
          <w:p w14:paraId="6CEF38DA"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095)</w:t>
            </w:r>
          </w:p>
        </w:tc>
      </w:tr>
      <w:tr w:rsidR="00E058DB" w:rsidRPr="00FB6512" w14:paraId="0D8434DD" w14:textId="77777777" w:rsidTr="00D15FF7">
        <w:trPr>
          <w:jc w:val="center"/>
        </w:trPr>
        <w:tc>
          <w:tcPr>
            <w:tcW w:w="4579" w:type="dxa"/>
            <w:tcBorders>
              <w:top w:val="nil"/>
              <w:left w:val="nil"/>
              <w:bottom w:val="nil"/>
              <w:right w:val="nil"/>
            </w:tcBorders>
          </w:tcPr>
          <w:p w14:paraId="2A29E0E1"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Stock returns</w:t>
            </w:r>
          </w:p>
        </w:tc>
        <w:tc>
          <w:tcPr>
            <w:tcW w:w="2268" w:type="dxa"/>
            <w:tcBorders>
              <w:top w:val="nil"/>
              <w:left w:val="nil"/>
              <w:bottom w:val="nil"/>
              <w:right w:val="nil"/>
            </w:tcBorders>
          </w:tcPr>
          <w:p w14:paraId="23A4D5A2"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1026</w:t>
            </w:r>
          </w:p>
        </w:tc>
        <w:tc>
          <w:tcPr>
            <w:tcW w:w="1843" w:type="dxa"/>
            <w:tcBorders>
              <w:top w:val="nil"/>
              <w:left w:val="nil"/>
              <w:bottom w:val="nil"/>
              <w:right w:val="nil"/>
            </w:tcBorders>
          </w:tcPr>
          <w:p w14:paraId="05A45CAE"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0974**</w:t>
            </w:r>
          </w:p>
        </w:tc>
      </w:tr>
      <w:tr w:rsidR="00E058DB" w:rsidRPr="00FB6512" w14:paraId="47DEE616" w14:textId="77777777" w:rsidTr="00D15FF7">
        <w:trPr>
          <w:jc w:val="center"/>
        </w:trPr>
        <w:tc>
          <w:tcPr>
            <w:tcW w:w="4579" w:type="dxa"/>
            <w:tcBorders>
              <w:top w:val="nil"/>
              <w:left w:val="nil"/>
              <w:bottom w:val="nil"/>
              <w:right w:val="nil"/>
            </w:tcBorders>
          </w:tcPr>
          <w:p w14:paraId="23ECB7DC" w14:textId="77777777" w:rsidR="00E058DB" w:rsidRPr="00064F56" w:rsidRDefault="00E058DB" w:rsidP="00D15FF7">
            <w:pPr>
              <w:widowControl w:val="0"/>
              <w:autoSpaceDE w:val="0"/>
              <w:autoSpaceDN w:val="0"/>
              <w:adjustRightInd w:val="0"/>
              <w:rPr>
                <w:color w:val="000000" w:themeColor="text1"/>
                <w:lang w:val="en-US"/>
              </w:rPr>
            </w:pPr>
          </w:p>
        </w:tc>
        <w:tc>
          <w:tcPr>
            <w:tcW w:w="2268" w:type="dxa"/>
            <w:tcBorders>
              <w:top w:val="nil"/>
              <w:left w:val="nil"/>
              <w:bottom w:val="nil"/>
              <w:right w:val="nil"/>
            </w:tcBorders>
          </w:tcPr>
          <w:p w14:paraId="4B5647E4"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063)</w:t>
            </w:r>
          </w:p>
        </w:tc>
        <w:tc>
          <w:tcPr>
            <w:tcW w:w="1843" w:type="dxa"/>
            <w:tcBorders>
              <w:top w:val="nil"/>
              <w:left w:val="nil"/>
              <w:bottom w:val="nil"/>
              <w:right w:val="nil"/>
            </w:tcBorders>
          </w:tcPr>
          <w:p w14:paraId="4810CEEB"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047)</w:t>
            </w:r>
          </w:p>
        </w:tc>
      </w:tr>
      <w:tr w:rsidR="00E058DB" w:rsidRPr="00FB6512" w14:paraId="2AA92D53" w14:textId="77777777" w:rsidTr="00D15FF7">
        <w:trPr>
          <w:jc w:val="center"/>
        </w:trPr>
        <w:tc>
          <w:tcPr>
            <w:tcW w:w="4579" w:type="dxa"/>
            <w:tcBorders>
              <w:top w:val="nil"/>
              <w:left w:val="nil"/>
              <w:bottom w:val="nil"/>
              <w:right w:val="nil"/>
            </w:tcBorders>
          </w:tcPr>
          <w:p w14:paraId="4D2DB63A"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Sales growth</w:t>
            </w:r>
          </w:p>
        </w:tc>
        <w:tc>
          <w:tcPr>
            <w:tcW w:w="2268" w:type="dxa"/>
            <w:tcBorders>
              <w:top w:val="nil"/>
              <w:left w:val="nil"/>
              <w:bottom w:val="nil"/>
              <w:right w:val="nil"/>
            </w:tcBorders>
          </w:tcPr>
          <w:p w14:paraId="6DB4BFE9"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0742</w:t>
            </w:r>
          </w:p>
        </w:tc>
        <w:tc>
          <w:tcPr>
            <w:tcW w:w="1843" w:type="dxa"/>
            <w:tcBorders>
              <w:top w:val="nil"/>
              <w:left w:val="nil"/>
              <w:bottom w:val="nil"/>
              <w:right w:val="nil"/>
            </w:tcBorders>
          </w:tcPr>
          <w:p w14:paraId="4A333C9D"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0779**</w:t>
            </w:r>
          </w:p>
        </w:tc>
      </w:tr>
      <w:tr w:rsidR="00E058DB" w:rsidRPr="00FB6512" w14:paraId="39451DCA" w14:textId="77777777" w:rsidTr="00D15FF7">
        <w:trPr>
          <w:jc w:val="center"/>
        </w:trPr>
        <w:tc>
          <w:tcPr>
            <w:tcW w:w="4579" w:type="dxa"/>
            <w:tcBorders>
              <w:top w:val="nil"/>
              <w:left w:val="nil"/>
              <w:bottom w:val="nil"/>
              <w:right w:val="nil"/>
            </w:tcBorders>
          </w:tcPr>
          <w:p w14:paraId="373C9E46" w14:textId="77777777" w:rsidR="00E058DB" w:rsidRPr="00064F56" w:rsidRDefault="00E058DB" w:rsidP="00D15FF7">
            <w:pPr>
              <w:widowControl w:val="0"/>
              <w:autoSpaceDE w:val="0"/>
              <w:autoSpaceDN w:val="0"/>
              <w:adjustRightInd w:val="0"/>
              <w:rPr>
                <w:color w:val="000000" w:themeColor="text1"/>
                <w:lang w:val="en-US"/>
              </w:rPr>
            </w:pPr>
          </w:p>
        </w:tc>
        <w:tc>
          <w:tcPr>
            <w:tcW w:w="2268" w:type="dxa"/>
            <w:tcBorders>
              <w:top w:val="nil"/>
              <w:left w:val="nil"/>
              <w:bottom w:val="nil"/>
              <w:right w:val="nil"/>
            </w:tcBorders>
          </w:tcPr>
          <w:p w14:paraId="2B90A418"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050)</w:t>
            </w:r>
          </w:p>
        </w:tc>
        <w:tc>
          <w:tcPr>
            <w:tcW w:w="1843" w:type="dxa"/>
            <w:tcBorders>
              <w:top w:val="nil"/>
              <w:left w:val="nil"/>
              <w:bottom w:val="nil"/>
              <w:right w:val="nil"/>
            </w:tcBorders>
          </w:tcPr>
          <w:p w14:paraId="66F3FD31"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032)</w:t>
            </w:r>
          </w:p>
        </w:tc>
      </w:tr>
      <w:tr w:rsidR="00E058DB" w:rsidRPr="00FB6512" w14:paraId="4C5A603C" w14:textId="77777777" w:rsidTr="00D15FF7">
        <w:trPr>
          <w:jc w:val="center"/>
        </w:trPr>
        <w:tc>
          <w:tcPr>
            <w:tcW w:w="4579" w:type="dxa"/>
            <w:tcBorders>
              <w:top w:val="nil"/>
              <w:left w:val="nil"/>
              <w:bottom w:val="nil"/>
              <w:right w:val="nil"/>
            </w:tcBorders>
          </w:tcPr>
          <w:p w14:paraId="2B9491D2"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Financial leverage</w:t>
            </w:r>
          </w:p>
        </w:tc>
        <w:tc>
          <w:tcPr>
            <w:tcW w:w="2268" w:type="dxa"/>
            <w:tcBorders>
              <w:top w:val="nil"/>
              <w:left w:val="nil"/>
              <w:bottom w:val="nil"/>
              <w:right w:val="nil"/>
            </w:tcBorders>
          </w:tcPr>
          <w:p w14:paraId="7DAAEB0B"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0009**</w:t>
            </w:r>
          </w:p>
        </w:tc>
        <w:tc>
          <w:tcPr>
            <w:tcW w:w="1843" w:type="dxa"/>
            <w:tcBorders>
              <w:top w:val="nil"/>
              <w:left w:val="nil"/>
              <w:bottom w:val="nil"/>
              <w:right w:val="nil"/>
            </w:tcBorders>
          </w:tcPr>
          <w:p w14:paraId="21080952"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0009</w:t>
            </w:r>
          </w:p>
        </w:tc>
      </w:tr>
      <w:tr w:rsidR="00E058DB" w:rsidRPr="00FB6512" w14:paraId="6C7E47CF" w14:textId="77777777" w:rsidTr="00D15FF7">
        <w:trPr>
          <w:jc w:val="center"/>
        </w:trPr>
        <w:tc>
          <w:tcPr>
            <w:tcW w:w="4579" w:type="dxa"/>
            <w:tcBorders>
              <w:top w:val="nil"/>
              <w:left w:val="nil"/>
              <w:bottom w:val="nil"/>
              <w:right w:val="nil"/>
            </w:tcBorders>
          </w:tcPr>
          <w:p w14:paraId="422AC8A5" w14:textId="77777777" w:rsidR="00E058DB" w:rsidRPr="00064F56" w:rsidRDefault="00E058DB" w:rsidP="00D15FF7">
            <w:pPr>
              <w:widowControl w:val="0"/>
              <w:autoSpaceDE w:val="0"/>
              <w:autoSpaceDN w:val="0"/>
              <w:adjustRightInd w:val="0"/>
              <w:rPr>
                <w:color w:val="000000" w:themeColor="text1"/>
                <w:lang w:val="en-US"/>
              </w:rPr>
            </w:pPr>
          </w:p>
        </w:tc>
        <w:tc>
          <w:tcPr>
            <w:tcW w:w="2268" w:type="dxa"/>
            <w:tcBorders>
              <w:top w:val="nil"/>
              <w:left w:val="nil"/>
              <w:bottom w:val="nil"/>
              <w:right w:val="nil"/>
            </w:tcBorders>
          </w:tcPr>
          <w:p w14:paraId="7E603C87"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000)</w:t>
            </w:r>
          </w:p>
        </w:tc>
        <w:tc>
          <w:tcPr>
            <w:tcW w:w="1843" w:type="dxa"/>
            <w:tcBorders>
              <w:top w:val="nil"/>
              <w:left w:val="nil"/>
              <w:bottom w:val="nil"/>
              <w:right w:val="nil"/>
            </w:tcBorders>
          </w:tcPr>
          <w:p w14:paraId="4CFEF809"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001)</w:t>
            </w:r>
          </w:p>
        </w:tc>
      </w:tr>
      <w:tr w:rsidR="00E058DB" w:rsidRPr="00FB6512" w14:paraId="4E0FB41A" w14:textId="77777777" w:rsidTr="00D15FF7">
        <w:trPr>
          <w:jc w:val="center"/>
        </w:trPr>
        <w:tc>
          <w:tcPr>
            <w:tcW w:w="4579" w:type="dxa"/>
            <w:tcBorders>
              <w:top w:val="nil"/>
              <w:left w:val="nil"/>
              <w:bottom w:val="nil"/>
              <w:right w:val="nil"/>
            </w:tcBorders>
          </w:tcPr>
          <w:p w14:paraId="4395C889"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Constant</w:t>
            </w:r>
          </w:p>
        </w:tc>
        <w:tc>
          <w:tcPr>
            <w:tcW w:w="2268" w:type="dxa"/>
            <w:tcBorders>
              <w:top w:val="nil"/>
              <w:left w:val="nil"/>
              <w:bottom w:val="nil"/>
              <w:right w:val="nil"/>
            </w:tcBorders>
          </w:tcPr>
          <w:p w14:paraId="643AFED1"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2.9820***</w:t>
            </w:r>
          </w:p>
        </w:tc>
        <w:tc>
          <w:tcPr>
            <w:tcW w:w="1843" w:type="dxa"/>
            <w:tcBorders>
              <w:top w:val="nil"/>
              <w:left w:val="nil"/>
              <w:bottom w:val="nil"/>
              <w:right w:val="nil"/>
            </w:tcBorders>
          </w:tcPr>
          <w:p w14:paraId="464E89F7"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3.3722***</w:t>
            </w:r>
          </w:p>
        </w:tc>
      </w:tr>
      <w:tr w:rsidR="00E058DB" w:rsidRPr="00FB6512" w14:paraId="7FC5A23C" w14:textId="77777777" w:rsidTr="00D15FF7">
        <w:trPr>
          <w:jc w:val="center"/>
        </w:trPr>
        <w:tc>
          <w:tcPr>
            <w:tcW w:w="4579" w:type="dxa"/>
            <w:tcBorders>
              <w:top w:val="nil"/>
              <w:left w:val="nil"/>
              <w:bottom w:val="nil"/>
              <w:right w:val="nil"/>
            </w:tcBorders>
          </w:tcPr>
          <w:p w14:paraId="4B7D2E73" w14:textId="77777777" w:rsidR="00E058DB" w:rsidRPr="00064F56" w:rsidRDefault="00E058DB" w:rsidP="00D15FF7">
            <w:pPr>
              <w:widowControl w:val="0"/>
              <w:autoSpaceDE w:val="0"/>
              <w:autoSpaceDN w:val="0"/>
              <w:adjustRightInd w:val="0"/>
              <w:rPr>
                <w:color w:val="000000" w:themeColor="text1"/>
                <w:lang w:val="en-US"/>
              </w:rPr>
            </w:pPr>
          </w:p>
        </w:tc>
        <w:tc>
          <w:tcPr>
            <w:tcW w:w="2268" w:type="dxa"/>
            <w:tcBorders>
              <w:top w:val="nil"/>
              <w:left w:val="nil"/>
              <w:bottom w:val="nil"/>
              <w:right w:val="nil"/>
            </w:tcBorders>
          </w:tcPr>
          <w:p w14:paraId="1C6BC5ED"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123)</w:t>
            </w:r>
          </w:p>
        </w:tc>
        <w:tc>
          <w:tcPr>
            <w:tcW w:w="1843" w:type="dxa"/>
            <w:tcBorders>
              <w:top w:val="nil"/>
              <w:left w:val="nil"/>
              <w:bottom w:val="nil"/>
              <w:right w:val="nil"/>
            </w:tcBorders>
          </w:tcPr>
          <w:p w14:paraId="6D94C7E6"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374)</w:t>
            </w:r>
          </w:p>
        </w:tc>
      </w:tr>
      <w:tr w:rsidR="00E058DB" w:rsidRPr="00FB6512" w14:paraId="2049F908" w14:textId="77777777" w:rsidTr="00D15FF7">
        <w:trPr>
          <w:jc w:val="center"/>
        </w:trPr>
        <w:tc>
          <w:tcPr>
            <w:tcW w:w="4579" w:type="dxa"/>
            <w:tcBorders>
              <w:top w:val="nil"/>
              <w:left w:val="nil"/>
              <w:bottom w:val="nil"/>
              <w:right w:val="nil"/>
            </w:tcBorders>
          </w:tcPr>
          <w:p w14:paraId="5BEDD659" w14:textId="77777777" w:rsidR="00E058DB" w:rsidRPr="00064F56" w:rsidRDefault="00E058DB" w:rsidP="00D15FF7">
            <w:pPr>
              <w:widowControl w:val="0"/>
              <w:autoSpaceDE w:val="0"/>
              <w:autoSpaceDN w:val="0"/>
              <w:adjustRightInd w:val="0"/>
              <w:rPr>
                <w:color w:val="000000" w:themeColor="text1"/>
                <w:lang w:val="en-US"/>
              </w:rPr>
            </w:pPr>
          </w:p>
        </w:tc>
        <w:tc>
          <w:tcPr>
            <w:tcW w:w="2268" w:type="dxa"/>
            <w:tcBorders>
              <w:top w:val="nil"/>
              <w:left w:val="nil"/>
              <w:bottom w:val="nil"/>
              <w:right w:val="nil"/>
            </w:tcBorders>
          </w:tcPr>
          <w:p w14:paraId="4E450C97" w14:textId="77777777" w:rsidR="00E058DB" w:rsidRPr="00064F56" w:rsidRDefault="00E058DB" w:rsidP="00D15FF7">
            <w:pPr>
              <w:widowControl w:val="0"/>
              <w:autoSpaceDE w:val="0"/>
              <w:autoSpaceDN w:val="0"/>
              <w:adjustRightInd w:val="0"/>
              <w:jc w:val="center"/>
              <w:rPr>
                <w:color w:val="000000" w:themeColor="text1"/>
                <w:lang w:val="en-US"/>
              </w:rPr>
            </w:pPr>
          </w:p>
        </w:tc>
        <w:tc>
          <w:tcPr>
            <w:tcW w:w="1843" w:type="dxa"/>
            <w:tcBorders>
              <w:top w:val="nil"/>
              <w:left w:val="nil"/>
              <w:bottom w:val="nil"/>
              <w:right w:val="nil"/>
            </w:tcBorders>
          </w:tcPr>
          <w:p w14:paraId="4A00EB26" w14:textId="77777777" w:rsidR="00E058DB" w:rsidRPr="00064F56" w:rsidRDefault="00E058DB" w:rsidP="00D15FF7">
            <w:pPr>
              <w:widowControl w:val="0"/>
              <w:autoSpaceDE w:val="0"/>
              <w:autoSpaceDN w:val="0"/>
              <w:adjustRightInd w:val="0"/>
              <w:jc w:val="center"/>
              <w:rPr>
                <w:color w:val="000000" w:themeColor="text1"/>
                <w:lang w:val="en-US"/>
              </w:rPr>
            </w:pPr>
          </w:p>
        </w:tc>
      </w:tr>
      <w:tr w:rsidR="00E058DB" w:rsidRPr="00FB6512" w14:paraId="51D6C940" w14:textId="77777777" w:rsidTr="00D15FF7">
        <w:trPr>
          <w:jc w:val="center"/>
        </w:trPr>
        <w:tc>
          <w:tcPr>
            <w:tcW w:w="4579" w:type="dxa"/>
            <w:tcBorders>
              <w:top w:val="nil"/>
              <w:left w:val="nil"/>
              <w:bottom w:val="nil"/>
              <w:right w:val="nil"/>
            </w:tcBorders>
          </w:tcPr>
          <w:p w14:paraId="50E374C8"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Observations</w:t>
            </w:r>
          </w:p>
        </w:tc>
        <w:tc>
          <w:tcPr>
            <w:tcW w:w="2268" w:type="dxa"/>
            <w:tcBorders>
              <w:top w:val="nil"/>
              <w:left w:val="nil"/>
              <w:bottom w:val="nil"/>
              <w:right w:val="nil"/>
            </w:tcBorders>
          </w:tcPr>
          <w:p w14:paraId="4104046F"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2,954</w:t>
            </w:r>
          </w:p>
        </w:tc>
        <w:tc>
          <w:tcPr>
            <w:tcW w:w="1843" w:type="dxa"/>
            <w:tcBorders>
              <w:top w:val="nil"/>
              <w:left w:val="nil"/>
              <w:bottom w:val="nil"/>
              <w:right w:val="nil"/>
            </w:tcBorders>
          </w:tcPr>
          <w:p w14:paraId="522ADFC1"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2,954</w:t>
            </w:r>
          </w:p>
        </w:tc>
      </w:tr>
      <w:tr w:rsidR="00E058DB" w:rsidRPr="00FB6512" w14:paraId="6E8BE760" w14:textId="77777777" w:rsidTr="00D15FF7">
        <w:trPr>
          <w:jc w:val="center"/>
        </w:trPr>
        <w:tc>
          <w:tcPr>
            <w:tcW w:w="4579" w:type="dxa"/>
            <w:tcBorders>
              <w:top w:val="nil"/>
              <w:left w:val="nil"/>
              <w:bottom w:val="nil"/>
              <w:right w:val="nil"/>
            </w:tcBorders>
          </w:tcPr>
          <w:p w14:paraId="37F389CC"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Adjusted R-squared</w:t>
            </w:r>
          </w:p>
        </w:tc>
        <w:tc>
          <w:tcPr>
            <w:tcW w:w="2268" w:type="dxa"/>
            <w:tcBorders>
              <w:top w:val="nil"/>
              <w:left w:val="nil"/>
              <w:bottom w:val="nil"/>
              <w:right w:val="nil"/>
            </w:tcBorders>
          </w:tcPr>
          <w:p w14:paraId="14FA2004"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09</w:t>
            </w:r>
          </w:p>
        </w:tc>
        <w:tc>
          <w:tcPr>
            <w:tcW w:w="1843" w:type="dxa"/>
            <w:tcBorders>
              <w:top w:val="nil"/>
              <w:left w:val="nil"/>
              <w:bottom w:val="nil"/>
              <w:right w:val="nil"/>
            </w:tcBorders>
          </w:tcPr>
          <w:p w14:paraId="5AAB092D"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09</w:t>
            </w:r>
          </w:p>
        </w:tc>
      </w:tr>
      <w:tr w:rsidR="00E058DB" w:rsidRPr="00FB6512" w14:paraId="46817100" w14:textId="77777777" w:rsidTr="00D15FF7">
        <w:tblPrEx>
          <w:tblBorders>
            <w:bottom w:val="single" w:sz="6" w:space="0" w:color="auto"/>
          </w:tblBorders>
        </w:tblPrEx>
        <w:trPr>
          <w:jc w:val="center"/>
        </w:trPr>
        <w:tc>
          <w:tcPr>
            <w:tcW w:w="4579" w:type="dxa"/>
            <w:tcBorders>
              <w:top w:val="nil"/>
              <w:left w:val="nil"/>
              <w:bottom w:val="single" w:sz="6" w:space="0" w:color="auto"/>
              <w:right w:val="nil"/>
            </w:tcBorders>
          </w:tcPr>
          <w:p w14:paraId="08383A86"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Model F-statistic</w:t>
            </w:r>
          </w:p>
        </w:tc>
        <w:tc>
          <w:tcPr>
            <w:tcW w:w="2268" w:type="dxa"/>
            <w:tcBorders>
              <w:top w:val="nil"/>
              <w:left w:val="nil"/>
              <w:bottom w:val="single" w:sz="6" w:space="0" w:color="auto"/>
              <w:right w:val="nil"/>
            </w:tcBorders>
          </w:tcPr>
          <w:p w14:paraId="7029E8D7"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15.24(21)***</w:t>
            </w:r>
          </w:p>
        </w:tc>
        <w:tc>
          <w:tcPr>
            <w:tcW w:w="1843" w:type="dxa"/>
            <w:tcBorders>
              <w:top w:val="nil"/>
              <w:left w:val="nil"/>
              <w:bottom w:val="single" w:sz="6" w:space="0" w:color="auto"/>
              <w:right w:val="nil"/>
            </w:tcBorders>
          </w:tcPr>
          <w:p w14:paraId="12D668DC"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3.09(26)***</w:t>
            </w:r>
          </w:p>
        </w:tc>
      </w:tr>
    </w:tbl>
    <w:p w14:paraId="6ED8E5DD" w14:textId="77777777" w:rsidR="00E058DB" w:rsidRDefault="00E058DB" w:rsidP="00E058DB">
      <w:pPr>
        <w:pStyle w:val="NoSpacing"/>
        <w:spacing w:line="240" w:lineRule="auto"/>
        <w:ind w:left="426"/>
        <w:rPr>
          <w:color w:val="000000" w:themeColor="text1"/>
          <w:sz w:val="20"/>
          <w:lang w:val="en-US"/>
        </w:rPr>
      </w:pPr>
      <w:r w:rsidRPr="007C37B0">
        <w:rPr>
          <w:i/>
          <w:color w:val="000000" w:themeColor="text1"/>
          <w:sz w:val="20"/>
          <w:lang w:val="en-US"/>
        </w:rPr>
        <w:t>Notes</w:t>
      </w:r>
      <w:r w:rsidRPr="007C37B0">
        <w:rPr>
          <w:color w:val="000000" w:themeColor="text1"/>
          <w:sz w:val="20"/>
          <w:lang w:val="en-US"/>
        </w:rPr>
        <w:t xml:space="preserve">: </w:t>
      </w:r>
      <w:r>
        <w:rPr>
          <w:color w:val="000000" w:themeColor="text1"/>
          <w:sz w:val="20"/>
          <w:lang w:val="en-US"/>
        </w:rPr>
        <w:t xml:space="preserve">UADV_ based on </w:t>
      </w:r>
      <w:proofErr w:type="spellStart"/>
      <w:r>
        <w:rPr>
          <w:color w:val="000000" w:themeColor="text1"/>
          <w:sz w:val="20"/>
          <w:lang w:val="en-US"/>
        </w:rPr>
        <w:t>Compustat</w:t>
      </w:r>
      <w:proofErr w:type="spellEnd"/>
      <w:r>
        <w:rPr>
          <w:color w:val="000000" w:themeColor="text1"/>
          <w:sz w:val="20"/>
          <w:lang w:val="en-US"/>
        </w:rPr>
        <w:t xml:space="preserve"> advertising. </w:t>
      </w:r>
      <w:r w:rsidRPr="007C37B0">
        <w:rPr>
          <w:color w:val="000000" w:themeColor="text1"/>
          <w:sz w:val="20"/>
          <w:lang w:val="en-US"/>
        </w:rPr>
        <w:t xml:space="preserve">Standard errors in parentheses. Predictors calculated at </w:t>
      </w:r>
    </w:p>
    <w:p w14:paraId="11F73976" w14:textId="77777777" w:rsidR="00E058DB" w:rsidRPr="007C37B0" w:rsidRDefault="00E058DB" w:rsidP="00E058DB">
      <w:pPr>
        <w:pStyle w:val="NoSpacing"/>
        <w:spacing w:line="240" w:lineRule="auto"/>
        <w:ind w:left="426"/>
        <w:rPr>
          <w:color w:val="000000" w:themeColor="text1"/>
          <w:sz w:val="20"/>
          <w:lang w:val="en-US"/>
        </w:rPr>
      </w:pPr>
      <w:r w:rsidRPr="007C37B0">
        <w:rPr>
          <w:color w:val="000000" w:themeColor="text1"/>
          <w:sz w:val="20"/>
          <w:lang w:val="en-US"/>
        </w:rPr>
        <w:t>period t-1. Firm and year fixed effects not reported. ***</w:t>
      </w:r>
      <w:r w:rsidRPr="007C37B0">
        <w:rPr>
          <w:i/>
          <w:color w:val="000000" w:themeColor="text1"/>
          <w:sz w:val="20"/>
          <w:lang w:val="en-US"/>
        </w:rPr>
        <w:t>p</w:t>
      </w:r>
      <w:r w:rsidRPr="007C37B0">
        <w:rPr>
          <w:color w:val="000000" w:themeColor="text1"/>
          <w:sz w:val="20"/>
          <w:lang w:val="en-US"/>
        </w:rPr>
        <w:t>&lt;</w:t>
      </w:r>
      <w:r>
        <w:rPr>
          <w:color w:val="000000" w:themeColor="text1"/>
          <w:sz w:val="20"/>
          <w:lang w:val="en-US"/>
        </w:rPr>
        <w:t>.</w:t>
      </w:r>
      <w:r w:rsidRPr="007C37B0">
        <w:rPr>
          <w:color w:val="000000" w:themeColor="text1"/>
          <w:sz w:val="20"/>
          <w:lang w:val="en-US"/>
        </w:rPr>
        <w:t>01, **</w:t>
      </w:r>
      <w:r w:rsidRPr="007C37B0">
        <w:rPr>
          <w:i/>
          <w:color w:val="000000" w:themeColor="text1"/>
          <w:sz w:val="20"/>
          <w:lang w:val="en-US"/>
        </w:rPr>
        <w:t>p</w:t>
      </w:r>
      <w:r w:rsidRPr="007C37B0">
        <w:rPr>
          <w:color w:val="000000" w:themeColor="text1"/>
          <w:sz w:val="20"/>
          <w:lang w:val="en-US"/>
        </w:rPr>
        <w:t>&lt;</w:t>
      </w:r>
      <w:r>
        <w:rPr>
          <w:color w:val="000000" w:themeColor="text1"/>
          <w:sz w:val="20"/>
          <w:lang w:val="en-US"/>
        </w:rPr>
        <w:t>.</w:t>
      </w:r>
      <w:r w:rsidRPr="007C37B0">
        <w:rPr>
          <w:color w:val="000000" w:themeColor="text1"/>
          <w:sz w:val="20"/>
          <w:lang w:val="en-US"/>
        </w:rPr>
        <w:t>05, *</w:t>
      </w:r>
      <w:r w:rsidRPr="007C37B0">
        <w:rPr>
          <w:i/>
          <w:color w:val="000000" w:themeColor="text1"/>
          <w:sz w:val="20"/>
          <w:lang w:val="en-US"/>
        </w:rPr>
        <w:t>p</w:t>
      </w:r>
      <w:r w:rsidRPr="007C37B0">
        <w:rPr>
          <w:color w:val="000000" w:themeColor="text1"/>
          <w:sz w:val="20"/>
          <w:lang w:val="en-US"/>
        </w:rPr>
        <w:t>&lt;</w:t>
      </w:r>
      <w:r>
        <w:rPr>
          <w:color w:val="000000" w:themeColor="text1"/>
          <w:sz w:val="20"/>
          <w:lang w:val="en-US"/>
        </w:rPr>
        <w:t>.</w:t>
      </w:r>
      <w:r w:rsidRPr="007C37B0">
        <w:rPr>
          <w:color w:val="000000" w:themeColor="text1"/>
          <w:sz w:val="20"/>
          <w:lang w:val="en-US"/>
        </w:rPr>
        <w:t>1</w:t>
      </w:r>
      <w:r>
        <w:rPr>
          <w:color w:val="000000" w:themeColor="text1"/>
          <w:sz w:val="20"/>
          <w:lang w:val="en-US"/>
        </w:rPr>
        <w:t>.</w:t>
      </w:r>
      <w:r w:rsidRPr="007C37B0">
        <w:rPr>
          <w:color w:val="000000" w:themeColor="text1"/>
          <w:sz w:val="20"/>
          <w:lang w:val="en-US"/>
        </w:rPr>
        <w:t xml:space="preserve"> </w:t>
      </w:r>
    </w:p>
    <w:p w14:paraId="5464262E" w14:textId="77777777" w:rsidR="00E058DB" w:rsidRPr="007C37B0" w:rsidRDefault="00E058DB" w:rsidP="00E058DB">
      <w:pPr>
        <w:rPr>
          <w:b/>
          <w:color w:val="000000" w:themeColor="text1"/>
          <w:u w:color="000000"/>
          <w:lang w:val="en-US"/>
        </w:rPr>
      </w:pPr>
      <w:r w:rsidRPr="007C37B0">
        <w:rPr>
          <w:b/>
          <w:color w:val="000000" w:themeColor="text1"/>
          <w:u w:color="000000"/>
          <w:lang w:val="en-US"/>
        </w:rPr>
        <w:br w:type="page"/>
      </w:r>
    </w:p>
    <w:p w14:paraId="21198309" w14:textId="77777777" w:rsidR="00E058DB" w:rsidRPr="007C37B0" w:rsidRDefault="00E058DB" w:rsidP="00E058DB">
      <w:pPr>
        <w:jc w:val="center"/>
        <w:rPr>
          <w:b/>
          <w:color w:val="000000" w:themeColor="text1"/>
          <w:u w:color="000000"/>
          <w:lang w:val="en-US"/>
        </w:rPr>
        <w:sectPr w:rsidR="00E058DB" w:rsidRPr="007C37B0" w:rsidSect="005B0EDE">
          <w:pgSz w:w="12240" w:h="15840"/>
          <w:pgMar w:top="1440" w:right="1440" w:bottom="1440" w:left="1440" w:header="720" w:footer="720" w:gutter="0"/>
          <w:cols w:space="708"/>
          <w:docGrid w:linePitch="360"/>
        </w:sectPr>
      </w:pPr>
    </w:p>
    <w:p w14:paraId="6AC4BF51" w14:textId="77777777" w:rsidR="00E058DB" w:rsidRPr="007C37B0" w:rsidRDefault="00E058DB" w:rsidP="00E058DB">
      <w:pPr>
        <w:jc w:val="center"/>
        <w:rPr>
          <w:b/>
          <w:caps/>
          <w:color w:val="000000" w:themeColor="text1"/>
          <w:u w:color="000000"/>
          <w:lang w:val="en-US"/>
        </w:rPr>
      </w:pPr>
      <w:r w:rsidRPr="007C37B0">
        <w:rPr>
          <w:b/>
          <w:caps/>
          <w:color w:val="000000" w:themeColor="text1"/>
          <w:u w:color="000000"/>
          <w:lang w:val="en-US"/>
        </w:rPr>
        <w:lastRenderedPageBreak/>
        <w:t>Table D4: Effectiveness of an Advertising Investment Response (Compustat Advertising)</w:t>
      </w:r>
    </w:p>
    <w:p w14:paraId="18EC7878" w14:textId="77777777" w:rsidR="00E058DB" w:rsidRDefault="00E058DB" w:rsidP="00E058DB">
      <w:pPr>
        <w:jc w:val="center"/>
        <w:rPr>
          <w:color w:val="000000" w:themeColor="text1"/>
          <w:u w:color="000000"/>
          <w:lang w:val="en-US"/>
        </w:rPr>
      </w:pPr>
    </w:p>
    <w:tbl>
      <w:tblPr>
        <w:tblW w:w="0" w:type="auto"/>
        <w:jc w:val="center"/>
        <w:tblLayout w:type="fixed"/>
        <w:tblCellMar>
          <w:left w:w="75" w:type="dxa"/>
          <w:right w:w="75" w:type="dxa"/>
        </w:tblCellMar>
        <w:tblLook w:val="0000" w:firstRow="0" w:lastRow="0" w:firstColumn="0" w:lastColumn="0" w:noHBand="0" w:noVBand="0"/>
      </w:tblPr>
      <w:tblGrid>
        <w:gridCol w:w="6555"/>
        <w:gridCol w:w="1584"/>
      </w:tblGrid>
      <w:tr w:rsidR="00E058DB" w:rsidRPr="00FB6512" w14:paraId="2F556E6C" w14:textId="77777777" w:rsidTr="00D15FF7">
        <w:trPr>
          <w:jc w:val="center"/>
        </w:trPr>
        <w:tc>
          <w:tcPr>
            <w:tcW w:w="6555" w:type="dxa"/>
            <w:tcBorders>
              <w:top w:val="single" w:sz="6" w:space="0" w:color="auto"/>
              <w:left w:val="nil"/>
              <w:bottom w:val="nil"/>
              <w:right w:val="nil"/>
            </w:tcBorders>
          </w:tcPr>
          <w:p w14:paraId="42D6589A"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single" w:sz="6" w:space="0" w:color="auto"/>
              <w:left w:val="nil"/>
              <w:bottom w:val="nil"/>
              <w:right w:val="nil"/>
            </w:tcBorders>
          </w:tcPr>
          <w:p w14:paraId="3411F0F3" w14:textId="77777777" w:rsidR="00E058DB" w:rsidRPr="007C37B0" w:rsidRDefault="00E058DB" w:rsidP="00D15FF7">
            <w:pPr>
              <w:widowControl w:val="0"/>
              <w:autoSpaceDE w:val="0"/>
              <w:autoSpaceDN w:val="0"/>
              <w:adjustRightInd w:val="0"/>
              <w:jc w:val="center"/>
              <w:rPr>
                <w:b/>
                <w:color w:val="000000" w:themeColor="text1"/>
                <w:lang w:val="en-US"/>
              </w:rPr>
            </w:pPr>
            <w:r w:rsidRPr="007C37B0">
              <w:rPr>
                <w:b/>
                <w:color w:val="000000" w:themeColor="text1"/>
                <w:lang w:val="en-US"/>
              </w:rPr>
              <w:t>Tobin’s q</w:t>
            </w:r>
          </w:p>
        </w:tc>
      </w:tr>
      <w:tr w:rsidR="00E058DB" w:rsidRPr="00FB6512" w14:paraId="27A220DA" w14:textId="77777777" w:rsidTr="00D15FF7">
        <w:trPr>
          <w:jc w:val="center"/>
        </w:trPr>
        <w:tc>
          <w:tcPr>
            <w:tcW w:w="6555" w:type="dxa"/>
            <w:tcBorders>
              <w:top w:val="nil"/>
              <w:left w:val="nil"/>
              <w:bottom w:val="single" w:sz="6" w:space="0" w:color="auto"/>
              <w:right w:val="nil"/>
            </w:tcBorders>
          </w:tcPr>
          <w:p w14:paraId="7B79FE65"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single" w:sz="6" w:space="0" w:color="auto"/>
              <w:right w:val="nil"/>
            </w:tcBorders>
          </w:tcPr>
          <w:p w14:paraId="12216EBE" w14:textId="77777777" w:rsidR="00E058DB" w:rsidRPr="007C37B0" w:rsidRDefault="00E058DB" w:rsidP="00D15FF7">
            <w:pPr>
              <w:widowControl w:val="0"/>
              <w:autoSpaceDE w:val="0"/>
              <w:autoSpaceDN w:val="0"/>
              <w:adjustRightInd w:val="0"/>
              <w:jc w:val="center"/>
              <w:rPr>
                <w:b/>
                <w:color w:val="000000" w:themeColor="text1"/>
                <w:lang w:val="en-US"/>
              </w:rPr>
            </w:pPr>
            <w:r w:rsidRPr="007C37B0">
              <w:rPr>
                <w:b/>
                <w:color w:val="000000" w:themeColor="text1"/>
                <w:lang w:val="en-US"/>
              </w:rPr>
              <w:t>(</w:t>
            </w:r>
            <w:r w:rsidRPr="007C37B0">
              <w:rPr>
                <w:b/>
                <w:i/>
                <w:color w:val="000000" w:themeColor="text1"/>
                <w:lang w:val="en-US"/>
              </w:rPr>
              <w:t>TQ</w:t>
            </w:r>
            <w:r w:rsidRPr="007C37B0">
              <w:rPr>
                <w:b/>
                <w:color w:val="000000" w:themeColor="text1"/>
                <w:lang w:val="en-US"/>
              </w:rPr>
              <w:t>)</w:t>
            </w:r>
          </w:p>
        </w:tc>
      </w:tr>
      <w:tr w:rsidR="00E058DB" w:rsidRPr="00FB6512" w14:paraId="6E3D03A3" w14:textId="77777777" w:rsidTr="00D15FF7">
        <w:trPr>
          <w:jc w:val="center"/>
        </w:trPr>
        <w:tc>
          <w:tcPr>
            <w:tcW w:w="6555" w:type="dxa"/>
            <w:tcBorders>
              <w:top w:val="nil"/>
              <w:left w:val="nil"/>
              <w:bottom w:val="nil"/>
              <w:right w:val="nil"/>
            </w:tcBorders>
          </w:tcPr>
          <w:p w14:paraId="11D31D05"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6B0D09C7" w14:textId="77777777" w:rsidR="00E058DB" w:rsidRPr="00064F56" w:rsidRDefault="00E058DB" w:rsidP="00D15FF7">
            <w:pPr>
              <w:widowControl w:val="0"/>
              <w:autoSpaceDE w:val="0"/>
              <w:autoSpaceDN w:val="0"/>
              <w:adjustRightInd w:val="0"/>
              <w:jc w:val="center"/>
              <w:rPr>
                <w:color w:val="000000" w:themeColor="text1"/>
                <w:lang w:val="en-US"/>
              </w:rPr>
            </w:pPr>
          </w:p>
        </w:tc>
      </w:tr>
      <w:tr w:rsidR="00E058DB" w:rsidRPr="00FB6512" w14:paraId="7BF796FF" w14:textId="77777777" w:rsidTr="00D15FF7">
        <w:trPr>
          <w:jc w:val="center"/>
        </w:trPr>
        <w:tc>
          <w:tcPr>
            <w:tcW w:w="6555" w:type="dxa"/>
            <w:tcBorders>
              <w:top w:val="nil"/>
              <w:left w:val="nil"/>
              <w:bottom w:val="nil"/>
              <w:right w:val="nil"/>
            </w:tcBorders>
          </w:tcPr>
          <w:p w14:paraId="35C1773B"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complaints</w:t>
            </w:r>
            <w:r>
              <w:rPr>
                <w:color w:val="000000" w:themeColor="text1"/>
                <w:lang w:val="en-US"/>
              </w:rPr>
              <w:t xml:space="preserve"> (</w:t>
            </w:r>
            <w:r w:rsidRPr="00064F56">
              <w:rPr>
                <w:i/>
                <w:color w:val="000000" w:themeColor="text1"/>
                <w:lang w:val="en-US"/>
              </w:rPr>
              <w:t>SHC</w:t>
            </w:r>
            <w:r>
              <w:rPr>
                <w:color w:val="000000" w:themeColor="text1"/>
                <w:lang w:val="en-US"/>
              </w:rPr>
              <w:t>)</w:t>
            </w:r>
          </w:p>
        </w:tc>
        <w:tc>
          <w:tcPr>
            <w:tcW w:w="1584" w:type="dxa"/>
            <w:tcBorders>
              <w:top w:val="nil"/>
              <w:left w:val="nil"/>
              <w:bottom w:val="nil"/>
              <w:right w:val="nil"/>
            </w:tcBorders>
          </w:tcPr>
          <w:p w14:paraId="5A07E561"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1618**</w:t>
            </w:r>
          </w:p>
        </w:tc>
      </w:tr>
      <w:tr w:rsidR="00E058DB" w:rsidRPr="00FB6512" w14:paraId="2AD1D7C5" w14:textId="77777777" w:rsidTr="00D15FF7">
        <w:trPr>
          <w:jc w:val="center"/>
        </w:trPr>
        <w:tc>
          <w:tcPr>
            <w:tcW w:w="6555" w:type="dxa"/>
            <w:tcBorders>
              <w:top w:val="nil"/>
              <w:left w:val="nil"/>
              <w:bottom w:val="nil"/>
              <w:right w:val="nil"/>
            </w:tcBorders>
          </w:tcPr>
          <w:p w14:paraId="6468AFE4"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1F30B664"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073)</w:t>
            </w:r>
          </w:p>
        </w:tc>
      </w:tr>
      <w:tr w:rsidR="00E058DB" w:rsidRPr="00FB6512" w14:paraId="147EDB98" w14:textId="77777777" w:rsidTr="00D15FF7">
        <w:trPr>
          <w:jc w:val="center"/>
        </w:trPr>
        <w:tc>
          <w:tcPr>
            <w:tcW w:w="6555" w:type="dxa"/>
            <w:tcBorders>
              <w:top w:val="nil"/>
              <w:left w:val="nil"/>
              <w:bottom w:val="nil"/>
              <w:right w:val="nil"/>
            </w:tcBorders>
          </w:tcPr>
          <w:p w14:paraId="4F4F784F"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Advertising investments</w:t>
            </w:r>
            <w:r>
              <w:rPr>
                <w:color w:val="000000" w:themeColor="text1"/>
                <w:lang w:val="en-US"/>
              </w:rPr>
              <w:t xml:space="preserve"> (</w:t>
            </w:r>
            <w:r w:rsidRPr="00064F56">
              <w:rPr>
                <w:i/>
                <w:color w:val="000000" w:themeColor="text1"/>
                <w:lang w:val="en-US"/>
              </w:rPr>
              <w:t>UADV</w:t>
            </w:r>
            <w:r>
              <w:rPr>
                <w:i/>
                <w:color w:val="000000" w:themeColor="text1"/>
                <w:lang w:val="en-US"/>
              </w:rPr>
              <w:t>_</w:t>
            </w:r>
            <w:r>
              <w:rPr>
                <w:color w:val="000000" w:themeColor="text1"/>
                <w:lang w:val="en-US"/>
              </w:rPr>
              <w:t>)</w:t>
            </w:r>
          </w:p>
        </w:tc>
        <w:tc>
          <w:tcPr>
            <w:tcW w:w="1584" w:type="dxa"/>
            <w:tcBorders>
              <w:top w:val="nil"/>
              <w:left w:val="nil"/>
              <w:bottom w:val="nil"/>
              <w:right w:val="nil"/>
            </w:tcBorders>
          </w:tcPr>
          <w:p w14:paraId="36C73D13"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0053***</w:t>
            </w:r>
          </w:p>
        </w:tc>
      </w:tr>
      <w:tr w:rsidR="00E058DB" w:rsidRPr="00FB6512" w14:paraId="575555E8" w14:textId="77777777" w:rsidTr="00D15FF7">
        <w:trPr>
          <w:jc w:val="center"/>
        </w:trPr>
        <w:tc>
          <w:tcPr>
            <w:tcW w:w="6555" w:type="dxa"/>
            <w:tcBorders>
              <w:top w:val="nil"/>
              <w:left w:val="nil"/>
              <w:bottom w:val="nil"/>
              <w:right w:val="nil"/>
            </w:tcBorders>
          </w:tcPr>
          <w:p w14:paraId="61BB19F4"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61DF8745"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002)</w:t>
            </w:r>
          </w:p>
        </w:tc>
      </w:tr>
      <w:tr w:rsidR="00E058DB" w:rsidRPr="00FB6512" w14:paraId="5A4D5D7D" w14:textId="77777777" w:rsidTr="00D15FF7">
        <w:trPr>
          <w:jc w:val="center"/>
        </w:trPr>
        <w:tc>
          <w:tcPr>
            <w:tcW w:w="6555" w:type="dxa"/>
            <w:tcBorders>
              <w:top w:val="nil"/>
              <w:left w:val="nil"/>
              <w:bottom w:val="nil"/>
              <w:right w:val="nil"/>
            </w:tcBorders>
          </w:tcPr>
          <w:p w14:paraId="7FCD7813"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 xml:space="preserve">Shareholder complaints </w:t>
            </w:r>
            <w:r>
              <w:rPr>
                <w:color w:val="000000" w:themeColor="text1"/>
                <w:lang w:val="en-US"/>
              </w:rPr>
              <w:t>(</w:t>
            </w:r>
            <w:r w:rsidRPr="00064F56">
              <w:rPr>
                <w:i/>
                <w:color w:val="000000" w:themeColor="text1"/>
                <w:lang w:val="en-US"/>
              </w:rPr>
              <w:t>SHC</w:t>
            </w:r>
            <w:r>
              <w:rPr>
                <w:color w:val="000000" w:themeColor="text1"/>
                <w:lang w:val="en-US"/>
              </w:rPr>
              <w:t xml:space="preserve">) </w:t>
            </w:r>
            <w:r w:rsidRPr="00064F56">
              <w:rPr>
                <w:color w:val="000000" w:themeColor="text1"/>
                <w:lang w:val="en-US"/>
              </w:rPr>
              <w:t>* Advertising investments</w:t>
            </w:r>
            <w:r>
              <w:rPr>
                <w:color w:val="000000" w:themeColor="text1"/>
                <w:lang w:val="en-US"/>
              </w:rPr>
              <w:t xml:space="preserve"> </w:t>
            </w:r>
          </w:p>
        </w:tc>
        <w:tc>
          <w:tcPr>
            <w:tcW w:w="1584" w:type="dxa"/>
            <w:tcBorders>
              <w:top w:val="nil"/>
              <w:left w:val="nil"/>
              <w:bottom w:val="nil"/>
              <w:right w:val="nil"/>
            </w:tcBorders>
          </w:tcPr>
          <w:p w14:paraId="08846618"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0006</w:t>
            </w:r>
          </w:p>
        </w:tc>
      </w:tr>
      <w:tr w:rsidR="00E058DB" w:rsidRPr="00FB6512" w14:paraId="487AD780" w14:textId="77777777" w:rsidTr="00D15FF7">
        <w:trPr>
          <w:jc w:val="center"/>
        </w:trPr>
        <w:tc>
          <w:tcPr>
            <w:tcW w:w="6555" w:type="dxa"/>
            <w:tcBorders>
              <w:top w:val="nil"/>
              <w:left w:val="nil"/>
              <w:bottom w:val="nil"/>
              <w:right w:val="nil"/>
            </w:tcBorders>
          </w:tcPr>
          <w:p w14:paraId="65087C25" w14:textId="77777777" w:rsidR="00E058DB" w:rsidRPr="00064F56" w:rsidRDefault="00E058DB" w:rsidP="00D15FF7">
            <w:pPr>
              <w:widowControl w:val="0"/>
              <w:autoSpaceDE w:val="0"/>
              <w:autoSpaceDN w:val="0"/>
              <w:adjustRightInd w:val="0"/>
              <w:rPr>
                <w:color w:val="000000" w:themeColor="text1"/>
                <w:lang w:val="en-US"/>
              </w:rPr>
            </w:pPr>
            <w:r>
              <w:rPr>
                <w:color w:val="000000" w:themeColor="text1"/>
                <w:lang w:val="en-US"/>
              </w:rPr>
              <w:t>(</w:t>
            </w:r>
            <w:r w:rsidRPr="00064F56">
              <w:rPr>
                <w:i/>
                <w:color w:val="000000" w:themeColor="text1"/>
                <w:lang w:val="en-US"/>
              </w:rPr>
              <w:t>UADV</w:t>
            </w:r>
            <w:r>
              <w:rPr>
                <w:i/>
                <w:color w:val="000000" w:themeColor="text1"/>
                <w:lang w:val="en-US"/>
              </w:rPr>
              <w:t>_</w:t>
            </w:r>
            <w:r>
              <w:rPr>
                <w:color w:val="000000" w:themeColor="text1"/>
                <w:lang w:val="en-US"/>
              </w:rPr>
              <w:t>)</w:t>
            </w:r>
          </w:p>
        </w:tc>
        <w:tc>
          <w:tcPr>
            <w:tcW w:w="1584" w:type="dxa"/>
            <w:tcBorders>
              <w:top w:val="nil"/>
              <w:left w:val="nil"/>
              <w:bottom w:val="nil"/>
              <w:right w:val="nil"/>
            </w:tcBorders>
          </w:tcPr>
          <w:p w14:paraId="118F7B53"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001)</w:t>
            </w:r>
          </w:p>
        </w:tc>
      </w:tr>
      <w:tr w:rsidR="00E058DB" w:rsidRPr="00FB6512" w14:paraId="32347DED" w14:textId="77777777" w:rsidTr="00D15FF7">
        <w:trPr>
          <w:jc w:val="center"/>
        </w:trPr>
        <w:tc>
          <w:tcPr>
            <w:tcW w:w="6555" w:type="dxa"/>
            <w:tcBorders>
              <w:top w:val="nil"/>
              <w:left w:val="nil"/>
              <w:bottom w:val="nil"/>
              <w:right w:val="nil"/>
            </w:tcBorders>
          </w:tcPr>
          <w:p w14:paraId="2BAA13C1"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 institutional submitter</w:t>
            </w:r>
            <w:r>
              <w:rPr>
                <w:color w:val="000000" w:themeColor="text1"/>
                <w:lang w:val="en-US"/>
              </w:rPr>
              <w:t xml:space="preserve"> (</w:t>
            </w:r>
            <w:r w:rsidRPr="00064F56">
              <w:rPr>
                <w:i/>
                <w:color w:val="000000" w:themeColor="text1"/>
                <w:lang w:val="en-US"/>
              </w:rPr>
              <w:t>INST</w:t>
            </w:r>
            <w:r>
              <w:rPr>
                <w:color w:val="000000" w:themeColor="text1"/>
                <w:lang w:val="en-US"/>
              </w:rPr>
              <w:t>)</w:t>
            </w:r>
          </w:p>
        </w:tc>
        <w:tc>
          <w:tcPr>
            <w:tcW w:w="1584" w:type="dxa"/>
            <w:tcBorders>
              <w:top w:val="nil"/>
              <w:left w:val="nil"/>
              <w:bottom w:val="nil"/>
              <w:right w:val="nil"/>
            </w:tcBorders>
          </w:tcPr>
          <w:p w14:paraId="36C4AD2E"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0895</w:t>
            </w:r>
          </w:p>
        </w:tc>
      </w:tr>
      <w:tr w:rsidR="00E058DB" w:rsidRPr="00FB6512" w14:paraId="04DE3403" w14:textId="77777777" w:rsidTr="00D15FF7">
        <w:trPr>
          <w:jc w:val="center"/>
        </w:trPr>
        <w:tc>
          <w:tcPr>
            <w:tcW w:w="6555" w:type="dxa"/>
            <w:tcBorders>
              <w:top w:val="nil"/>
              <w:left w:val="nil"/>
              <w:bottom w:val="nil"/>
              <w:right w:val="nil"/>
            </w:tcBorders>
          </w:tcPr>
          <w:p w14:paraId="22CFBA20"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16242CFA"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133)</w:t>
            </w:r>
          </w:p>
        </w:tc>
      </w:tr>
      <w:tr w:rsidR="00E058DB" w:rsidRPr="00FB6512" w14:paraId="78A0B030" w14:textId="77777777" w:rsidTr="00D15FF7">
        <w:trPr>
          <w:jc w:val="center"/>
        </w:trPr>
        <w:tc>
          <w:tcPr>
            <w:tcW w:w="6555" w:type="dxa"/>
            <w:tcBorders>
              <w:top w:val="nil"/>
              <w:left w:val="nil"/>
              <w:bottom w:val="nil"/>
              <w:right w:val="nil"/>
            </w:tcBorders>
          </w:tcPr>
          <w:p w14:paraId="5B7E0B9D"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 nonfinancial type</w:t>
            </w:r>
            <w:r>
              <w:rPr>
                <w:color w:val="000000" w:themeColor="text1"/>
                <w:lang w:val="en-US"/>
              </w:rPr>
              <w:t xml:space="preserve"> (</w:t>
            </w:r>
            <w:r w:rsidRPr="00064F56">
              <w:rPr>
                <w:i/>
                <w:color w:val="000000" w:themeColor="text1"/>
                <w:lang w:val="en-US"/>
              </w:rPr>
              <w:t>NONFIN</w:t>
            </w:r>
            <w:r>
              <w:rPr>
                <w:color w:val="000000" w:themeColor="text1"/>
                <w:lang w:val="en-US"/>
              </w:rPr>
              <w:t>)</w:t>
            </w:r>
          </w:p>
        </w:tc>
        <w:tc>
          <w:tcPr>
            <w:tcW w:w="1584" w:type="dxa"/>
            <w:tcBorders>
              <w:top w:val="nil"/>
              <w:left w:val="nil"/>
              <w:bottom w:val="nil"/>
              <w:right w:val="nil"/>
            </w:tcBorders>
          </w:tcPr>
          <w:p w14:paraId="0D906C8A"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0384</w:t>
            </w:r>
          </w:p>
        </w:tc>
      </w:tr>
      <w:tr w:rsidR="00E058DB" w:rsidRPr="00FB6512" w14:paraId="15F9A1AD" w14:textId="77777777" w:rsidTr="00D15FF7">
        <w:trPr>
          <w:jc w:val="center"/>
        </w:trPr>
        <w:tc>
          <w:tcPr>
            <w:tcW w:w="6555" w:type="dxa"/>
            <w:tcBorders>
              <w:top w:val="nil"/>
              <w:left w:val="nil"/>
              <w:bottom w:val="nil"/>
              <w:right w:val="nil"/>
            </w:tcBorders>
          </w:tcPr>
          <w:p w14:paraId="47941B45"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17E70D65"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095)</w:t>
            </w:r>
          </w:p>
        </w:tc>
      </w:tr>
      <w:tr w:rsidR="00E058DB" w:rsidRPr="00FB6512" w14:paraId="6EF90185" w14:textId="77777777" w:rsidTr="00D15FF7">
        <w:trPr>
          <w:jc w:val="center"/>
        </w:trPr>
        <w:tc>
          <w:tcPr>
            <w:tcW w:w="6555" w:type="dxa"/>
            <w:tcBorders>
              <w:top w:val="nil"/>
              <w:left w:val="nil"/>
              <w:bottom w:val="nil"/>
              <w:right w:val="nil"/>
            </w:tcBorders>
          </w:tcPr>
          <w:p w14:paraId="24BC365A"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 topic media attention</w:t>
            </w:r>
            <w:r>
              <w:rPr>
                <w:color w:val="000000" w:themeColor="text1"/>
                <w:lang w:val="en-US"/>
              </w:rPr>
              <w:t xml:space="preserve"> (</w:t>
            </w:r>
            <w:r w:rsidRPr="00064F56">
              <w:rPr>
                <w:i/>
                <w:color w:val="000000" w:themeColor="text1"/>
                <w:lang w:val="en-US"/>
              </w:rPr>
              <w:t>MEDIA</w:t>
            </w:r>
            <w:r>
              <w:rPr>
                <w:color w:val="000000" w:themeColor="text1"/>
                <w:lang w:val="en-US"/>
              </w:rPr>
              <w:t>)</w:t>
            </w:r>
          </w:p>
        </w:tc>
        <w:tc>
          <w:tcPr>
            <w:tcW w:w="1584" w:type="dxa"/>
            <w:tcBorders>
              <w:top w:val="nil"/>
              <w:left w:val="nil"/>
              <w:bottom w:val="nil"/>
              <w:right w:val="nil"/>
            </w:tcBorders>
          </w:tcPr>
          <w:p w14:paraId="637DDFA1"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0011</w:t>
            </w:r>
          </w:p>
        </w:tc>
      </w:tr>
      <w:tr w:rsidR="00E058DB" w:rsidRPr="00FB6512" w14:paraId="7BE71955" w14:textId="77777777" w:rsidTr="00D15FF7">
        <w:trPr>
          <w:jc w:val="center"/>
        </w:trPr>
        <w:tc>
          <w:tcPr>
            <w:tcW w:w="6555" w:type="dxa"/>
            <w:tcBorders>
              <w:top w:val="nil"/>
              <w:left w:val="nil"/>
              <w:bottom w:val="nil"/>
              <w:right w:val="nil"/>
            </w:tcBorders>
          </w:tcPr>
          <w:p w14:paraId="61BC49F2"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0F6DA1DB"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001)</w:t>
            </w:r>
          </w:p>
        </w:tc>
      </w:tr>
      <w:tr w:rsidR="00E058DB" w:rsidRPr="00FB6512" w14:paraId="566A9CC8" w14:textId="77777777" w:rsidTr="00D15FF7">
        <w:trPr>
          <w:jc w:val="center"/>
        </w:trPr>
        <w:tc>
          <w:tcPr>
            <w:tcW w:w="6555" w:type="dxa"/>
            <w:tcBorders>
              <w:top w:val="nil"/>
              <w:left w:val="nil"/>
              <w:bottom w:val="nil"/>
              <w:right w:val="nil"/>
            </w:tcBorders>
          </w:tcPr>
          <w:p w14:paraId="6BC3DCB8"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complaints excluded</w:t>
            </w:r>
          </w:p>
        </w:tc>
        <w:tc>
          <w:tcPr>
            <w:tcW w:w="1584" w:type="dxa"/>
            <w:tcBorders>
              <w:top w:val="nil"/>
              <w:left w:val="nil"/>
              <w:bottom w:val="nil"/>
              <w:right w:val="nil"/>
            </w:tcBorders>
          </w:tcPr>
          <w:p w14:paraId="53F76F03"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0275</w:t>
            </w:r>
          </w:p>
        </w:tc>
      </w:tr>
      <w:tr w:rsidR="00E058DB" w:rsidRPr="00FB6512" w14:paraId="41D922BC" w14:textId="77777777" w:rsidTr="00D15FF7">
        <w:trPr>
          <w:jc w:val="center"/>
        </w:trPr>
        <w:tc>
          <w:tcPr>
            <w:tcW w:w="6555" w:type="dxa"/>
            <w:tcBorders>
              <w:top w:val="nil"/>
              <w:left w:val="nil"/>
              <w:bottom w:val="nil"/>
              <w:right w:val="nil"/>
            </w:tcBorders>
          </w:tcPr>
          <w:p w14:paraId="530D8490"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48A37555"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085)</w:t>
            </w:r>
          </w:p>
        </w:tc>
      </w:tr>
      <w:tr w:rsidR="00E058DB" w:rsidRPr="00FB6512" w14:paraId="4B6C8000" w14:textId="77777777" w:rsidTr="00D15FF7">
        <w:trPr>
          <w:jc w:val="center"/>
        </w:trPr>
        <w:tc>
          <w:tcPr>
            <w:tcW w:w="6555" w:type="dxa"/>
            <w:tcBorders>
              <w:top w:val="nil"/>
              <w:left w:val="nil"/>
              <w:bottom w:val="nil"/>
              <w:right w:val="nil"/>
            </w:tcBorders>
          </w:tcPr>
          <w:p w14:paraId="42164C81"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 voting support</w:t>
            </w:r>
          </w:p>
        </w:tc>
        <w:tc>
          <w:tcPr>
            <w:tcW w:w="1584" w:type="dxa"/>
            <w:tcBorders>
              <w:top w:val="nil"/>
              <w:left w:val="nil"/>
              <w:bottom w:val="nil"/>
              <w:right w:val="nil"/>
            </w:tcBorders>
          </w:tcPr>
          <w:p w14:paraId="6C81D245"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0464</w:t>
            </w:r>
          </w:p>
        </w:tc>
      </w:tr>
      <w:tr w:rsidR="00E058DB" w:rsidRPr="00FB6512" w14:paraId="0B1499D0" w14:textId="77777777" w:rsidTr="00D15FF7">
        <w:trPr>
          <w:jc w:val="center"/>
        </w:trPr>
        <w:tc>
          <w:tcPr>
            <w:tcW w:w="6555" w:type="dxa"/>
            <w:tcBorders>
              <w:top w:val="nil"/>
              <w:left w:val="nil"/>
              <w:bottom w:val="nil"/>
              <w:right w:val="nil"/>
            </w:tcBorders>
          </w:tcPr>
          <w:p w14:paraId="1C775F3D"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2A8D5578"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061)</w:t>
            </w:r>
          </w:p>
        </w:tc>
      </w:tr>
      <w:tr w:rsidR="00E058DB" w:rsidRPr="00FB6512" w14:paraId="61B8D64F" w14:textId="77777777" w:rsidTr="00D15FF7">
        <w:trPr>
          <w:jc w:val="center"/>
        </w:trPr>
        <w:tc>
          <w:tcPr>
            <w:tcW w:w="6555" w:type="dxa"/>
            <w:tcBorders>
              <w:top w:val="nil"/>
              <w:left w:val="nil"/>
              <w:bottom w:val="nil"/>
              <w:right w:val="nil"/>
            </w:tcBorders>
          </w:tcPr>
          <w:p w14:paraId="305D8366"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Firm size</w:t>
            </w:r>
          </w:p>
        </w:tc>
        <w:tc>
          <w:tcPr>
            <w:tcW w:w="1584" w:type="dxa"/>
            <w:tcBorders>
              <w:top w:val="nil"/>
              <w:left w:val="nil"/>
              <w:bottom w:val="nil"/>
              <w:right w:val="nil"/>
            </w:tcBorders>
          </w:tcPr>
          <w:p w14:paraId="0E86BACC"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4415***</w:t>
            </w:r>
          </w:p>
        </w:tc>
      </w:tr>
      <w:tr w:rsidR="00E058DB" w:rsidRPr="00FB6512" w14:paraId="27C74E16" w14:textId="77777777" w:rsidTr="00D15FF7">
        <w:trPr>
          <w:jc w:val="center"/>
        </w:trPr>
        <w:tc>
          <w:tcPr>
            <w:tcW w:w="6555" w:type="dxa"/>
            <w:tcBorders>
              <w:top w:val="nil"/>
              <w:left w:val="nil"/>
              <w:bottom w:val="nil"/>
              <w:right w:val="nil"/>
            </w:tcBorders>
          </w:tcPr>
          <w:p w14:paraId="0B02895E"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7B5C8781"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049)</w:t>
            </w:r>
          </w:p>
        </w:tc>
      </w:tr>
      <w:tr w:rsidR="00E058DB" w:rsidRPr="00FB6512" w14:paraId="30DD9D29" w14:textId="77777777" w:rsidTr="00D15FF7">
        <w:trPr>
          <w:jc w:val="center"/>
        </w:trPr>
        <w:tc>
          <w:tcPr>
            <w:tcW w:w="6555" w:type="dxa"/>
            <w:tcBorders>
              <w:top w:val="nil"/>
              <w:left w:val="nil"/>
              <w:bottom w:val="nil"/>
              <w:right w:val="nil"/>
            </w:tcBorders>
          </w:tcPr>
          <w:p w14:paraId="240B5CF6"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Profitability</w:t>
            </w:r>
          </w:p>
        </w:tc>
        <w:tc>
          <w:tcPr>
            <w:tcW w:w="1584" w:type="dxa"/>
            <w:tcBorders>
              <w:top w:val="nil"/>
              <w:left w:val="nil"/>
              <w:bottom w:val="nil"/>
              <w:right w:val="nil"/>
            </w:tcBorders>
          </w:tcPr>
          <w:p w14:paraId="62FA2155"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1198***</w:t>
            </w:r>
          </w:p>
        </w:tc>
      </w:tr>
      <w:tr w:rsidR="00E058DB" w:rsidRPr="00FB6512" w14:paraId="662057BE" w14:textId="77777777" w:rsidTr="00D15FF7">
        <w:trPr>
          <w:jc w:val="center"/>
        </w:trPr>
        <w:tc>
          <w:tcPr>
            <w:tcW w:w="6555" w:type="dxa"/>
            <w:tcBorders>
              <w:top w:val="nil"/>
              <w:left w:val="nil"/>
              <w:bottom w:val="nil"/>
              <w:right w:val="nil"/>
            </w:tcBorders>
          </w:tcPr>
          <w:p w14:paraId="40E2FB39"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5ECC7E91"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022)</w:t>
            </w:r>
          </w:p>
        </w:tc>
      </w:tr>
      <w:tr w:rsidR="00E058DB" w:rsidRPr="00FB6512" w14:paraId="6C4A88AD" w14:textId="77777777" w:rsidTr="00D15FF7">
        <w:trPr>
          <w:jc w:val="center"/>
        </w:trPr>
        <w:tc>
          <w:tcPr>
            <w:tcW w:w="6555" w:type="dxa"/>
            <w:tcBorders>
              <w:top w:val="nil"/>
              <w:left w:val="nil"/>
              <w:bottom w:val="nil"/>
              <w:right w:val="nil"/>
            </w:tcBorders>
          </w:tcPr>
          <w:p w14:paraId="01D2F06A"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Sales growth</w:t>
            </w:r>
          </w:p>
        </w:tc>
        <w:tc>
          <w:tcPr>
            <w:tcW w:w="1584" w:type="dxa"/>
            <w:tcBorders>
              <w:top w:val="nil"/>
              <w:left w:val="nil"/>
              <w:bottom w:val="nil"/>
              <w:right w:val="nil"/>
            </w:tcBorders>
          </w:tcPr>
          <w:p w14:paraId="145DC490"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3495***</w:t>
            </w:r>
          </w:p>
        </w:tc>
      </w:tr>
      <w:tr w:rsidR="00E058DB" w:rsidRPr="00FB6512" w14:paraId="198F35BB" w14:textId="77777777" w:rsidTr="00D15FF7">
        <w:trPr>
          <w:jc w:val="center"/>
        </w:trPr>
        <w:tc>
          <w:tcPr>
            <w:tcW w:w="6555" w:type="dxa"/>
            <w:tcBorders>
              <w:top w:val="nil"/>
              <w:left w:val="nil"/>
              <w:bottom w:val="nil"/>
              <w:right w:val="nil"/>
            </w:tcBorders>
          </w:tcPr>
          <w:p w14:paraId="026A46D1"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422B7E0B"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051)</w:t>
            </w:r>
          </w:p>
        </w:tc>
      </w:tr>
      <w:tr w:rsidR="00E058DB" w:rsidRPr="00FB6512" w14:paraId="5544699E" w14:textId="77777777" w:rsidTr="00D15FF7">
        <w:trPr>
          <w:jc w:val="center"/>
        </w:trPr>
        <w:tc>
          <w:tcPr>
            <w:tcW w:w="6555" w:type="dxa"/>
            <w:tcBorders>
              <w:top w:val="nil"/>
              <w:left w:val="nil"/>
              <w:bottom w:val="nil"/>
              <w:right w:val="nil"/>
            </w:tcBorders>
          </w:tcPr>
          <w:p w14:paraId="260D0739"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Market share</w:t>
            </w:r>
          </w:p>
        </w:tc>
        <w:tc>
          <w:tcPr>
            <w:tcW w:w="1584" w:type="dxa"/>
            <w:tcBorders>
              <w:top w:val="nil"/>
              <w:left w:val="nil"/>
              <w:bottom w:val="nil"/>
              <w:right w:val="nil"/>
            </w:tcBorders>
          </w:tcPr>
          <w:p w14:paraId="5CDAE9B3"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6811**</w:t>
            </w:r>
          </w:p>
        </w:tc>
      </w:tr>
      <w:tr w:rsidR="00E058DB" w:rsidRPr="00FB6512" w14:paraId="57F19536" w14:textId="77777777" w:rsidTr="00D15FF7">
        <w:trPr>
          <w:jc w:val="center"/>
        </w:trPr>
        <w:tc>
          <w:tcPr>
            <w:tcW w:w="6555" w:type="dxa"/>
            <w:tcBorders>
              <w:top w:val="nil"/>
              <w:left w:val="nil"/>
              <w:bottom w:val="nil"/>
              <w:right w:val="nil"/>
            </w:tcBorders>
          </w:tcPr>
          <w:p w14:paraId="3C94BA53"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30BCD985"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273)</w:t>
            </w:r>
          </w:p>
        </w:tc>
      </w:tr>
      <w:tr w:rsidR="00E058DB" w:rsidRPr="00FB6512" w14:paraId="5B0B57E3" w14:textId="77777777" w:rsidTr="00D15FF7">
        <w:trPr>
          <w:jc w:val="center"/>
        </w:trPr>
        <w:tc>
          <w:tcPr>
            <w:tcW w:w="6555" w:type="dxa"/>
            <w:tcBorders>
              <w:top w:val="nil"/>
              <w:left w:val="nil"/>
              <w:bottom w:val="nil"/>
              <w:right w:val="nil"/>
            </w:tcBorders>
          </w:tcPr>
          <w:p w14:paraId="69F626E9"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Financial leverage</w:t>
            </w:r>
          </w:p>
        </w:tc>
        <w:tc>
          <w:tcPr>
            <w:tcW w:w="1584" w:type="dxa"/>
            <w:tcBorders>
              <w:top w:val="nil"/>
              <w:left w:val="nil"/>
              <w:bottom w:val="nil"/>
              <w:right w:val="nil"/>
            </w:tcBorders>
          </w:tcPr>
          <w:p w14:paraId="233FA0DF"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0001</w:t>
            </w:r>
          </w:p>
        </w:tc>
      </w:tr>
      <w:tr w:rsidR="00E058DB" w:rsidRPr="00FB6512" w14:paraId="214C50C8" w14:textId="77777777" w:rsidTr="00D15FF7">
        <w:trPr>
          <w:jc w:val="center"/>
        </w:trPr>
        <w:tc>
          <w:tcPr>
            <w:tcW w:w="6555" w:type="dxa"/>
            <w:tcBorders>
              <w:top w:val="nil"/>
              <w:left w:val="nil"/>
              <w:bottom w:val="nil"/>
              <w:right w:val="nil"/>
            </w:tcBorders>
          </w:tcPr>
          <w:p w14:paraId="5D37873D"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364C1EF4"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001)</w:t>
            </w:r>
          </w:p>
        </w:tc>
      </w:tr>
      <w:tr w:rsidR="00E058DB" w:rsidRPr="00FB6512" w14:paraId="421D26D0" w14:textId="77777777" w:rsidTr="00D15FF7">
        <w:trPr>
          <w:jc w:val="center"/>
        </w:trPr>
        <w:tc>
          <w:tcPr>
            <w:tcW w:w="6555" w:type="dxa"/>
            <w:tcBorders>
              <w:top w:val="nil"/>
              <w:left w:val="nil"/>
              <w:bottom w:val="nil"/>
              <w:right w:val="nil"/>
            </w:tcBorders>
          </w:tcPr>
          <w:p w14:paraId="07C3CFD8"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Constant</w:t>
            </w:r>
          </w:p>
        </w:tc>
        <w:tc>
          <w:tcPr>
            <w:tcW w:w="1584" w:type="dxa"/>
            <w:tcBorders>
              <w:top w:val="nil"/>
              <w:left w:val="nil"/>
              <w:bottom w:val="nil"/>
              <w:right w:val="nil"/>
            </w:tcBorders>
          </w:tcPr>
          <w:p w14:paraId="7E093402"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1.7575***</w:t>
            </w:r>
          </w:p>
        </w:tc>
      </w:tr>
      <w:tr w:rsidR="00E058DB" w:rsidRPr="00FB6512" w14:paraId="2DE4D507" w14:textId="77777777" w:rsidTr="00D15FF7">
        <w:trPr>
          <w:jc w:val="center"/>
        </w:trPr>
        <w:tc>
          <w:tcPr>
            <w:tcW w:w="6555" w:type="dxa"/>
            <w:tcBorders>
              <w:top w:val="nil"/>
              <w:left w:val="nil"/>
              <w:bottom w:val="nil"/>
              <w:right w:val="nil"/>
            </w:tcBorders>
          </w:tcPr>
          <w:p w14:paraId="7366DD97"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4C4FD680"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138)</w:t>
            </w:r>
          </w:p>
        </w:tc>
      </w:tr>
      <w:tr w:rsidR="00E058DB" w:rsidRPr="00FB6512" w14:paraId="0ABB7B0C" w14:textId="77777777" w:rsidTr="00D15FF7">
        <w:trPr>
          <w:jc w:val="center"/>
        </w:trPr>
        <w:tc>
          <w:tcPr>
            <w:tcW w:w="6555" w:type="dxa"/>
            <w:tcBorders>
              <w:top w:val="nil"/>
              <w:left w:val="nil"/>
              <w:bottom w:val="nil"/>
              <w:right w:val="nil"/>
            </w:tcBorders>
          </w:tcPr>
          <w:p w14:paraId="3ECD2FEE"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60B494C0" w14:textId="77777777" w:rsidR="00E058DB" w:rsidRPr="00064F56" w:rsidRDefault="00E058DB" w:rsidP="00D15FF7">
            <w:pPr>
              <w:widowControl w:val="0"/>
              <w:autoSpaceDE w:val="0"/>
              <w:autoSpaceDN w:val="0"/>
              <w:adjustRightInd w:val="0"/>
              <w:jc w:val="center"/>
              <w:rPr>
                <w:color w:val="000000" w:themeColor="text1"/>
                <w:lang w:val="en-US"/>
              </w:rPr>
            </w:pPr>
          </w:p>
        </w:tc>
      </w:tr>
      <w:tr w:rsidR="00E058DB" w:rsidRPr="00FB6512" w14:paraId="23673504" w14:textId="77777777" w:rsidTr="00D15FF7">
        <w:trPr>
          <w:jc w:val="center"/>
        </w:trPr>
        <w:tc>
          <w:tcPr>
            <w:tcW w:w="6555" w:type="dxa"/>
            <w:tcBorders>
              <w:top w:val="nil"/>
              <w:left w:val="nil"/>
              <w:bottom w:val="nil"/>
              <w:right w:val="nil"/>
            </w:tcBorders>
          </w:tcPr>
          <w:p w14:paraId="556C210C"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Observations</w:t>
            </w:r>
          </w:p>
        </w:tc>
        <w:tc>
          <w:tcPr>
            <w:tcW w:w="1584" w:type="dxa"/>
            <w:tcBorders>
              <w:top w:val="nil"/>
              <w:left w:val="nil"/>
              <w:bottom w:val="nil"/>
              <w:right w:val="nil"/>
            </w:tcBorders>
          </w:tcPr>
          <w:p w14:paraId="303CB136"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2,954</w:t>
            </w:r>
          </w:p>
        </w:tc>
      </w:tr>
      <w:tr w:rsidR="00E058DB" w:rsidRPr="00FB6512" w14:paraId="06DC6257" w14:textId="77777777" w:rsidTr="00D15FF7">
        <w:trPr>
          <w:jc w:val="center"/>
        </w:trPr>
        <w:tc>
          <w:tcPr>
            <w:tcW w:w="6555" w:type="dxa"/>
            <w:tcBorders>
              <w:top w:val="nil"/>
              <w:left w:val="nil"/>
              <w:bottom w:val="nil"/>
              <w:right w:val="nil"/>
            </w:tcBorders>
          </w:tcPr>
          <w:p w14:paraId="4969B078"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Adjusted R-squared</w:t>
            </w:r>
          </w:p>
        </w:tc>
        <w:tc>
          <w:tcPr>
            <w:tcW w:w="1584" w:type="dxa"/>
            <w:tcBorders>
              <w:top w:val="nil"/>
              <w:left w:val="nil"/>
              <w:bottom w:val="nil"/>
              <w:right w:val="nil"/>
            </w:tcBorders>
          </w:tcPr>
          <w:p w14:paraId="76A3D983"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123</w:t>
            </w:r>
          </w:p>
        </w:tc>
      </w:tr>
      <w:tr w:rsidR="00E058DB" w:rsidRPr="00FB6512" w14:paraId="7AC671FD" w14:textId="77777777" w:rsidTr="00D15FF7">
        <w:tblPrEx>
          <w:tblBorders>
            <w:bottom w:val="single" w:sz="6" w:space="0" w:color="auto"/>
          </w:tblBorders>
        </w:tblPrEx>
        <w:trPr>
          <w:jc w:val="center"/>
        </w:trPr>
        <w:tc>
          <w:tcPr>
            <w:tcW w:w="6555" w:type="dxa"/>
            <w:tcBorders>
              <w:top w:val="nil"/>
              <w:left w:val="nil"/>
              <w:bottom w:val="single" w:sz="6" w:space="0" w:color="auto"/>
              <w:right w:val="nil"/>
            </w:tcBorders>
          </w:tcPr>
          <w:p w14:paraId="4FB55EE0"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Model F-statistic</w:t>
            </w:r>
          </w:p>
        </w:tc>
        <w:tc>
          <w:tcPr>
            <w:tcW w:w="1584" w:type="dxa"/>
            <w:tcBorders>
              <w:top w:val="nil"/>
              <w:left w:val="nil"/>
              <w:bottom w:val="single" w:sz="6" w:space="0" w:color="auto"/>
              <w:right w:val="nil"/>
            </w:tcBorders>
          </w:tcPr>
          <w:p w14:paraId="7C0584D9"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22.84*** (22)</w:t>
            </w:r>
          </w:p>
        </w:tc>
      </w:tr>
    </w:tbl>
    <w:p w14:paraId="2A0FEC2D" w14:textId="77777777" w:rsidR="00E058DB" w:rsidRDefault="00E058DB" w:rsidP="00E058DB">
      <w:pPr>
        <w:pStyle w:val="NoSpacing"/>
        <w:spacing w:line="240" w:lineRule="auto"/>
        <w:ind w:left="720"/>
        <w:rPr>
          <w:color w:val="000000" w:themeColor="text1"/>
          <w:sz w:val="20"/>
          <w:lang w:val="en-US"/>
        </w:rPr>
      </w:pPr>
      <w:r w:rsidRPr="007C37B0">
        <w:rPr>
          <w:i/>
          <w:color w:val="000000" w:themeColor="text1"/>
          <w:sz w:val="20"/>
          <w:lang w:val="en-US"/>
        </w:rPr>
        <w:t>Notes</w:t>
      </w:r>
      <w:r w:rsidRPr="007C37B0">
        <w:rPr>
          <w:color w:val="000000" w:themeColor="text1"/>
          <w:sz w:val="20"/>
          <w:lang w:val="en-US"/>
        </w:rPr>
        <w:t xml:space="preserve">: </w:t>
      </w:r>
      <w:r>
        <w:rPr>
          <w:color w:val="000000" w:themeColor="text1"/>
          <w:sz w:val="20"/>
          <w:lang w:val="en-US"/>
        </w:rPr>
        <w:t xml:space="preserve">UADV_ based on </w:t>
      </w:r>
      <w:proofErr w:type="spellStart"/>
      <w:r>
        <w:rPr>
          <w:color w:val="000000" w:themeColor="text1"/>
          <w:sz w:val="20"/>
          <w:lang w:val="en-US"/>
        </w:rPr>
        <w:t>Compustat</w:t>
      </w:r>
      <w:proofErr w:type="spellEnd"/>
      <w:r>
        <w:rPr>
          <w:color w:val="000000" w:themeColor="text1"/>
          <w:sz w:val="20"/>
          <w:lang w:val="en-US"/>
        </w:rPr>
        <w:t xml:space="preserve"> advertising. </w:t>
      </w:r>
      <w:r w:rsidRPr="007C37B0">
        <w:rPr>
          <w:color w:val="000000" w:themeColor="text1"/>
          <w:sz w:val="20"/>
          <w:lang w:val="en-US"/>
        </w:rPr>
        <w:t xml:space="preserve">Standard errors in parentheses. Shareholder </w:t>
      </w:r>
    </w:p>
    <w:p w14:paraId="3FE4382A" w14:textId="77777777" w:rsidR="00E058DB" w:rsidRPr="007C37B0" w:rsidRDefault="00E058DB" w:rsidP="00E058DB">
      <w:pPr>
        <w:pStyle w:val="NoSpacing"/>
        <w:spacing w:line="240" w:lineRule="auto"/>
        <w:ind w:left="720"/>
        <w:rPr>
          <w:color w:val="000000" w:themeColor="text1"/>
          <w:sz w:val="20"/>
          <w:lang w:val="en-US"/>
        </w:rPr>
      </w:pPr>
      <w:r w:rsidRPr="007C37B0">
        <w:rPr>
          <w:color w:val="000000" w:themeColor="text1"/>
          <w:sz w:val="20"/>
          <w:lang w:val="en-US"/>
        </w:rPr>
        <w:t>complaints calculated at period t-1. Firm and year fixed effects not reported. ***</w:t>
      </w:r>
      <w:r w:rsidRPr="007C37B0">
        <w:rPr>
          <w:i/>
          <w:color w:val="000000" w:themeColor="text1"/>
          <w:sz w:val="20"/>
          <w:lang w:val="en-US"/>
        </w:rPr>
        <w:t>p</w:t>
      </w:r>
      <w:r w:rsidRPr="007C37B0">
        <w:rPr>
          <w:color w:val="000000" w:themeColor="text1"/>
          <w:sz w:val="20"/>
          <w:lang w:val="en-US"/>
        </w:rPr>
        <w:t>&lt;</w:t>
      </w:r>
      <w:r>
        <w:rPr>
          <w:color w:val="000000" w:themeColor="text1"/>
          <w:sz w:val="20"/>
          <w:lang w:val="en-US"/>
        </w:rPr>
        <w:t>.</w:t>
      </w:r>
      <w:r w:rsidRPr="007C37B0">
        <w:rPr>
          <w:color w:val="000000" w:themeColor="text1"/>
          <w:sz w:val="20"/>
          <w:lang w:val="en-US"/>
        </w:rPr>
        <w:t>01, **</w:t>
      </w:r>
      <w:r w:rsidRPr="007C37B0">
        <w:rPr>
          <w:i/>
          <w:color w:val="000000" w:themeColor="text1"/>
          <w:sz w:val="20"/>
          <w:lang w:val="en-US"/>
        </w:rPr>
        <w:t>p</w:t>
      </w:r>
      <w:r w:rsidRPr="007C37B0">
        <w:rPr>
          <w:color w:val="000000" w:themeColor="text1"/>
          <w:sz w:val="20"/>
          <w:lang w:val="en-US"/>
        </w:rPr>
        <w:t>&lt;</w:t>
      </w:r>
      <w:r>
        <w:rPr>
          <w:color w:val="000000" w:themeColor="text1"/>
          <w:sz w:val="20"/>
          <w:lang w:val="en-US"/>
        </w:rPr>
        <w:t>.</w:t>
      </w:r>
      <w:r w:rsidRPr="007C37B0">
        <w:rPr>
          <w:color w:val="000000" w:themeColor="text1"/>
          <w:sz w:val="20"/>
          <w:lang w:val="en-US"/>
        </w:rPr>
        <w:t>05, *</w:t>
      </w:r>
      <w:r w:rsidRPr="007C37B0">
        <w:rPr>
          <w:i/>
          <w:color w:val="000000" w:themeColor="text1"/>
          <w:sz w:val="20"/>
          <w:lang w:val="en-US"/>
        </w:rPr>
        <w:t>p</w:t>
      </w:r>
      <w:r w:rsidRPr="007C37B0">
        <w:rPr>
          <w:color w:val="000000" w:themeColor="text1"/>
          <w:sz w:val="20"/>
          <w:lang w:val="en-US"/>
        </w:rPr>
        <w:t>&lt;</w:t>
      </w:r>
      <w:r>
        <w:rPr>
          <w:color w:val="000000" w:themeColor="text1"/>
          <w:sz w:val="20"/>
          <w:lang w:val="en-US"/>
        </w:rPr>
        <w:t>.</w:t>
      </w:r>
      <w:r w:rsidRPr="007C37B0">
        <w:rPr>
          <w:color w:val="000000" w:themeColor="text1"/>
          <w:sz w:val="20"/>
          <w:lang w:val="en-US"/>
        </w:rPr>
        <w:t>1</w:t>
      </w:r>
      <w:r>
        <w:rPr>
          <w:color w:val="000000" w:themeColor="text1"/>
          <w:sz w:val="20"/>
          <w:lang w:val="en-US"/>
        </w:rPr>
        <w:t>.</w:t>
      </w:r>
      <w:r w:rsidRPr="007C37B0">
        <w:rPr>
          <w:color w:val="000000" w:themeColor="text1"/>
          <w:sz w:val="20"/>
          <w:lang w:val="en-US"/>
        </w:rPr>
        <w:t xml:space="preserve"> </w:t>
      </w:r>
    </w:p>
    <w:p w14:paraId="314B777A" w14:textId="77777777" w:rsidR="00E058DB" w:rsidRPr="007C37B0" w:rsidRDefault="00E058DB" w:rsidP="00E058DB">
      <w:pPr>
        <w:jc w:val="center"/>
        <w:rPr>
          <w:color w:val="000000" w:themeColor="text1"/>
          <w:u w:color="000000"/>
          <w:lang w:val="en-US"/>
        </w:rPr>
      </w:pPr>
    </w:p>
    <w:p w14:paraId="37336374" w14:textId="77777777" w:rsidR="00E058DB" w:rsidRPr="007C37B0" w:rsidRDefault="00E058DB" w:rsidP="00E058DB">
      <w:pPr>
        <w:jc w:val="center"/>
        <w:rPr>
          <w:b/>
          <w:color w:val="000000" w:themeColor="text1"/>
          <w:lang w:val="en-US"/>
        </w:rPr>
      </w:pPr>
      <w:r w:rsidRPr="007C37B0">
        <w:rPr>
          <w:b/>
          <w:color w:val="000000" w:themeColor="text1"/>
          <w:lang w:val="en-US"/>
        </w:rPr>
        <w:br w:type="page"/>
      </w:r>
    </w:p>
    <w:p w14:paraId="497B34B4" w14:textId="77777777" w:rsidR="00E058DB" w:rsidRPr="007C37B0" w:rsidRDefault="00E058DB" w:rsidP="00E058DB">
      <w:pPr>
        <w:jc w:val="center"/>
        <w:rPr>
          <w:b/>
          <w:caps/>
          <w:color w:val="000000" w:themeColor="text1"/>
          <w:u w:color="000000"/>
          <w:lang w:val="en-US"/>
        </w:rPr>
      </w:pPr>
      <w:r w:rsidRPr="007C37B0">
        <w:rPr>
          <w:b/>
          <w:caps/>
          <w:color w:val="000000" w:themeColor="text1"/>
          <w:u w:color="000000"/>
          <w:lang w:val="en-US"/>
        </w:rPr>
        <w:lastRenderedPageBreak/>
        <w:t>Table D5: Advertising Investment Response (</w:t>
      </w:r>
      <w:r>
        <w:rPr>
          <w:b/>
          <w:caps/>
          <w:color w:val="000000" w:themeColor="text1"/>
          <w:u w:color="000000"/>
          <w:lang w:val="en-US"/>
        </w:rPr>
        <w:t>WITHOUT</w:t>
      </w:r>
      <w:r w:rsidRPr="007C37B0">
        <w:rPr>
          <w:b/>
          <w:caps/>
          <w:color w:val="000000" w:themeColor="text1"/>
          <w:u w:color="000000"/>
          <w:lang w:val="en-US"/>
        </w:rPr>
        <w:t xml:space="preserve"> EXCLUDED Complaints)</w:t>
      </w:r>
    </w:p>
    <w:p w14:paraId="16A1B5E2" w14:textId="77777777" w:rsidR="00E058DB" w:rsidRDefault="00E058DB" w:rsidP="00E058DB">
      <w:pPr>
        <w:rPr>
          <w:b/>
          <w:color w:val="000000" w:themeColor="text1"/>
          <w:u w:color="000000"/>
          <w:lang w:val="en-US"/>
        </w:rPr>
      </w:pPr>
    </w:p>
    <w:tbl>
      <w:tblPr>
        <w:tblW w:w="9435" w:type="dxa"/>
        <w:jc w:val="center"/>
        <w:tblLayout w:type="fixed"/>
        <w:tblCellMar>
          <w:left w:w="75" w:type="dxa"/>
          <w:right w:w="75" w:type="dxa"/>
        </w:tblCellMar>
        <w:tblLook w:val="0000" w:firstRow="0" w:lastRow="0" w:firstColumn="0" w:lastColumn="0" w:noHBand="0" w:noVBand="0"/>
      </w:tblPr>
      <w:tblGrid>
        <w:gridCol w:w="5979"/>
        <w:gridCol w:w="3456"/>
      </w:tblGrid>
      <w:tr w:rsidR="00E058DB" w:rsidRPr="00FB6512" w14:paraId="2CBF441B" w14:textId="77777777" w:rsidTr="00D15FF7">
        <w:trPr>
          <w:jc w:val="center"/>
        </w:trPr>
        <w:tc>
          <w:tcPr>
            <w:tcW w:w="5979" w:type="dxa"/>
            <w:tcBorders>
              <w:top w:val="single" w:sz="6" w:space="0" w:color="auto"/>
              <w:left w:val="nil"/>
              <w:bottom w:val="nil"/>
              <w:right w:val="nil"/>
            </w:tcBorders>
          </w:tcPr>
          <w:p w14:paraId="54CB666F"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br w:type="page"/>
            </w:r>
          </w:p>
        </w:tc>
        <w:tc>
          <w:tcPr>
            <w:tcW w:w="3456" w:type="dxa"/>
            <w:tcBorders>
              <w:top w:val="single" w:sz="6" w:space="0" w:color="auto"/>
              <w:left w:val="nil"/>
              <w:bottom w:val="nil"/>
              <w:right w:val="nil"/>
            </w:tcBorders>
          </w:tcPr>
          <w:p w14:paraId="1A25872B" w14:textId="77777777" w:rsidR="00E058DB" w:rsidRPr="007C37B0" w:rsidRDefault="00E058DB" w:rsidP="00D15FF7">
            <w:pPr>
              <w:widowControl w:val="0"/>
              <w:autoSpaceDE w:val="0"/>
              <w:autoSpaceDN w:val="0"/>
              <w:adjustRightInd w:val="0"/>
              <w:jc w:val="center"/>
              <w:rPr>
                <w:b/>
                <w:color w:val="000000" w:themeColor="text1"/>
                <w:lang w:val="en-US"/>
              </w:rPr>
            </w:pPr>
            <w:r w:rsidRPr="007C37B0">
              <w:rPr>
                <w:b/>
                <w:color w:val="000000" w:themeColor="text1"/>
                <w:lang w:val="en-US"/>
              </w:rPr>
              <w:t>Advertising investments</w:t>
            </w:r>
          </w:p>
        </w:tc>
      </w:tr>
      <w:tr w:rsidR="00E058DB" w:rsidRPr="00FB6512" w14:paraId="54AF5A3A" w14:textId="77777777" w:rsidTr="00D15FF7">
        <w:trPr>
          <w:jc w:val="center"/>
        </w:trPr>
        <w:tc>
          <w:tcPr>
            <w:tcW w:w="5979" w:type="dxa"/>
            <w:tcBorders>
              <w:top w:val="nil"/>
              <w:left w:val="nil"/>
              <w:bottom w:val="single" w:sz="6" w:space="0" w:color="auto"/>
              <w:right w:val="nil"/>
            </w:tcBorders>
          </w:tcPr>
          <w:p w14:paraId="40A47E39"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single" w:sz="6" w:space="0" w:color="auto"/>
              <w:right w:val="nil"/>
            </w:tcBorders>
          </w:tcPr>
          <w:p w14:paraId="018B3650" w14:textId="77777777" w:rsidR="00E058DB" w:rsidRPr="007C37B0" w:rsidRDefault="00E058DB" w:rsidP="00D15FF7">
            <w:pPr>
              <w:widowControl w:val="0"/>
              <w:autoSpaceDE w:val="0"/>
              <w:autoSpaceDN w:val="0"/>
              <w:adjustRightInd w:val="0"/>
              <w:jc w:val="center"/>
              <w:rPr>
                <w:b/>
                <w:color w:val="000000" w:themeColor="text1"/>
                <w:lang w:val="en-US"/>
              </w:rPr>
            </w:pPr>
            <w:r w:rsidRPr="007C37B0">
              <w:rPr>
                <w:b/>
                <w:color w:val="000000" w:themeColor="text1"/>
                <w:lang w:val="en-US"/>
              </w:rPr>
              <w:t>(</w:t>
            </w:r>
            <w:r w:rsidRPr="007C37B0">
              <w:rPr>
                <w:b/>
                <w:i/>
                <w:color w:val="000000" w:themeColor="text1"/>
                <w:lang w:val="en-US"/>
              </w:rPr>
              <w:t>UADV</w:t>
            </w:r>
            <w:r w:rsidRPr="007C37B0">
              <w:rPr>
                <w:b/>
                <w:color w:val="000000" w:themeColor="text1"/>
                <w:lang w:val="en-US"/>
              </w:rPr>
              <w:t>)</w:t>
            </w:r>
          </w:p>
        </w:tc>
      </w:tr>
      <w:tr w:rsidR="00E058DB" w:rsidRPr="00FB6512" w14:paraId="2AEC4024" w14:textId="77777777" w:rsidTr="00D15FF7">
        <w:trPr>
          <w:jc w:val="center"/>
        </w:trPr>
        <w:tc>
          <w:tcPr>
            <w:tcW w:w="5979" w:type="dxa"/>
            <w:tcBorders>
              <w:top w:val="nil"/>
              <w:left w:val="nil"/>
              <w:bottom w:val="nil"/>
              <w:right w:val="nil"/>
            </w:tcBorders>
          </w:tcPr>
          <w:p w14:paraId="662541A1"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3E53ABA2" w14:textId="77777777" w:rsidR="00E058DB" w:rsidRPr="00064F56" w:rsidRDefault="00E058DB" w:rsidP="00D15FF7">
            <w:pPr>
              <w:widowControl w:val="0"/>
              <w:autoSpaceDE w:val="0"/>
              <w:autoSpaceDN w:val="0"/>
              <w:adjustRightInd w:val="0"/>
              <w:jc w:val="center"/>
              <w:rPr>
                <w:color w:val="000000" w:themeColor="text1"/>
                <w:lang w:val="en-US"/>
              </w:rPr>
            </w:pPr>
          </w:p>
        </w:tc>
      </w:tr>
      <w:tr w:rsidR="00E058DB" w:rsidRPr="00FB6512" w14:paraId="1D39A347" w14:textId="77777777" w:rsidTr="00D15FF7">
        <w:trPr>
          <w:jc w:val="center"/>
        </w:trPr>
        <w:tc>
          <w:tcPr>
            <w:tcW w:w="5979" w:type="dxa"/>
            <w:tcBorders>
              <w:top w:val="nil"/>
              <w:left w:val="nil"/>
              <w:bottom w:val="nil"/>
              <w:right w:val="nil"/>
            </w:tcBorders>
          </w:tcPr>
          <w:p w14:paraId="44657A32" w14:textId="77777777" w:rsidR="00E058DB" w:rsidRPr="00064F56" w:rsidRDefault="00E058DB" w:rsidP="00D15FF7">
            <w:pPr>
              <w:widowControl w:val="0"/>
              <w:autoSpaceDE w:val="0"/>
              <w:autoSpaceDN w:val="0"/>
              <w:adjustRightInd w:val="0"/>
              <w:rPr>
                <w:color w:val="000000" w:themeColor="text1"/>
                <w:lang w:val="en-US"/>
              </w:rPr>
            </w:pPr>
            <w:r>
              <w:rPr>
                <w:color w:val="000000" w:themeColor="text1"/>
                <w:lang w:val="en-US"/>
              </w:rPr>
              <w:t>S</w:t>
            </w:r>
            <w:r w:rsidRPr="00064F56">
              <w:rPr>
                <w:color w:val="000000" w:themeColor="text1"/>
                <w:lang w:val="en-US"/>
              </w:rPr>
              <w:t>hareholder complaints</w:t>
            </w:r>
            <w:r>
              <w:rPr>
                <w:color w:val="000000" w:themeColor="text1"/>
                <w:lang w:val="en-US"/>
              </w:rPr>
              <w:t xml:space="preserve"> (</w:t>
            </w:r>
            <w:r w:rsidRPr="00064F56">
              <w:rPr>
                <w:i/>
                <w:color w:val="000000" w:themeColor="text1"/>
                <w:lang w:val="en-US"/>
              </w:rPr>
              <w:t>SHC</w:t>
            </w:r>
            <w:r>
              <w:rPr>
                <w:i/>
                <w:color w:val="000000" w:themeColor="text1"/>
                <w:lang w:val="en-US"/>
              </w:rPr>
              <w:t>_</w:t>
            </w:r>
            <w:r>
              <w:rPr>
                <w:color w:val="000000" w:themeColor="text1"/>
                <w:lang w:val="en-US"/>
              </w:rPr>
              <w:t>)</w:t>
            </w:r>
          </w:p>
        </w:tc>
        <w:tc>
          <w:tcPr>
            <w:tcW w:w="3456" w:type="dxa"/>
            <w:tcBorders>
              <w:top w:val="nil"/>
              <w:left w:val="nil"/>
              <w:bottom w:val="nil"/>
              <w:right w:val="nil"/>
            </w:tcBorders>
          </w:tcPr>
          <w:p w14:paraId="040DB732"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0858***</w:t>
            </w:r>
          </w:p>
        </w:tc>
      </w:tr>
      <w:tr w:rsidR="00E058DB" w:rsidRPr="00FB6512" w14:paraId="56169175" w14:textId="77777777" w:rsidTr="00D15FF7">
        <w:trPr>
          <w:jc w:val="center"/>
        </w:trPr>
        <w:tc>
          <w:tcPr>
            <w:tcW w:w="5979" w:type="dxa"/>
            <w:tcBorders>
              <w:top w:val="nil"/>
              <w:left w:val="nil"/>
              <w:bottom w:val="nil"/>
              <w:right w:val="nil"/>
            </w:tcBorders>
          </w:tcPr>
          <w:p w14:paraId="4739916A"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068C794F"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028)</w:t>
            </w:r>
          </w:p>
        </w:tc>
      </w:tr>
      <w:tr w:rsidR="00E058DB" w:rsidRPr="00FB6512" w14:paraId="2ACC50F5" w14:textId="77777777" w:rsidTr="00D15FF7">
        <w:trPr>
          <w:jc w:val="center"/>
        </w:trPr>
        <w:tc>
          <w:tcPr>
            <w:tcW w:w="5979" w:type="dxa"/>
            <w:tcBorders>
              <w:top w:val="nil"/>
              <w:left w:val="nil"/>
              <w:bottom w:val="nil"/>
              <w:right w:val="nil"/>
            </w:tcBorders>
          </w:tcPr>
          <w:p w14:paraId="3AD71377" w14:textId="77777777" w:rsidR="00E058DB" w:rsidRPr="00064F56" w:rsidRDefault="00E058DB" w:rsidP="00D15FF7">
            <w:pPr>
              <w:widowControl w:val="0"/>
              <w:autoSpaceDE w:val="0"/>
              <w:autoSpaceDN w:val="0"/>
              <w:adjustRightInd w:val="0"/>
              <w:rPr>
                <w:color w:val="000000" w:themeColor="text1"/>
                <w:lang w:val="en-US"/>
              </w:rPr>
            </w:pPr>
            <w:r>
              <w:rPr>
                <w:color w:val="000000" w:themeColor="text1"/>
                <w:lang w:val="en-US"/>
              </w:rPr>
              <w:t>S</w:t>
            </w:r>
            <w:r w:rsidRPr="00064F56">
              <w:rPr>
                <w:color w:val="000000" w:themeColor="text1"/>
                <w:lang w:val="en-US"/>
              </w:rPr>
              <w:t>hareholder complaints</w:t>
            </w:r>
            <w:r>
              <w:rPr>
                <w:color w:val="000000" w:themeColor="text1"/>
                <w:lang w:val="en-US"/>
              </w:rPr>
              <w:t xml:space="preserve"> (</w:t>
            </w:r>
            <w:r w:rsidRPr="00064F56">
              <w:rPr>
                <w:i/>
                <w:color w:val="000000" w:themeColor="text1"/>
                <w:lang w:val="en-US"/>
              </w:rPr>
              <w:t>SH</w:t>
            </w:r>
            <w:r>
              <w:rPr>
                <w:i/>
                <w:color w:val="000000" w:themeColor="text1"/>
                <w:lang w:val="en-US"/>
              </w:rPr>
              <w:t>C_</w:t>
            </w:r>
            <w:r>
              <w:rPr>
                <w:color w:val="000000" w:themeColor="text1"/>
                <w:lang w:val="en-US"/>
              </w:rPr>
              <w:t>)</w:t>
            </w:r>
            <w:r w:rsidRPr="00064F56">
              <w:rPr>
                <w:color w:val="000000" w:themeColor="text1"/>
                <w:lang w:val="en-US"/>
              </w:rPr>
              <w:t xml:space="preserve"> * Institutional </w:t>
            </w:r>
          </w:p>
        </w:tc>
        <w:tc>
          <w:tcPr>
            <w:tcW w:w="3456" w:type="dxa"/>
            <w:tcBorders>
              <w:top w:val="nil"/>
              <w:left w:val="nil"/>
              <w:bottom w:val="nil"/>
              <w:right w:val="nil"/>
            </w:tcBorders>
          </w:tcPr>
          <w:p w14:paraId="68128D87"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0022</w:t>
            </w:r>
          </w:p>
        </w:tc>
      </w:tr>
      <w:tr w:rsidR="00E058DB" w:rsidRPr="00FB6512" w14:paraId="1982297B" w14:textId="77777777" w:rsidTr="00D15FF7">
        <w:trPr>
          <w:jc w:val="center"/>
        </w:trPr>
        <w:tc>
          <w:tcPr>
            <w:tcW w:w="5979" w:type="dxa"/>
            <w:tcBorders>
              <w:top w:val="nil"/>
              <w:left w:val="nil"/>
              <w:bottom w:val="nil"/>
              <w:right w:val="nil"/>
            </w:tcBorders>
          </w:tcPr>
          <w:p w14:paraId="7B4A8378" w14:textId="77777777" w:rsidR="00E058DB" w:rsidRPr="00064F56" w:rsidRDefault="00E058DB" w:rsidP="00D15FF7">
            <w:pPr>
              <w:widowControl w:val="0"/>
              <w:autoSpaceDE w:val="0"/>
              <w:autoSpaceDN w:val="0"/>
              <w:adjustRightInd w:val="0"/>
              <w:rPr>
                <w:color w:val="000000" w:themeColor="text1"/>
                <w:lang w:val="en-US"/>
              </w:rPr>
            </w:pPr>
            <w:r>
              <w:rPr>
                <w:color w:val="000000" w:themeColor="text1"/>
                <w:lang w:val="en-US"/>
              </w:rPr>
              <w:t>i</w:t>
            </w:r>
            <w:r w:rsidRPr="006A4731">
              <w:rPr>
                <w:color w:val="000000" w:themeColor="text1"/>
                <w:lang w:val="en-US"/>
              </w:rPr>
              <w:t>nvestor</w:t>
            </w:r>
            <w:r>
              <w:rPr>
                <w:color w:val="000000" w:themeColor="text1"/>
                <w:lang w:val="en-US"/>
              </w:rPr>
              <w:t xml:space="preserve"> (</w:t>
            </w:r>
            <w:r w:rsidRPr="00064F56">
              <w:rPr>
                <w:i/>
                <w:color w:val="000000" w:themeColor="text1"/>
                <w:lang w:val="en-US"/>
              </w:rPr>
              <w:t>INST</w:t>
            </w:r>
            <w:r>
              <w:rPr>
                <w:color w:val="000000" w:themeColor="text1"/>
                <w:lang w:val="en-US"/>
              </w:rPr>
              <w:t>)</w:t>
            </w:r>
          </w:p>
        </w:tc>
        <w:tc>
          <w:tcPr>
            <w:tcW w:w="3456" w:type="dxa"/>
            <w:tcBorders>
              <w:top w:val="nil"/>
              <w:left w:val="nil"/>
              <w:bottom w:val="nil"/>
              <w:right w:val="nil"/>
            </w:tcBorders>
          </w:tcPr>
          <w:p w14:paraId="74A282D5"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003)</w:t>
            </w:r>
          </w:p>
        </w:tc>
      </w:tr>
      <w:tr w:rsidR="00E058DB" w:rsidRPr="00FB6512" w14:paraId="12AA13F3" w14:textId="77777777" w:rsidTr="00D15FF7">
        <w:trPr>
          <w:jc w:val="center"/>
        </w:trPr>
        <w:tc>
          <w:tcPr>
            <w:tcW w:w="5979" w:type="dxa"/>
            <w:tcBorders>
              <w:top w:val="nil"/>
              <w:left w:val="nil"/>
              <w:bottom w:val="nil"/>
              <w:right w:val="nil"/>
            </w:tcBorders>
          </w:tcPr>
          <w:p w14:paraId="317E1027" w14:textId="77777777" w:rsidR="00E058DB" w:rsidRPr="00064F56" w:rsidRDefault="00E058DB" w:rsidP="00D15FF7">
            <w:pPr>
              <w:widowControl w:val="0"/>
              <w:autoSpaceDE w:val="0"/>
              <w:autoSpaceDN w:val="0"/>
              <w:adjustRightInd w:val="0"/>
              <w:rPr>
                <w:color w:val="000000" w:themeColor="text1"/>
                <w:lang w:val="en-US"/>
              </w:rPr>
            </w:pPr>
            <w:r>
              <w:rPr>
                <w:color w:val="000000" w:themeColor="text1"/>
                <w:lang w:val="en-US"/>
              </w:rPr>
              <w:t>S</w:t>
            </w:r>
            <w:r w:rsidRPr="00064F56">
              <w:rPr>
                <w:color w:val="000000" w:themeColor="text1"/>
                <w:lang w:val="en-US"/>
              </w:rPr>
              <w:t xml:space="preserve">hareholder complaints </w:t>
            </w:r>
            <w:r>
              <w:rPr>
                <w:color w:val="000000" w:themeColor="text1"/>
                <w:lang w:val="en-US"/>
              </w:rPr>
              <w:t>(</w:t>
            </w:r>
            <w:r w:rsidRPr="00064F56">
              <w:rPr>
                <w:i/>
                <w:color w:val="000000" w:themeColor="text1"/>
                <w:lang w:val="en-US"/>
              </w:rPr>
              <w:t>SH</w:t>
            </w:r>
            <w:r>
              <w:rPr>
                <w:i/>
                <w:color w:val="000000" w:themeColor="text1"/>
                <w:lang w:val="en-US"/>
              </w:rPr>
              <w:t>C_</w:t>
            </w:r>
            <w:r>
              <w:rPr>
                <w:color w:val="000000" w:themeColor="text1"/>
                <w:lang w:val="en-US"/>
              </w:rPr>
              <w:t xml:space="preserve">) </w:t>
            </w:r>
            <w:r w:rsidRPr="00064F56">
              <w:rPr>
                <w:color w:val="000000" w:themeColor="text1"/>
                <w:lang w:val="en-US"/>
              </w:rPr>
              <w:t>* Nonfinancial type</w:t>
            </w:r>
          </w:p>
        </w:tc>
        <w:tc>
          <w:tcPr>
            <w:tcW w:w="3456" w:type="dxa"/>
            <w:tcBorders>
              <w:top w:val="nil"/>
              <w:left w:val="nil"/>
              <w:bottom w:val="nil"/>
              <w:right w:val="nil"/>
            </w:tcBorders>
          </w:tcPr>
          <w:p w14:paraId="4C3E720C"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0042</w:t>
            </w:r>
          </w:p>
        </w:tc>
      </w:tr>
      <w:tr w:rsidR="00E058DB" w:rsidRPr="00FB6512" w14:paraId="73180EBB" w14:textId="77777777" w:rsidTr="00D15FF7">
        <w:trPr>
          <w:jc w:val="center"/>
        </w:trPr>
        <w:tc>
          <w:tcPr>
            <w:tcW w:w="5979" w:type="dxa"/>
            <w:tcBorders>
              <w:top w:val="nil"/>
              <w:left w:val="nil"/>
              <w:bottom w:val="nil"/>
              <w:right w:val="nil"/>
            </w:tcBorders>
          </w:tcPr>
          <w:p w14:paraId="21CBFFBC" w14:textId="77777777" w:rsidR="00E058DB" w:rsidRPr="00064F56" w:rsidRDefault="00E058DB" w:rsidP="00D15FF7">
            <w:pPr>
              <w:widowControl w:val="0"/>
              <w:autoSpaceDE w:val="0"/>
              <w:autoSpaceDN w:val="0"/>
              <w:adjustRightInd w:val="0"/>
              <w:rPr>
                <w:color w:val="000000" w:themeColor="text1"/>
                <w:lang w:val="en-US"/>
              </w:rPr>
            </w:pPr>
            <w:r>
              <w:rPr>
                <w:color w:val="000000" w:themeColor="text1"/>
                <w:lang w:val="en-US"/>
              </w:rPr>
              <w:t>(</w:t>
            </w:r>
            <w:r w:rsidRPr="00064F56">
              <w:rPr>
                <w:i/>
                <w:color w:val="000000" w:themeColor="text1"/>
                <w:lang w:val="en-US"/>
              </w:rPr>
              <w:t>NONFIN</w:t>
            </w:r>
            <w:r>
              <w:rPr>
                <w:color w:val="000000" w:themeColor="text1"/>
                <w:lang w:val="en-US"/>
              </w:rPr>
              <w:t>)</w:t>
            </w:r>
          </w:p>
        </w:tc>
        <w:tc>
          <w:tcPr>
            <w:tcW w:w="3456" w:type="dxa"/>
            <w:tcBorders>
              <w:top w:val="nil"/>
              <w:left w:val="nil"/>
              <w:bottom w:val="nil"/>
              <w:right w:val="nil"/>
            </w:tcBorders>
          </w:tcPr>
          <w:p w14:paraId="2A1E9A74"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003)</w:t>
            </w:r>
          </w:p>
        </w:tc>
      </w:tr>
      <w:tr w:rsidR="00E058DB" w:rsidRPr="00FB6512" w14:paraId="442774E5" w14:textId="77777777" w:rsidTr="00D15FF7">
        <w:trPr>
          <w:jc w:val="center"/>
        </w:trPr>
        <w:tc>
          <w:tcPr>
            <w:tcW w:w="5979" w:type="dxa"/>
            <w:tcBorders>
              <w:top w:val="nil"/>
              <w:left w:val="nil"/>
              <w:bottom w:val="nil"/>
              <w:right w:val="nil"/>
            </w:tcBorders>
          </w:tcPr>
          <w:p w14:paraId="7CFA1DC8" w14:textId="77777777" w:rsidR="00E058DB" w:rsidRPr="00064F56" w:rsidRDefault="00E058DB" w:rsidP="00D15FF7">
            <w:pPr>
              <w:widowControl w:val="0"/>
              <w:autoSpaceDE w:val="0"/>
              <w:autoSpaceDN w:val="0"/>
              <w:adjustRightInd w:val="0"/>
              <w:rPr>
                <w:color w:val="000000" w:themeColor="text1"/>
                <w:lang w:val="en-US"/>
              </w:rPr>
            </w:pPr>
            <w:r>
              <w:rPr>
                <w:color w:val="000000" w:themeColor="text1"/>
                <w:lang w:val="en-US"/>
              </w:rPr>
              <w:t>S</w:t>
            </w:r>
            <w:r w:rsidRPr="00064F56">
              <w:rPr>
                <w:color w:val="000000" w:themeColor="text1"/>
                <w:lang w:val="en-US"/>
              </w:rPr>
              <w:t xml:space="preserve">hareholder complaints </w:t>
            </w:r>
            <w:r>
              <w:rPr>
                <w:color w:val="000000" w:themeColor="text1"/>
                <w:lang w:val="en-US"/>
              </w:rPr>
              <w:t>(</w:t>
            </w:r>
            <w:r w:rsidRPr="00064F56">
              <w:rPr>
                <w:i/>
                <w:color w:val="000000" w:themeColor="text1"/>
                <w:lang w:val="en-US"/>
              </w:rPr>
              <w:t>SHC</w:t>
            </w:r>
            <w:r>
              <w:rPr>
                <w:i/>
                <w:color w:val="000000" w:themeColor="text1"/>
                <w:lang w:val="en-US"/>
              </w:rPr>
              <w:t>_</w:t>
            </w:r>
            <w:r>
              <w:rPr>
                <w:color w:val="000000" w:themeColor="text1"/>
                <w:lang w:val="en-US"/>
              </w:rPr>
              <w:t xml:space="preserve">) </w:t>
            </w:r>
            <w:r w:rsidRPr="00064F56">
              <w:rPr>
                <w:color w:val="000000" w:themeColor="text1"/>
                <w:lang w:val="en-US"/>
              </w:rPr>
              <w:t xml:space="preserve">* Topic media </w:t>
            </w:r>
          </w:p>
        </w:tc>
        <w:tc>
          <w:tcPr>
            <w:tcW w:w="3456" w:type="dxa"/>
            <w:tcBorders>
              <w:top w:val="nil"/>
              <w:left w:val="nil"/>
              <w:bottom w:val="nil"/>
              <w:right w:val="nil"/>
            </w:tcBorders>
          </w:tcPr>
          <w:p w14:paraId="2255799E"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0002</w:t>
            </w:r>
          </w:p>
        </w:tc>
      </w:tr>
      <w:tr w:rsidR="00E058DB" w:rsidRPr="00FB6512" w14:paraId="03129CED" w14:textId="77777777" w:rsidTr="00D15FF7">
        <w:trPr>
          <w:jc w:val="center"/>
        </w:trPr>
        <w:tc>
          <w:tcPr>
            <w:tcW w:w="5979" w:type="dxa"/>
            <w:tcBorders>
              <w:top w:val="nil"/>
              <w:left w:val="nil"/>
              <w:bottom w:val="nil"/>
              <w:right w:val="nil"/>
            </w:tcBorders>
          </w:tcPr>
          <w:p w14:paraId="38BC4E82" w14:textId="77777777" w:rsidR="00E058DB" w:rsidRPr="00064F56" w:rsidRDefault="00E058DB" w:rsidP="00D15FF7">
            <w:pPr>
              <w:widowControl w:val="0"/>
              <w:autoSpaceDE w:val="0"/>
              <w:autoSpaceDN w:val="0"/>
              <w:adjustRightInd w:val="0"/>
              <w:rPr>
                <w:color w:val="000000" w:themeColor="text1"/>
                <w:lang w:val="en-US"/>
              </w:rPr>
            </w:pPr>
            <w:r>
              <w:rPr>
                <w:color w:val="000000" w:themeColor="text1"/>
                <w:lang w:val="en-US"/>
              </w:rPr>
              <w:t>a</w:t>
            </w:r>
            <w:r w:rsidRPr="006A4731">
              <w:rPr>
                <w:color w:val="000000" w:themeColor="text1"/>
                <w:lang w:val="en-US"/>
              </w:rPr>
              <w:t>ttention</w:t>
            </w:r>
            <w:r>
              <w:rPr>
                <w:color w:val="000000" w:themeColor="text1"/>
                <w:lang w:val="en-US"/>
              </w:rPr>
              <w:t xml:space="preserve"> (</w:t>
            </w:r>
            <w:r w:rsidRPr="00064F56">
              <w:rPr>
                <w:i/>
                <w:color w:val="000000" w:themeColor="text1"/>
                <w:lang w:val="en-US"/>
              </w:rPr>
              <w:t>MEDIA</w:t>
            </w:r>
            <w:r>
              <w:rPr>
                <w:i/>
                <w:color w:val="000000" w:themeColor="text1"/>
                <w:lang w:val="en-US"/>
              </w:rPr>
              <w:t>_</w:t>
            </w:r>
            <w:r>
              <w:rPr>
                <w:color w:val="000000" w:themeColor="text1"/>
                <w:lang w:val="en-US"/>
              </w:rPr>
              <w:t>)</w:t>
            </w:r>
          </w:p>
        </w:tc>
        <w:tc>
          <w:tcPr>
            <w:tcW w:w="3456" w:type="dxa"/>
            <w:tcBorders>
              <w:top w:val="nil"/>
              <w:left w:val="nil"/>
              <w:bottom w:val="nil"/>
              <w:right w:val="nil"/>
            </w:tcBorders>
          </w:tcPr>
          <w:p w14:paraId="2B1C987C"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005)</w:t>
            </w:r>
          </w:p>
        </w:tc>
      </w:tr>
      <w:tr w:rsidR="00E058DB" w:rsidRPr="00FB6512" w14:paraId="725F4224" w14:textId="77777777" w:rsidTr="00D15FF7">
        <w:trPr>
          <w:jc w:val="center"/>
        </w:trPr>
        <w:tc>
          <w:tcPr>
            <w:tcW w:w="5979" w:type="dxa"/>
            <w:tcBorders>
              <w:top w:val="nil"/>
              <w:left w:val="nil"/>
              <w:bottom w:val="nil"/>
              <w:right w:val="nil"/>
            </w:tcBorders>
          </w:tcPr>
          <w:p w14:paraId="7C1AD555"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 institutional sponsor</w:t>
            </w:r>
            <w:r>
              <w:rPr>
                <w:color w:val="000000" w:themeColor="text1"/>
                <w:lang w:val="en-US"/>
              </w:rPr>
              <w:t xml:space="preserve"> (</w:t>
            </w:r>
            <w:r w:rsidRPr="00064F56">
              <w:rPr>
                <w:i/>
                <w:color w:val="000000" w:themeColor="text1"/>
                <w:lang w:val="en-US"/>
              </w:rPr>
              <w:t>INS</w:t>
            </w:r>
            <w:r>
              <w:rPr>
                <w:i/>
                <w:color w:val="000000" w:themeColor="text1"/>
                <w:lang w:val="en-US"/>
              </w:rPr>
              <w:t>T_</w:t>
            </w:r>
            <w:r>
              <w:rPr>
                <w:color w:val="000000" w:themeColor="text1"/>
                <w:lang w:val="en-US"/>
              </w:rPr>
              <w:t>)</w:t>
            </w:r>
          </w:p>
        </w:tc>
        <w:tc>
          <w:tcPr>
            <w:tcW w:w="3456" w:type="dxa"/>
            <w:tcBorders>
              <w:top w:val="nil"/>
              <w:left w:val="nil"/>
              <w:bottom w:val="nil"/>
              <w:right w:val="nil"/>
            </w:tcBorders>
          </w:tcPr>
          <w:p w14:paraId="2C7728A6"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0006</w:t>
            </w:r>
          </w:p>
        </w:tc>
      </w:tr>
      <w:tr w:rsidR="00E058DB" w:rsidRPr="00FB6512" w14:paraId="3E3B2E11" w14:textId="77777777" w:rsidTr="00D15FF7">
        <w:trPr>
          <w:jc w:val="center"/>
        </w:trPr>
        <w:tc>
          <w:tcPr>
            <w:tcW w:w="5979" w:type="dxa"/>
            <w:tcBorders>
              <w:top w:val="nil"/>
              <w:left w:val="nil"/>
              <w:bottom w:val="nil"/>
              <w:right w:val="nil"/>
            </w:tcBorders>
          </w:tcPr>
          <w:p w14:paraId="4B79571D"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090FCD14"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001)</w:t>
            </w:r>
          </w:p>
        </w:tc>
      </w:tr>
      <w:tr w:rsidR="00E058DB" w:rsidRPr="00FB6512" w14:paraId="23593C99" w14:textId="77777777" w:rsidTr="00D15FF7">
        <w:trPr>
          <w:jc w:val="center"/>
        </w:trPr>
        <w:tc>
          <w:tcPr>
            <w:tcW w:w="5979" w:type="dxa"/>
            <w:tcBorders>
              <w:top w:val="nil"/>
              <w:left w:val="nil"/>
              <w:bottom w:val="nil"/>
              <w:right w:val="nil"/>
            </w:tcBorders>
          </w:tcPr>
          <w:p w14:paraId="7F6305AF"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 nonfinancial type</w:t>
            </w:r>
            <w:r>
              <w:rPr>
                <w:color w:val="000000" w:themeColor="text1"/>
                <w:lang w:val="en-US"/>
              </w:rPr>
              <w:t xml:space="preserve"> (</w:t>
            </w:r>
            <w:r>
              <w:rPr>
                <w:i/>
                <w:color w:val="000000" w:themeColor="text1"/>
                <w:lang w:val="en-US"/>
              </w:rPr>
              <w:t>NONFIN_</w:t>
            </w:r>
            <w:r>
              <w:rPr>
                <w:color w:val="000000" w:themeColor="text1"/>
                <w:lang w:val="en-US"/>
              </w:rPr>
              <w:t>)</w:t>
            </w:r>
          </w:p>
        </w:tc>
        <w:tc>
          <w:tcPr>
            <w:tcW w:w="3456" w:type="dxa"/>
            <w:tcBorders>
              <w:top w:val="nil"/>
              <w:left w:val="nil"/>
              <w:bottom w:val="nil"/>
              <w:right w:val="nil"/>
            </w:tcBorders>
          </w:tcPr>
          <w:p w14:paraId="14DDFDAB"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0018</w:t>
            </w:r>
          </w:p>
        </w:tc>
      </w:tr>
      <w:tr w:rsidR="00E058DB" w:rsidRPr="00FB6512" w14:paraId="5C5DF296" w14:textId="77777777" w:rsidTr="00D15FF7">
        <w:trPr>
          <w:jc w:val="center"/>
        </w:trPr>
        <w:tc>
          <w:tcPr>
            <w:tcW w:w="5979" w:type="dxa"/>
            <w:tcBorders>
              <w:top w:val="nil"/>
              <w:left w:val="nil"/>
              <w:bottom w:val="nil"/>
              <w:right w:val="nil"/>
            </w:tcBorders>
          </w:tcPr>
          <w:p w14:paraId="31768B41"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2BC91601"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002)</w:t>
            </w:r>
          </w:p>
        </w:tc>
      </w:tr>
      <w:tr w:rsidR="00E058DB" w:rsidRPr="00FB6512" w14:paraId="08434331" w14:textId="77777777" w:rsidTr="00D15FF7">
        <w:trPr>
          <w:jc w:val="center"/>
        </w:trPr>
        <w:tc>
          <w:tcPr>
            <w:tcW w:w="5979" w:type="dxa"/>
            <w:tcBorders>
              <w:top w:val="nil"/>
              <w:left w:val="nil"/>
              <w:bottom w:val="nil"/>
              <w:right w:val="nil"/>
            </w:tcBorders>
          </w:tcPr>
          <w:p w14:paraId="1B30569C"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complaints topic media attention</w:t>
            </w:r>
            <w:r>
              <w:rPr>
                <w:color w:val="000000" w:themeColor="text1"/>
                <w:lang w:val="en-US"/>
              </w:rPr>
              <w:t xml:space="preserve"> (</w:t>
            </w:r>
            <w:r w:rsidRPr="00064F56">
              <w:rPr>
                <w:i/>
                <w:color w:val="000000" w:themeColor="text1"/>
                <w:lang w:val="en-US"/>
              </w:rPr>
              <w:t>MEDI</w:t>
            </w:r>
            <w:r>
              <w:rPr>
                <w:i/>
                <w:color w:val="000000" w:themeColor="text1"/>
                <w:lang w:val="en-US"/>
              </w:rPr>
              <w:t>A_</w:t>
            </w:r>
            <w:r>
              <w:rPr>
                <w:color w:val="000000" w:themeColor="text1"/>
                <w:lang w:val="en-US"/>
              </w:rPr>
              <w:t>)</w:t>
            </w:r>
          </w:p>
        </w:tc>
        <w:tc>
          <w:tcPr>
            <w:tcW w:w="3456" w:type="dxa"/>
            <w:tcBorders>
              <w:top w:val="nil"/>
              <w:left w:val="nil"/>
              <w:bottom w:val="nil"/>
              <w:right w:val="nil"/>
            </w:tcBorders>
          </w:tcPr>
          <w:p w14:paraId="28776AA7"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0367***</w:t>
            </w:r>
          </w:p>
        </w:tc>
      </w:tr>
      <w:tr w:rsidR="00E058DB" w:rsidRPr="00FB6512" w14:paraId="0AFEC363" w14:textId="77777777" w:rsidTr="00D15FF7">
        <w:trPr>
          <w:jc w:val="center"/>
        </w:trPr>
        <w:tc>
          <w:tcPr>
            <w:tcW w:w="5979" w:type="dxa"/>
            <w:tcBorders>
              <w:top w:val="nil"/>
              <w:left w:val="nil"/>
              <w:bottom w:val="nil"/>
              <w:right w:val="nil"/>
            </w:tcBorders>
          </w:tcPr>
          <w:p w14:paraId="17755CF6"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0C7BF8A7"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003)</w:t>
            </w:r>
          </w:p>
        </w:tc>
      </w:tr>
      <w:tr w:rsidR="00E058DB" w:rsidRPr="00FB6512" w14:paraId="08198662" w14:textId="77777777" w:rsidTr="00D15FF7">
        <w:trPr>
          <w:jc w:val="center"/>
        </w:trPr>
        <w:tc>
          <w:tcPr>
            <w:tcW w:w="5979" w:type="dxa"/>
            <w:tcBorders>
              <w:top w:val="nil"/>
              <w:left w:val="nil"/>
              <w:bottom w:val="nil"/>
              <w:right w:val="nil"/>
            </w:tcBorders>
          </w:tcPr>
          <w:p w14:paraId="6A9A6097"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complaints excluded</w:t>
            </w:r>
          </w:p>
        </w:tc>
        <w:tc>
          <w:tcPr>
            <w:tcW w:w="3456" w:type="dxa"/>
            <w:tcBorders>
              <w:top w:val="nil"/>
              <w:left w:val="nil"/>
              <w:bottom w:val="nil"/>
              <w:right w:val="nil"/>
            </w:tcBorders>
          </w:tcPr>
          <w:p w14:paraId="3F786077"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0423***</w:t>
            </w:r>
          </w:p>
        </w:tc>
      </w:tr>
      <w:tr w:rsidR="00E058DB" w:rsidRPr="00FB6512" w14:paraId="3BB4BF6E" w14:textId="77777777" w:rsidTr="00D15FF7">
        <w:trPr>
          <w:jc w:val="center"/>
        </w:trPr>
        <w:tc>
          <w:tcPr>
            <w:tcW w:w="5979" w:type="dxa"/>
            <w:tcBorders>
              <w:top w:val="nil"/>
              <w:left w:val="nil"/>
              <w:bottom w:val="nil"/>
              <w:right w:val="nil"/>
            </w:tcBorders>
          </w:tcPr>
          <w:p w14:paraId="56450636"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310C30B1"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015)</w:t>
            </w:r>
          </w:p>
        </w:tc>
      </w:tr>
      <w:tr w:rsidR="00E058DB" w:rsidRPr="00FB6512" w14:paraId="21838F17" w14:textId="77777777" w:rsidTr="00D15FF7">
        <w:trPr>
          <w:jc w:val="center"/>
        </w:trPr>
        <w:tc>
          <w:tcPr>
            <w:tcW w:w="5979" w:type="dxa"/>
            <w:tcBorders>
              <w:top w:val="nil"/>
              <w:left w:val="nil"/>
              <w:bottom w:val="nil"/>
              <w:right w:val="nil"/>
            </w:tcBorders>
          </w:tcPr>
          <w:p w14:paraId="2020C398"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 voting support</w:t>
            </w:r>
            <w:r w:rsidRPr="00064F56">
              <w:rPr>
                <w:color w:val="000000" w:themeColor="text1"/>
                <w:sz w:val="20"/>
                <w:szCs w:val="20"/>
                <w:vertAlign w:val="superscript"/>
                <w:lang w:val="en-US"/>
              </w:rPr>
              <w:t>†</w:t>
            </w:r>
          </w:p>
        </w:tc>
        <w:tc>
          <w:tcPr>
            <w:tcW w:w="3456" w:type="dxa"/>
            <w:tcBorders>
              <w:top w:val="nil"/>
              <w:left w:val="nil"/>
              <w:bottom w:val="nil"/>
              <w:right w:val="nil"/>
            </w:tcBorders>
          </w:tcPr>
          <w:p w14:paraId="23FC4F86"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0063</w:t>
            </w:r>
          </w:p>
        </w:tc>
      </w:tr>
      <w:tr w:rsidR="00E058DB" w:rsidRPr="00FB6512" w14:paraId="05393952" w14:textId="77777777" w:rsidTr="00D15FF7">
        <w:trPr>
          <w:jc w:val="center"/>
        </w:trPr>
        <w:tc>
          <w:tcPr>
            <w:tcW w:w="5979" w:type="dxa"/>
            <w:tcBorders>
              <w:top w:val="nil"/>
              <w:left w:val="nil"/>
              <w:bottom w:val="nil"/>
              <w:right w:val="nil"/>
            </w:tcBorders>
          </w:tcPr>
          <w:p w14:paraId="4F151CCD"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77FECE32"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013)</w:t>
            </w:r>
          </w:p>
        </w:tc>
      </w:tr>
      <w:tr w:rsidR="00E058DB" w:rsidRPr="00FB6512" w14:paraId="619F0C2B" w14:textId="77777777" w:rsidTr="00D15FF7">
        <w:trPr>
          <w:jc w:val="center"/>
        </w:trPr>
        <w:tc>
          <w:tcPr>
            <w:tcW w:w="5979" w:type="dxa"/>
            <w:tcBorders>
              <w:top w:val="nil"/>
              <w:left w:val="nil"/>
              <w:bottom w:val="nil"/>
              <w:right w:val="nil"/>
            </w:tcBorders>
          </w:tcPr>
          <w:p w14:paraId="7F58BAA7"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Firm size</w:t>
            </w:r>
          </w:p>
        </w:tc>
        <w:tc>
          <w:tcPr>
            <w:tcW w:w="3456" w:type="dxa"/>
            <w:tcBorders>
              <w:top w:val="nil"/>
              <w:left w:val="nil"/>
              <w:bottom w:val="nil"/>
              <w:right w:val="nil"/>
            </w:tcBorders>
          </w:tcPr>
          <w:p w14:paraId="09FD9DE5"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0000**</w:t>
            </w:r>
          </w:p>
        </w:tc>
      </w:tr>
      <w:tr w:rsidR="00E058DB" w:rsidRPr="00FB6512" w14:paraId="06F0D3E3" w14:textId="77777777" w:rsidTr="00D15FF7">
        <w:trPr>
          <w:jc w:val="center"/>
        </w:trPr>
        <w:tc>
          <w:tcPr>
            <w:tcW w:w="5979" w:type="dxa"/>
            <w:tcBorders>
              <w:top w:val="nil"/>
              <w:left w:val="nil"/>
              <w:bottom w:val="nil"/>
              <w:right w:val="nil"/>
            </w:tcBorders>
          </w:tcPr>
          <w:p w14:paraId="2DA2AD62"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54E24152"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000)</w:t>
            </w:r>
          </w:p>
        </w:tc>
      </w:tr>
      <w:tr w:rsidR="00E058DB" w:rsidRPr="00FB6512" w14:paraId="2FAE4ADB" w14:textId="77777777" w:rsidTr="00D15FF7">
        <w:trPr>
          <w:jc w:val="center"/>
        </w:trPr>
        <w:tc>
          <w:tcPr>
            <w:tcW w:w="5979" w:type="dxa"/>
            <w:tcBorders>
              <w:top w:val="nil"/>
              <w:left w:val="nil"/>
              <w:bottom w:val="nil"/>
              <w:right w:val="nil"/>
            </w:tcBorders>
          </w:tcPr>
          <w:p w14:paraId="5FFD70EC"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Cash flows</w:t>
            </w:r>
          </w:p>
        </w:tc>
        <w:tc>
          <w:tcPr>
            <w:tcW w:w="3456" w:type="dxa"/>
            <w:tcBorders>
              <w:top w:val="nil"/>
              <w:left w:val="nil"/>
              <w:bottom w:val="nil"/>
              <w:right w:val="nil"/>
            </w:tcBorders>
          </w:tcPr>
          <w:p w14:paraId="18E1F630"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0012</w:t>
            </w:r>
          </w:p>
        </w:tc>
      </w:tr>
      <w:tr w:rsidR="00E058DB" w:rsidRPr="00FB6512" w14:paraId="65528FA9" w14:textId="77777777" w:rsidTr="00D15FF7">
        <w:trPr>
          <w:jc w:val="center"/>
        </w:trPr>
        <w:tc>
          <w:tcPr>
            <w:tcW w:w="5979" w:type="dxa"/>
            <w:tcBorders>
              <w:top w:val="nil"/>
              <w:left w:val="nil"/>
              <w:bottom w:val="nil"/>
              <w:right w:val="nil"/>
            </w:tcBorders>
          </w:tcPr>
          <w:p w14:paraId="4C7A8EF8"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14CBB103"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001)</w:t>
            </w:r>
          </w:p>
        </w:tc>
      </w:tr>
      <w:tr w:rsidR="00E058DB" w:rsidRPr="00FB6512" w14:paraId="1C5F4179" w14:textId="77777777" w:rsidTr="00D15FF7">
        <w:trPr>
          <w:jc w:val="center"/>
        </w:trPr>
        <w:tc>
          <w:tcPr>
            <w:tcW w:w="5979" w:type="dxa"/>
            <w:tcBorders>
              <w:top w:val="nil"/>
              <w:left w:val="nil"/>
              <w:bottom w:val="nil"/>
              <w:right w:val="nil"/>
            </w:tcBorders>
          </w:tcPr>
          <w:p w14:paraId="2B5E42DA"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Profitability</w:t>
            </w:r>
          </w:p>
        </w:tc>
        <w:tc>
          <w:tcPr>
            <w:tcW w:w="3456" w:type="dxa"/>
            <w:tcBorders>
              <w:top w:val="nil"/>
              <w:left w:val="nil"/>
              <w:bottom w:val="nil"/>
              <w:right w:val="nil"/>
            </w:tcBorders>
          </w:tcPr>
          <w:p w14:paraId="5A3773B8"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0012</w:t>
            </w:r>
          </w:p>
        </w:tc>
      </w:tr>
      <w:tr w:rsidR="00E058DB" w:rsidRPr="00FB6512" w14:paraId="70809B53" w14:textId="77777777" w:rsidTr="00D15FF7">
        <w:trPr>
          <w:jc w:val="center"/>
        </w:trPr>
        <w:tc>
          <w:tcPr>
            <w:tcW w:w="5979" w:type="dxa"/>
            <w:tcBorders>
              <w:top w:val="nil"/>
              <w:left w:val="nil"/>
              <w:bottom w:val="nil"/>
              <w:right w:val="nil"/>
            </w:tcBorders>
          </w:tcPr>
          <w:p w14:paraId="0D5F7A74"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22E97029"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021)</w:t>
            </w:r>
          </w:p>
        </w:tc>
      </w:tr>
      <w:tr w:rsidR="00E058DB" w:rsidRPr="00FB6512" w14:paraId="0FF540A1" w14:textId="77777777" w:rsidTr="00D15FF7">
        <w:trPr>
          <w:jc w:val="center"/>
        </w:trPr>
        <w:tc>
          <w:tcPr>
            <w:tcW w:w="5979" w:type="dxa"/>
            <w:tcBorders>
              <w:top w:val="nil"/>
              <w:left w:val="nil"/>
              <w:bottom w:val="nil"/>
              <w:right w:val="nil"/>
            </w:tcBorders>
          </w:tcPr>
          <w:p w14:paraId="10D3B578"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Stock returns</w:t>
            </w:r>
          </w:p>
        </w:tc>
        <w:tc>
          <w:tcPr>
            <w:tcW w:w="3456" w:type="dxa"/>
            <w:tcBorders>
              <w:top w:val="nil"/>
              <w:left w:val="nil"/>
              <w:bottom w:val="nil"/>
              <w:right w:val="nil"/>
            </w:tcBorders>
          </w:tcPr>
          <w:p w14:paraId="24E568E1"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0079</w:t>
            </w:r>
          </w:p>
        </w:tc>
      </w:tr>
      <w:tr w:rsidR="00E058DB" w:rsidRPr="00FB6512" w14:paraId="4EAB47F8" w14:textId="77777777" w:rsidTr="00D15FF7">
        <w:trPr>
          <w:jc w:val="center"/>
        </w:trPr>
        <w:tc>
          <w:tcPr>
            <w:tcW w:w="5979" w:type="dxa"/>
            <w:tcBorders>
              <w:top w:val="nil"/>
              <w:left w:val="nil"/>
              <w:bottom w:val="nil"/>
              <w:right w:val="nil"/>
            </w:tcBorders>
          </w:tcPr>
          <w:p w14:paraId="4EBD1F81"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486E687C"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007)</w:t>
            </w:r>
          </w:p>
        </w:tc>
      </w:tr>
      <w:tr w:rsidR="00E058DB" w:rsidRPr="00FB6512" w14:paraId="73771443" w14:textId="77777777" w:rsidTr="00D15FF7">
        <w:trPr>
          <w:jc w:val="center"/>
        </w:trPr>
        <w:tc>
          <w:tcPr>
            <w:tcW w:w="5979" w:type="dxa"/>
            <w:tcBorders>
              <w:top w:val="nil"/>
              <w:left w:val="nil"/>
              <w:bottom w:val="nil"/>
              <w:right w:val="nil"/>
            </w:tcBorders>
          </w:tcPr>
          <w:p w14:paraId="1BF4D6A7"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Sales growth</w:t>
            </w:r>
          </w:p>
        </w:tc>
        <w:tc>
          <w:tcPr>
            <w:tcW w:w="3456" w:type="dxa"/>
            <w:tcBorders>
              <w:top w:val="nil"/>
              <w:left w:val="nil"/>
              <w:bottom w:val="nil"/>
              <w:right w:val="nil"/>
            </w:tcBorders>
          </w:tcPr>
          <w:p w14:paraId="1ADB8B2E"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0008</w:t>
            </w:r>
          </w:p>
        </w:tc>
      </w:tr>
      <w:tr w:rsidR="00E058DB" w:rsidRPr="00FB6512" w14:paraId="7D90D77F" w14:textId="77777777" w:rsidTr="00D15FF7">
        <w:trPr>
          <w:jc w:val="center"/>
        </w:trPr>
        <w:tc>
          <w:tcPr>
            <w:tcW w:w="5979" w:type="dxa"/>
            <w:tcBorders>
              <w:top w:val="nil"/>
              <w:left w:val="nil"/>
              <w:bottom w:val="nil"/>
              <w:right w:val="nil"/>
            </w:tcBorders>
          </w:tcPr>
          <w:p w14:paraId="3A514327"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5A8A0FE6"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005)</w:t>
            </w:r>
          </w:p>
        </w:tc>
      </w:tr>
      <w:tr w:rsidR="00E058DB" w:rsidRPr="00FB6512" w14:paraId="47B5BD26" w14:textId="77777777" w:rsidTr="00D15FF7">
        <w:trPr>
          <w:jc w:val="center"/>
        </w:trPr>
        <w:tc>
          <w:tcPr>
            <w:tcW w:w="5979" w:type="dxa"/>
            <w:tcBorders>
              <w:top w:val="nil"/>
              <w:left w:val="nil"/>
              <w:bottom w:val="nil"/>
              <w:right w:val="nil"/>
            </w:tcBorders>
          </w:tcPr>
          <w:p w14:paraId="38A82763"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Financial leverage</w:t>
            </w:r>
          </w:p>
        </w:tc>
        <w:tc>
          <w:tcPr>
            <w:tcW w:w="3456" w:type="dxa"/>
            <w:tcBorders>
              <w:top w:val="nil"/>
              <w:left w:val="nil"/>
              <w:bottom w:val="nil"/>
              <w:right w:val="nil"/>
            </w:tcBorders>
          </w:tcPr>
          <w:p w14:paraId="25FBCB5F"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0000</w:t>
            </w:r>
          </w:p>
        </w:tc>
      </w:tr>
      <w:tr w:rsidR="00E058DB" w:rsidRPr="00FB6512" w14:paraId="334D84DE" w14:textId="77777777" w:rsidTr="00D15FF7">
        <w:trPr>
          <w:jc w:val="center"/>
        </w:trPr>
        <w:tc>
          <w:tcPr>
            <w:tcW w:w="5979" w:type="dxa"/>
            <w:tcBorders>
              <w:top w:val="nil"/>
              <w:left w:val="nil"/>
              <w:bottom w:val="nil"/>
              <w:right w:val="nil"/>
            </w:tcBorders>
          </w:tcPr>
          <w:p w14:paraId="22263924"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2F6AE7DB"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000)</w:t>
            </w:r>
          </w:p>
        </w:tc>
      </w:tr>
      <w:tr w:rsidR="00E058DB" w:rsidRPr="00FB6512" w14:paraId="2E818C25" w14:textId="77777777" w:rsidTr="00D15FF7">
        <w:trPr>
          <w:jc w:val="center"/>
        </w:trPr>
        <w:tc>
          <w:tcPr>
            <w:tcW w:w="5979" w:type="dxa"/>
            <w:tcBorders>
              <w:top w:val="nil"/>
              <w:left w:val="nil"/>
              <w:bottom w:val="nil"/>
              <w:right w:val="nil"/>
            </w:tcBorders>
          </w:tcPr>
          <w:p w14:paraId="3FEEF6FD"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Constant</w:t>
            </w:r>
          </w:p>
        </w:tc>
        <w:tc>
          <w:tcPr>
            <w:tcW w:w="3456" w:type="dxa"/>
            <w:tcBorders>
              <w:top w:val="nil"/>
              <w:left w:val="nil"/>
              <w:bottom w:val="nil"/>
              <w:right w:val="nil"/>
            </w:tcBorders>
          </w:tcPr>
          <w:p w14:paraId="4D86268B"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2551***</w:t>
            </w:r>
          </w:p>
        </w:tc>
      </w:tr>
      <w:tr w:rsidR="00E058DB" w:rsidRPr="00FB6512" w14:paraId="229FF411" w14:textId="77777777" w:rsidTr="00D15FF7">
        <w:trPr>
          <w:jc w:val="center"/>
        </w:trPr>
        <w:tc>
          <w:tcPr>
            <w:tcW w:w="5979" w:type="dxa"/>
            <w:tcBorders>
              <w:top w:val="nil"/>
              <w:left w:val="nil"/>
              <w:bottom w:val="nil"/>
              <w:right w:val="nil"/>
            </w:tcBorders>
          </w:tcPr>
          <w:p w14:paraId="3AEA45A0"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487DF154"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019)</w:t>
            </w:r>
          </w:p>
        </w:tc>
      </w:tr>
      <w:tr w:rsidR="00E058DB" w:rsidRPr="00FB6512" w14:paraId="7E466D4E" w14:textId="77777777" w:rsidTr="00D15FF7">
        <w:trPr>
          <w:jc w:val="center"/>
        </w:trPr>
        <w:tc>
          <w:tcPr>
            <w:tcW w:w="5979" w:type="dxa"/>
            <w:tcBorders>
              <w:top w:val="nil"/>
              <w:left w:val="nil"/>
              <w:bottom w:val="nil"/>
              <w:right w:val="nil"/>
            </w:tcBorders>
          </w:tcPr>
          <w:p w14:paraId="6D62EDC4" w14:textId="77777777" w:rsidR="00E058DB" w:rsidRPr="00064F56" w:rsidRDefault="00E058DB" w:rsidP="00D15FF7">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07485DE2" w14:textId="77777777" w:rsidR="00E058DB" w:rsidRPr="00064F56" w:rsidRDefault="00E058DB" w:rsidP="00D15FF7">
            <w:pPr>
              <w:widowControl w:val="0"/>
              <w:autoSpaceDE w:val="0"/>
              <w:autoSpaceDN w:val="0"/>
              <w:adjustRightInd w:val="0"/>
              <w:jc w:val="center"/>
              <w:rPr>
                <w:color w:val="000000" w:themeColor="text1"/>
                <w:lang w:val="en-US"/>
              </w:rPr>
            </w:pPr>
          </w:p>
        </w:tc>
      </w:tr>
      <w:tr w:rsidR="00E058DB" w:rsidRPr="00FB6512" w14:paraId="14D2F343" w14:textId="77777777" w:rsidTr="00D15FF7">
        <w:trPr>
          <w:jc w:val="center"/>
        </w:trPr>
        <w:tc>
          <w:tcPr>
            <w:tcW w:w="5979" w:type="dxa"/>
            <w:tcBorders>
              <w:top w:val="nil"/>
              <w:left w:val="nil"/>
              <w:bottom w:val="nil"/>
              <w:right w:val="nil"/>
            </w:tcBorders>
          </w:tcPr>
          <w:p w14:paraId="6EDC511A"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Observations</w:t>
            </w:r>
          </w:p>
        </w:tc>
        <w:tc>
          <w:tcPr>
            <w:tcW w:w="3456" w:type="dxa"/>
            <w:tcBorders>
              <w:top w:val="nil"/>
              <w:left w:val="nil"/>
              <w:bottom w:val="nil"/>
              <w:right w:val="nil"/>
            </w:tcBorders>
          </w:tcPr>
          <w:p w14:paraId="152057BF"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4,428</w:t>
            </w:r>
          </w:p>
        </w:tc>
      </w:tr>
      <w:tr w:rsidR="00E058DB" w:rsidRPr="00FB6512" w14:paraId="5EBE1797" w14:textId="77777777" w:rsidTr="00D15FF7">
        <w:trPr>
          <w:jc w:val="center"/>
        </w:trPr>
        <w:tc>
          <w:tcPr>
            <w:tcW w:w="5979" w:type="dxa"/>
            <w:tcBorders>
              <w:top w:val="nil"/>
              <w:left w:val="nil"/>
              <w:bottom w:val="nil"/>
              <w:right w:val="nil"/>
            </w:tcBorders>
          </w:tcPr>
          <w:p w14:paraId="7BCAFFA4"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Adjusted R-squared</w:t>
            </w:r>
          </w:p>
        </w:tc>
        <w:tc>
          <w:tcPr>
            <w:tcW w:w="3456" w:type="dxa"/>
            <w:tcBorders>
              <w:top w:val="nil"/>
              <w:left w:val="nil"/>
              <w:bottom w:val="nil"/>
              <w:right w:val="nil"/>
            </w:tcBorders>
          </w:tcPr>
          <w:p w14:paraId="35BE4086"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158</w:t>
            </w:r>
          </w:p>
        </w:tc>
      </w:tr>
      <w:tr w:rsidR="00E058DB" w:rsidRPr="00FB6512" w14:paraId="66A32E26" w14:textId="77777777" w:rsidTr="00D15FF7">
        <w:tblPrEx>
          <w:tblBorders>
            <w:bottom w:val="single" w:sz="6" w:space="0" w:color="auto"/>
          </w:tblBorders>
        </w:tblPrEx>
        <w:trPr>
          <w:jc w:val="center"/>
        </w:trPr>
        <w:tc>
          <w:tcPr>
            <w:tcW w:w="5979" w:type="dxa"/>
            <w:tcBorders>
              <w:top w:val="nil"/>
              <w:left w:val="nil"/>
              <w:bottom w:val="single" w:sz="6" w:space="0" w:color="auto"/>
              <w:right w:val="nil"/>
            </w:tcBorders>
          </w:tcPr>
          <w:p w14:paraId="3D9BDD90"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Model F-statistic</w:t>
            </w:r>
          </w:p>
        </w:tc>
        <w:tc>
          <w:tcPr>
            <w:tcW w:w="3456" w:type="dxa"/>
            <w:tcBorders>
              <w:top w:val="nil"/>
              <w:left w:val="nil"/>
              <w:bottom w:val="single" w:sz="6" w:space="0" w:color="auto"/>
              <w:right w:val="nil"/>
            </w:tcBorders>
          </w:tcPr>
          <w:p w14:paraId="1F8FB1C2"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27.08*** (26)</w:t>
            </w:r>
          </w:p>
        </w:tc>
      </w:tr>
    </w:tbl>
    <w:p w14:paraId="1D2E5D5F" w14:textId="77777777" w:rsidR="00E058DB" w:rsidRDefault="00E058DB" w:rsidP="00E058DB">
      <w:pPr>
        <w:pStyle w:val="NoSpacing"/>
        <w:spacing w:line="240" w:lineRule="auto"/>
        <w:rPr>
          <w:color w:val="000000" w:themeColor="text1"/>
          <w:sz w:val="20"/>
          <w:lang w:val="en-US"/>
        </w:rPr>
      </w:pPr>
      <w:r w:rsidRPr="00064F56">
        <w:rPr>
          <w:i/>
          <w:color w:val="000000" w:themeColor="text1"/>
          <w:sz w:val="20"/>
          <w:lang w:val="en-US"/>
        </w:rPr>
        <w:t>Notes</w:t>
      </w:r>
      <w:r w:rsidRPr="00064F56">
        <w:rPr>
          <w:color w:val="000000" w:themeColor="text1"/>
          <w:sz w:val="20"/>
          <w:lang w:val="en-US"/>
        </w:rPr>
        <w:t xml:space="preserve">: </w:t>
      </w:r>
      <w:r>
        <w:rPr>
          <w:color w:val="000000" w:themeColor="text1"/>
          <w:sz w:val="20"/>
          <w:szCs w:val="20"/>
          <w:lang w:val="en-US"/>
        </w:rPr>
        <w:t xml:space="preserve">SHC_, INST_, NONFIN_, and MEDIA_ based on shareholder complaints discussed at the AGM only. </w:t>
      </w:r>
      <w:r w:rsidRPr="00064F56">
        <w:rPr>
          <w:sz w:val="20"/>
          <w:lang w:val="en-US"/>
        </w:rPr>
        <w:t>Coefficients scaled by 10</w:t>
      </w:r>
      <w:r w:rsidRPr="00064F56">
        <w:rPr>
          <w:sz w:val="20"/>
          <w:vertAlign w:val="superscript"/>
          <w:lang w:val="en-US"/>
        </w:rPr>
        <w:t>-1</w:t>
      </w:r>
      <w:r w:rsidRPr="00064F56">
        <w:rPr>
          <w:sz w:val="20"/>
          <w:lang w:val="en-US"/>
        </w:rPr>
        <w:t xml:space="preserve"> to improve readability.</w:t>
      </w:r>
      <w:r>
        <w:rPr>
          <w:color w:val="000000" w:themeColor="text1"/>
          <w:sz w:val="20"/>
          <w:szCs w:val="20"/>
          <w:lang w:val="en-US"/>
        </w:rPr>
        <w:t xml:space="preserve"> </w:t>
      </w:r>
      <w:r w:rsidRPr="00064F56">
        <w:rPr>
          <w:color w:val="000000" w:themeColor="text1"/>
          <w:sz w:val="20"/>
          <w:szCs w:val="20"/>
          <w:lang w:val="en-US"/>
        </w:rPr>
        <w:t>Standard</w:t>
      </w:r>
      <w:r w:rsidRPr="00064F56">
        <w:rPr>
          <w:color w:val="000000" w:themeColor="text1"/>
          <w:sz w:val="20"/>
          <w:lang w:val="en-US"/>
        </w:rPr>
        <w:t xml:space="preserve"> errors in parentheses. Predictors calculated at period </w:t>
      </w:r>
    </w:p>
    <w:p w14:paraId="16C0B8C4" w14:textId="77777777" w:rsidR="00E058DB" w:rsidRPr="00064F56" w:rsidRDefault="00E058DB" w:rsidP="00E058DB">
      <w:pPr>
        <w:pStyle w:val="NoSpacing"/>
        <w:spacing w:line="240" w:lineRule="auto"/>
        <w:rPr>
          <w:color w:val="000000" w:themeColor="text1"/>
          <w:sz w:val="20"/>
          <w:lang w:val="en-US"/>
        </w:rPr>
      </w:pPr>
      <w:r w:rsidRPr="00064F56">
        <w:rPr>
          <w:color w:val="000000" w:themeColor="text1"/>
          <w:sz w:val="20"/>
          <w:lang w:val="en-US"/>
        </w:rPr>
        <w:t>t-1. Firm and year fixed effects not reported. ***</w:t>
      </w:r>
      <w:r w:rsidRPr="00064F56">
        <w:rPr>
          <w:i/>
          <w:color w:val="000000" w:themeColor="text1"/>
          <w:sz w:val="20"/>
          <w:lang w:val="en-US"/>
        </w:rPr>
        <w:t>p</w:t>
      </w:r>
      <w:r w:rsidRPr="00064F56">
        <w:rPr>
          <w:color w:val="000000" w:themeColor="text1"/>
          <w:sz w:val="20"/>
          <w:lang w:val="en-US"/>
        </w:rPr>
        <w:t>&lt;</w:t>
      </w:r>
      <w:r>
        <w:rPr>
          <w:color w:val="000000" w:themeColor="text1"/>
          <w:sz w:val="20"/>
          <w:lang w:val="en-US"/>
        </w:rPr>
        <w:t>.</w:t>
      </w:r>
      <w:r w:rsidRPr="00064F56">
        <w:rPr>
          <w:color w:val="000000" w:themeColor="text1"/>
          <w:sz w:val="20"/>
          <w:lang w:val="en-US"/>
        </w:rPr>
        <w:t>01, **</w:t>
      </w:r>
      <w:r w:rsidRPr="00064F56">
        <w:rPr>
          <w:i/>
          <w:color w:val="000000" w:themeColor="text1"/>
          <w:sz w:val="20"/>
          <w:lang w:val="en-US"/>
        </w:rPr>
        <w:t>p</w:t>
      </w:r>
      <w:r w:rsidRPr="00064F56">
        <w:rPr>
          <w:color w:val="000000" w:themeColor="text1"/>
          <w:sz w:val="20"/>
          <w:lang w:val="en-US"/>
        </w:rPr>
        <w:t>&lt;</w:t>
      </w:r>
      <w:r>
        <w:rPr>
          <w:color w:val="000000" w:themeColor="text1"/>
          <w:sz w:val="20"/>
          <w:lang w:val="en-US"/>
        </w:rPr>
        <w:t>.</w:t>
      </w:r>
      <w:r w:rsidRPr="00064F56">
        <w:rPr>
          <w:color w:val="000000" w:themeColor="text1"/>
          <w:sz w:val="20"/>
          <w:lang w:val="en-US"/>
        </w:rPr>
        <w:t>05, *</w:t>
      </w:r>
      <w:r w:rsidRPr="00064F56">
        <w:rPr>
          <w:i/>
          <w:color w:val="000000" w:themeColor="text1"/>
          <w:sz w:val="20"/>
          <w:lang w:val="en-US"/>
        </w:rPr>
        <w:t>p</w:t>
      </w:r>
      <w:r w:rsidRPr="00064F56">
        <w:rPr>
          <w:color w:val="000000" w:themeColor="text1"/>
          <w:sz w:val="20"/>
          <w:lang w:val="en-US"/>
        </w:rPr>
        <w:t>&lt;</w:t>
      </w:r>
      <w:r>
        <w:rPr>
          <w:color w:val="000000" w:themeColor="text1"/>
          <w:sz w:val="20"/>
          <w:lang w:val="en-US"/>
        </w:rPr>
        <w:t>.</w:t>
      </w:r>
      <w:r w:rsidRPr="00064F56">
        <w:rPr>
          <w:color w:val="000000" w:themeColor="text1"/>
          <w:sz w:val="20"/>
          <w:lang w:val="en-US"/>
        </w:rPr>
        <w:t>1</w:t>
      </w:r>
      <w:r>
        <w:rPr>
          <w:color w:val="000000" w:themeColor="text1"/>
          <w:sz w:val="20"/>
          <w:lang w:val="en-US"/>
        </w:rPr>
        <w:t>.</w:t>
      </w:r>
      <w:r w:rsidRPr="00064F56">
        <w:rPr>
          <w:color w:val="000000" w:themeColor="text1"/>
          <w:sz w:val="20"/>
          <w:lang w:val="en-US"/>
        </w:rPr>
        <w:t xml:space="preserve"> </w:t>
      </w:r>
    </w:p>
    <w:p w14:paraId="7A7CF3F7" w14:textId="77777777" w:rsidR="00E058DB" w:rsidRPr="007C37B0" w:rsidRDefault="00E058DB" w:rsidP="00E058DB">
      <w:pPr>
        <w:rPr>
          <w:color w:val="000000" w:themeColor="text1"/>
          <w:lang w:val="en-US"/>
        </w:rPr>
      </w:pPr>
    </w:p>
    <w:p w14:paraId="26A856D9" w14:textId="77777777" w:rsidR="00E058DB" w:rsidRPr="007C37B0" w:rsidRDefault="00E058DB" w:rsidP="00E058DB">
      <w:pPr>
        <w:rPr>
          <w:b/>
          <w:color w:val="000000" w:themeColor="text1"/>
          <w:u w:color="000000"/>
          <w:lang w:val="en-US"/>
        </w:rPr>
      </w:pPr>
      <w:r w:rsidRPr="007C37B0">
        <w:rPr>
          <w:b/>
          <w:color w:val="000000" w:themeColor="text1"/>
          <w:u w:color="000000"/>
          <w:lang w:val="en-US"/>
        </w:rPr>
        <w:br w:type="page"/>
      </w:r>
    </w:p>
    <w:p w14:paraId="23189016" w14:textId="77777777" w:rsidR="00E058DB" w:rsidRDefault="00E058DB" w:rsidP="00E058DB">
      <w:pPr>
        <w:jc w:val="center"/>
        <w:rPr>
          <w:color w:val="000000" w:themeColor="text1"/>
          <w:lang w:val="en-US"/>
        </w:rPr>
      </w:pPr>
      <w:r w:rsidRPr="007C37B0">
        <w:rPr>
          <w:b/>
          <w:caps/>
          <w:color w:val="000000" w:themeColor="text1"/>
          <w:u w:color="000000"/>
          <w:lang w:val="en-US"/>
        </w:rPr>
        <w:lastRenderedPageBreak/>
        <w:t>Table D6: Effectiveness of an Advertising Investment Response (</w:t>
      </w:r>
      <w:r>
        <w:rPr>
          <w:b/>
          <w:caps/>
          <w:color w:val="000000" w:themeColor="text1"/>
          <w:u w:color="000000"/>
          <w:lang w:val="en-US"/>
        </w:rPr>
        <w:t>WITHOUT</w:t>
      </w:r>
      <w:r w:rsidRPr="007C37B0">
        <w:rPr>
          <w:b/>
          <w:caps/>
          <w:color w:val="000000" w:themeColor="text1"/>
          <w:u w:color="000000"/>
          <w:lang w:val="en-US"/>
        </w:rPr>
        <w:t xml:space="preserve"> EXCLUDED Complaints)</w:t>
      </w:r>
    </w:p>
    <w:p w14:paraId="005C59E3" w14:textId="77777777" w:rsidR="00E058DB" w:rsidRDefault="00E058DB" w:rsidP="00E058DB">
      <w:pPr>
        <w:rPr>
          <w:color w:val="000000" w:themeColor="text1"/>
          <w:lang w:val="en-US"/>
        </w:rPr>
      </w:pPr>
    </w:p>
    <w:tbl>
      <w:tblPr>
        <w:tblW w:w="0" w:type="auto"/>
        <w:jc w:val="center"/>
        <w:tblLayout w:type="fixed"/>
        <w:tblCellMar>
          <w:left w:w="75" w:type="dxa"/>
          <w:right w:w="75" w:type="dxa"/>
        </w:tblCellMar>
        <w:tblLook w:val="0000" w:firstRow="0" w:lastRow="0" w:firstColumn="0" w:lastColumn="0" w:noHBand="0" w:noVBand="0"/>
      </w:tblPr>
      <w:tblGrid>
        <w:gridCol w:w="6843"/>
        <w:gridCol w:w="1584"/>
      </w:tblGrid>
      <w:tr w:rsidR="00E058DB" w:rsidRPr="00FB6512" w14:paraId="60682383" w14:textId="77777777" w:rsidTr="00D15FF7">
        <w:trPr>
          <w:jc w:val="center"/>
        </w:trPr>
        <w:tc>
          <w:tcPr>
            <w:tcW w:w="6843" w:type="dxa"/>
            <w:tcBorders>
              <w:top w:val="single" w:sz="6" w:space="0" w:color="auto"/>
              <w:left w:val="nil"/>
              <w:bottom w:val="nil"/>
              <w:right w:val="nil"/>
            </w:tcBorders>
          </w:tcPr>
          <w:p w14:paraId="71F10E49"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single" w:sz="6" w:space="0" w:color="auto"/>
              <w:left w:val="nil"/>
              <w:bottom w:val="nil"/>
              <w:right w:val="nil"/>
            </w:tcBorders>
          </w:tcPr>
          <w:p w14:paraId="47BE08E5" w14:textId="77777777" w:rsidR="00E058DB" w:rsidRPr="007C37B0" w:rsidRDefault="00E058DB" w:rsidP="00D15FF7">
            <w:pPr>
              <w:widowControl w:val="0"/>
              <w:autoSpaceDE w:val="0"/>
              <w:autoSpaceDN w:val="0"/>
              <w:adjustRightInd w:val="0"/>
              <w:jc w:val="center"/>
              <w:rPr>
                <w:b/>
                <w:color w:val="000000" w:themeColor="text1"/>
                <w:lang w:val="en-US"/>
              </w:rPr>
            </w:pPr>
            <w:r w:rsidRPr="007C37B0">
              <w:rPr>
                <w:b/>
                <w:color w:val="000000" w:themeColor="text1"/>
                <w:lang w:val="en-US"/>
              </w:rPr>
              <w:t>Tobin’s q</w:t>
            </w:r>
          </w:p>
        </w:tc>
      </w:tr>
      <w:tr w:rsidR="00E058DB" w:rsidRPr="00FB6512" w14:paraId="6C40C75D" w14:textId="77777777" w:rsidTr="00D15FF7">
        <w:trPr>
          <w:jc w:val="center"/>
        </w:trPr>
        <w:tc>
          <w:tcPr>
            <w:tcW w:w="6843" w:type="dxa"/>
            <w:tcBorders>
              <w:top w:val="nil"/>
              <w:left w:val="nil"/>
              <w:bottom w:val="single" w:sz="6" w:space="0" w:color="auto"/>
              <w:right w:val="nil"/>
            </w:tcBorders>
          </w:tcPr>
          <w:p w14:paraId="16274F21"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single" w:sz="6" w:space="0" w:color="auto"/>
              <w:right w:val="nil"/>
            </w:tcBorders>
          </w:tcPr>
          <w:p w14:paraId="7D136619" w14:textId="77777777" w:rsidR="00E058DB" w:rsidRPr="007C37B0" w:rsidRDefault="00E058DB" w:rsidP="00D15FF7">
            <w:pPr>
              <w:widowControl w:val="0"/>
              <w:autoSpaceDE w:val="0"/>
              <w:autoSpaceDN w:val="0"/>
              <w:adjustRightInd w:val="0"/>
              <w:jc w:val="center"/>
              <w:rPr>
                <w:b/>
                <w:color w:val="000000" w:themeColor="text1"/>
                <w:lang w:val="en-US"/>
              </w:rPr>
            </w:pPr>
            <w:r w:rsidRPr="007C37B0">
              <w:rPr>
                <w:b/>
                <w:color w:val="000000" w:themeColor="text1"/>
                <w:lang w:val="en-US"/>
              </w:rPr>
              <w:t>(</w:t>
            </w:r>
            <w:r w:rsidRPr="007C37B0">
              <w:rPr>
                <w:b/>
                <w:i/>
                <w:color w:val="000000" w:themeColor="text1"/>
                <w:lang w:val="en-US"/>
              </w:rPr>
              <w:t>TQ</w:t>
            </w:r>
            <w:r w:rsidRPr="007C37B0">
              <w:rPr>
                <w:b/>
                <w:color w:val="000000" w:themeColor="text1"/>
                <w:lang w:val="en-US"/>
              </w:rPr>
              <w:t>)</w:t>
            </w:r>
          </w:p>
        </w:tc>
      </w:tr>
      <w:tr w:rsidR="00E058DB" w:rsidRPr="00FB6512" w14:paraId="2E7365E1" w14:textId="77777777" w:rsidTr="00D15FF7">
        <w:trPr>
          <w:jc w:val="center"/>
        </w:trPr>
        <w:tc>
          <w:tcPr>
            <w:tcW w:w="6843" w:type="dxa"/>
            <w:tcBorders>
              <w:top w:val="nil"/>
              <w:left w:val="nil"/>
              <w:bottom w:val="nil"/>
              <w:right w:val="nil"/>
            </w:tcBorders>
          </w:tcPr>
          <w:p w14:paraId="0C2D2569"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3B00F2E7" w14:textId="77777777" w:rsidR="00E058DB" w:rsidRPr="00064F56" w:rsidRDefault="00E058DB" w:rsidP="00D15FF7">
            <w:pPr>
              <w:widowControl w:val="0"/>
              <w:autoSpaceDE w:val="0"/>
              <w:autoSpaceDN w:val="0"/>
              <w:adjustRightInd w:val="0"/>
              <w:jc w:val="center"/>
              <w:rPr>
                <w:color w:val="000000" w:themeColor="text1"/>
                <w:lang w:val="en-US"/>
              </w:rPr>
            </w:pPr>
          </w:p>
        </w:tc>
      </w:tr>
      <w:tr w:rsidR="00E058DB" w:rsidRPr="00FB6512" w14:paraId="4318EF8B" w14:textId="77777777" w:rsidTr="00D15FF7">
        <w:trPr>
          <w:jc w:val="center"/>
        </w:trPr>
        <w:tc>
          <w:tcPr>
            <w:tcW w:w="6843" w:type="dxa"/>
            <w:tcBorders>
              <w:top w:val="nil"/>
              <w:left w:val="nil"/>
              <w:bottom w:val="nil"/>
              <w:right w:val="nil"/>
            </w:tcBorders>
          </w:tcPr>
          <w:p w14:paraId="1C183A0A" w14:textId="77777777" w:rsidR="00E058DB" w:rsidRPr="00064F56" w:rsidRDefault="00E058DB" w:rsidP="00D15FF7">
            <w:pPr>
              <w:widowControl w:val="0"/>
              <w:autoSpaceDE w:val="0"/>
              <w:autoSpaceDN w:val="0"/>
              <w:adjustRightInd w:val="0"/>
              <w:rPr>
                <w:color w:val="000000" w:themeColor="text1"/>
                <w:lang w:val="en-US"/>
              </w:rPr>
            </w:pPr>
            <w:r>
              <w:rPr>
                <w:color w:val="000000" w:themeColor="text1"/>
                <w:lang w:val="en-US"/>
              </w:rPr>
              <w:t>S</w:t>
            </w:r>
            <w:r w:rsidRPr="00064F56">
              <w:rPr>
                <w:color w:val="000000" w:themeColor="text1"/>
                <w:lang w:val="en-US"/>
              </w:rPr>
              <w:t>hareholder complaints</w:t>
            </w:r>
            <w:r>
              <w:rPr>
                <w:color w:val="000000" w:themeColor="text1"/>
                <w:lang w:val="en-US"/>
              </w:rPr>
              <w:t xml:space="preserve"> (</w:t>
            </w:r>
            <w:r w:rsidRPr="006A4731">
              <w:rPr>
                <w:i/>
                <w:color w:val="000000" w:themeColor="text1"/>
                <w:lang w:val="en-US"/>
              </w:rPr>
              <w:t>SH</w:t>
            </w:r>
            <w:r>
              <w:rPr>
                <w:i/>
                <w:color w:val="000000" w:themeColor="text1"/>
                <w:lang w:val="en-US"/>
              </w:rPr>
              <w:t>C_)</w:t>
            </w:r>
          </w:p>
        </w:tc>
        <w:tc>
          <w:tcPr>
            <w:tcW w:w="1584" w:type="dxa"/>
            <w:tcBorders>
              <w:top w:val="nil"/>
              <w:left w:val="nil"/>
              <w:bottom w:val="nil"/>
              <w:right w:val="nil"/>
            </w:tcBorders>
          </w:tcPr>
          <w:p w14:paraId="6877482E"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2427***</w:t>
            </w:r>
          </w:p>
        </w:tc>
      </w:tr>
      <w:tr w:rsidR="00E058DB" w:rsidRPr="00FB6512" w14:paraId="47C47CB0" w14:textId="77777777" w:rsidTr="00D15FF7">
        <w:trPr>
          <w:jc w:val="center"/>
        </w:trPr>
        <w:tc>
          <w:tcPr>
            <w:tcW w:w="6843" w:type="dxa"/>
            <w:tcBorders>
              <w:top w:val="nil"/>
              <w:left w:val="nil"/>
              <w:bottom w:val="nil"/>
              <w:right w:val="nil"/>
            </w:tcBorders>
          </w:tcPr>
          <w:p w14:paraId="2EAA7160"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5BCC4D76"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070)</w:t>
            </w:r>
          </w:p>
        </w:tc>
      </w:tr>
      <w:tr w:rsidR="00E058DB" w:rsidRPr="00FB6512" w14:paraId="498F2E8D" w14:textId="77777777" w:rsidTr="00D15FF7">
        <w:trPr>
          <w:jc w:val="center"/>
        </w:trPr>
        <w:tc>
          <w:tcPr>
            <w:tcW w:w="6843" w:type="dxa"/>
            <w:tcBorders>
              <w:top w:val="nil"/>
              <w:left w:val="nil"/>
              <w:bottom w:val="nil"/>
              <w:right w:val="nil"/>
            </w:tcBorders>
          </w:tcPr>
          <w:p w14:paraId="57F03717"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Advertising investments</w:t>
            </w:r>
            <w:r>
              <w:rPr>
                <w:color w:val="000000" w:themeColor="text1"/>
                <w:lang w:val="en-US"/>
              </w:rPr>
              <w:t xml:space="preserve"> (</w:t>
            </w:r>
            <w:r w:rsidRPr="00064F56">
              <w:rPr>
                <w:i/>
                <w:color w:val="000000" w:themeColor="text1"/>
                <w:lang w:val="en-US"/>
              </w:rPr>
              <w:t>UADV</w:t>
            </w:r>
            <w:r>
              <w:rPr>
                <w:color w:val="000000" w:themeColor="text1"/>
                <w:lang w:val="en-US"/>
              </w:rPr>
              <w:t>)</w:t>
            </w:r>
          </w:p>
        </w:tc>
        <w:tc>
          <w:tcPr>
            <w:tcW w:w="1584" w:type="dxa"/>
            <w:tcBorders>
              <w:top w:val="nil"/>
              <w:left w:val="nil"/>
              <w:bottom w:val="nil"/>
              <w:right w:val="nil"/>
            </w:tcBorders>
          </w:tcPr>
          <w:p w14:paraId="357E4E50"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0459***</w:t>
            </w:r>
          </w:p>
        </w:tc>
      </w:tr>
      <w:tr w:rsidR="00E058DB" w:rsidRPr="00FB6512" w14:paraId="40017893" w14:textId="77777777" w:rsidTr="00D15FF7">
        <w:trPr>
          <w:jc w:val="center"/>
        </w:trPr>
        <w:tc>
          <w:tcPr>
            <w:tcW w:w="6843" w:type="dxa"/>
            <w:tcBorders>
              <w:top w:val="nil"/>
              <w:left w:val="nil"/>
              <w:bottom w:val="nil"/>
              <w:right w:val="nil"/>
            </w:tcBorders>
          </w:tcPr>
          <w:p w14:paraId="14F9A8BF"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48CB72D7"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013)</w:t>
            </w:r>
          </w:p>
        </w:tc>
      </w:tr>
      <w:tr w:rsidR="00E058DB" w:rsidRPr="00FB6512" w14:paraId="2B159E34" w14:textId="77777777" w:rsidTr="00D15FF7">
        <w:trPr>
          <w:jc w:val="center"/>
        </w:trPr>
        <w:tc>
          <w:tcPr>
            <w:tcW w:w="6843" w:type="dxa"/>
            <w:tcBorders>
              <w:top w:val="nil"/>
              <w:left w:val="nil"/>
              <w:bottom w:val="nil"/>
              <w:right w:val="nil"/>
            </w:tcBorders>
          </w:tcPr>
          <w:p w14:paraId="137B6A69" w14:textId="77777777" w:rsidR="00E058DB" w:rsidRPr="00064F56" w:rsidRDefault="00E058DB" w:rsidP="00D15FF7">
            <w:pPr>
              <w:widowControl w:val="0"/>
              <w:autoSpaceDE w:val="0"/>
              <w:autoSpaceDN w:val="0"/>
              <w:adjustRightInd w:val="0"/>
              <w:rPr>
                <w:color w:val="000000" w:themeColor="text1"/>
                <w:lang w:val="en-US"/>
              </w:rPr>
            </w:pPr>
            <w:r>
              <w:rPr>
                <w:color w:val="000000" w:themeColor="text1"/>
                <w:lang w:val="en-US"/>
              </w:rPr>
              <w:t>S</w:t>
            </w:r>
            <w:r w:rsidRPr="00064F56">
              <w:rPr>
                <w:color w:val="000000" w:themeColor="text1"/>
                <w:lang w:val="en-US"/>
              </w:rPr>
              <w:t xml:space="preserve">hareholder complaints </w:t>
            </w:r>
            <w:r>
              <w:rPr>
                <w:color w:val="000000" w:themeColor="text1"/>
                <w:lang w:val="en-US"/>
              </w:rPr>
              <w:t>(</w:t>
            </w:r>
            <w:r w:rsidRPr="006A4731">
              <w:rPr>
                <w:i/>
                <w:color w:val="000000" w:themeColor="text1"/>
                <w:lang w:val="en-US"/>
              </w:rPr>
              <w:t>S</w:t>
            </w:r>
            <w:r>
              <w:rPr>
                <w:i/>
                <w:color w:val="000000" w:themeColor="text1"/>
                <w:lang w:val="en-US"/>
              </w:rPr>
              <w:t>HC_</w:t>
            </w:r>
            <w:r>
              <w:rPr>
                <w:color w:val="000000" w:themeColor="text1"/>
                <w:lang w:val="en-US"/>
              </w:rPr>
              <w:t xml:space="preserve">) </w:t>
            </w:r>
            <w:r w:rsidRPr="00064F56">
              <w:rPr>
                <w:color w:val="000000" w:themeColor="text1"/>
                <w:lang w:val="en-US"/>
              </w:rPr>
              <w:t>* Advertising investments</w:t>
            </w:r>
            <w:r>
              <w:rPr>
                <w:color w:val="000000" w:themeColor="text1"/>
                <w:lang w:val="en-US"/>
              </w:rPr>
              <w:t xml:space="preserve"> </w:t>
            </w:r>
          </w:p>
        </w:tc>
        <w:tc>
          <w:tcPr>
            <w:tcW w:w="1584" w:type="dxa"/>
            <w:tcBorders>
              <w:top w:val="nil"/>
              <w:left w:val="nil"/>
              <w:bottom w:val="nil"/>
              <w:right w:val="nil"/>
            </w:tcBorders>
          </w:tcPr>
          <w:p w14:paraId="00ADEACE"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0032*</w:t>
            </w:r>
          </w:p>
        </w:tc>
      </w:tr>
      <w:tr w:rsidR="00E058DB" w:rsidRPr="00FB6512" w14:paraId="3C7A3830" w14:textId="77777777" w:rsidTr="00D15FF7">
        <w:trPr>
          <w:jc w:val="center"/>
        </w:trPr>
        <w:tc>
          <w:tcPr>
            <w:tcW w:w="6843" w:type="dxa"/>
            <w:tcBorders>
              <w:top w:val="nil"/>
              <w:left w:val="nil"/>
              <w:bottom w:val="nil"/>
              <w:right w:val="nil"/>
            </w:tcBorders>
          </w:tcPr>
          <w:p w14:paraId="776301A9" w14:textId="77777777" w:rsidR="00E058DB" w:rsidRPr="00064F56" w:rsidRDefault="00E058DB" w:rsidP="00D15FF7">
            <w:pPr>
              <w:widowControl w:val="0"/>
              <w:autoSpaceDE w:val="0"/>
              <w:autoSpaceDN w:val="0"/>
              <w:adjustRightInd w:val="0"/>
              <w:rPr>
                <w:color w:val="000000" w:themeColor="text1"/>
                <w:lang w:val="en-US"/>
              </w:rPr>
            </w:pPr>
            <w:r>
              <w:rPr>
                <w:color w:val="000000" w:themeColor="text1"/>
                <w:lang w:val="en-US"/>
              </w:rPr>
              <w:t>(</w:t>
            </w:r>
            <w:r w:rsidRPr="006A4731">
              <w:rPr>
                <w:i/>
                <w:color w:val="000000" w:themeColor="text1"/>
                <w:lang w:val="en-US"/>
              </w:rPr>
              <w:t>UADV</w:t>
            </w:r>
            <w:r>
              <w:rPr>
                <w:color w:val="000000" w:themeColor="text1"/>
                <w:lang w:val="en-US"/>
              </w:rPr>
              <w:t>)</w:t>
            </w:r>
          </w:p>
        </w:tc>
        <w:tc>
          <w:tcPr>
            <w:tcW w:w="1584" w:type="dxa"/>
            <w:tcBorders>
              <w:top w:val="nil"/>
              <w:left w:val="nil"/>
              <w:bottom w:val="nil"/>
              <w:right w:val="nil"/>
            </w:tcBorders>
          </w:tcPr>
          <w:p w14:paraId="2C43B4C2"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002)</w:t>
            </w:r>
          </w:p>
        </w:tc>
      </w:tr>
      <w:tr w:rsidR="00E058DB" w:rsidRPr="00FB6512" w14:paraId="6C1633E4" w14:textId="77777777" w:rsidTr="00D15FF7">
        <w:trPr>
          <w:jc w:val="center"/>
        </w:trPr>
        <w:tc>
          <w:tcPr>
            <w:tcW w:w="6843" w:type="dxa"/>
            <w:tcBorders>
              <w:top w:val="nil"/>
              <w:left w:val="nil"/>
              <w:bottom w:val="nil"/>
              <w:right w:val="nil"/>
            </w:tcBorders>
          </w:tcPr>
          <w:p w14:paraId="37CA6EBE"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 institutional submitter</w:t>
            </w:r>
            <w:r>
              <w:rPr>
                <w:color w:val="000000" w:themeColor="text1"/>
                <w:lang w:val="en-US"/>
              </w:rPr>
              <w:t xml:space="preserve"> (</w:t>
            </w:r>
            <w:r>
              <w:rPr>
                <w:i/>
                <w:color w:val="000000" w:themeColor="text1"/>
                <w:lang w:val="en-US"/>
              </w:rPr>
              <w:t>INST_)</w:t>
            </w:r>
          </w:p>
        </w:tc>
        <w:tc>
          <w:tcPr>
            <w:tcW w:w="1584" w:type="dxa"/>
            <w:tcBorders>
              <w:top w:val="nil"/>
              <w:left w:val="nil"/>
              <w:bottom w:val="nil"/>
              <w:right w:val="nil"/>
            </w:tcBorders>
          </w:tcPr>
          <w:p w14:paraId="6C0738AD"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0802</w:t>
            </w:r>
          </w:p>
        </w:tc>
      </w:tr>
      <w:tr w:rsidR="00E058DB" w:rsidRPr="00FB6512" w14:paraId="4791B213" w14:textId="77777777" w:rsidTr="00D15FF7">
        <w:trPr>
          <w:jc w:val="center"/>
        </w:trPr>
        <w:tc>
          <w:tcPr>
            <w:tcW w:w="6843" w:type="dxa"/>
            <w:tcBorders>
              <w:top w:val="nil"/>
              <w:left w:val="nil"/>
              <w:bottom w:val="nil"/>
              <w:right w:val="nil"/>
            </w:tcBorders>
          </w:tcPr>
          <w:p w14:paraId="2AD19329"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450763EF"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126)</w:t>
            </w:r>
          </w:p>
        </w:tc>
      </w:tr>
      <w:tr w:rsidR="00E058DB" w:rsidRPr="00FB6512" w14:paraId="0BB8D054" w14:textId="77777777" w:rsidTr="00D15FF7">
        <w:trPr>
          <w:jc w:val="center"/>
        </w:trPr>
        <w:tc>
          <w:tcPr>
            <w:tcW w:w="6843" w:type="dxa"/>
            <w:tcBorders>
              <w:top w:val="nil"/>
              <w:left w:val="nil"/>
              <w:bottom w:val="nil"/>
              <w:right w:val="nil"/>
            </w:tcBorders>
          </w:tcPr>
          <w:p w14:paraId="3B694C1C"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 nonfinancial type</w:t>
            </w:r>
            <w:r>
              <w:rPr>
                <w:color w:val="000000" w:themeColor="text1"/>
                <w:lang w:val="en-US"/>
              </w:rPr>
              <w:t xml:space="preserve"> (</w:t>
            </w:r>
            <w:r>
              <w:rPr>
                <w:i/>
                <w:color w:val="000000" w:themeColor="text1"/>
                <w:lang w:val="en-US"/>
              </w:rPr>
              <w:t>NONFIN_)</w:t>
            </w:r>
          </w:p>
        </w:tc>
        <w:tc>
          <w:tcPr>
            <w:tcW w:w="1584" w:type="dxa"/>
            <w:tcBorders>
              <w:top w:val="nil"/>
              <w:left w:val="nil"/>
              <w:bottom w:val="nil"/>
              <w:right w:val="nil"/>
            </w:tcBorders>
          </w:tcPr>
          <w:p w14:paraId="51999368"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0172</w:t>
            </w:r>
          </w:p>
        </w:tc>
      </w:tr>
      <w:tr w:rsidR="00E058DB" w:rsidRPr="00FB6512" w14:paraId="3C7853AC" w14:textId="77777777" w:rsidTr="00D15FF7">
        <w:trPr>
          <w:jc w:val="center"/>
        </w:trPr>
        <w:tc>
          <w:tcPr>
            <w:tcW w:w="6843" w:type="dxa"/>
            <w:tcBorders>
              <w:top w:val="nil"/>
              <w:left w:val="nil"/>
              <w:bottom w:val="nil"/>
              <w:right w:val="nil"/>
            </w:tcBorders>
          </w:tcPr>
          <w:p w14:paraId="4C1CEE4C"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0CEEB3E7"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088)</w:t>
            </w:r>
          </w:p>
        </w:tc>
      </w:tr>
      <w:tr w:rsidR="00E058DB" w:rsidRPr="00FB6512" w14:paraId="510D20F3" w14:textId="77777777" w:rsidTr="00D15FF7">
        <w:trPr>
          <w:jc w:val="center"/>
        </w:trPr>
        <w:tc>
          <w:tcPr>
            <w:tcW w:w="6843" w:type="dxa"/>
            <w:tcBorders>
              <w:top w:val="nil"/>
              <w:left w:val="nil"/>
              <w:bottom w:val="nil"/>
              <w:right w:val="nil"/>
            </w:tcBorders>
          </w:tcPr>
          <w:p w14:paraId="6F2ED482"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 topic media attention</w:t>
            </w:r>
            <w:r>
              <w:rPr>
                <w:color w:val="000000" w:themeColor="text1"/>
                <w:lang w:val="en-US"/>
              </w:rPr>
              <w:t xml:space="preserve"> (</w:t>
            </w:r>
            <w:r>
              <w:rPr>
                <w:i/>
                <w:color w:val="000000" w:themeColor="text1"/>
                <w:lang w:val="en-US"/>
              </w:rPr>
              <w:t>MEDIA_)</w:t>
            </w:r>
          </w:p>
        </w:tc>
        <w:tc>
          <w:tcPr>
            <w:tcW w:w="1584" w:type="dxa"/>
            <w:tcBorders>
              <w:top w:val="nil"/>
              <w:left w:val="nil"/>
              <w:bottom w:val="nil"/>
              <w:right w:val="nil"/>
            </w:tcBorders>
          </w:tcPr>
          <w:p w14:paraId="729B760F"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0755***</w:t>
            </w:r>
          </w:p>
        </w:tc>
      </w:tr>
      <w:tr w:rsidR="00E058DB" w:rsidRPr="00FB6512" w14:paraId="6EA27AD2" w14:textId="77777777" w:rsidTr="00D15FF7">
        <w:trPr>
          <w:jc w:val="center"/>
        </w:trPr>
        <w:tc>
          <w:tcPr>
            <w:tcW w:w="6843" w:type="dxa"/>
            <w:tcBorders>
              <w:top w:val="nil"/>
              <w:left w:val="nil"/>
              <w:bottom w:val="nil"/>
              <w:right w:val="nil"/>
            </w:tcBorders>
          </w:tcPr>
          <w:p w14:paraId="7FB5DBB9"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7EBB330D"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021)</w:t>
            </w:r>
          </w:p>
        </w:tc>
      </w:tr>
      <w:tr w:rsidR="00E058DB" w:rsidRPr="00FB6512" w14:paraId="1ECED16D" w14:textId="77777777" w:rsidTr="00D15FF7">
        <w:trPr>
          <w:jc w:val="center"/>
        </w:trPr>
        <w:tc>
          <w:tcPr>
            <w:tcW w:w="6843" w:type="dxa"/>
            <w:tcBorders>
              <w:top w:val="nil"/>
              <w:left w:val="nil"/>
              <w:bottom w:val="nil"/>
              <w:right w:val="nil"/>
            </w:tcBorders>
          </w:tcPr>
          <w:p w14:paraId="6A4EC94A"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complaints excluded</w:t>
            </w:r>
          </w:p>
        </w:tc>
        <w:tc>
          <w:tcPr>
            <w:tcW w:w="1584" w:type="dxa"/>
            <w:tcBorders>
              <w:top w:val="nil"/>
              <w:left w:val="nil"/>
              <w:bottom w:val="nil"/>
              <w:right w:val="nil"/>
            </w:tcBorders>
          </w:tcPr>
          <w:p w14:paraId="6B8D1796"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0119</w:t>
            </w:r>
          </w:p>
        </w:tc>
      </w:tr>
      <w:tr w:rsidR="00E058DB" w:rsidRPr="00FB6512" w14:paraId="216F7074" w14:textId="77777777" w:rsidTr="00D15FF7">
        <w:trPr>
          <w:jc w:val="center"/>
        </w:trPr>
        <w:tc>
          <w:tcPr>
            <w:tcW w:w="6843" w:type="dxa"/>
            <w:tcBorders>
              <w:top w:val="nil"/>
              <w:left w:val="nil"/>
              <w:bottom w:val="nil"/>
              <w:right w:val="nil"/>
            </w:tcBorders>
          </w:tcPr>
          <w:p w14:paraId="7F4506DB"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1624EB9C"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081)</w:t>
            </w:r>
          </w:p>
        </w:tc>
      </w:tr>
      <w:tr w:rsidR="00E058DB" w:rsidRPr="00FB6512" w14:paraId="48E6E40B" w14:textId="77777777" w:rsidTr="00D15FF7">
        <w:trPr>
          <w:jc w:val="center"/>
        </w:trPr>
        <w:tc>
          <w:tcPr>
            <w:tcW w:w="6843" w:type="dxa"/>
            <w:tcBorders>
              <w:top w:val="nil"/>
              <w:left w:val="nil"/>
              <w:bottom w:val="nil"/>
              <w:right w:val="nil"/>
            </w:tcBorders>
          </w:tcPr>
          <w:p w14:paraId="4B39CF22"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Shareholder complaint voting support</w:t>
            </w:r>
          </w:p>
        </w:tc>
        <w:tc>
          <w:tcPr>
            <w:tcW w:w="1584" w:type="dxa"/>
            <w:tcBorders>
              <w:top w:val="nil"/>
              <w:left w:val="nil"/>
              <w:bottom w:val="nil"/>
              <w:right w:val="nil"/>
            </w:tcBorders>
          </w:tcPr>
          <w:p w14:paraId="03CC1FA6"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0598</w:t>
            </w:r>
          </w:p>
        </w:tc>
      </w:tr>
      <w:tr w:rsidR="00E058DB" w:rsidRPr="00FB6512" w14:paraId="49172165" w14:textId="77777777" w:rsidTr="00D15FF7">
        <w:trPr>
          <w:jc w:val="center"/>
        </w:trPr>
        <w:tc>
          <w:tcPr>
            <w:tcW w:w="6843" w:type="dxa"/>
            <w:tcBorders>
              <w:top w:val="nil"/>
              <w:left w:val="nil"/>
              <w:bottom w:val="nil"/>
              <w:right w:val="nil"/>
            </w:tcBorders>
          </w:tcPr>
          <w:p w14:paraId="5CC75170"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658C0E8D"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062)</w:t>
            </w:r>
          </w:p>
        </w:tc>
      </w:tr>
      <w:tr w:rsidR="00E058DB" w:rsidRPr="00FB6512" w14:paraId="68215D1D" w14:textId="77777777" w:rsidTr="00D15FF7">
        <w:trPr>
          <w:jc w:val="center"/>
        </w:trPr>
        <w:tc>
          <w:tcPr>
            <w:tcW w:w="6843" w:type="dxa"/>
            <w:tcBorders>
              <w:top w:val="nil"/>
              <w:left w:val="nil"/>
              <w:bottom w:val="nil"/>
              <w:right w:val="nil"/>
            </w:tcBorders>
          </w:tcPr>
          <w:p w14:paraId="1769084B"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Firm size</w:t>
            </w:r>
          </w:p>
        </w:tc>
        <w:tc>
          <w:tcPr>
            <w:tcW w:w="1584" w:type="dxa"/>
            <w:tcBorders>
              <w:top w:val="nil"/>
              <w:left w:val="nil"/>
              <w:bottom w:val="nil"/>
              <w:right w:val="nil"/>
            </w:tcBorders>
          </w:tcPr>
          <w:p w14:paraId="336FEE9A"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4352***</w:t>
            </w:r>
          </w:p>
        </w:tc>
      </w:tr>
      <w:tr w:rsidR="00E058DB" w:rsidRPr="00FB6512" w14:paraId="79EC547A" w14:textId="77777777" w:rsidTr="00D15FF7">
        <w:trPr>
          <w:jc w:val="center"/>
        </w:trPr>
        <w:tc>
          <w:tcPr>
            <w:tcW w:w="6843" w:type="dxa"/>
            <w:tcBorders>
              <w:top w:val="nil"/>
              <w:left w:val="nil"/>
              <w:bottom w:val="nil"/>
              <w:right w:val="nil"/>
            </w:tcBorders>
          </w:tcPr>
          <w:p w14:paraId="62FE1333"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48337A6C"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043)</w:t>
            </w:r>
          </w:p>
        </w:tc>
      </w:tr>
      <w:tr w:rsidR="00E058DB" w:rsidRPr="00FB6512" w14:paraId="316508F2" w14:textId="77777777" w:rsidTr="00D15FF7">
        <w:trPr>
          <w:jc w:val="center"/>
        </w:trPr>
        <w:tc>
          <w:tcPr>
            <w:tcW w:w="6843" w:type="dxa"/>
            <w:tcBorders>
              <w:top w:val="nil"/>
              <w:left w:val="nil"/>
              <w:bottom w:val="nil"/>
              <w:right w:val="nil"/>
            </w:tcBorders>
          </w:tcPr>
          <w:p w14:paraId="7A71C4F4"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Profitability</w:t>
            </w:r>
          </w:p>
        </w:tc>
        <w:tc>
          <w:tcPr>
            <w:tcW w:w="1584" w:type="dxa"/>
            <w:tcBorders>
              <w:top w:val="nil"/>
              <w:left w:val="nil"/>
              <w:bottom w:val="nil"/>
              <w:right w:val="nil"/>
            </w:tcBorders>
          </w:tcPr>
          <w:p w14:paraId="799DAF8F"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1117***</w:t>
            </w:r>
          </w:p>
        </w:tc>
      </w:tr>
      <w:tr w:rsidR="00E058DB" w:rsidRPr="00FB6512" w14:paraId="4278B857" w14:textId="77777777" w:rsidTr="00D15FF7">
        <w:trPr>
          <w:jc w:val="center"/>
        </w:trPr>
        <w:tc>
          <w:tcPr>
            <w:tcW w:w="6843" w:type="dxa"/>
            <w:tcBorders>
              <w:top w:val="nil"/>
              <w:left w:val="nil"/>
              <w:bottom w:val="nil"/>
              <w:right w:val="nil"/>
            </w:tcBorders>
          </w:tcPr>
          <w:p w14:paraId="0C14F978"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1BB323FF"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021)</w:t>
            </w:r>
          </w:p>
        </w:tc>
      </w:tr>
      <w:tr w:rsidR="00E058DB" w:rsidRPr="00FB6512" w14:paraId="05B72807" w14:textId="77777777" w:rsidTr="00D15FF7">
        <w:trPr>
          <w:jc w:val="center"/>
        </w:trPr>
        <w:tc>
          <w:tcPr>
            <w:tcW w:w="6843" w:type="dxa"/>
            <w:tcBorders>
              <w:top w:val="nil"/>
              <w:left w:val="nil"/>
              <w:bottom w:val="nil"/>
              <w:right w:val="nil"/>
            </w:tcBorders>
          </w:tcPr>
          <w:p w14:paraId="2C44BF1E"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Sales growth</w:t>
            </w:r>
          </w:p>
        </w:tc>
        <w:tc>
          <w:tcPr>
            <w:tcW w:w="1584" w:type="dxa"/>
            <w:tcBorders>
              <w:top w:val="nil"/>
              <w:left w:val="nil"/>
              <w:bottom w:val="nil"/>
              <w:right w:val="nil"/>
            </w:tcBorders>
          </w:tcPr>
          <w:p w14:paraId="6464AFBF"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2693***</w:t>
            </w:r>
          </w:p>
        </w:tc>
      </w:tr>
      <w:tr w:rsidR="00E058DB" w:rsidRPr="00FB6512" w14:paraId="07B403F7" w14:textId="77777777" w:rsidTr="00D15FF7">
        <w:trPr>
          <w:jc w:val="center"/>
        </w:trPr>
        <w:tc>
          <w:tcPr>
            <w:tcW w:w="6843" w:type="dxa"/>
            <w:tcBorders>
              <w:top w:val="nil"/>
              <w:left w:val="nil"/>
              <w:bottom w:val="nil"/>
              <w:right w:val="nil"/>
            </w:tcBorders>
          </w:tcPr>
          <w:p w14:paraId="5E874EC3"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07E56DDA"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045)</w:t>
            </w:r>
          </w:p>
        </w:tc>
      </w:tr>
      <w:tr w:rsidR="00E058DB" w:rsidRPr="00FB6512" w14:paraId="65D6D336" w14:textId="77777777" w:rsidTr="00D15FF7">
        <w:trPr>
          <w:jc w:val="center"/>
        </w:trPr>
        <w:tc>
          <w:tcPr>
            <w:tcW w:w="6843" w:type="dxa"/>
            <w:tcBorders>
              <w:top w:val="nil"/>
              <w:left w:val="nil"/>
              <w:bottom w:val="nil"/>
              <w:right w:val="nil"/>
            </w:tcBorders>
          </w:tcPr>
          <w:p w14:paraId="2008BDF3"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Market share</w:t>
            </w:r>
          </w:p>
        </w:tc>
        <w:tc>
          <w:tcPr>
            <w:tcW w:w="1584" w:type="dxa"/>
            <w:tcBorders>
              <w:top w:val="nil"/>
              <w:left w:val="nil"/>
              <w:bottom w:val="nil"/>
              <w:right w:val="nil"/>
            </w:tcBorders>
          </w:tcPr>
          <w:p w14:paraId="0A6BD4FE"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5697**</w:t>
            </w:r>
          </w:p>
        </w:tc>
      </w:tr>
      <w:tr w:rsidR="00E058DB" w:rsidRPr="00FB6512" w14:paraId="3B491186" w14:textId="77777777" w:rsidTr="00D15FF7">
        <w:trPr>
          <w:jc w:val="center"/>
        </w:trPr>
        <w:tc>
          <w:tcPr>
            <w:tcW w:w="6843" w:type="dxa"/>
            <w:tcBorders>
              <w:top w:val="nil"/>
              <w:left w:val="nil"/>
              <w:bottom w:val="nil"/>
              <w:right w:val="nil"/>
            </w:tcBorders>
          </w:tcPr>
          <w:p w14:paraId="7D71AEA2"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0D456BE6"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253)</w:t>
            </w:r>
          </w:p>
        </w:tc>
      </w:tr>
      <w:tr w:rsidR="00E058DB" w:rsidRPr="00FB6512" w14:paraId="7CD8021B" w14:textId="77777777" w:rsidTr="00D15FF7">
        <w:trPr>
          <w:jc w:val="center"/>
        </w:trPr>
        <w:tc>
          <w:tcPr>
            <w:tcW w:w="6843" w:type="dxa"/>
            <w:tcBorders>
              <w:top w:val="nil"/>
              <w:left w:val="nil"/>
              <w:bottom w:val="nil"/>
              <w:right w:val="nil"/>
            </w:tcBorders>
          </w:tcPr>
          <w:p w14:paraId="7D3219A4"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Financial leverage</w:t>
            </w:r>
          </w:p>
        </w:tc>
        <w:tc>
          <w:tcPr>
            <w:tcW w:w="1584" w:type="dxa"/>
            <w:tcBorders>
              <w:top w:val="nil"/>
              <w:left w:val="nil"/>
              <w:bottom w:val="nil"/>
              <w:right w:val="nil"/>
            </w:tcBorders>
          </w:tcPr>
          <w:p w14:paraId="060EB23A"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0002</w:t>
            </w:r>
          </w:p>
        </w:tc>
      </w:tr>
      <w:tr w:rsidR="00E058DB" w:rsidRPr="00FB6512" w14:paraId="7BAAE2AC" w14:textId="77777777" w:rsidTr="00D15FF7">
        <w:trPr>
          <w:jc w:val="center"/>
        </w:trPr>
        <w:tc>
          <w:tcPr>
            <w:tcW w:w="6843" w:type="dxa"/>
            <w:tcBorders>
              <w:top w:val="nil"/>
              <w:left w:val="nil"/>
              <w:bottom w:val="nil"/>
              <w:right w:val="nil"/>
            </w:tcBorders>
          </w:tcPr>
          <w:p w14:paraId="05D5B801"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7300AAF1"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001)</w:t>
            </w:r>
          </w:p>
        </w:tc>
      </w:tr>
      <w:tr w:rsidR="00E058DB" w:rsidRPr="00FB6512" w14:paraId="14954DEF" w14:textId="77777777" w:rsidTr="00D15FF7">
        <w:trPr>
          <w:jc w:val="center"/>
        </w:trPr>
        <w:tc>
          <w:tcPr>
            <w:tcW w:w="6843" w:type="dxa"/>
            <w:tcBorders>
              <w:top w:val="nil"/>
              <w:left w:val="nil"/>
              <w:bottom w:val="nil"/>
              <w:right w:val="nil"/>
            </w:tcBorders>
          </w:tcPr>
          <w:p w14:paraId="65C6DBE4"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Constant</w:t>
            </w:r>
          </w:p>
        </w:tc>
        <w:tc>
          <w:tcPr>
            <w:tcW w:w="1584" w:type="dxa"/>
            <w:tcBorders>
              <w:top w:val="nil"/>
              <w:left w:val="nil"/>
              <w:bottom w:val="nil"/>
              <w:right w:val="nil"/>
            </w:tcBorders>
          </w:tcPr>
          <w:p w14:paraId="18EE99F7"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6.3128***</w:t>
            </w:r>
          </w:p>
        </w:tc>
      </w:tr>
      <w:tr w:rsidR="00E058DB" w:rsidRPr="00FB6512" w14:paraId="782B554C" w14:textId="77777777" w:rsidTr="00D15FF7">
        <w:trPr>
          <w:jc w:val="center"/>
        </w:trPr>
        <w:tc>
          <w:tcPr>
            <w:tcW w:w="6843" w:type="dxa"/>
            <w:tcBorders>
              <w:top w:val="nil"/>
              <w:left w:val="nil"/>
              <w:bottom w:val="nil"/>
              <w:right w:val="nil"/>
            </w:tcBorders>
          </w:tcPr>
          <w:p w14:paraId="3EDB7BF4"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052F06FA"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(1.242)</w:t>
            </w:r>
          </w:p>
        </w:tc>
      </w:tr>
      <w:tr w:rsidR="00E058DB" w:rsidRPr="00FB6512" w14:paraId="5EBE8CB7" w14:textId="77777777" w:rsidTr="00D15FF7">
        <w:trPr>
          <w:jc w:val="center"/>
        </w:trPr>
        <w:tc>
          <w:tcPr>
            <w:tcW w:w="6843" w:type="dxa"/>
            <w:tcBorders>
              <w:top w:val="nil"/>
              <w:left w:val="nil"/>
              <w:bottom w:val="nil"/>
              <w:right w:val="nil"/>
            </w:tcBorders>
          </w:tcPr>
          <w:p w14:paraId="31743275" w14:textId="77777777" w:rsidR="00E058DB" w:rsidRPr="00064F56" w:rsidRDefault="00E058DB" w:rsidP="00D15FF7">
            <w:pPr>
              <w:widowControl w:val="0"/>
              <w:autoSpaceDE w:val="0"/>
              <w:autoSpaceDN w:val="0"/>
              <w:adjustRightInd w:val="0"/>
              <w:rPr>
                <w:color w:val="000000" w:themeColor="text1"/>
                <w:lang w:val="en-US"/>
              </w:rPr>
            </w:pPr>
          </w:p>
        </w:tc>
        <w:tc>
          <w:tcPr>
            <w:tcW w:w="1584" w:type="dxa"/>
            <w:tcBorders>
              <w:top w:val="nil"/>
              <w:left w:val="nil"/>
              <w:bottom w:val="nil"/>
              <w:right w:val="nil"/>
            </w:tcBorders>
          </w:tcPr>
          <w:p w14:paraId="51C07111" w14:textId="77777777" w:rsidR="00E058DB" w:rsidRPr="00064F56" w:rsidRDefault="00E058DB" w:rsidP="00D15FF7">
            <w:pPr>
              <w:widowControl w:val="0"/>
              <w:autoSpaceDE w:val="0"/>
              <w:autoSpaceDN w:val="0"/>
              <w:adjustRightInd w:val="0"/>
              <w:jc w:val="center"/>
              <w:rPr>
                <w:color w:val="000000" w:themeColor="text1"/>
                <w:lang w:val="en-US"/>
              </w:rPr>
            </w:pPr>
          </w:p>
        </w:tc>
      </w:tr>
      <w:tr w:rsidR="00E058DB" w:rsidRPr="00FB6512" w14:paraId="614C103A" w14:textId="77777777" w:rsidTr="00D15FF7">
        <w:trPr>
          <w:jc w:val="center"/>
        </w:trPr>
        <w:tc>
          <w:tcPr>
            <w:tcW w:w="6843" w:type="dxa"/>
            <w:tcBorders>
              <w:top w:val="nil"/>
              <w:left w:val="nil"/>
              <w:bottom w:val="nil"/>
              <w:right w:val="nil"/>
            </w:tcBorders>
          </w:tcPr>
          <w:p w14:paraId="4F2925C4"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Observations</w:t>
            </w:r>
          </w:p>
        </w:tc>
        <w:tc>
          <w:tcPr>
            <w:tcW w:w="1584" w:type="dxa"/>
            <w:tcBorders>
              <w:top w:val="nil"/>
              <w:left w:val="nil"/>
              <w:bottom w:val="nil"/>
              <w:right w:val="nil"/>
            </w:tcBorders>
          </w:tcPr>
          <w:p w14:paraId="789AAF82"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4,428</w:t>
            </w:r>
          </w:p>
        </w:tc>
      </w:tr>
      <w:tr w:rsidR="00E058DB" w:rsidRPr="00FB6512" w14:paraId="72076281" w14:textId="77777777" w:rsidTr="00D15FF7">
        <w:trPr>
          <w:jc w:val="center"/>
        </w:trPr>
        <w:tc>
          <w:tcPr>
            <w:tcW w:w="6843" w:type="dxa"/>
            <w:tcBorders>
              <w:top w:val="nil"/>
              <w:left w:val="nil"/>
              <w:bottom w:val="nil"/>
              <w:right w:val="nil"/>
            </w:tcBorders>
          </w:tcPr>
          <w:p w14:paraId="3E17609B"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Adjusted R-squared</w:t>
            </w:r>
          </w:p>
        </w:tc>
        <w:tc>
          <w:tcPr>
            <w:tcW w:w="1584" w:type="dxa"/>
            <w:tcBorders>
              <w:top w:val="nil"/>
              <w:left w:val="nil"/>
              <w:bottom w:val="nil"/>
              <w:right w:val="nil"/>
            </w:tcBorders>
          </w:tcPr>
          <w:p w14:paraId="21E1E47D" w14:textId="77777777" w:rsidR="00E058DB" w:rsidRPr="00064F56" w:rsidRDefault="00E058DB" w:rsidP="00D15FF7">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124</w:t>
            </w:r>
          </w:p>
        </w:tc>
      </w:tr>
      <w:tr w:rsidR="00E058DB" w:rsidRPr="00FB6512" w14:paraId="71781799" w14:textId="77777777" w:rsidTr="00D15FF7">
        <w:tblPrEx>
          <w:tblBorders>
            <w:bottom w:val="single" w:sz="6" w:space="0" w:color="auto"/>
          </w:tblBorders>
        </w:tblPrEx>
        <w:trPr>
          <w:jc w:val="center"/>
        </w:trPr>
        <w:tc>
          <w:tcPr>
            <w:tcW w:w="6843" w:type="dxa"/>
            <w:tcBorders>
              <w:top w:val="nil"/>
              <w:left w:val="nil"/>
              <w:bottom w:val="single" w:sz="6" w:space="0" w:color="auto"/>
              <w:right w:val="nil"/>
            </w:tcBorders>
          </w:tcPr>
          <w:p w14:paraId="205AD990" w14:textId="77777777" w:rsidR="00E058DB" w:rsidRPr="00064F56" w:rsidRDefault="00E058DB" w:rsidP="00D15FF7">
            <w:pPr>
              <w:widowControl w:val="0"/>
              <w:autoSpaceDE w:val="0"/>
              <w:autoSpaceDN w:val="0"/>
              <w:adjustRightInd w:val="0"/>
              <w:rPr>
                <w:color w:val="000000" w:themeColor="text1"/>
                <w:lang w:val="en-US"/>
              </w:rPr>
            </w:pPr>
            <w:r w:rsidRPr="00064F56">
              <w:rPr>
                <w:color w:val="000000" w:themeColor="text1"/>
                <w:lang w:val="en-US"/>
              </w:rPr>
              <w:t>Model F-statistic</w:t>
            </w:r>
          </w:p>
        </w:tc>
        <w:tc>
          <w:tcPr>
            <w:tcW w:w="1584" w:type="dxa"/>
            <w:tcBorders>
              <w:top w:val="nil"/>
              <w:left w:val="nil"/>
              <w:bottom w:val="single" w:sz="6" w:space="0" w:color="auto"/>
              <w:right w:val="nil"/>
            </w:tcBorders>
          </w:tcPr>
          <w:p w14:paraId="585935F7" w14:textId="77777777" w:rsidR="00E058DB" w:rsidRPr="00064F56" w:rsidRDefault="00E058DB" w:rsidP="00D15FF7">
            <w:pPr>
              <w:widowControl w:val="0"/>
              <w:autoSpaceDE w:val="0"/>
              <w:autoSpaceDN w:val="0"/>
              <w:adjustRightInd w:val="0"/>
              <w:jc w:val="center"/>
              <w:rPr>
                <w:color w:val="000000" w:themeColor="text1"/>
                <w:lang w:val="en-US"/>
              </w:rPr>
            </w:pPr>
            <w:r w:rsidRPr="00064F56">
              <w:rPr>
                <w:color w:val="000000" w:themeColor="text1"/>
                <w:lang w:val="en-US"/>
              </w:rPr>
              <w:t>25.58*** (22)</w:t>
            </w:r>
          </w:p>
        </w:tc>
      </w:tr>
    </w:tbl>
    <w:p w14:paraId="272E44BD" w14:textId="77777777" w:rsidR="00E058DB" w:rsidRDefault="00E058DB" w:rsidP="00E058DB">
      <w:pPr>
        <w:pStyle w:val="NoSpacing"/>
        <w:spacing w:line="240" w:lineRule="auto"/>
        <w:ind w:left="460"/>
        <w:rPr>
          <w:color w:val="000000" w:themeColor="text1"/>
          <w:sz w:val="20"/>
          <w:szCs w:val="20"/>
          <w:lang w:val="en-US"/>
        </w:rPr>
      </w:pPr>
      <w:r w:rsidRPr="007C37B0">
        <w:rPr>
          <w:i/>
          <w:color w:val="000000" w:themeColor="text1"/>
          <w:sz w:val="20"/>
          <w:lang w:val="en-US"/>
        </w:rPr>
        <w:t>Notes</w:t>
      </w:r>
      <w:r w:rsidRPr="007C37B0">
        <w:rPr>
          <w:color w:val="000000" w:themeColor="text1"/>
          <w:sz w:val="20"/>
          <w:lang w:val="en-US"/>
        </w:rPr>
        <w:t xml:space="preserve">: </w:t>
      </w:r>
      <w:r>
        <w:rPr>
          <w:color w:val="000000" w:themeColor="text1"/>
          <w:sz w:val="20"/>
          <w:szCs w:val="20"/>
          <w:lang w:val="en-US"/>
        </w:rPr>
        <w:t xml:space="preserve">SHC_, INST_, NONFIN_, and MEDIA_ based on shareholder complaints discussed at the AGM </w:t>
      </w:r>
    </w:p>
    <w:p w14:paraId="350FDFC0" w14:textId="77777777" w:rsidR="00E058DB" w:rsidRPr="007C37B0" w:rsidRDefault="00E058DB" w:rsidP="00E058DB">
      <w:pPr>
        <w:pStyle w:val="NoSpacing"/>
        <w:spacing w:line="240" w:lineRule="auto"/>
        <w:ind w:left="460"/>
        <w:rPr>
          <w:color w:val="000000" w:themeColor="text1"/>
          <w:sz w:val="20"/>
          <w:lang w:val="en-US"/>
        </w:rPr>
      </w:pPr>
      <w:r>
        <w:rPr>
          <w:color w:val="000000" w:themeColor="text1"/>
          <w:sz w:val="20"/>
          <w:szCs w:val="20"/>
          <w:lang w:val="en-US"/>
        </w:rPr>
        <w:t xml:space="preserve">only, </w:t>
      </w:r>
      <w:r w:rsidRPr="00064F56">
        <w:rPr>
          <w:color w:val="000000" w:themeColor="text1"/>
          <w:sz w:val="20"/>
          <w:lang w:val="en-US"/>
        </w:rPr>
        <w:t>calculated at period t-1</w:t>
      </w:r>
      <w:r>
        <w:rPr>
          <w:color w:val="000000" w:themeColor="text1"/>
          <w:sz w:val="20"/>
          <w:szCs w:val="20"/>
          <w:lang w:val="en-US"/>
        </w:rPr>
        <w:t>. S</w:t>
      </w:r>
      <w:r w:rsidRPr="007C37B0">
        <w:rPr>
          <w:color w:val="000000" w:themeColor="text1"/>
          <w:sz w:val="20"/>
          <w:lang w:val="en-US"/>
        </w:rPr>
        <w:t>tandard errors in parentheses. Firm and year fixed effects not reported. ***</w:t>
      </w:r>
      <w:r w:rsidRPr="007C37B0">
        <w:rPr>
          <w:i/>
          <w:color w:val="000000" w:themeColor="text1"/>
          <w:sz w:val="20"/>
          <w:lang w:val="en-US"/>
        </w:rPr>
        <w:t>p</w:t>
      </w:r>
      <w:r w:rsidRPr="007C37B0">
        <w:rPr>
          <w:color w:val="000000" w:themeColor="text1"/>
          <w:sz w:val="20"/>
          <w:lang w:val="en-US"/>
        </w:rPr>
        <w:t>&lt;</w:t>
      </w:r>
      <w:r>
        <w:rPr>
          <w:color w:val="000000" w:themeColor="text1"/>
          <w:sz w:val="20"/>
          <w:lang w:val="en-US"/>
        </w:rPr>
        <w:t>.</w:t>
      </w:r>
      <w:r w:rsidRPr="007C37B0">
        <w:rPr>
          <w:color w:val="000000" w:themeColor="text1"/>
          <w:sz w:val="20"/>
          <w:lang w:val="en-US"/>
        </w:rPr>
        <w:t>01, **</w:t>
      </w:r>
      <w:r w:rsidRPr="007C37B0">
        <w:rPr>
          <w:i/>
          <w:color w:val="000000" w:themeColor="text1"/>
          <w:sz w:val="20"/>
          <w:lang w:val="en-US"/>
        </w:rPr>
        <w:t>p</w:t>
      </w:r>
      <w:r w:rsidRPr="007C37B0">
        <w:rPr>
          <w:color w:val="000000" w:themeColor="text1"/>
          <w:sz w:val="20"/>
          <w:lang w:val="en-US"/>
        </w:rPr>
        <w:t>&lt;</w:t>
      </w:r>
      <w:r>
        <w:rPr>
          <w:color w:val="000000" w:themeColor="text1"/>
          <w:sz w:val="20"/>
          <w:lang w:val="en-US"/>
        </w:rPr>
        <w:t>.</w:t>
      </w:r>
      <w:r w:rsidRPr="007C37B0">
        <w:rPr>
          <w:color w:val="000000" w:themeColor="text1"/>
          <w:sz w:val="20"/>
          <w:lang w:val="en-US"/>
        </w:rPr>
        <w:t>05, *</w:t>
      </w:r>
      <w:r w:rsidRPr="007C37B0">
        <w:rPr>
          <w:i/>
          <w:color w:val="000000" w:themeColor="text1"/>
          <w:sz w:val="20"/>
          <w:lang w:val="en-US"/>
        </w:rPr>
        <w:t>p</w:t>
      </w:r>
      <w:r w:rsidRPr="007C37B0">
        <w:rPr>
          <w:color w:val="000000" w:themeColor="text1"/>
          <w:sz w:val="20"/>
          <w:lang w:val="en-US"/>
        </w:rPr>
        <w:t>&lt;</w:t>
      </w:r>
      <w:r>
        <w:rPr>
          <w:color w:val="000000" w:themeColor="text1"/>
          <w:sz w:val="20"/>
          <w:lang w:val="en-US"/>
        </w:rPr>
        <w:t>.</w:t>
      </w:r>
      <w:r w:rsidRPr="007C37B0">
        <w:rPr>
          <w:color w:val="000000" w:themeColor="text1"/>
          <w:sz w:val="20"/>
          <w:lang w:val="en-US"/>
        </w:rPr>
        <w:t>1</w:t>
      </w:r>
      <w:r>
        <w:rPr>
          <w:color w:val="000000" w:themeColor="text1"/>
          <w:sz w:val="20"/>
          <w:lang w:val="en-US"/>
        </w:rPr>
        <w:t>.</w:t>
      </w:r>
      <w:r w:rsidRPr="007C37B0">
        <w:rPr>
          <w:color w:val="000000" w:themeColor="text1"/>
          <w:sz w:val="20"/>
          <w:lang w:val="en-US"/>
        </w:rPr>
        <w:t xml:space="preserve"> </w:t>
      </w:r>
    </w:p>
    <w:p w14:paraId="3D07A177" w14:textId="77777777" w:rsidR="00E058DB" w:rsidRPr="007C37B0" w:rsidRDefault="00E058DB" w:rsidP="00E058DB">
      <w:pPr>
        <w:rPr>
          <w:b/>
          <w:caps/>
          <w:color w:val="000000" w:themeColor="text1"/>
          <w:lang w:val="en-US"/>
        </w:rPr>
      </w:pPr>
    </w:p>
    <w:p w14:paraId="056D5858" w14:textId="77777777" w:rsidR="00E058DB" w:rsidRDefault="00E058DB">
      <w:pPr>
        <w:rPr>
          <w:b/>
          <w:caps/>
          <w:color w:val="000000" w:themeColor="text1"/>
          <w:lang w:val="en-US"/>
        </w:rPr>
      </w:pPr>
    </w:p>
    <w:p w14:paraId="059BA81C" w14:textId="77777777" w:rsidR="00E058DB" w:rsidRDefault="00E058DB">
      <w:pPr>
        <w:rPr>
          <w:b/>
          <w:caps/>
          <w:color w:val="000000" w:themeColor="text1"/>
          <w:lang w:val="en-US"/>
        </w:rPr>
      </w:pPr>
      <w:r w:rsidRPr="00E058DB">
        <w:rPr>
          <w:color w:val="000000" w:themeColor="text1"/>
          <w:lang w:val="en-US"/>
        </w:rPr>
        <w:br w:type="page"/>
      </w:r>
    </w:p>
    <w:p w14:paraId="6639F00A" w14:textId="2F657C13" w:rsidR="0034631C" w:rsidRPr="007C37B0" w:rsidRDefault="00AB1DFA" w:rsidP="004B5C45">
      <w:pPr>
        <w:pStyle w:val="Heading1"/>
        <w:rPr>
          <w:color w:val="000000" w:themeColor="text1"/>
        </w:rPr>
      </w:pPr>
      <w:r w:rsidRPr="007C37B0">
        <w:rPr>
          <w:color w:val="000000" w:themeColor="text1"/>
        </w:rPr>
        <w:lastRenderedPageBreak/>
        <w:t xml:space="preserve">WEB APPENDIX </w:t>
      </w:r>
      <w:r w:rsidR="00E058DB">
        <w:rPr>
          <w:color w:val="000000" w:themeColor="text1"/>
        </w:rPr>
        <w:t>E</w:t>
      </w:r>
      <w:r w:rsidR="00381992" w:rsidRPr="007C37B0">
        <w:rPr>
          <w:color w:val="000000" w:themeColor="text1"/>
        </w:rPr>
        <w:t>: Categorizing Shareholder Complaint</w:t>
      </w:r>
      <w:r w:rsidR="003A3166">
        <w:rPr>
          <w:color w:val="000000" w:themeColor="text1"/>
        </w:rPr>
        <w:t>S</w:t>
      </w:r>
      <w:r w:rsidR="00381992" w:rsidRPr="007C37B0">
        <w:rPr>
          <w:color w:val="000000" w:themeColor="text1"/>
        </w:rPr>
        <w:t xml:space="preserve"> </w:t>
      </w:r>
    </w:p>
    <w:p w14:paraId="2C07A387" w14:textId="22F204A9" w:rsidR="007F5FA3" w:rsidRPr="007C37B0" w:rsidRDefault="007F5FA3" w:rsidP="0079455C">
      <w:pPr>
        <w:ind w:firstLine="720"/>
        <w:rPr>
          <w:color w:val="000000" w:themeColor="text1"/>
          <w:u w:color="000000"/>
          <w:lang w:val="en-US"/>
        </w:rPr>
      </w:pPr>
    </w:p>
    <w:p w14:paraId="637EAA43" w14:textId="77777777" w:rsidR="00E575FD" w:rsidRPr="007C37B0" w:rsidRDefault="00E575FD" w:rsidP="009846A1">
      <w:pPr>
        <w:rPr>
          <w:b/>
          <w:color w:val="000000" w:themeColor="text1"/>
          <w:u w:color="000000"/>
          <w:lang w:val="en-US"/>
        </w:rPr>
      </w:pPr>
    </w:p>
    <w:p w14:paraId="02C7D313" w14:textId="68EE2E70" w:rsidR="00E575FD" w:rsidRPr="007C37B0" w:rsidRDefault="00E058DB" w:rsidP="009846A1">
      <w:pPr>
        <w:rPr>
          <w:b/>
          <w:color w:val="000000" w:themeColor="text1"/>
          <w:u w:color="000000"/>
          <w:lang w:val="en-US"/>
        </w:rPr>
      </w:pPr>
      <w:r>
        <w:rPr>
          <w:b/>
          <w:color w:val="000000" w:themeColor="text1"/>
          <w:u w:color="000000"/>
          <w:lang w:val="en-US"/>
        </w:rPr>
        <w:t>E</w:t>
      </w:r>
      <w:r w:rsidR="00E575FD" w:rsidRPr="007C37B0">
        <w:rPr>
          <w:b/>
          <w:color w:val="000000" w:themeColor="text1"/>
          <w:u w:color="000000"/>
          <w:lang w:val="en-US"/>
        </w:rPr>
        <w:t xml:space="preserve">1. Operationalizing Shareholder Complaint </w:t>
      </w:r>
      <w:r w:rsidR="00D135AA">
        <w:rPr>
          <w:b/>
          <w:color w:val="000000" w:themeColor="text1"/>
          <w:u w:color="000000"/>
          <w:lang w:val="en-US"/>
        </w:rPr>
        <w:t xml:space="preserve">Institutional </w:t>
      </w:r>
      <w:r w:rsidR="00E575FD" w:rsidRPr="007C37B0">
        <w:rPr>
          <w:b/>
          <w:color w:val="000000" w:themeColor="text1"/>
          <w:u w:color="000000"/>
          <w:lang w:val="en-US"/>
        </w:rPr>
        <w:t>Submitter</w:t>
      </w:r>
    </w:p>
    <w:p w14:paraId="776E0DD3" w14:textId="43291E78" w:rsidR="00E575FD" w:rsidRPr="007C37B0" w:rsidRDefault="00384CD1" w:rsidP="009846A1">
      <w:pPr>
        <w:rPr>
          <w:b/>
          <w:color w:val="000000" w:themeColor="text1"/>
          <w:u w:color="000000"/>
          <w:lang w:val="en-US"/>
        </w:rPr>
      </w:pPr>
      <w:r w:rsidRPr="007C37B0">
        <w:rPr>
          <w:b/>
          <w:color w:val="000000" w:themeColor="text1"/>
          <w:u w:color="000000"/>
          <w:lang w:val="en-US"/>
        </w:rPr>
        <w:tab/>
      </w:r>
      <w:r w:rsidRPr="007C37B0">
        <w:rPr>
          <w:color w:val="000000" w:themeColor="text1"/>
          <w:u w:color="000000"/>
          <w:lang w:val="en-US"/>
        </w:rPr>
        <w:t xml:space="preserve">We operationalize </w:t>
      </w:r>
      <w:r w:rsidRPr="007C37B0">
        <w:rPr>
          <w:i/>
          <w:color w:val="000000" w:themeColor="text1"/>
          <w:u w:color="000000"/>
          <w:lang w:val="en-US"/>
        </w:rPr>
        <w:t xml:space="preserve">shareholder complaint </w:t>
      </w:r>
      <w:r w:rsidR="005F3FDB">
        <w:rPr>
          <w:i/>
          <w:color w:val="000000" w:themeColor="text1"/>
          <w:u w:color="000000"/>
          <w:lang w:val="en-US"/>
        </w:rPr>
        <w:t xml:space="preserve">institutional </w:t>
      </w:r>
      <w:r w:rsidRPr="007C37B0">
        <w:rPr>
          <w:i/>
          <w:color w:val="000000" w:themeColor="text1"/>
          <w:u w:color="000000"/>
          <w:lang w:val="en-US"/>
        </w:rPr>
        <w:t>submitter</w:t>
      </w:r>
      <w:r w:rsidRPr="007C37B0">
        <w:rPr>
          <w:color w:val="000000" w:themeColor="text1"/>
          <w:u w:color="000000"/>
          <w:lang w:val="en-US"/>
        </w:rPr>
        <w:t xml:space="preserve"> as the </w:t>
      </w:r>
      <w:r w:rsidR="00D135AA">
        <w:rPr>
          <w:color w:val="000000" w:themeColor="text1"/>
          <w:u w:color="000000"/>
          <w:lang w:val="en-US"/>
        </w:rPr>
        <w:t>firm-year</w:t>
      </w:r>
      <w:r w:rsidRPr="007C37B0">
        <w:rPr>
          <w:color w:val="000000" w:themeColor="text1"/>
          <w:u w:color="000000"/>
          <w:lang w:val="en-US"/>
        </w:rPr>
        <w:t xml:space="preserve"> percentage of shareholder complaints submitted by institutional investors</w:t>
      </w:r>
      <w:r w:rsidR="00C87470" w:rsidRPr="007C37B0">
        <w:rPr>
          <w:color w:val="000000" w:themeColor="text1"/>
          <w:lang w:val="en-US"/>
        </w:rPr>
        <w:t xml:space="preserve"> (i.e., </w:t>
      </w:r>
      <w:r w:rsidR="00C87470" w:rsidRPr="007C37B0">
        <w:rPr>
          <w:u w:color="000000"/>
          <w:lang w:val="en-US"/>
        </w:rPr>
        <w:t>public pension funds, mutual funds, endowments, and foundations</w:t>
      </w:r>
      <w:r w:rsidR="00C87470" w:rsidRPr="007C37B0">
        <w:rPr>
          <w:color w:val="000000" w:themeColor="text1"/>
          <w:u w:color="000000"/>
          <w:lang w:val="en-US"/>
        </w:rPr>
        <w:t>).</w:t>
      </w:r>
    </w:p>
    <w:p w14:paraId="50453B09" w14:textId="2CA62016" w:rsidR="00C87470" w:rsidRPr="007C37B0" w:rsidRDefault="00384CD1" w:rsidP="009846A1">
      <w:pPr>
        <w:rPr>
          <w:color w:val="000000" w:themeColor="text1"/>
          <w:u w:color="000000"/>
          <w:lang w:val="en-US"/>
        </w:rPr>
      </w:pPr>
      <w:r w:rsidRPr="007C37B0">
        <w:rPr>
          <w:b/>
          <w:color w:val="000000" w:themeColor="text1"/>
          <w:u w:color="000000"/>
          <w:lang w:val="en-US"/>
        </w:rPr>
        <w:tab/>
      </w:r>
      <w:r w:rsidRPr="007C37B0">
        <w:rPr>
          <w:i/>
          <w:color w:val="000000" w:themeColor="text1"/>
          <w:u w:color="000000"/>
          <w:lang w:val="en-US"/>
        </w:rPr>
        <w:t>Example</w:t>
      </w:r>
      <w:r w:rsidRPr="007C37B0">
        <w:rPr>
          <w:color w:val="000000" w:themeColor="text1"/>
          <w:u w:color="000000"/>
          <w:lang w:val="en-US"/>
        </w:rPr>
        <w:t>: In 2015, Aetna Inc. received three shareholder complaints. One was submitted by a public pension fund, generating a</w:t>
      </w:r>
      <w:r w:rsidR="005441DC">
        <w:rPr>
          <w:color w:val="000000" w:themeColor="text1"/>
          <w:u w:color="000000"/>
          <w:lang w:val="en-US"/>
        </w:rPr>
        <w:t xml:space="preserve"> shareholder complaint institutional submitter</w:t>
      </w:r>
      <w:r w:rsidRPr="007C37B0">
        <w:rPr>
          <w:color w:val="000000" w:themeColor="text1"/>
          <w:u w:color="000000"/>
          <w:lang w:val="en-US"/>
        </w:rPr>
        <w:t xml:space="preserve"> percentage value of </w:t>
      </w:r>
      <w:r w:rsidR="00F471C1" w:rsidRPr="007C37B0">
        <w:rPr>
          <w:color w:val="000000" w:themeColor="text1"/>
          <w:u w:color="000000"/>
          <w:lang w:val="en-US"/>
        </w:rPr>
        <w:t>.</w:t>
      </w:r>
      <w:r w:rsidRPr="007C37B0">
        <w:rPr>
          <w:color w:val="000000" w:themeColor="text1"/>
          <w:u w:color="000000"/>
          <w:lang w:val="en-US"/>
        </w:rPr>
        <w:t>33 for this firm-year observation.</w:t>
      </w:r>
    </w:p>
    <w:p w14:paraId="75DBEF05" w14:textId="77777777" w:rsidR="00E575FD" w:rsidRPr="007C37B0" w:rsidRDefault="00E575FD" w:rsidP="009846A1">
      <w:pPr>
        <w:rPr>
          <w:b/>
          <w:color w:val="000000" w:themeColor="text1"/>
          <w:u w:color="000000"/>
          <w:lang w:val="en-US"/>
        </w:rPr>
      </w:pPr>
    </w:p>
    <w:p w14:paraId="39A9885C" w14:textId="6BE856AC" w:rsidR="007F5FA3" w:rsidRPr="007C37B0" w:rsidRDefault="00E058DB" w:rsidP="009846A1">
      <w:pPr>
        <w:rPr>
          <w:b/>
          <w:color w:val="000000" w:themeColor="text1"/>
          <w:u w:color="000000"/>
          <w:lang w:val="en-US"/>
        </w:rPr>
      </w:pPr>
      <w:r>
        <w:rPr>
          <w:b/>
          <w:color w:val="000000" w:themeColor="text1"/>
          <w:u w:color="000000"/>
          <w:lang w:val="en-US"/>
        </w:rPr>
        <w:t>E</w:t>
      </w:r>
      <w:r w:rsidR="00555BC1" w:rsidRPr="007C37B0">
        <w:rPr>
          <w:b/>
          <w:color w:val="000000" w:themeColor="text1"/>
          <w:u w:color="000000"/>
          <w:lang w:val="en-US"/>
        </w:rPr>
        <w:t>2</w:t>
      </w:r>
      <w:r w:rsidR="00C76DAD" w:rsidRPr="007C37B0">
        <w:rPr>
          <w:b/>
          <w:color w:val="000000" w:themeColor="text1"/>
          <w:u w:color="000000"/>
          <w:lang w:val="en-US"/>
        </w:rPr>
        <w:t>.</w:t>
      </w:r>
      <w:r w:rsidR="00B10907" w:rsidRPr="007C37B0">
        <w:rPr>
          <w:b/>
          <w:color w:val="000000" w:themeColor="text1"/>
          <w:u w:color="000000"/>
          <w:lang w:val="en-US"/>
        </w:rPr>
        <w:t xml:space="preserve"> </w:t>
      </w:r>
      <w:r w:rsidR="00BE63DB" w:rsidRPr="007C37B0">
        <w:rPr>
          <w:b/>
          <w:color w:val="000000" w:themeColor="text1"/>
          <w:u w:color="000000"/>
          <w:lang w:val="en-US"/>
        </w:rPr>
        <w:t xml:space="preserve">Operationalizing </w:t>
      </w:r>
      <w:r w:rsidR="00EA3989" w:rsidRPr="007C37B0">
        <w:rPr>
          <w:b/>
          <w:color w:val="000000" w:themeColor="text1"/>
          <w:u w:color="000000"/>
          <w:lang w:val="en-US"/>
        </w:rPr>
        <w:t>S</w:t>
      </w:r>
      <w:r w:rsidR="00B10907" w:rsidRPr="007C37B0">
        <w:rPr>
          <w:b/>
          <w:color w:val="000000" w:themeColor="text1"/>
          <w:u w:color="000000"/>
          <w:lang w:val="en-US"/>
        </w:rPr>
        <w:t xml:space="preserve">hareholder </w:t>
      </w:r>
      <w:r w:rsidR="00EA3989" w:rsidRPr="007C37B0">
        <w:rPr>
          <w:b/>
          <w:color w:val="000000" w:themeColor="text1"/>
          <w:u w:color="000000"/>
          <w:lang w:val="en-US"/>
        </w:rPr>
        <w:t>C</w:t>
      </w:r>
      <w:r w:rsidR="00B10907" w:rsidRPr="007C37B0">
        <w:rPr>
          <w:b/>
          <w:color w:val="000000" w:themeColor="text1"/>
          <w:u w:color="000000"/>
          <w:lang w:val="en-US"/>
        </w:rPr>
        <w:t xml:space="preserve">omplaint </w:t>
      </w:r>
      <w:r w:rsidR="00FB6512">
        <w:rPr>
          <w:b/>
          <w:color w:val="000000" w:themeColor="text1"/>
          <w:u w:color="000000"/>
          <w:lang w:val="en-US"/>
        </w:rPr>
        <w:t xml:space="preserve">Topic </w:t>
      </w:r>
      <w:r w:rsidR="00EA3989" w:rsidRPr="007C37B0">
        <w:rPr>
          <w:b/>
          <w:color w:val="000000" w:themeColor="text1"/>
          <w:u w:color="000000"/>
          <w:lang w:val="en-US"/>
        </w:rPr>
        <w:t>M</w:t>
      </w:r>
      <w:r w:rsidR="00B10907" w:rsidRPr="007C37B0">
        <w:rPr>
          <w:b/>
          <w:color w:val="000000" w:themeColor="text1"/>
          <w:u w:color="000000"/>
          <w:lang w:val="en-US"/>
        </w:rPr>
        <w:t xml:space="preserve">edia </w:t>
      </w:r>
      <w:r w:rsidR="00EA3989" w:rsidRPr="007C37B0">
        <w:rPr>
          <w:b/>
          <w:color w:val="000000" w:themeColor="text1"/>
          <w:u w:color="000000"/>
          <w:lang w:val="en-US"/>
        </w:rPr>
        <w:t>A</w:t>
      </w:r>
      <w:r w:rsidR="00B10907" w:rsidRPr="007C37B0">
        <w:rPr>
          <w:b/>
          <w:color w:val="000000" w:themeColor="text1"/>
          <w:u w:color="000000"/>
          <w:lang w:val="en-US"/>
        </w:rPr>
        <w:t>ttention</w:t>
      </w:r>
    </w:p>
    <w:p w14:paraId="079937A2" w14:textId="6DB48A13" w:rsidR="00B10907" w:rsidRPr="007C37B0" w:rsidRDefault="00B10907" w:rsidP="00B10907">
      <w:pPr>
        <w:ind w:firstLine="720"/>
        <w:rPr>
          <w:color w:val="000000" w:themeColor="text1"/>
          <w:u w:color="000000"/>
          <w:lang w:val="en-US"/>
        </w:rPr>
      </w:pPr>
      <w:r w:rsidRPr="007C37B0">
        <w:rPr>
          <w:i/>
          <w:color w:val="000000" w:themeColor="text1"/>
          <w:u w:color="000000"/>
          <w:lang w:val="en-US"/>
        </w:rPr>
        <w:t>Shareholder</w:t>
      </w:r>
      <w:r w:rsidR="00305393" w:rsidRPr="007C37B0">
        <w:rPr>
          <w:i/>
          <w:color w:val="000000" w:themeColor="text1"/>
          <w:u w:color="000000"/>
          <w:lang w:val="en-US"/>
        </w:rPr>
        <w:t xml:space="preserve"> complaint</w:t>
      </w:r>
      <w:r w:rsidRPr="007C37B0">
        <w:rPr>
          <w:i/>
          <w:color w:val="000000" w:themeColor="text1"/>
          <w:u w:color="000000"/>
          <w:lang w:val="en-US"/>
        </w:rPr>
        <w:t xml:space="preserve"> </w:t>
      </w:r>
      <w:r w:rsidR="003A298E" w:rsidRPr="007C37B0">
        <w:rPr>
          <w:i/>
          <w:color w:val="000000" w:themeColor="text1"/>
          <w:u w:color="000000"/>
          <w:lang w:val="en-US"/>
        </w:rPr>
        <w:t xml:space="preserve">topic </w:t>
      </w:r>
      <w:r w:rsidRPr="007C37B0">
        <w:rPr>
          <w:i/>
          <w:color w:val="000000" w:themeColor="text1"/>
          <w:u w:color="000000"/>
          <w:lang w:val="en-US"/>
        </w:rPr>
        <w:t>media attention</w:t>
      </w:r>
      <w:r w:rsidRPr="007C37B0">
        <w:rPr>
          <w:color w:val="000000" w:themeColor="text1"/>
          <w:u w:color="000000"/>
          <w:lang w:val="en-US"/>
        </w:rPr>
        <w:t xml:space="preserve"> is the yearly media coverage (i.e., articles count) about the topic addressed in a given complaint as captured on LexisNexis (see Liu </w:t>
      </w:r>
      <w:r w:rsidR="00DB4DE0" w:rsidRPr="007C37B0">
        <w:rPr>
          <w:color w:val="000000" w:themeColor="text1"/>
          <w:u w:color="000000"/>
          <w:lang w:val="en-US"/>
        </w:rPr>
        <w:t>and Shankar 2015</w:t>
      </w:r>
      <w:r w:rsidRPr="007C37B0">
        <w:rPr>
          <w:color w:val="000000" w:themeColor="text1"/>
          <w:u w:color="000000"/>
          <w:lang w:val="en-US"/>
        </w:rPr>
        <w:t xml:space="preserve">). We use the following procedure to arrive at our measure. First, we pull </w:t>
      </w:r>
      <w:proofErr w:type="spellStart"/>
      <w:r w:rsidRPr="007C37B0">
        <w:rPr>
          <w:color w:val="000000" w:themeColor="text1"/>
          <w:u w:color="000000"/>
          <w:lang w:val="en-US"/>
        </w:rPr>
        <w:t>RiskMetrics</w:t>
      </w:r>
      <w:proofErr w:type="spellEnd"/>
      <w:r w:rsidRPr="007C37B0">
        <w:rPr>
          <w:color w:val="000000" w:themeColor="text1"/>
          <w:u w:color="000000"/>
          <w:lang w:val="en-US"/>
        </w:rPr>
        <w:t>’ summary description of each complaint’s topic. These descriptions are between three and nine words long (91% of the summaries have fewer than six words). We remove all filler words to identify the index terms used to describe the topic of the complaint</w:t>
      </w:r>
      <w:r w:rsidR="00615F3B" w:rsidRPr="007C37B0">
        <w:rPr>
          <w:color w:val="000000" w:themeColor="text1"/>
          <w:u w:color="000000"/>
          <w:lang w:val="en-US"/>
        </w:rPr>
        <w:t xml:space="preserve"> and </w:t>
      </w:r>
      <w:r w:rsidRPr="007C37B0">
        <w:rPr>
          <w:color w:val="000000" w:themeColor="text1"/>
          <w:u w:color="000000"/>
          <w:lang w:val="en-US"/>
        </w:rPr>
        <w:t xml:space="preserve">search LexisNexis for all </w:t>
      </w:r>
      <w:r w:rsidR="008F5173" w:rsidRPr="007C37B0">
        <w:rPr>
          <w:color w:val="000000" w:themeColor="text1"/>
          <w:u w:color="000000"/>
          <w:lang w:val="en-US"/>
        </w:rPr>
        <w:t xml:space="preserve">newspaper </w:t>
      </w:r>
      <w:r w:rsidRPr="007C37B0">
        <w:rPr>
          <w:color w:val="000000" w:themeColor="text1"/>
          <w:u w:color="000000"/>
          <w:lang w:val="en-US"/>
        </w:rPr>
        <w:t xml:space="preserve">articles that mention the respective </w:t>
      </w:r>
      <w:r w:rsidR="000A4505" w:rsidRPr="007C37B0">
        <w:rPr>
          <w:color w:val="000000" w:themeColor="text1"/>
          <w:u w:color="000000"/>
          <w:lang w:val="en-US"/>
        </w:rPr>
        <w:t>index term</w:t>
      </w:r>
      <w:r w:rsidRPr="007C37B0">
        <w:rPr>
          <w:color w:val="000000" w:themeColor="text1"/>
          <w:u w:color="000000"/>
          <w:lang w:val="en-US"/>
        </w:rPr>
        <w:t xml:space="preserve"> </w:t>
      </w:r>
      <w:r w:rsidR="00D135AA">
        <w:rPr>
          <w:color w:val="000000" w:themeColor="text1"/>
          <w:u w:color="000000"/>
          <w:lang w:val="en-US"/>
        </w:rPr>
        <w:t>by year</w:t>
      </w:r>
      <w:r w:rsidR="008F5173" w:rsidRPr="007C37B0">
        <w:rPr>
          <w:color w:val="000000" w:themeColor="text1"/>
          <w:u w:color="000000"/>
          <w:lang w:val="en-US"/>
        </w:rPr>
        <w:t xml:space="preserve">, excluding duplications in the same newspaper outlet. </w:t>
      </w:r>
      <w:r w:rsidR="00593F9E" w:rsidRPr="007C37B0">
        <w:rPr>
          <w:color w:val="000000" w:themeColor="text1"/>
          <w:u w:color="000000"/>
          <w:lang w:val="en-US"/>
        </w:rPr>
        <w:t>If the number of hits exceed</w:t>
      </w:r>
      <w:r w:rsidR="00E64171">
        <w:rPr>
          <w:color w:val="000000" w:themeColor="text1"/>
          <w:u w:color="000000"/>
          <w:lang w:val="en-US"/>
        </w:rPr>
        <w:t>s</w:t>
      </w:r>
      <w:r w:rsidR="00593F9E" w:rsidRPr="007C37B0">
        <w:rPr>
          <w:color w:val="000000" w:themeColor="text1"/>
          <w:u w:color="000000"/>
          <w:lang w:val="en-US"/>
        </w:rPr>
        <w:t xml:space="preserve"> LexisNexis’ hit count restriction, we repeat the analysis on a monthly level and sum up the monthly counts for the given year. </w:t>
      </w:r>
      <w:r w:rsidR="000A4505" w:rsidRPr="007C37B0">
        <w:rPr>
          <w:color w:val="000000" w:themeColor="text1"/>
          <w:u w:color="000000"/>
          <w:lang w:val="en-US"/>
        </w:rPr>
        <w:t>We</w:t>
      </w:r>
      <w:r w:rsidRPr="007C37B0">
        <w:rPr>
          <w:color w:val="000000" w:themeColor="text1"/>
          <w:u w:color="000000"/>
          <w:lang w:val="en-US"/>
        </w:rPr>
        <w:t xml:space="preserve"> count </w:t>
      </w:r>
      <w:r w:rsidR="000A4505" w:rsidRPr="007C37B0">
        <w:rPr>
          <w:color w:val="000000" w:themeColor="text1"/>
          <w:u w:color="000000"/>
          <w:lang w:val="en-US"/>
        </w:rPr>
        <w:t>the number of</w:t>
      </w:r>
      <w:r w:rsidRPr="007C37B0">
        <w:rPr>
          <w:color w:val="000000" w:themeColor="text1"/>
          <w:u w:color="000000"/>
          <w:lang w:val="en-US"/>
        </w:rPr>
        <w:t xml:space="preserve"> articles that LexisNexis ranks with a relevancy score of 60% or more. </w:t>
      </w:r>
      <w:r w:rsidR="00055B9D" w:rsidRPr="007C37B0">
        <w:rPr>
          <w:color w:val="000000" w:themeColor="text1"/>
          <w:u w:color="000000"/>
          <w:lang w:val="en-US"/>
        </w:rPr>
        <w:t>To control for scale effects, we normalize topic media coverage in a given year by the topic’s total media coverage</w:t>
      </w:r>
      <w:r w:rsidR="005F3FDB">
        <w:rPr>
          <w:color w:val="000000" w:themeColor="text1"/>
          <w:u w:color="000000"/>
          <w:lang w:val="en-US"/>
        </w:rPr>
        <w:t xml:space="preserve"> over the sample period</w:t>
      </w:r>
      <w:r w:rsidR="00055B9D" w:rsidRPr="007C37B0">
        <w:rPr>
          <w:color w:val="000000" w:themeColor="text1"/>
          <w:u w:color="000000"/>
          <w:lang w:val="en-US"/>
        </w:rPr>
        <w:t xml:space="preserve">. </w:t>
      </w:r>
      <w:r w:rsidRPr="007C37B0">
        <w:rPr>
          <w:color w:val="000000" w:themeColor="text1"/>
          <w:u w:color="000000"/>
          <w:lang w:val="en-US"/>
        </w:rPr>
        <w:t xml:space="preserve">In years in which the firm receives multiple shareholder complaints, we take the arithmetic mean across the </w:t>
      </w:r>
      <w:r w:rsidR="005F3FDB">
        <w:rPr>
          <w:color w:val="000000" w:themeColor="text1"/>
          <w:u w:color="000000"/>
          <w:lang w:val="en-US"/>
        </w:rPr>
        <w:t xml:space="preserve">topic </w:t>
      </w:r>
      <w:r w:rsidRPr="007C37B0">
        <w:rPr>
          <w:color w:val="000000" w:themeColor="text1"/>
          <w:u w:color="000000"/>
          <w:lang w:val="en-US"/>
        </w:rPr>
        <w:t xml:space="preserve">media </w:t>
      </w:r>
      <w:r w:rsidR="005F3FDB">
        <w:rPr>
          <w:color w:val="000000" w:themeColor="text1"/>
          <w:u w:color="000000"/>
          <w:lang w:val="en-US"/>
        </w:rPr>
        <w:t>attention</w:t>
      </w:r>
      <w:r w:rsidR="005F3FDB" w:rsidRPr="007C37B0">
        <w:rPr>
          <w:color w:val="000000" w:themeColor="text1"/>
          <w:u w:color="000000"/>
          <w:lang w:val="en-US"/>
        </w:rPr>
        <w:t xml:space="preserve"> </w:t>
      </w:r>
      <w:r w:rsidRPr="007C37B0">
        <w:rPr>
          <w:color w:val="000000" w:themeColor="text1"/>
          <w:u w:color="000000"/>
          <w:lang w:val="en-US"/>
        </w:rPr>
        <w:t>scores to arrive at our</w:t>
      </w:r>
      <w:r w:rsidR="000A4505" w:rsidRPr="007C37B0">
        <w:rPr>
          <w:color w:val="000000" w:themeColor="text1"/>
          <w:u w:color="000000"/>
          <w:lang w:val="en-US"/>
        </w:rPr>
        <w:t xml:space="preserve"> </w:t>
      </w:r>
      <w:r w:rsidR="005F3FDB">
        <w:rPr>
          <w:color w:val="000000" w:themeColor="text1"/>
          <w:u w:color="000000"/>
          <w:lang w:val="en-US"/>
        </w:rPr>
        <w:t xml:space="preserve">firm-year </w:t>
      </w:r>
      <w:r w:rsidR="000A4505" w:rsidRPr="007C37B0">
        <w:rPr>
          <w:color w:val="000000" w:themeColor="text1"/>
          <w:u w:color="000000"/>
          <w:lang w:val="en-US"/>
        </w:rPr>
        <w:t xml:space="preserve">shareholder complaint media attention </w:t>
      </w:r>
      <w:r w:rsidRPr="007C37B0">
        <w:rPr>
          <w:color w:val="000000" w:themeColor="text1"/>
          <w:u w:color="000000"/>
          <w:lang w:val="en-US"/>
        </w:rPr>
        <w:t>measure.</w:t>
      </w:r>
    </w:p>
    <w:p w14:paraId="04AFAB34" w14:textId="29DC6CE3" w:rsidR="00DF32AC" w:rsidRDefault="00DF32AC" w:rsidP="00B10907">
      <w:pPr>
        <w:ind w:firstLine="720"/>
        <w:rPr>
          <w:color w:val="000000" w:themeColor="text1"/>
          <w:u w:color="000000"/>
          <w:lang w:val="en-US"/>
        </w:rPr>
      </w:pPr>
      <w:r w:rsidRPr="007C37B0">
        <w:rPr>
          <w:i/>
          <w:color w:val="000000" w:themeColor="text1"/>
          <w:u w:color="000000"/>
          <w:lang w:val="en-US"/>
        </w:rPr>
        <w:t>Example</w:t>
      </w:r>
      <w:r w:rsidRPr="007C37B0">
        <w:rPr>
          <w:color w:val="000000" w:themeColor="text1"/>
          <w:u w:color="000000"/>
          <w:lang w:val="en-US"/>
        </w:rPr>
        <w:t xml:space="preserve">: Shareholder complaint description of “Reduce the firm’s executive compensation schemes,” is cleaned to reveal </w:t>
      </w:r>
      <w:r w:rsidR="00B80AF8">
        <w:rPr>
          <w:color w:val="000000" w:themeColor="text1"/>
          <w:u w:color="000000"/>
          <w:lang w:val="en-US"/>
        </w:rPr>
        <w:t xml:space="preserve">the </w:t>
      </w:r>
      <w:r w:rsidRPr="007C37B0">
        <w:rPr>
          <w:color w:val="000000" w:themeColor="text1"/>
          <w:u w:color="000000"/>
          <w:lang w:val="en-US"/>
        </w:rPr>
        <w:t>index term of “executive compensation</w:t>
      </w:r>
      <w:r w:rsidR="00007400" w:rsidRPr="007C37B0">
        <w:rPr>
          <w:color w:val="000000" w:themeColor="text1"/>
          <w:u w:color="000000"/>
          <w:lang w:val="en-US"/>
        </w:rPr>
        <w:t>.</w:t>
      </w:r>
      <w:r w:rsidRPr="007C37B0">
        <w:rPr>
          <w:color w:val="000000" w:themeColor="text1"/>
          <w:u w:color="000000"/>
          <w:lang w:val="en-US"/>
        </w:rPr>
        <w:t>”</w:t>
      </w:r>
      <w:r w:rsidR="00007400" w:rsidRPr="007C37B0">
        <w:rPr>
          <w:color w:val="000000" w:themeColor="text1"/>
          <w:u w:color="000000"/>
          <w:lang w:val="en-US"/>
        </w:rPr>
        <w:t xml:space="preserve"> This term has </w:t>
      </w:r>
      <w:r w:rsidR="008F5173" w:rsidRPr="007C37B0">
        <w:rPr>
          <w:color w:val="000000" w:themeColor="text1"/>
          <w:u w:color="000000"/>
          <w:lang w:val="en-US"/>
        </w:rPr>
        <w:t>2,219</w:t>
      </w:r>
      <w:r w:rsidR="00BD6BB8" w:rsidRPr="007C37B0">
        <w:rPr>
          <w:color w:val="000000" w:themeColor="text1"/>
          <w:u w:color="000000"/>
          <w:lang w:val="en-US"/>
        </w:rPr>
        <w:t xml:space="preserve"> newspaper</w:t>
      </w:r>
      <w:r w:rsidR="00007400" w:rsidRPr="007C37B0">
        <w:rPr>
          <w:color w:val="000000" w:themeColor="text1"/>
          <w:u w:color="000000"/>
          <w:lang w:val="en-US"/>
        </w:rPr>
        <w:t xml:space="preserve"> hits on LexisNexis for the year 2016</w:t>
      </w:r>
      <w:r w:rsidR="00BD6BB8" w:rsidRPr="007C37B0">
        <w:rPr>
          <w:color w:val="000000" w:themeColor="text1"/>
          <w:u w:color="000000"/>
          <w:lang w:val="en-US"/>
        </w:rPr>
        <w:t>, and 31,240 newspaper hits over the observation period, ending up with a</w:t>
      </w:r>
      <w:r w:rsidR="00B80AF8">
        <w:rPr>
          <w:color w:val="000000" w:themeColor="text1"/>
          <w:u w:color="000000"/>
          <w:lang w:val="en-US"/>
        </w:rPr>
        <w:t xml:space="preserve"> topic</w:t>
      </w:r>
      <w:r w:rsidR="00BD6BB8" w:rsidRPr="007C37B0">
        <w:rPr>
          <w:color w:val="000000" w:themeColor="text1"/>
          <w:u w:color="000000"/>
          <w:lang w:val="en-US"/>
        </w:rPr>
        <w:t xml:space="preserve"> media attention score of </w:t>
      </w:r>
      <w:r w:rsidR="00F471C1">
        <w:rPr>
          <w:color w:val="000000" w:themeColor="text1"/>
          <w:u w:color="000000"/>
          <w:lang w:val="en-US"/>
        </w:rPr>
        <w:t>.</w:t>
      </w:r>
      <w:r w:rsidR="00BD6BB8" w:rsidRPr="007C37B0">
        <w:rPr>
          <w:color w:val="000000" w:themeColor="text1"/>
          <w:u w:color="000000"/>
          <w:lang w:val="en-US"/>
        </w:rPr>
        <w:t>07 for 2016</w:t>
      </w:r>
      <w:r w:rsidR="00007400" w:rsidRPr="007C37B0">
        <w:rPr>
          <w:color w:val="000000" w:themeColor="text1"/>
          <w:u w:color="000000"/>
          <w:lang w:val="en-US"/>
        </w:rPr>
        <w:t xml:space="preserve">. </w:t>
      </w:r>
      <w:r w:rsidR="00B77149">
        <w:rPr>
          <w:color w:val="000000" w:themeColor="text1"/>
          <w:u w:color="000000"/>
          <w:lang w:val="en-US"/>
        </w:rPr>
        <w:t>Xerox received one complaint, related to executive compensation, in 2016, producing a value of shareholder complaint topic media attention</w:t>
      </w:r>
      <w:r w:rsidR="00190BB1">
        <w:rPr>
          <w:color w:val="000000" w:themeColor="text1"/>
          <w:u w:color="000000"/>
          <w:lang w:val="en-US"/>
        </w:rPr>
        <w:t xml:space="preserve"> of</w:t>
      </w:r>
      <w:r w:rsidR="00B77149">
        <w:rPr>
          <w:color w:val="000000" w:themeColor="text1"/>
          <w:u w:color="000000"/>
          <w:lang w:val="en-US"/>
        </w:rPr>
        <w:t xml:space="preserve"> .07 for this firm-year observation.</w:t>
      </w:r>
    </w:p>
    <w:p w14:paraId="22FE8F5A" w14:textId="77777777" w:rsidR="00DB4DE0" w:rsidRPr="007C37B0" w:rsidRDefault="00DB4DE0" w:rsidP="007C37B0">
      <w:pPr>
        <w:rPr>
          <w:color w:val="000000" w:themeColor="text1"/>
          <w:u w:color="000000"/>
          <w:lang w:val="en-US"/>
        </w:rPr>
      </w:pPr>
    </w:p>
    <w:p w14:paraId="3D51EB10" w14:textId="2314F680" w:rsidR="00303267" w:rsidRPr="007C37B0" w:rsidRDefault="00E058DB" w:rsidP="009846A1">
      <w:pPr>
        <w:rPr>
          <w:b/>
          <w:color w:val="000000" w:themeColor="text1"/>
          <w:u w:color="000000"/>
          <w:lang w:val="en-US"/>
        </w:rPr>
      </w:pPr>
      <w:r>
        <w:rPr>
          <w:b/>
          <w:color w:val="000000" w:themeColor="text1"/>
          <w:u w:color="000000"/>
          <w:lang w:val="en-US"/>
        </w:rPr>
        <w:t>E</w:t>
      </w:r>
      <w:r w:rsidR="00555BC1" w:rsidRPr="007C37B0">
        <w:rPr>
          <w:b/>
          <w:color w:val="000000" w:themeColor="text1"/>
          <w:u w:color="000000"/>
          <w:lang w:val="en-US"/>
        </w:rPr>
        <w:t>3</w:t>
      </w:r>
      <w:r w:rsidR="00BE63DB" w:rsidRPr="007C37B0">
        <w:rPr>
          <w:b/>
          <w:color w:val="000000" w:themeColor="text1"/>
          <w:u w:color="000000"/>
          <w:lang w:val="en-US"/>
        </w:rPr>
        <w:t xml:space="preserve">. Operationalizing </w:t>
      </w:r>
      <w:r w:rsidR="00EA3989" w:rsidRPr="007C37B0">
        <w:rPr>
          <w:b/>
          <w:color w:val="000000" w:themeColor="text1"/>
          <w:u w:color="000000"/>
          <w:lang w:val="en-US"/>
        </w:rPr>
        <w:t>S</w:t>
      </w:r>
      <w:r w:rsidR="00BE63DB" w:rsidRPr="007C37B0">
        <w:rPr>
          <w:b/>
          <w:color w:val="000000" w:themeColor="text1"/>
          <w:u w:color="000000"/>
          <w:lang w:val="en-US"/>
        </w:rPr>
        <w:t xml:space="preserve">hareholder </w:t>
      </w:r>
      <w:r w:rsidR="00EA3989" w:rsidRPr="007C37B0">
        <w:rPr>
          <w:b/>
          <w:color w:val="000000" w:themeColor="text1"/>
          <w:u w:color="000000"/>
          <w:lang w:val="en-US"/>
        </w:rPr>
        <w:t>C</w:t>
      </w:r>
      <w:r w:rsidR="00BE63DB" w:rsidRPr="007C37B0">
        <w:rPr>
          <w:b/>
          <w:color w:val="000000" w:themeColor="text1"/>
          <w:u w:color="000000"/>
          <w:lang w:val="en-US"/>
        </w:rPr>
        <w:t>omplaint</w:t>
      </w:r>
      <w:r w:rsidR="006203C5">
        <w:rPr>
          <w:b/>
          <w:color w:val="000000" w:themeColor="text1"/>
          <w:u w:color="000000"/>
          <w:lang w:val="en-US"/>
        </w:rPr>
        <w:t xml:space="preserve"> </w:t>
      </w:r>
      <w:r w:rsidR="00EA3989" w:rsidRPr="007C37B0">
        <w:rPr>
          <w:b/>
          <w:color w:val="000000" w:themeColor="text1"/>
          <w:u w:color="000000"/>
          <w:lang w:val="en-US"/>
        </w:rPr>
        <w:t>T</w:t>
      </w:r>
      <w:r w:rsidR="00BE63DB" w:rsidRPr="007C37B0">
        <w:rPr>
          <w:b/>
          <w:color w:val="000000" w:themeColor="text1"/>
          <w:u w:color="000000"/>
          <w:lang w:val="en-US"/>
        </w:rPr>
        <w:t>ype</w:t>
      </w:r>
    </w:p>
    <w:p w14:paraId="6462A825" w14:textId="77777777" w:rsidR="009846A1" w:rsidRPr="007C37B0" w:rsidRDefault="009846A1" w:rsidP="009846A1">
      <w:pPr>
        <w:ind w:firstLine="720"/>
        <w:rPr>
          <w:b/>
          <w:i/>
          <w:color w:val="000000" w:themeColor="text1"/>
          <w:u w:color="000000"/>
          <w:lang w:val="en-US"/>
        </w:rPr>
      </w:pPr>
    </w:p>
    <w:p w14:paraId="3C49F055" w14:textId="41068292" w:rsidR="005A1AA9" w:rsidRPr="007C37B0" w:rsidRDefault="00E058DB" w:rsidP="009846A1">
      <w:pPr>
        <w:pStyle w:val="Default"/>
        <w:rPr>
          <w:rFonts w:ascii="Times New Roman"/>
          <w:b/>
          <w:i/>
          <w:color w:val="000000" w:themeColor="text1"/>
          <w:sz w:val="24"/>
          <w:szCs w:val="24"/>
          <w:u w:color="000000"/>
        </w:rPr>
      </w:pPr>
      <w:r>
        <w:rPr>
          <w:rFonts w:ascii="Times New Roman"/>
          <w:b/>
          <w:i/>
          <w:color w:val="000000" w:themeColor="text1"/>
          <w:sz w:val="24"/>
          <w:szCs w:val="24"/>
          <w:u w:color="000000"/>
        </w:rPr>
        <w:t>E</w:t>
      </w:r>
      <w:r w:rsidR="007405AF" w:rsidRPr="007C37B0">
        <w:rPr>
          <w:rFonts w:ascii="Times New Roman"/>
          <w:b/>
          <w:i/>
          <w:color w:val="000000" w:themeColor="text1"/>
          <w:sz w:val="24"/>
          <w:szCs w:val="24"/>
          <w:u w:color="000000"/>
        </w:rPr>
        <w:t>.</w:t>
      </w:r>
      <w:r w:rsidR="00555BC1" w:rsidRPr="007C37B0">
        <w:rPr>
          <w:rFonts w:ascii="Times New Roman"/>
          <w:b/>
          <w:i/>
          <w:color w:val="000000" w:themeColor="text1"/>
          <w:sz w:val="24"/>
          <w:szCs w:val="24"/>
          <w:u w:color="000000"/>
        </w:rPr>
        <w:t>3</w:t>
      </w:r>
      <w:r w:rsidR="007405AF" w:rsidRPr="007C37B0">
        <w:rPr>
          <w:rFonts w:ascii="Times New Roman"/>
          <w:b/>
          <w:i/>
          <w:color w:val="000000" w:themeColor="text1"/>
          <w:sz w:val="24"/>
          <w:szCs w:val="24"/>
          <w:u w:color="000000"/>
        </w:rPr>
        <w:t>.1</w:t>
      </w:r>
      <w:r w:rsidR="005A1AA9" w:rsidRPr="007C37B0">
        <w:rPr>
          <w:rFonts w:ascii="Times New Roman"/>
          <w:b/>
          <w:i/>
          <w:color w:val="000000" w:themeColor="text1"/>
          <w:sz w:val="24"/>
          <w:szCs w:val="24"/>
          <w:u w:color="000000"/>
        </w:rPr>
        <w:t>.</w:t>
      </w:r>
      <w:r w:rsidR="007405AF" w:rsidRPr="007C37B0">
        <w:rPr>
          <w:rFonts w:ascii="Times New Roman"/>
          <w:b/>
          <w:i/>
          <w:color w:val="000000" w:themeColor="text1"/>
          <w:sz w:val="24"/>
          <w:szCs w:val="24"/>
          <w:u w:color="000000"/>
        </w:rPr>
        <w:t xml:space="preserve"> </w:t>
      </w:r>
      <w:r w:rsidR="009846A1" w:rsidRPr="007C37B0">
        <w:rPr>
          <w:rFonts w:ascii="Times New Roman"/>
          <w:b/>
          <w:i/>
          <w:color w:val="000000" w:themeColor="text1"/>
          <w:sz w:val="24"/>
          <w:szCs w:val="24"/>
          <w:u w:color="000000"/>
        </w:rPr>
        <w:t xml:space="preserve">Procedure </w:t>
      </w:r>
      <w:r w:rsidR="00E64171">
        <w:rPr>
          <w:rFonts w:ascii="Times New Roman"/>
          <w:b/>
          <w:i/>
          <w:color w:val="000000" w:themeColor="text1"/>
          <w:sz w:val="24"/>
          <w:szCs w:val="24"/>
          <w:u w:color="000000"/>
        </w:rPr>
        <w:t>for</w:t>
      </w:r>
      <w:r w:rsidR="00E64171" w:rsidRPr="007C37B0">
        <w:rPr>
          <w:rFonts w:ascii="Times New Roman"/>
          <w:b/>
          <w:i/>
          <w:color w:val="000000" w:themeColor="text1"/>
          <w:sz w:val="24"/>
          <w:szCs w:val="24"/>
          <w:u w:color="000000"/>
        </w:rPr>
        <w:t xml:space="preserve"> </w:t>
      </w:r>
      <w:r w:rsidR="009846A1" w:rsidRPr="007C37B0">
        <w:rPr>
          <w:rFonts w:ascii="Times New Roman"/>
          <w:b/>
          <w:i/>
          <w:color w:val="000000" w:themeColor="text1"/>
          <w:sz w:val="24"/>
          <w:szCs w:val="24"/>
          <w:u w:color="000000"/>
        </w:rPr>
        <w:t>o</w:t>
      </w:r>
      <w:r w:rsidR="00A439EB" w:rsidRPr="007C37B0">
        <w:rPr>
          <w:rFonts w:ascii="Times New Roman"/>
          <w:b/>
          <w:i/>
          <w:color w:val="000000" w:themeColor="text1"/>
          <w:sz w:val="24"/>
          <w:szCs w:val="24"/>
          <w:u w:color="000000"/>
        </w:rPr>
        <w:t xml:space="preserve">perationalizing shareholder complaint </w:t>
      </w:r>
      <w:r w:rsidR="00D135AA">
        <w:rPr>
          <w:rFonts w:ascii="Times New Roman"/>
          <w:b/>
          <w:i/>
          <w:color w:val="000000" w:themeColor="text1"/>
          <w:sz w:val="24"/>
          <w:szCs w:val="24"/>
          <w:u w:color="000000"/>
        </w:rPr>
        <w:t xml:space="preserve">nonfinancial </w:t>
      </w:r>
      <w:r w:rsidR="00A439EB" w:rsidRPr="007C37B0">
        <w:rPr>
          <w:rFonts w:ascii="Times New Roman"/>
          <w:b/>
          <w:i/>
          <w:color w:val="000000" w:themeColor="text1"/>
          <w:sz w:val="24"/>
          <w:szCs w:val="24"/>
          <w:u w:color="000000"/>
        </w:rPr>
        <w:t>type</w:t>
      </w:r>
    </w:p>
    <w:p w14:paraId="62DA1E3D" w14:textId="45EEDEF1" w:rsidR="00B10907" w:rsidRPr="007C37B0" w:rsidRDefault="00B10907" w:rsidP="007C37B0">
      <w:pPr>
        <w:pStyle w:val="Default"/>
        <w:ind w:firstLine="708"/>
        <w:rPr>
          <w:rFonts w:ascii="Times New Roman" w:hAnsi="Times New Roman"/>
          <w:color w:val="000000" w:themeColor="text1"/>
          <w:sz w:val="24"/>
          <w:szCs w:val="24"/>
        </w:rPr>
      </w:pPr>
      <w:r w:rsidRPr="007C37B0">
        <w:rPr>
          <w:rFonts w:ascii="Times New Roman"/>
          <w:color w:val="000000" w:themeColor="text1"/>
          <w:sz w:val="24"/>
          <w:szCs w:val="24"/>
          <w:u w:color="000000"/>
        </w:rPr>
        <w:t xml:space="preserve">To operationalize </w:t>
      </w:r>
      <w:r w:rsidRPr="007C37B0">
        <w:rPr>
          <w:rFonts w:ascii="Times New Roman"/>
          <w:i/>
          <w:color w:val="000000" w:themeColor="text1"/>
          <w:sz w:val="24"/>
          <w:szCs w:val="24"/>
          <w:u w:color="000000"/>
        </w:rPr>
        <w:t xml:space="preserve">shareholder complaint </w:t>
      </w:r>
      <w:r w:rsidR="006203C5">
        <w:rPr>
          <w:rFonts w:ascii="Times New Roman"/>
          <w:i/>
          <w:color w:val="000000" w:themeColor="text1"/>
          <w:sz w:val="24"/>
          <w:szCs w:val="24"/>
          <w:u w:color="000000"/>
        </w:rPr>
        <w:t xml:space="preserve">nonfinancial </w:t>
      </w:r>
      <w:r w:rsidRPr="007C37B0">
        <w:rPr>
          <w:rFonts w:ascii="Times New Roman"/>
          <w:i/>
          <w:color w:val="000000" w:themeColor="text1"/>
          <w:sz w:val="24"/>
          <w:szCs w:val="24"/>
          <w:u w:color="000000"/>
        </w:rPr>
        <w:t>type</w:t>
      </w:r>
      <w:r w:rsidRPr="007C37B0">
        <w:rPr>
          <w:rFonts w:ascii="Times New Roman"/>
          <w:color w:val="000000" w:themeColor="text1"/>
          <w:sz w:val="24"/>
          <w:szCs w:val="24"/>
          <w:u w:color="000000"/>
        </w:rPr>
        <w:t xml:space="preserve">, we </w:t>
      </w:r>
      <w:r w:rsidR="006203C5">
        <w:rPr>
          <w:rFonts w:ascii="Times New Roman"/>
          <w:color w:val="000000" w:themeColor="text1"/>
          <w:sz w:val="24"/>
          <w:szCs w:val="24"/>
          <w:u w:color="000000"/>
        </w:rPr>
        <w:t xml:space="preserve">employ the following procedure. </w:t>
      </w:r>
      <w:proofErr w:type="spellStart"/>
      <w:r w:rsidRPr="007C37B0">
        <w:rPr>
          <w:rFonts w:ascii="Times New Roman"/>
          <w:color w:val="000000" w:themeColor="text1"/>
          <w:sz w:val="24"/>
          <w:szCs w:val="24"/>
          <w:u w:color="000000"/>
        </w:rPr>
        <w:t>RiskMetrics</w:t>
      </w:r>
      <w:proofErr w:type="spellEnd"/>
      <w:r w:rsidRPr="007C37B0">
        <w:rPr>
          <w:rFonts w:ascii="Times New Roman"/>
          <w:color w:val="000000" w:themeColor="text1"/>
          <w:sz w:val="24"/>
          <w:szCs w:val="24"/>
          <w:u w:color="000000"/>
        </w:rPr>
        <w:t xml:space="preserve"> classifies each complaint as relating to either financial</w:t>
      </w:r>
      <w:r w:rsidR="00F91012" w:rsidRPr="007C37B0">
        <w:rPr>
          <w:rFonts w:ascii="Times New Roman"/>
          <w:color w:val="000000" w:themeColor="text1"/>
          <w:sz w:val="24"/>
          <w:szCs w:val="24"/>
          <w:u w:color="000000"/>
        </w:rPr>
        <w:t xml:space="preserve"> (i.e., </w:t>
      </w:r>
      <w:r w:rsidR="00555BC1" w:rsidRPr="007C37B0">
        <w:rPr>
          <w:rFonts w:ascii="Times New Roman"/>
          <w:color w:val="000000" w:themeColor="text1"/>
          <w:sz w:val="24"/>
          <w:szCs w:val="24"/>
          <w:u w:color="000000"/>
        </w:rPr>
        <w:t>financial/</w:t>
      </w:r>
      <w:r w:rsidR="00F91012" w:rsidRPr="007C37B0">
        <w:rPr>
          <w:rFonts w:ascii="Times New Roman"/>
          <w:color w:val="000000" w:themeColor="text1"/>
          <w:sz w:val="24"/>
          <w:szCs w:val="24"/>
          <w:u w:color="000000"/>
        </w:rPr>
        <w:t xml:space="preserve">corporate </w:t>
      </w:r>
      <w:r w:rsidRPr="007C37B0">
        <w:rPr>
          <w:rFonts w:ascii="Times New Roman"/>
          <w:color w:val="000000" w:themeColor="text1"/>
          <w:sz w:val="24"/>
          <w:szCs w:val="24"/>
          <w:u w:color="000000"/>
        </w:rPr>
        <w:t>governance</w:t>
      </w:r>
      <w:r w:rsidR="00F91012" w:rsidRPr="007C37B0">
        <w:rPr>
          <w:rFonts w:ascii="Times New Roman"/>
          <w:color w:val="000000" w:themeColor="text1"/>
          <w:sz w:val="24"/>
          <w:szCs w:val="24"/>
          <w:u w:color="000000"/>
        </w:rPr>
        <w:t>)</w:t>
      </w:r>
      <w:r w:rsidRPr="007C37B0">
        <w:rPr>
          <w:rFonts w:ascii="Times New Roman"/>
          <w:color w:val="000000" w:themeColor="text1"/>
          <w:sz w:val="24"/>
          <w:szCs w:val="24"/>
          <w:u w:color="000000"/>
        </w:rPr>
        <w:t xml:space="preserve"> or </w:t>
      </w:r>
      <w:r w:rsidR="00F91012" w:rsidRPr="007C37B0">
        <w:rPr>
          <w:rFonts w:ascii="Times New Roman"/>
          <w:color w:val="000000" w:themeColor="text1"/>
          <w:sz w:val="24"/>
          <w:szCs w:val="24"/>
          <w:u w:color="000000"/>
        </w:rPr>
        <w:t>nonfinancial (</w:t>
      </w:r>
      <w:proofErr w:type="spellStart"/>
      <w:r w:rsidR="00F91012" w:rsidRPr="007C37B0">
        <w:rPr>
          <w:rFonts w:ascii="Times New Roman"/>
          <w:color w:val="000000" w:themeColor="text1"/>
          <w:sz w:val="24"/>
          <w:szCs w:val="24"/>
          <w:u w:color="000000"/>
        </w:rPr>
        <w:t>i.e</w:t>
      </w:r>
      <w:proofErr w:type="spellEnd"/>
      <w:r w:rsidR="00F91012" w:rsidRPr="007C37B0">
        <w:rPr>
          <w:rFonts w:ascii="Times New Roman"/>
          <w:color w:val="000000" w:themeColor="text1"/>
          <w:sz w:val="24"/>
          <w:szCs w:val="24"/>
          <w:u w:color="000000"/>
        </w:rPr>
        <w:t xml:space="preserve">, </w:t>
      </w:r>
      <w:r w:rsidRPr="007C37B0">
        <w:rPr>
          <w:rFonts w:ascii="Times New Roman"/>
          <w:color w:val="000000" w:themeColor="text1"/>
          <w:sz w:val="24"/>
          <w:szCs w:val="24"/>
          <w:u w:color="000000"/>
        </w:rPr>
        <w:t>social responsibility</w:t>
      </w:r>
      <w:r w:rsidR="00F91012" w:rsidRPr="007C37B0">
        <w:rPr>
          <w:rFonts w:ascii="Times New Roman"/>
          <w:color w:val="000000" w:themeColor="text1"/>
          <w:sz w:val="24"/>
          <w:szCs w:val="24"/>
          <w:u w:color="000000"/>
        </w:rPr>
        <w:t>)</w:t>
      </w:r>
      <w:r w:rsidRPr="007C37B0">
        <w:rPr>
          <w:rFonts w:ascii="Times New Roman"/>
          <w:color w:val="000000" w:themeColor="text1"/>
          <w:sz w:val="24"/>
          <w:szCs w:val="24"/>
          <w:u w:color="000000"/>
        </w:rPr>
        <w:t xml:space="preserve"> concerns. For our measure</w:t>
      </w:r>
      <w:r w:rsidR="007405AF" w:rsidRPr="007C37B0">
        <w:rPr>
          <w:rFonts w:ascii="Times New Roman"/>
          <w:color w:val="000000" w:themeColor="text1"/>
          <w:sz w:val="24"/>
          <w:szCs w:val="24"/>
          <w:u w:color="000000"/>
        </w:rPr>
        <w:t xml:space="preserve"> of nonfinancial concerns</w:t>
      </w:r>
      <w:r w:rsidRPr="007C37B0">
        <w:rPr>
          <w:rFonts w:ascii="Times New Roman"/>
          <w:color w:val="000000" w:themeColor="text1"/>
          <w:sz w:val="24"/>
          <w:szCs w:val="24"/>
          <w:u w:color="000000"/>
        </w:rPr>
        <w:t xml:space="preserve">, we use the complaints classified as social responsibility concerns. </w:t>
      </w:r>
      <w:r w:rsidR="006203C5">
        <w:rPr>
          <w:rFonts w:ascii="Times New Roman"/>
          <w:color w:val="000000" w:themeColor="text1"/>
          <w:sz w:val="24"/>
          <w:szCs w:val="24"/>
          <w:u w:color="000000"/>
        </w:rPr>
        <w:t>To</w:t>
      </w:r>
      <w:r w:rsidRPr="007C37B0">
        <w:rPr>
          <w:rFonts w:ascii="Times New Roman"/>
          <w:color w:val="000000" w:themeColor="text1"/>
          <w:sz w:val="24"/>
          <w:szCs w:val="24"/>
          <w:u w:color="000000"/>
        </w:rPr>
        <w:t xml:space="preserve"> verify that all corporate social responsibility concerns indeed relate to nonfinancial </w:t>
      </w:r>
      <w:r w:rsidR="007405AF" w:rsidRPr="007C37B0">
        <w:rPr>
          <w:rFonts w:ascii="Times New Roman"/>
          <w:color w:val="000000" w:themeColor="text1"/>
          <w:sz w:val="24"/>
          <w:szCs w:val="24"/>
          <w:u w:color="000000"/>
        </w:rPr>
        <w:t>concerns</w:t>
      </w:r>
      <w:r w:rsidRPr="007C37B0">
        <w:rPr>
          <w:rFonts w:ascii="Times New Roman"/>
          <w:color w:val="000000" w:themeColor="text1"/>
          <w:sz w:val="24"/>
          <w:szCs w:val="24"/>
          <w:u w:color="000000"/>
        </w:rPr>
        <w:t xml:space="preserve">, we pull the </w:t>
      </w:r>
      <w:r w:rsidR="00BE31D9" w:rsidRPr="007C37B0">
        <w:rPr>
          <w:rFonts w:ascii="Times New Roman"/>
          <w:color w:val="000000" w:themeColor="text1"/>
          <w:sz w:val="24"/>
          <w:szCs w:val="24"/>
          <w:u w:color="000000"/>
        </w:rPr>
        <w:t>complaint summary</w:t>
      </w:r>
      <w:r w:rsidRPr="007C37B0">
        <w:rPr>
          <w:rFonts w:ascii="Times New Roman"/>
          <w:color w:val="000000" w:themeColor="text1"/>
          <w:sz w:val="24"/>
          <w:szCs w:val="24"/>
          <w:u w:color="000000"/>
        </w:rPr>
        <w:t xml:space="preserve"> descriptions from </w:t>
      </w:r>
      <w:proofErr w:type="spellStart"/>
      <w:r w:rsidRPr="007C37B0">
        <w:rPr>
          <w:rFonts w:ascii="Times New Roman"/>
          <w:color w:val="000000" w:themeColor="text1"/>
          <w:sz w:val="24"/>
          <w:szCs w:val="24"/>
          <w:u w:color="000000"/>
        </w:rPr>
        <w:t>RiskMetrics</w:t>
      </w:r>
      <w:proofErr w:type="spellEnd"/>
      <w:r w:rsidRPr="007C37B0">
        <w:rPr>
          <w:rFonts w:ascii="Times New Roman"/>
          <w:color w:val="000000" w:themeColor="text1"/>
          <w:sz w:val="24"/>
          <w:szCs w:val="24"/>
          <w:u w:color="000000"/>
        </w:rPr>
        <w:t xml:space="preserve"> and review each complaint. Two independent coders confirm</w:t>
      </w:r>
      <w:r w:rsidR="00E64171">
        <w:rPr>
          <w:rFonts w:ascii="Times New Roman"/>
          <w:color w:val="000000" w:themeColor="text1"/>
          <w:sz w:val="24"/>
          <w:szCs w:val="24"/>
          <w:u w:color="000000"/>
        </w:rPr>
        <w:t>ed</w:t>
      </w:r>
      <w:r w:rsidRPr="007C37B0">
        <w:rPr>
          <w:rFonts w:ascii="Times New Roman"/>
          <w:color w:val="000000" w:themeColor="text1"/>
          <w:sz w:val="24"/>
          <w:szCs w:val="24"/>
          <w:u w:color="000000"/>
        </w:rPr>
        <w:t xml:space="preserve"> that all of the complaints (i.e., </w:t>
      </w:r>
      <w:r w:rsidRPr="007C37B0">
        <w:rPr>
          <w:rFonts w:ascii="Times New Roman" w:hAnsi="Times New Roman"/>
          <w:color w:val="000000" w:themeColor="text1"/>
          <w:sz w:val="24"/>
          <w:szCs w:val="24"/>
        </w:rPr>
        <w:t>κ = 1.00</w:t>
      </w:r>
      <w:r w:rsidRPr="007C37B0">
        <w:rPr>
          <w:rFonts w:ascii="Times New Roman"/>
          <w:color w:val="000000" w:themeColor="text1"/>
          <w:sz w:val="24"/>
          <w:szCs w:val="24"/>
          <w:u w:color="000000"/>
        </w:rPr>
        <w:t xml:space="preserve">) unambiguously relate to nonfinancial concerns. </w:t>
      </w:r>
      <w:r w:rsidR="006203C5">
        <w:rPr>
          <w:rFonts w:ascii="Times New Roman"/>
          <w:color w:val="000000" w:themeColor="text1"/>
          <w:sz w:val="24"/>
          <w:szCs w:val="24"/>
          <w:u w:color="000000"/>
        </w:rPr>
        <w:t>We then</w:t>
      </w:r>
      <w:r w:rsidRPr="007C37B0">
        <w:rPr>
          <w:rFonts w:ascii="Times New Roman" w:hAnsi="Times New Roman"/>
          <w:color w:val="000000" w:themeColor="text1"/>
          <w:sz w:val="24"/>
          <w:szCs w:val="24"/>
        </w:rPr>
        <w:t xml:space="preserve"> create a variable indicating the </w:t>
      </w:r>
      <w:r w:rsidR="006203C5">
        <w:rPr>
          <w:rFonts w:ascii="Times New Roman" w:hAnsi="Times New Roman"/>
          <w:color w:val="000000" w:themeColor="text1"/>
          <w:sz w:val="24"/>
          <w:szCs w:val="24"/>
        </w:rPr>
        <w:t xml:space="preserve">firm-year </w:t>
      </w:r>
      <w:r w:rsidRPr="007C37B0">
        <w:rPr>
          <w:rFonts w:ascii="Times New Roman" w:hAnsi="Times New Roman"/>
          <w:color w:val="000000" w:themeColor="text1"/>
          <w:sz w:val="24"/>
          <w:szCs w:val="24"/>
        </w:rPr>
        <w:t xml:space="preserve">percentage of complaints that were defined as relating to nonfinancial concerns. </w:t>
      </w:r>
    </w:p>
    <w:p w14:paraId="63244646" w14:textId="77EBA3FB" w:rsidR="004D1487" w:rsidRPr="007C37B0" w:rsidRDefault="00BE31D9" w:rsidP="007C37B0">
      <w:pPr>
        <w:pStyle w:val="Default"/>
        <w:ind w:firstLine="708"/>
        <w:rPr>
          <w:color w:val="000000" w:themeColor="text1"/>
          <w:u w:color="000000"/>
        </w:rPr>
      </w:pPr>
      <w:r w:rsidRPr="007C37B0">
        <w:rPr>
          <w:rFonts w:ascii="Times New Roman" w:hAnsi="Times New Roman"/>
          <w:i/>
          <w:color w:val="000000" w:themeColor="text1"/>
          <w:sz w:val="24"/>
          <w:szCs w:val="24"/>
        </w:rPr>
        <w:lastRenderedPageBreak/>
        <w:t>Example</w:t>
      </w:r>
      <w:r w:rsidRPr="007C37B0">
        <w:rPr>
          <w:rFonts w:ascii="Times New Roman" w:hAnsi="Times New Roman"/>
          <w:color w:val="000000" w:themeColor="text1"/>
          <w:sz w:val="24"/>
          <w:szCs w:val="24"/>
        </w:rPr>
        <w:t xml:space="preserve">: Shareholder complaint description of </w:t>
      </w:r>
      <w:r w:rsidR="00105EA6" w:rsidRPr="007C37B0">
        <w:rPr>
          <w:rFonts w:ascii="Times New Roman" w:hAnsi="Times New Roman"/>
          <w:color w:val="000000" w:themeColor="text1"/>
          <w:sz w:val="24"/>
          <w:szCs w:val="24"/>
        </w:rPr>
        <w:t>“Report on fulfilling equal employment opportunities standards</w:t>
      </w:r>
      <w:r w:rsidRPr="007C37B0">
        <w:rPr>
          <w:rFonts w:ascii="Times New Roman" w:hAnsi="Times New Roman"/>
          <w:color w:val="000000" w:themeColor="text1"/>
          <w:sz w:val="24"/>
          <w:szCs w:val="24"/>
        </w:rPr>
        <w:t>”</w:t>
      </w:r>
      <w:r w:rsidR="00105EA6" w:rsidRPr="007C37B0">
        <w:rPr>
          <w:rFonts w:ascii="Times New Roman" w:hAnsi="Times New Roman"/>
          <w:color w:val="000000" w:themeColor="text1"/>
          <w:sz w:val="24"/>
          <w:szCs w:val="24"/>
        </w:rPr>
        <w:t xml:space="preserve"> was rated </w:t>
      </w:r>
      <w:r w:rsidR="00E64171">
        <w:rPr>
          <w:rFonts w:ascii="Times New Roman" w:hAnsi="Times New Roman"/>
          <w:color w:val="000000" w:themeColor="text1"/>
          <w:sz w:val="24"/>
          <w:szCs w:val="24"/>
        </w:rPr>
        <w:t xml:space="preserve">as a </w:t>
      </w:r>
      <w:r w:rsidR="00105EA6" w:rsidRPr="007C37B0">
        <w:rPr>
          <w:rFonts w:ascii="Times New Roman" w:hAnsi="Times New Roman"/>
          <w:color w:val="000000" w:themeColor="text1"/>
          <w:sz w:val="24"/>
          <w:szCs w:val="24"/>
        </w:rPr>
        <w:t>nonfinancial concern by both coders.</w:t>
      </w:r>
      <w:r w:rsidR="004D1487">
        <w:rPr>
          <w:rFonts w:ascii="Times New Roman" w:hAnsi="Times New Roman"/>
          <w:color w:val="000000" w:themeColor="text1"/>
          <w:sz w:val="24"/>
          <w:szCs w:val="24"/>
        </w:rPr>
        <w:t xml:space="preserve"> </w:t>
      </w:r>
      <w:r w:rsidR="00B77149">
        <w:rPr>
          <w:rFonts w:ascii="Times New Roman" w:hAnsi="Times New Roman"/>
          <w:color w:val="000000" w:themeColor="text1"/>
          <w:sz w:val="24"/>
          <w:szCs w:val="24"/>
        </w:rPr>
        <w:t xml:space="preserve">Shareholder complaint description of “Redeem poison pill” was rated as a financial concern by both coders. In 2002, Colgate-Palmolive received these two complaints, resulting </w:t>
      </w:r>
      <w:r w:rsidR="004D1487">
        <w:rPr>
          <w:rFonts w:ascii="Times New Roman" w:hAnsi="Times New Roman"/>
          <w:color w:val="000000" w:themeColor="text1"/>
          <w:sz w:val="24"/>
          <w:szCs w:val="24"/>
        </w:rPr>
        <w:t xml:space="preserve">in a shareholder complaint nonfinancial percentage value of .33 for this firm-year observation. </w:t>
      </w:r>
    </w:p>
    <w:p w14:paraId="07D3ACCC" w14:textId="77777777" w:rsidR="00FC513F" w:rsidRDefault="00FC513F" w:rsidP="009846A1">
      <w:pPr>
        <w:rPr>
          <w:b/>
          <w:i/>
          <w:color w:val="000000" w:themeColor="text1"/>
          <w:u w:color="000000"/>
          <w:lang w:val="en-US"/>
        </w:rPr>
      </w:pPr>
    </w:p>
    <w:p w14:paraId="0729F035" w14:textId="76114957" w:rsidR="00765DA3" w:rsidRPr="007C37B0" w:rsidRDefault="00E058DB" w:rsidP="009846A1">
      <w:pPr>
        <w:rPr>
          <w:b/>
          <w:i/>
          <w:color w:val="000000" w:themeColor="text1"/>
          <w:u w:color="000000"/>
          <w:lang w:val="en-US"/>
        </w:rPr>
      </w:pPr>
      <w:r>
        <w:rPr>
          <w:b/>
          <w:i/>
          <w:color w:val="000000" w:themeColor="text1"/>
          <w:u w:color="000000"/>
          <w:lang w:val="en-US"/>
        </w:rPr>
        <w:t>E</w:t>
      </w:r>
      <w:r w:rsidR="005A1AA9" w:rsidRPr="007C37B0">
        <w:rPr>
          <w:b/>
          <w:i/>
          <w:color w:val="000000" w:themeColor="text1"/>
          <w:u w:color="000000"/>
          <w:lang w:val="en-US"/>
        </w:rPr>
        <w:t>.</w:t>
      </w:r>
      <w:r w:rsidR="00555BC1" w:rsidRPr="007C37B0">
        <w:rPr>
          <w:b/>
          <w:i/>
          <w:color w:val="000000" w:themeColor="text1"/>
          <w:u w:color="000000"/>
          <w:lang w:val="en-US"/>
        </w:rPr>
        <w:t>3</w:t>
      </w:r>
      <w:r w:rsidR="005A1AA9" w:rsidRPr="007C37B0">
        <w:rPr>
          <w:b/>
          <w:i/>
          <w:color w:val="000000" w:themeColor="text1"/>
          <w:u w:color="000000"/>
          <w:lang w:val="en-US"/>
        </w:rPr>
        <w:t xml:space="preserve">.2. </w:t>
      </w:r>
      <w:r w:rsidR="00A439EB" w:rsidRPr="007C37B0">
        <w:rPr>
          <w:b/>
          <w:i/>
          <w:color w:val="000000" w:themeColor="text1"/>
          <w:u w:color="000000"/>
          <w:lang w:val="en-US"/>
        </w:rPr>
        <w:t>Face validity of operationalization</w:t>
      </w:r>
      <w:r w:rsidR="00C162AB">
        <w:rPr>
          <w:b/>
          <w:i/>
          <w:color w:val="000000" w:themeColor="text1"/>
          <w:u w:color="000000"/>
          <w:lang w:val="en-US"/>
        </w:rPr>
        <w:t xml:space="preserve"> of shareholder complaint type</w:t>
      </w:r>
    </w:p>
    <w:p w14:paraId="27AB02A5" w14:textId="4FE19ED5" w:rsidR="00765DA3" w:rsidRPr="007C37B0" w:rsidRDefault="00765DA3" w:rsidP="00765DA3">
      <w:pPr>
        <w:ind w:firstLine="567"/>
        <w:rPr>
          <w:color w:val="000000" w:themeColor="text1"/>
          <w:lang w:val="en-US"/>
        </w:rPr>
      </w:pPr>
      <w:r w:rsidRPr="007C37B0">
        <w:rPr>
          <w:color w:val="000000" w:themeColor="text1"/>
          <w:lang w:val="en-US"/>
        </w:rPr>
        <w:t>Based on theoretical arguments</w:t>
      </w:r>
      <w:r w:rsidR="005A1AA9" w:rsidRPr="007C37B0">
        <w:rPr>
          <w:color w:val="000000" w:themeColor="text1"/>
          <w:lang w:val="en-US"/>
        </w:rPr>
        <w:t xml:space="preserve"> from stakeholder theory</w:t>
      </w:r>
      <w:r w:rsidRPr="007C37B0">
        <w:rPr>
          <w:color w:val="000000" w:themeColor="text1"/>
          <w:lang w:val="en-US"/>
        </w:rPr>
        <w:t xml:space="preserve">, we expect that nonfinancial shareholder complaints hold broader legitimacy compared to financial </w:t>
      </w:r>
      <w:r w:rsidR="00C162AB">
        <w:rPr>
          <w:color w:val="000000" w:themeColor="text1"/>
          <w:lang w:val="en-US"/>
        </w:rPr>
        <w:t xml:space="preserve">shareholder </w:t>
      </w:r>
      <w:r w:rsidRPr="007C37B0">
        <w:rPr>
          <w:color w:val="000000" w:themeColor="text1"/>
          <w:lang w:val="en-US"/>
        </w:rPr>
        <w:t xml:space="preserve">complaints. To test the validity of this conjecture, we </w:t>
      </w:r>
      <w:r w:rsidR="00C162AB">
        <w:rPr>
          <w:color w:val="000000" w:themeColor="text1"/>
          <w:lang w:val="en-US"/>
        </w:rPr>
        <w:t>examined</w:t>
      </w:r>
      <w:r w:rsidRPr="007C37B0">
        <w:rPr>
          <w:color w:val="000000" w:themeColor="text1"/>
          <w:lang w:val="en-US"/>
        </w:rPr>
        <w:t xml:space="preserve"> (1) </w:t>
      </w:r>
      <w:r w:rsidR="00C162AB">
        <w:rPr>
          <w:color w:val="000000" w:themeColor="text1"/>
          <w:lang w:val="en-US"/>
        </w:rPr>
        <w:t xml:space="preserve">whether </w:t>
      </w:r>
      <w:r w:rsidRPr="007C37B0">
        <w:rPr>
          <w:color w:val="000000" w:themeColor="text1"/>
          <w:lang w:val="en-US"/>
        </w:rPr>
        <w:t xml:space="preserve">nonfinancial shareholder complaints are indeed perceived as more legitimate than financial shareholder complaints and (2) </w:t>
      </w:r>
      <w:r w:rsidR="00C162AB">
        <w:rPr>
          <w:color w:val="000000" w:themeColor="text1"/>
          <w:lang w:val="en-US"/>
        </w:rPr>
        <w:t xml:space="preserve">whether </w:t>
      </w:r>
      <w:r w:rsidRPr="007C37B0">
        <w:rPr>
          <w:color w:val="000000" w:themeColor="text1"/>
          <w:lang w:val="en-US"/>
        </w:rPr>
        <w:t>differences in legitimacy between type</w:t>
      </w:r>
      <w:r w:rsidR="007F5F62">
        <w:rPr>
          <w:color w:val="000000" w:themeColor="text1"/>
          <w:lang w:val="en-US"/>
        </w:rPr>
        <w:t xml:space="preserve"> sub-categories</w:t>
      </w:r>
      <w:r w:rsidRPr="007C37B0">
        <w:rPr>
          <w:color w:val="000000" w:themeColor="text1"/>
          <w:lang w:val="en-US"/>
        </w:rPr>
        <w:t xml:space="preserve"> </w:t>
      </w:r>
      <w:r w:rsidR="00E64171">
        <w:rPr>
          <w:color w:val="000000" w:themeColor="text1"/>
          <w:lang w:val="en-US"/>
        </w:rPr>
        <w:t>might</w:t>
      </w:r>
      <w:r w:rsidRPr="007C37B0">
        <w:rPr>
          <w:color w:val="000000" w:themeColor="text1"/>
          <w:lang w:val="en-US"/>
        </w:rPr>
        <w:t xml:space="preserve"> require further differentiation than nonfinancial versus financial</w:t>
      </w:r>
      <w:r w:rsidR="007F5F62">
        <w:rPr>
          <w:color w:val="000000" w:themeColor="text1"/>
          <w:lang w:val="en-US"/>
        </w:rPr>
        <w:t xml:space="preserve"> type</w:t>
      </w:r>
      <w:r w:rsidRPr="007C37B0">
        <w:rPr>
          <w:color w:val="000000" w:themeColor="text1"/>
          <w:lang w:val="en-US"/>
        </w:rPr>
        <w:t xml:space="preserve">. </w:t>
      </w:r>
    </w:p>
    <w:p w14:paraId="66914EAD" w14:textId="3AF7883F" w:rsidR="00765DA3" w:rsidRPr="007C37B0" w:rsidRDefault="00765DA3" w:rsidP="00765DA3">
      <w:pPr>
        <w:ind w:firstLine="567"/>
        <w:rPr>
          <w:color w:val="000000" w:themeColor="text1"/>
          <w:lang w:val="en-US"/>
        </w:rPr>
      </w:pPr>
      <w:r w:rsidRPr="007C37B0">
        <w:rPr>
          <w:color w:val="000000" w:themeColor="text1"/>
          <w:lang w:val="en-US"/>
        </w:rPr>
        <w:t>We sampled 18 shareholder complaints, two from each of the three financial sub</w:t>
      </w:r>
      <w:r w:rsidR="00C4296C" w:rsidRPr="007C37B0">
        <w:rPr>
          <w:color w:val="000000" w:themeColor="text1"/>
          <w:lang w:val="en-US"/>
        </w:rPr>
        <w:t>-</w:t>
      </w:r>
      <w:r w:rsidRPr="007C37B0">
        <w:rPr>
          <w:color w:val="000000" w:themeColor="text1"/>
          <w:lang w:val="en-US"/>
        </w:rPr>
        <w:t>categories (Board of directors, Executive compensation, and Takeovers and other shareholder rights) and six nonfinancial sub</w:t>
      </w:r>
      <w:r w:rsidR="007F5F62">
        <w:rPr>
          <w:color w:val="000000" w:themeColor="text1"/>
          <w:lang w:val="en-US"/>
        </w:rPr>
        <w:t>-</w:t>
      </w:r>
      <w:r w:rsidRPr="007C37B0">
        <w:rPr>
          <w:color w:val="000000" w:themeColor="text1"/>
          <w:lang w:val="en-US"/>
        </w:rPr>
        <w:t>categories (Environment, Diversity, Community, Product, Human rights, and Vices)</w:t>
      </w:r>
      <w:r w:rsidR="007F5F62" w:rsidRPr="007F5F62">
        <w:rPr>
          <w:color w:val="000000" w:themeColor="text1"/>
          <w:lang w:val="en-US"/>
        </w:rPr>
        <w:t xml:space="preserve"> </w:t>
      </w:r>
      <w:r w:rsidR="007F5F62" w:rsidRPr="00064F56">
        <w:rPr>
          <w:color w:val="000000" w:themeColor="text1"/>
          <w:lang w:val="en-US"/>
        </w:rPr>
        <w:t xml:space="preserve">as per the classification </w:t>
      </w:r>
      <w:r w:rsidR="007F5F62">
        <w:rPr>
          <w:color w:val="000000" w:themeColor="text1"/>
          <w:lang w:val="en-US"/>
        </w:rPr>
        <w:t xml:space="preserve">described below (and Table </w:t>
      </w:r>
      <w:r w:rsidR="00E23449">
        <w:rPr>
          <w:color w:val="000000" w:themeColor="text1"/>
          <w:lang w:val="en-US"/>
        </w:rPr>
        <w:t>E</w:t>
      </w:r>
      <w:r w:rsidR="007F5F62">
        <w:rPr>
          <w:color w:val="000000" w:themeColor="text1"/>
          <w:lang w:val="en-US"/>
        </w:rPr>
        <w:t>1)</w:t>
      </w:r>
      <w:r w:rsidRPr="007C37B0">
        <w:rPr>
          <w:color w:val="000000" w:themeColor="text1"/>
          <w:lang w:val="en-US"/>
        </w:rPr>
        <w:t xml:space="preserve">. We then presented each of 42 online participants with a random sample of 9 complaint statements and asked them to rate the extent to which they agreed that each statement affects the broader public on a scale from 1 (“strongly disagree”) to 7 (“strongly agree”). We then asked them to indicate the extent to which they agreed that each complaint statement was legit and appropriate according to social norms (adapted from </w:t>
      </w:r>
      <w:proofErr w:type="spellStart"/>
      <w:r w:rsidRPr="007C37B0">
        <w:rPr>
          <w:color w:val="000000" w:themeColor="text1"/>
          <w:lang w:val="en-US"/>
        </w:rPr>
        <w:t>Agle</w:t>
      </w:r>
      <w:proofErr w:type="spellEnd"/>
      <w:r w:rsidRPr="007C37B0">
        <w:rPr>
          <w:color w:val="000000" w:themeColor="text1"/>
          <w:lang w:val="en-US"/>
        </w:rPr>
        <w:t xml:space="preserve">, Mitchell, and Sonnenfeld 1999), using the same </w:t>
      </w:r>
      <w:r w:rsidR="00E64171">
        <w:rPr>
          <w:color w:val="000000" w:themeColor="text1"/>
          <w:lang w:val="en-US"/>
        </w:rPr>
        <w:t>1-</w:t>
      </w:r>
      <w:r w:rsidRPr="007C37B0">
        <w:rPr>
          <w:color w:val="000000" w:themeColor="text1"/>
          <w:lang w:val="en-US"/>
        </w:rPr>
        <w:t>7 scale. Finally, participants indicated to which extent they perceived each statement to relate to nonfinancial versus financial stakeholders on a 7-point scale from 1 (“relates to nonfinancial stakeholders”) to 7 (“relates to financial stakeholders”).</w:t>
      </w:r>
    </w:p>
    <w:p w14:paraId="6F8441C6" w14:textId="3B4B2430" w:rsidR="00765DA3" w:rsidRPr="007C37B0" w:rsidRDefault="00765DA3" w:rsidP="00765DA3">
      <w:pPr>
        <w:ind w:firstLine="567"/>
        <w:rPr>
          <w:color w:val="000000" w:themeColor="text1"/>
          <w:lang w:val="en-US"/>
        </w:rPr>
      </w:pPr>
      <w:r w:rsidRPr="007C37B0">
        <w:rPr>
          <w:color w:val="000000" w:themeColor="text1"/>
          <w:lang w:val="en-US"/>
        </w:rPr>
        <w:t>First, our data confirm the complaint type classification into financial and nonfinancial sub</w:t>
      </w:r>
      <w:r w:rsidR="007F5F62">
        <w:rPr>
          <w:color w:val="000000" w:themeColor="text1"/>
          <w:lang w:val="en-US"/>
        </w:rPr>
        <w:t>-</w:t>
      </w:r>
      <w:r w:rsidRPr="007C37B0">
        <w:rPr>
          <w:color w:val="000000" w:themeColor="text1"/>
          <w:lang w:val="en-US"/>
        </w:rPr>
        <w:t>categories. In particular, participants rated complaints from the financial sub</w:t>
      </w:r>
      <w:r w:rsidR="00A439EB" w:rsidRPr="007C37B0">
        <w:rPr>
          <w:color w:val="000000" w:themeColor="text1"/>
          <w:lang w:val="en-US"/>
        </w:rPr>
        <w:t>-</w:t>
      </w:r>
      <w:r w:rsidRPr="007C37B0">
        <w:rPr>
          <w:color w:val="000000" w:themeColor="text1"/>
          <w:lang w:val="en-US"/>
        </w:rPr>
        <w:t>categories significantly above the scale midpoint (</w:t>
      </w:r>
      <w:proofErr w:type="spellStart"/>
      <w:r w:rsidRPr="007C37B0">
        <w:rPr>
          <w:color w:val="000000" w:themeColor="text1"/>
          <w:lang w:val="en-US"/>
        </w:rPr>
        <w:t>M</w:t>
      </w:r>
      <w:r w:rsidRPr="007C37B0">
        <w:rPr>
          <w:color w:val="000000" w:themeColor="text1"/>
          <w:vertAlign w:val="subscript"/>
          <w:lang w:val="en-US"/>
        </w:rPr>
        <w:t>Financial</w:t>
      </w:r>
      <w:proofErr w:type="spellEnd"/>
      <w:r w:rsidRPr="007C37B0">
        <w:rPr>
          <w:color w:val="000000" w:themeColor="text1"/>
          <w:lang w:val="en-US"/>
        </w:rPr>
        <w:t xml:space="preserve"> = 5.40, t = 8.48, p &lt; .001), while they rated complaints from the nonfinancial sub</w:t>
      </w:r>
      <w:r w:rsidR="00A439EB" w:rsidRPr="007C37B0">
        <w:rPr>
          <w:color w:val="000000" w:themeColor="text1"/>
          <w:lang w:val="en-US"/>
        </w:rPr>
        <w:t>-</w:t>
      </w:r>
      <w:r w:rsidRPr="007C37B0">
        <w:rPr>
          <w:color w:val="000000" w:themeColor="text1"/>
          <w:lang w:val="en-US"/>
        </w:rPr>
        <w:t>categories significantly below the scale midpoint (</w:t>
      </w:r>
      <w:proofErr w:type="spellStart"/>
      <w:r w:rsidRPr="007C37B0">
        <w:rPr>
          <w:color w:val="000000" w:themeColor="text1"/>
          <w:lang w:val="en-US"/>
        </w:rPr>
        <w:t>M</w:t>
      </w:r>
      <w:r w:rsidRPr="007C37B0">
        <w:rPr>
          <w:color w:val="000000" w:themeColor="text1"/>
          <w:vertAlign w:val="subscript"/>
          <w:lang w:val="en-US"/>
        </w:rPr>
        <w:t>Nonfinancial</w:t>
      </w:r>
      <w:proofErr w:type="spellEnd"/>
      <w:r w:rsidRPr="007C37B0">
        <w:rPr>
          <w:color w:val="000000" w:themeColor="text1"/>
          <w:lang w:val="en-US"/>
        </w:rPr>
        <w:t xml:space="preserve"> = 2.97, t = -4.35, p &lt; .001). In addition, the results of a two-sample unequal variances </w:t>
      </w:r>
      <w:r w:rsidR="00A439EB" w:rsidRPr="007C37B0">
        <w:rPr>
          <w:color w:val="000000" w:themeColor="text1"/>
          <w:lang w:val="en-US"/>
        </w:rPr>
        <w:t>t-</w:t>
      </w:r>
      <w:r w:rsidRPr="007C37B0">
        <w:rPr>
          <w:color w:val="000000" w:themeColor="text1"/>
          <w:lang w:val="en-US"/>
        </w:rPr>
        <w:t>test between financial and nonfinancial complaints show that participants view non</w:t>
      </w:r>
      <w:r w:rsidR="00A439EB" w:rsidRPr="007C37B0">
        <w:rPr>
          <w:color w:val="000000" w:themeColor="text1"/>
          <w:lang w:val="en-US"/>
        </w:rPr>
        <w:t>f</w:t>
      </w:r>
      <w:r w:rsidRPr="007C37B0">
        <w:rPr>
          <w:color w:val="000000" w:themeColor="text1"/>
          <w:lang w:val="en-US"/>
        </w:rPr>
        <w:t xml:space="preserve">inancial complaints to affect the broader public significantly more than financial </w:t>
      </w:r>
      <w:r w:rsidR="007F5F62">
        <w:rPr>
          <w:color w:val="000000" w:themeColor="text1"/>
          <w:lang w:val="en-US"/>
        </w:rPr>
        <w:t>complaints</w:t>
      </w:r>
      <w:r w:rsidR="007F5F62" w:rsidRPr="007C37B0">
        <w:rPr>
          <w:color w:val="000000" w:themeColor="text1"/>
          <w:lang w:val="en-US"/>
        </w:rPr>
        <w:t xml:space="preserve"> </w:t>
      </w:r>
      <w:r w:rsidRPr="007C37B0">
        <w:rPr>
          <w:color w:val="000000" w:themeColor="text1"/>
          <w:lang w:val="en-US"/>
        </w:rPr>
        <w:t>(</w:t>
      </w:r>
      <w:proofErr w:type="spellStart"/>
      <w:r w:rsidRPr="007C37B0">
        <w:rPr>
          <w:color w:val="000000" w:themeColor="text1"/>
          <w:lang w:val="en-US"/>
        </w:rPr>
        <w:t>M</w:t>
      </w:r>
      <w:r w:rsidRPr="007C37B0">
        <w:rPr>
          <w:color w:val="000000" w:themeColor="text1"/>
          <w:vertAlign w:val="subscript"/>
          <w:lang w:val="en-US"/>
        </w:rPr>
        <w:t>Financial</w:t>
      </w:r>
      <w:proofErr w:type="spellEnd"/>
      <w:r w:rsidRPr="007C37B0">
        <w:rPr>
          <w:color w:val="000000" w:themeColor="text1"/>
          <w:lang w:val="en-US"/>
        </w:rPr>
        <w:t xml:space="preserve"> = 3.84, SD = 1.68; </w:t>
      </w:r>
      <w:proofErr w:type="spellStart"/>
      <w:r w:rsidRPr="007C37B0">
        <w:rPr>
          <w:color w:val="000000" w:themeColor="text1"/>
          <w:lang w:val="en-US"/>
        </w:rPr>
        <w:t>M</w:t>
      </w:r>
      <w:r w:rsidRPr="007C37B0">
        <w:rPr>
          <w:color w:val="000000" w:themeColor="text1"/>
          <w:vertAlign w:val="subscript"/>
          <w:lang w:val="en-US"/>
        </w:rPr>
        <w:t>Nonfinancial</w:t>
      </w:r>
      <w:proofErr w:type="spellEnd"/>
      <w:r w:rsidRPr="007C37B0">
        <w:rPr>
          <w:color w:val="000000" w:themeColor="text1"/>
          <w:lang w:val="en-US"/>
        </w:rPr>
        <w:t xml:space="preserve"> = 5.83, SD = </w:t>
      </w:r>
      <w:r w:rsidR="00F471C1" w:rsidRPr="007C37B0">
        <w:rPr>
          <w:color w:val="000000" w:themeColor="text1"/>
          <w:lang w:val="en-US"/>
        </w:rPr>
        <w:t>.</w:t>
      </w:r>
      <w:r w:rsidRPr="007C37B0">
        <w:rPr>
          <w:color w:val="000000" w:themeColor="text1"/>
          <w:lang w:val="en-US"/>
        </w:rPr>
        <w:t>78; t(58) = -6.96, p &lt; .01). Moreover, participants perceive nonfinancial complaints as significantly more legit and appropriate according to social norms than financial complaints (</w:t>
      </w:r>
      <w:proofErr w:type="spellStart"/>
      <w:r w:rsidRPr="007C37B0">
        <w:rPr>
          <w:color w:val="000000" w:themeColor="text1"/>
          <w:lang w:val="en-US"/>
        </w:rPr>
        <w:t>M</w:t>
      </w:r>
      <w:r w:rsidRPr="007C37B0">
        <w:rPr>
          <w:color w:val="000000" w:themeColor="text1"/>
          <w:vertAlign w:val="subscript"/>
          <w:lang w:val="en-US"/>
        </w:rPr>
        <w:t>Financial</w:t>
      </w:r>
      <w:proofErr w:type="spellEnd"/>
      <w:r w:rsidRPr="007C37B0">
        <w:rPr>
          <w:color w:val="000000" w:themeColor="text1"/>
          <w:lang w:val="en-US"/>
        </w:rPr>
        <w:t xml:space="preserve"> = 4.58, SD = 1.24; </w:t>
      </w:r>
      <w:proofErr w:type="spellStart"/>
      <w:r w:rsidRPr="007C37B0">
        <w:rPr>
          <w:color w:val="000000" w:themeColor="text1"/>
          <w:lang w:val="en-US"/>
        </w:rPr>
        <w:t>M</w:t>
      </w:r>
      <w:r w:rsidRPr="007C37B0">
        <w:rPr>
          <w:color w:val="000000" w:themeColor="text1"/>
          <w:vertAlign w:val="subscript"/>
          <w:lang w:val="en-US"/>
        </w:rPr>
        <w:t>Nonfinancial</w:t>
      </w:r>
      <w:proofErr w:type="spellEnd"/>
      <w:r w:rsidRPr="007C37B0">
        <w:rPr>
          <w:color w:val="000000" w:themeColor="text1"/>
          <w:lang w:val="en-US"/>
        </w:rPr>
        <w:t xml:space="preserve"> = 6.03, SD = </w:t>
      </w:r>
      <w:r w:rsidR="00F471C1" w:rsidRPr="007C37B0">
        <w:rPr>
          <w:color w:val="000000" w:themeColor="text1"/>
          <w:lang w:val="en-US"/>
        </w:rPr>
        <w:t>.</w:t>
      </w:r>
      <w:r w:rsidRPr="007C37B0">
        <w:rPr>
          <w:color w:val="000000" w:themeColor="text1"/>
          <w:lang w:val="en-US"/>
        </w:rPr>
        <w:t xml:space="preserve">87; t(74) = -6.23, p &lt; .01). </w:t>
      </w:r>
    </w:p>
    <w:p w14:paraId="3FDC3D98" w14:textId="3257B0F8" w:rsidR="00765DA3" w:rsidRDefault="00765DA3" w:rsidP="00765DA3">
      <w:pPr>
        <w:ind w:firstLine="567"/>
        <w:rPr>
          <w:color w:val="000000" w:themeColor="text1"/>
          <w:lang w:val="en-US"/>
        </w:rPr>
      </w:pPr>
      <w:r w:rsidRPr="007C37B0">
        <w:rPr>
          <w:color w:val="000000" w:themeColor="text1"/>
          <w:lang w:val="en-US"/>
        </w:rPr>
        <w:t>While these results provide substantial support for our operationalization of legitimacy through</w:t>
      </w:r>
      <w:r w:rsidR="00E64171">
        <w:rPr>
          <w:color w:val="000000" w:themeColor="text1"/>
          <w:lang w:val="en-US"/>
        </w:rPr>
        <w:t xml:space="preserve"> financial versus</w:t>
      </w:r>
      <w:r w:rsidRPr="007C37B0">
        <w:rPr>
          <w:color w:val="000000" w:themeColor="text1"/>
          <w:lang w:val="en-US"/>
        </w:rPr>
        <w:t xml:space="preserve"> nonfinancial complaint types, it is still not clear whether the variation in legitimacy within sub</w:t>
      </w:r>
      <w:r w:rsidR="00A439EB" w:rsidRPr="007C37B0">
        <w:rPr>
          <w:color w:val="000000" w:themeColor="text1"/>
          <w:lang w:val="en-US"/>
        </w:rPr>
        <w:t>-</w:t>
      </w:r>
      <w:r w:rsidRPr="007C37B0">
        <w:rPr>
          <w:color w:val="000000" w:themeColor="text1"/>
          <w:lang w:val="en-US"/>
        </w:rPr>
        <w:t xml:space="preserve">categories of the financial and </w:t>
      </w:r>
      <w:r w:rsidR="00E64171">
        <w:rPr>
          <w:color w:val="000000" w:themeColor="text1"/>
          <w:lang w:val="en-US"/>
        </w:rPr>
        <w:t>non</w:t>
      </w:r>
      <w:r w:rsidRPr="007C37B0">
        <w:rPr>
          <w:color w:val="000000" w:themeColor="text1"/>
          <w:lang w:val="en-US"/>
        </w:rPr>
        <w:t>financial complaint types requires a further differentiation. To evaluate this, we use two one-way ANOVAs to compare the variances in legitimacy ratings within and between the sub</w:t>
      </w:r>
      <w:r w:rsidR="007F5F62">
        <w:rPr>
          <w:color w:val="000000" w:themeColor="text1"/>
          <w:lang w:val="en-US"/>
        </w:rPr>
        <w:t>-</w:t>
      </w:r>
      <w:r w:rsidRPr="007C37B0">
        <w:rPr>
          <w:color w:val="000000" w:themeColor="text1"/>
          <w:lang w:val="en-US"/>
        </w:rPr>
        <w:t>categories of financial and nonfinancial types. The results show that ratings for the extent to which complaint statements affect the broader public within financial complaints vary only marginally (</w:t>
      </w:r>
      <w:proofErr w:type="spellStart"/>
      <w:r w:rsidRPr="007C37B0">
        <w:rPr>
          <w:color w:val="000000" w:themeColor="text1"/>
          <w:lang w:val="en-US"/>
        </w:rPr>
        <w:t>M</w:t>
      </w:r>
      <w:r w:rsidRPr="007C37B0">
        <w:rPr>
          <w:color w:val="000000" w:themeColor="text1"/>
          <w:vertAlign w:val="subscript"/>
          <w:lang w:val="en-US"/>
        </w:rPr>
        <w:t>Board_dir</w:t>
      </w:r>
      <w:proofErr w:type="spellEnd"/>
      <w:r w:rsidRPr="007C37B0">
        <w:rPr>
          <w:color w:val="000000" w:themeColor="text1"/>
          <w:vertAlign w:val="subscript"/>
          <w:lang w:val="en-US"/>
        </w:rPr>
        <w:t xml:space="preserve"> </w:t>
      </w:r>
      <w:r w:rsidRPr="007C37B0">
        <w:rPr>
          <w:color w:val="000000" w:themeColor="text1"/>
          <w:lang w:val="en-US"/>
        </w:rPr>
        <w:t xml:space="preserve">= 3.90, </w:t>
      </w:r>
      <w:proofErr w:type="spellStart"/>
      <w:r w:rsidRPr="007C37B0">
        <w:rPr>
          <w:color w:val="000000" w:themeColor="text1"/>
          <w:lang w:val="en-US"/>
        </w:rPr>
        <w:t>M</w:t>
      </w:r>
      <w:r w:rsidRPr="007C37B0">
        <w:rPr>
          <w:color w:val="000000" w:themeColor="text1"/>
          <w:vertAlign w:val="subscript"/>
          <w:lang w:val="en-US"/>
        </w:rPr>
        <w:t>Exec_comp</w:t>
      </w:r>
      <w:proofErr w:type="spellEnd"/>
      <w:r w:rsidRPr="007C37B0">
        <w:rPr>
          <w:color w:val="000000" w:themeColor="text1"/>
          <w:lang w:val="en-US"/>
        </w:rPr>
        <w:t xml:space="preserve"> = 4.33, </w:t>
      </w:r>
      <w:proofErr w:type="spellStart"/>
      <w:r w:rsidRPr="007C37B0">
        <w:rPr>
          <w:color w:val="000000" w:themeColor="text1"/>
          <w:lang w:val="en-US"/>
        </w:rPr>
        <w:t>M</w:t>
      </w:r>
      <w:r w:rsidRPr="007C37B0">
        <w:rPr>
          <w:color w:val="000000" w:themeColor="text1"/>
          <w:vertAlign w:val="subscript"/>
          <w:lang w:val="en-US"/>
        </w:rPr>
        <w:t>Takeovers</w:t>
      </w:r>
      <w:proofErr w:type="spellEnd"/>
      <w:r w:rsidRPr="007C37B0">
        <w:rPr>
          <w:color w:val="000000" w:themeColor="text1"/>
          <w:lang w:val="en-US"/>
        </w:rPr>
        <w:t xml:space="preserve"> = 3.29; F(2, 123) = 3.07, p = </w:t>
      </w:r>
      <w:r w:rsidR="00F471C1" w:rsidRPr="007C37B0">
        <w:rPr>
          <w:color w:val="000000" w:themeColor="text1"/>
          <w:lang w:val="en-US"/>
        </w:rPr>
        <w:t>.</w:t>
      </w:r>
      <w:r w:rsidRPr="007C37B0">
        <w:rPr>
          <w:color w:val="000000" w:themeColor="text1"/>
          <w:lang w:val="en-US"/>
        </w:rPr>
        <w:t>05) and do not vary significantly within nonfinancial complaints (</w:t>
      </w:r>
      <w:proofErr w:type="spellStart"/>
      <w:r w:rsidRPr="007C37B0">
        <w:rPr>
          <w:color w:val="000000" w:themeColor="text1"/>
          <w:lang w:val="en-US"/>
        </w:rPr>
        <w:t>M</w:t>
      </w:r>
      <w:r w:rsidRPr="007C37B0">
        <w:rPr>
          <w:color w:val="000000" w:themeColor="text1"/>
          <w:vertAlign w:val="subscript"/>
          <w:lang w:val="en-US"/>
        </w:rPr>
        <w:t>Environment</w:t>
      </w:r>
      <w:proofErr w:type="spellEnd"/>
      <w:r w:rsidRPr="007C37B0">
        <w:rPr>
          <w:color w:val="000000" w:themeColor="text1"/>
          <w:vertAlign w:val="subscript"/>
          <w:lang w:val="en-US"/>
        </w:rPr>
        <w:t xml:space="preserve"> </w:t>
      </w:r>
      <w:r w:rsidRPr="007C37B0">
        <w:rPr>
          <w:color w:val="000000" w:themeColor="text1"/>
          <w:lang w:val="en-US"/>
        </w:rPr>
        <w:t xml:space="preserve">= 5.98, </w:t>
      </w:r>
      <w:proofErr w:type="spellStart"/>
      <w:r w:rsidRPr="007C37B0">
        <w:rPr>
          <w:color w:val="000000" w:themeColor="text1"/>
          <w:lang w:val="en-US"/>
        </w:rPr>
        <w:t>M</w:t>
      </w:r>
      <w:r w:rsidRPr="007C37B0">
        <w:rPr>
          <w:color w:val="000000" w:themeColor="text1"/>
          <w:vertAlign w:val="subscript"/>
          <w:lang w:val="en-US"/>
        </w:rPr>
        <w:t>Diversity</w:t>
      </w:r>
      <w:proofErr w:type="spellEnd"/>
      <w:r w:rsidRPr="007C37B0">
        <w:rPr>
          <w:color w:val="000000" w:themeColor="text1"/>
          <w:lang w:val="en-US"/>
        </w:rPr>
        <w:t xml:space="preserve"> = 5.67, </w:t>
      </w:r>
      <w:proofErr w:type="spellStart"/>
      <w:r w:rsidRPr="007C37B0">
        <w:rPr>
          <w:color w:val="000000" w:themeColor="text1"/>
          <w:lang w:val="en-US"/>
        </w:rPr>
        <w:t>M</w:t>
      </w:r>
      <w:r w:rsidRPr="007C37B0">
        <w:rPr>
          <w:color w:val="000000" w:themeColor="text1"/>
          <w:vertAlign w:val="subscript"/>
          <w:lang w:val="en-US"/>
        </w:rPr>
        <w:t>Community</w:t>
      </w:r>
      <w:proofErr w:type="spellEnd"/>
      <w:r w:rsidRPr="007C37B0">
        <w:rPr>
          <w:color w:val="000000" w:themeColor="text1"/>
          <w:lang w:val="en-US"/>
        </w:rPr>
        <w:t xml:space="preserve"> = 5.95; </w:t>
      </w:r>
      <w:proofErr w:type="spellStart"/>
      <w:r w:rsidRPr="007C37B0">
        <w:rPr>
          <w:color w:val="000000" w:themeColor="text1"/>
          <w:lang w:val="en-US"/>
        </w:rPr>
        <w:t>M</w:t>
      </w:r>
      <w:r w:rsidRPr="007C37B0">
        <w:rPr>
          <w:color w:val="000000" w:themeColor="text1"/>
          <w:vertAlign w:val="subscript"/>
          <w:lang w:val="en-US"/>
        </w:rPr>
        <w:t>Product</w:t>
      </w:r>
      <w:proofErr w:type="spellEnd"/>
      <w:r w:rsidRPr="007C37B0">
        <w:rPr>
          <w:color w:val="000000" w:themeColor="text1"/>
          <w:lang w:val="en-US"/>
        </w:rPr>
        <w:t xml:space="preserve"> = 6.12; </w:t>
      </w:r>
      <w:proofErr w:type="spellStart"/>
      <w:r w:rsidRPr="007C37B0">
        <w:rPr>
          <w:color w:val="000000" w:themeColor="text1"/>
          <w:lang w:val="en-US"/>
        </w:rPr>
        <w:t>M</w:t>
      </w:r>
      <w:r w:rsidR="00FA79CE" w:rsidRPr="007C37B0">
        <w:rPr>
          <w:color w:val="000000" w:themeColor="text1"/>
          <w:vertAlign w:val="subscript"/>
          <w:lang w:val="en-US"/>
        </w:rPr>
        <w:t>HR</w:t>
      </w:r>
      <w:r w:rsidRPr="007C37B0">
        <w:rPr>
          <w:color w:val="000000" w:themeColor="text1"/>
          <w:vertAlign w:val="subscript"/>
          <w:lang w:val="en-US"/>
        </w:rPr>
        <w:t>ights</w:t>
      </w:r>
      <w:proofErr w:type="spellEnd"/>
      <w:r w:rsidRPr="007C37B0">
        <w:rPr>
          <w:color w:val="000000" w:themeColor="text1"/>
          <w:lang w:val="en-US"/>
        </w:rPr>
        <w:t xml:space="preserve"> = 5.79; </w:t>
      </w:r>
      <w:proofErr w:type="spellStart"/>
      <w:r w:rsidRPr="007C37B0">
        <w:rPr>
          <w:color w:val="000000" w:themeColor="text1"/>
          <w:lang w:val="en-US"/>
        </w:rPr>
        <w:t>M</w:t>
      </w:r>
      <w:r w:rsidRPr="007C37B0">
        <w:rPr>
          <w:color w:val="000000" w:themeColor="text1"/>
          <w:vertAlign w:val="subscript"/>
          <w:lang w:val="en-US"/>
        </w:rPr>
        <w:t>Vices</w:t>
      </w:r>
      <w:proofErr w:type="spellEnd"/>
      <w:r w:rsidRPr="007C37B0">
        <w:rPr>
          <w:color w:val="000000" w:themeColor="text1"/>
          <w:lang w:val="en-US"/>
        </w:rPr>
        <w:t xml:space="preserve"> = 5.48; F(5, 246) = 1.19, p = </w:t>
      </w:r>
      <w:r w:rsidR="00F471C1" w:rsidRPr="007C37B0">
        <w:rPr>
          <w:color w:val="000000" w:themeColor="text1"/>
          <w:lang w:val="en-US"/>
        </w:rPr>
        <w:t>.</w:t>
      </w:r>
      <w:r w:rsidRPr="007C37B0">
        <w:rPr>
          <w:color w:val="000000" w:themeColor="text1"/>
          <w:lang w:val="en-US"/>
        </w:rPr>
        <w:t xml:space="preserve">31). Moreover, we find that ratings for the extent to </w:t>
      </w:r>
      <w:r w:rsidRPr="007C37B0">
        <w:rPr>
          <w:color w:val="000000" w:themeColor="text1"/>
          <w:lang w:val="en-US"/>
        </w:rPr>
        <w:lastRenderedPageBreak/>
        <w:t>which complaint statements are legit and appropriate according to social norms do not vary significantly within financial complaints (</w:t>
      </w:r>
      <w:proofErr w:type="spellStart"/>
      <w:r w:rsidRPr="007C37B0">
        <w:rPr>
          <w:color w:val="000000" w:themeColor="text1"/>
          <w:lang w:val="en-US"/>
        </w:rPr>
        <w:t>M</w:t>
      </w:r>
      <w:r w:rsidRPr="007C37B0">
        <w:rPr>
          <w:color w:val="000000" w:themeColor="text1"/>
          <w:vertAlign w:val="subscript"/>
          <w:lang w:val="en-US"/>
        </w:rPr>
        <w:t>Board_dir</w:t>
      </w:r>
      <w:proofErr w:type="spellEnd"/>
      <w:r w:rsidRPr="007C37B0">
        <w:rPr>
          <w:color w:val="000000" w:themeColor="text1"/>
          <w:vertAlign w:val="subscript"/>
          <w:lang w:val="en-US"/>
        </w:rPr>
        <w:t xml:space="preserve"> </w:t>
      </w:r>
      <w:r w:rsidRPr="007C37B0">
        <w:rPr>
          <w:color w:val="000000" w:themeColor="text1"/>
          <w:lang w:val="en-US"/>
        </w:rPr>
        <w:t xml:space="preserve">= 4.38, </w:t>
      </w:r>
      <w:proofErr w:type="spellStart"/>
      <w:r w:rsidRPr="007C37B0">
        <w:rPr>
          <w:color w:val="000000" w:themeColor="text1"/>
          <w:lang w:val="en-US"/>
        </w:rPr>
        <w:t>M</w:t>
      </w:r>
      <w:r w:rsidRPr="007C37B0">
        <w:rPr>
          <w:color w:val="000000" w:themeColor="text1"/>
          <w:vertAlign w:val="subscript"/>
          <w:lang w:val="en-US"/>
        </w:rPr>
        <w:t>Exec_comp</w:t>
      </w:r>
      <w:proofErr w:type="spellEnd"/>
      <w:r w:rsidRPr="007C37B0">
        <w:rPr>
          <w:color w:val="000000" w:themeColor="text1"/>
          <w:lang w:val="en-US"/>
        </w:rPr>
        <w:t xml:space="preserve"> = 4.74, </w:t>
      </w:r>
      <w:proofErr w:type="spellStart"/>
      <w:r w:rsidRPr="007C37B0">
        <w:rPr>
          <w:color w:val="000000" w:themeColor="text1"/>
          <w:lang w:val="en-US"/>
        </w:rPr>
        <w:t>M</w:t>
      </w:r>
      <w:r w:rsidRPr="007C37B0">
        <w:rPr>
          <w:color w:val="000000" w:themeColor="text1"/>
          <w:vertAlign w:val="subscript"/>
          <w:lang w:val="en-US"/>
        </w:rPr>
        <w:t>Takeovers</w:t>
      </w:r>
      <w:proofErr w:type="spellEnd"/>
      <w:r w:rsidRPr="007C37B0">
        <w:rPr>
          <w:color w:val="000000" w:themeColor="text1"/>
          <w:lang w:val="en-US"/>
        </w:rPr>
        <w:t xml:space="preserve"> = 4.62; F(2, 123) = </w:t>
      </w:r>
      <w:r w:rsidR="00F471C1" w:rsidRPr="007C37B0">
        <w:rPr>
          <w:color w:val="000000" w:themeColor="text1"/>
          <w:lang w:val="en-US"/>
        </w:rPr>
        <w:t>.</w:t>
      </w:r>
      <w:r w:rsidRPr="007C37B0">
        <w:rPr>
          <w:color w:val="000000" w:themeColor="text1"/>
          <w:lang w:val="en-US"/>
        </w:rPr>
        <w:t xml:space="preserve">57, p = </w:t>
      </w:r>
      <w:r w:rsidR="00F471C1" w:rsidRPr="007C37B0">
        <w:rPr>
          <w:color w:val="000000" w:themeColor="text1"/>
          <w:lang w:val="en-US"/>
        </w:rPr>
        <w:t>.</w:t>
      </w:r>
      <w:r w:rsidRPr="007C37B0">
        <w:rPr>
          <w:color w:val="000000" w:themeColor="text1"/>
          <w:lang w:val="en-US"/>
        </w:rPr>
        <w:t>57) or nonfinancial complaints (</w:t>
      </w:r>
      <w:proofErr w:type="spellStart"/>
      <w:r w:rsidRPr="007C37B0">
        <w:rPr>
          <w:color w:val="000000" w:themeColor="text1"/>
          <w:lang w:val="en-US"/>
        </w:rPr>
        <w:t>M</w:t>
      </w:r>
      <w:r w:rsidRPr="007C37B0">
        <w:rPr>
          <w:color w:val="000000" w:themeColor="text1"/>
          <w:vertAlign w:val="subscript"/>
          <w:lang w:val="en-US"/>
        </w:rPr>
        <w:t>Environment</w:t>
      </w:r>
      <w:proofErr w:type="spellEnd"/>
      <w:r w:rsidRPr="007C37B0">
        <w:rPr>
          <w:color w:val="000000" w:themeColor="text1"/>
          <w:vertAlign w:val="subscript"/>
          <w:lang w:val="en-US"/>
        </w:rPr>
        <w:t xml:space="preserve"> </w:t>
      </w:r>
      <w:r w:rsidRPr="007C37B0">
        <w:rPr>
          <w:color w:val="000000" w:themeColor="text1"/>
          <w:lang w:val="en-US"/>
        </w:rPr>
        <w:t xml:space="preserve">= 6.00, </w:t>
      </w:r>
      <w:proofErr w:type="spellStart"/>
      <w:r w:rsidRPr="007C37B0">
        <w:rPr>
          <w:color w:val="000000" w:themeColor="text1"/>
          <w:lang w:val="en-US"/>
        </w:rPr>
        <w:t>M</w:t>
      </w:r>
      <w:r w:rsidRPr="007C37B0">
        <w:rPr>
          <w:color w:val="000000" w:themeColor="text1"/>
          <w:vertAlign w:val="subscript"/>
          <w:lang w:val="en-US"/>
        </w:rPr>
        <w:t>Diversity</w:t>
      </w:r>
      <w:proofErr w:type="spellEnd"/>
      <w:r w:rsidRPr="007C37B0">
        <w:rPr>
          <w:color w:val="000000" w:themeColor="text1"/>
          <w:lang w:val="en-US"/>
        </w:rPr>
        <w:t xml:space="preserve"> = 5.93, </w:t>
      </w:r>
      <w:proofErr w:type="spellStart"/>
      <w:r w:rsidRPr="007C37B0">
        <w:rPr>
          <w:color w:val="000000" w:themeColor="text1"/>
          <w:lang w:val="en-US"/>
        </w:rPr>
        <w:t>M</w:t>
      </w:r>
      <w:r w:rsidRPr="007C37B0">
        <w:rPr>
          <w:color w:val="000000" w:themeColor="text1"/>
          <w:vertAlign w:val="subscript"/>
          <w:lang w:val="en-US"/>
        </w:rPr>
        <w:t>Community</w:t>
      </w:r>
      <w:proofErr w:type="spellEnd"/>
      <w:r w:rsidRPr="007C37B0">
        <w:rPr>
          <w:color w:val="000000" w:themeColor="text1"/>
          <w:lang w:val="en-US"/>
        </w:rPr>
        <w:t xml:space="preserve"> = 6.29; </w:t>
      </w:r>
      <w:proofErr w:type="spellStart"/>
      <w:r w:rsidRPr="007C37B0">
        <w:rPr>
          <w:color w:val="000000" w:themeColor="text1"/>
          <w:lang w:val="en-US"/>
        </w:rPr>
        <w:t>M</w:t>
      </w:r>
      <w:r w:rsidRPr="007C37B0">
        <w:rPr>
          <w:color w:val="000000" w:themeColor="text1"/>
          <w:vertAlign w:val="subscript"/>
          <w:lang w:val="en-US"/>
        </w:rPr>
        <w:t>Product</w:t>
      </w:r>
      <w:proofErr w:type="spellEnd"/>
      <w:r w:rsidRPr="007C37B0">
        <w:rPr>
          <w:color w:val="000000" w:themeColor="text1"/>
          <w:lang w:val="en-US"/>
        </w:rPr>
        <w:t xml:space="preserve"> = 6.21; </w:t>
      </w:r>
      <w:proofErr w:type="spellStart"/>
      <w:r w:rsidRPr="007C37B0">
        <w:rPr>
          <w:color w:val="000000" w:themeColor="text1"/>
          <w:lang w:val="en-US"/>
        </w:rPr>
        <w:t>M</w:t>
      </w:r>
      <w:r w:rsidR="00FA79CE" w:rsidRPr="007C37B0">
        <w:rPr>
          <w:color w:val="000000" w:themeColor="text1"/>
          <w:vertAlign w:val="subscript"/>
          <w:lang w:val="en-US"/>
        </w:rPr>
        <w:t>HR</w:t>
      </w:r>
      <w:r w:rsidRPr="007C37B0">
        <w:rPr>
          <w:color w:val="000000" w:themeColor="text1"/>
          <w:vertAlign w:val="subscript"/>
          <w:lang w:val="en-US"/>
        </w:rPr>
        <w:t>ights</w:t>
      </w:r>
      <w:proofErr w:type="spellEnd"/>
      <w:r w:rsidRPr="007C37B0">
        <w:rPr>
          <w:color w:val="000000" w:themeColor="text1"/>
          <w:lang w:val="en-US"/>
        </w:rPr>
        <w:t xml:space="preserve"> = 5.93; </w:t>
      </w:r>
      <w:proofErr w:type="spellStart"/>
      <w:r w:rsidRPr="007C37B0">
        <w:rPr>
          <w:color w:val="000000" w:themeColor="text1"/>
          <w:lang w:val="en-US"/>
        </w:rPr>
        <w:t>M</w:t>
      </w:r>
      <w:r w:rsidRPr="007C37B0">
        <w:rPr>
          <w:color w:val="000000" w:themeColor="text1"/>
          <w:vertAlign w:val="subscript"/>
          <w:lang w:val="en-US"/>
        </w:rPr>
        <w:t>Vices</w:t>
      </w:r>
      <w:proofErr w:type="spellEnd"/>
      <w:r w:rsidRPr="007C37B0">
        <w:rPr>
          <w:color w:val="000000" w:themeColor="text1"/>
          <w:lang w:val="en-US"/>
        </w:rPr>
        <w:t xml:space="preserve"> = 5.83; F(5, 246) = </w:t>
      </w:r>
      <w:r w:rsidR="00F471C1" w:rsidRPr="007C37B0">
        <w:rPr>
          <w:color w:val="000000" w:themeColor="text1"/>
          <w:lang w:val="en-US"/>
        </w:rPr>
        <w:t>.</w:t>
      </w:r>
      <w:r w:rsidRPr="007C37B0">
        <w:rPr>
          <w:color w:val="000000" w:themeColor="text1"/>
          <w:lang w:val="en-US"/>
        </w:rPr>
        <w:t xml:space="preserve">89, p = </w:t>
      </w:r>
      <w:r w:rsidR="00F471C1" w:rsidRPr="007C37B0">
        <w:rPr>
          <w:color w:val="000000" w:themeColor="text1"/>
          <w:lang w:val="en-US"/>
        </w:rPr>
        <w:t>.</w:t>
      </w:r>
      <w:r w:rsidRPr="007C37B0">
        <w:rPr>
          <w:color w:val="000000" w:themeColor="text1"/>
          <w:lang w:val="en-US"/>
        </w:rPr>
        <w:t xml:space="preserve">49). In sum, these findings confirm the face validity of our operationalization of </w:t>
      </w:r>
      <w:r w:rsidR="00A439EB" w:rsidRPr="007C37B0">
        <w:rPr>
          <w:color w:val="000000" w:themeColor="text1"/>
          <w:lang w:val="en-US"/>
        </w:rPr>
        <w:t xml:space="preserve">shareholder </w:t>
      </w:r>
      <w:r w:rsidRPr="007C37B0">
        <w:rPr>
          <w:color w:val="000000" w:themeColor="text1"/>
          <w:lang w:val="en-US"/>
        </w:rPr>
        <w:t xml:space="preserve">complaint legitimacy as financial versus </w:t>
      </w:r>
      <w:r w:rsidR="00E64171" w:rsidRPr="007C37B0">
        <w:rPr>
          <w:color w:val="000000" w:themeColor="text1"/>
          <w:lang w:val="en-US"/>
        </w:rPr>
        <w:t>non</w:t>
      </w:r>
      <w:r w:rsidRPr="007C37B0">
        <w:rPr>
          <w:color w:val="000000" w:themeColor="text1"/>
          <w:lang w:val="en-US"/>
        </w:rPr>
        <w:t>financial complaints.</w:t>
      </w:r>
    </w:p>
    <w:p w14:paraId="317B6017" w14:textId="77777777" w:rsidR="00290C5F" w:rsidRPr="007C37B0" w:rsidRDefault="00290C5F" w:rsidP="00765DA3">
      <w:pPr>
        <w:ind w:firstLine="567"/>
        <w:rPr>
          <w:color w:val="000000" w:themeColor="text1"/>
          <w:lang w:val="en-US"/>
        </w:rPr>
      </w:pPr>
    </w:p>
    <w:p w14:paraId="29F01B41" w14:textId="3F882046" w:rsidR="007F5FA3" w:rsidRPr="007C37B0" w:rsidRDefault="00E058DB" w:rsidP="00EA3989">
      <w:pPr>
        <w:rPr>
          <w:b/>
          <w:color w:val="000000" w:themeColor="text1"/>
          <w:u w:color="000000"/>
          <w:lang w:val="en-US"/>
        </w:rPr>
      </w:pPr>
      <w:r>
        <w:rPr>
          <w:b/>
          <w:color w:val="000000" w:themeColor="text1"/>
          <w:u w:color="000000"/>
          <w:lang w:val="en-US"/>
        </w:rPr>
        <w:t>E</w:t>
      </w:r>
      <w:r w:rsidR="00555BC1" w:rsidRPr="007C37B0">
        <w:rPr>
          <w:b/>
          <w:color w:val="000000" w:themeColor="text1"/>
          <w:u w:color="000000"/>
          <w:lang w:val="en-US"/>
        </w:rPr>
        <w:t>4</w:t>
      </w:r>
      <w:r w:rsidR="001A7540" w:rsidRPr="007C37B0">
        <w:rPr>
          <w:b/>
          <w:color w:val="000000" w:themeColor="text1"/>
          <w:u w:color="000000"/>
          <w:lang w:val="en-US"/>
        </w:rPr>
        <w:t xml:space="preserve">. Operationalizing </w:t>
      </w:r>
      <w:r w:rsidR="00EA3989" w:rsidRPr="007C37B0">
        <w:rPr>
          <w:b/>
          <w:color w:val="000000" w:themeColor="text1"/>
          <w:u w:color="000000"/>
          <w:lang w:val="en-US"/>
        </w:rPr>
        <w:t>S</w:t>
      </w:r>
      <w:r w:rsidR="001A7540" w:rsidRPr="007C37B0">
        <w:rPr>
          <w:b/>
          <w:color w:val="000000" w:themeColor="text1"/>
          <w:u w:color="000000"/>
          <w:lang w:val="en-US"/>
        </w:rPr>
        <w:t xml:space="preserve">hareholder </w:t>
      </w:r>
      <w:r w:rsidR="00EA3989" w:rsidRPr="007C37B0">
        <w:rPr>
          <w:b/>
          <w:color w:val="000000" w:themeColor="text1"/>
          <w:u w:color="000000"/>
          <w:lang w:val="en-US"/>
        </w:rPr>
        <w:t>C</w:t>
      </w:r>
      <w:r w:rsidR="001A7540" w:rsidRPr="007C37B0">
        <w:rPr>
          <w:b/>
          <w:color w:val="000000" w:themeColor="text1"/>
          <w:u w:color="000000"/>
          <w:lang w:val="en-US"/>
        </w:rPr>
        <w:t xml:space="preserve">omplaint </w:t>
      </w:r>
      <w:r w:rsidR="003A3166">
        <w:rPr>
          <w:b/>
          <w:color w:val="000000" w:themeColor="text1"/>
          <w:u w:color="000000"/>
          <w:lang w:val="en-US"/>
        </w:rPr>
        <w:t xml:space="preserve">Type </w:t>
      </w:r>
      <w:r w:rsidR="00EA3989" w:rsidRPr="007C37B0">
        <w:rPr>
          <w:b/>
          <w:color w:val="000000" w:themeColor="text1"/>
          <w:u w:color="000000"/>
          <w:lang w:val="en-US"/>
        </w:rPr>
        <w:t>S</w:t>
      </w:r>
      <w:r w:rsidR="001A7540" w:rsidRPr="007C37B0">
        <w:rPr>
          <w:b/>
          <w:color w:val="000000" w:themeColor="text1"/>
          <w:u w:color="000000"/>
          <w:lang w:val="en-US"/>
        </w:rPr>
        <w:t>ub-</w:t>
      </w:r>
      <w:r w:rsidR="00EA3989" w:rsidRPr="007C37B0">
        <w:rPr>
          <w:b/>
          <w:color w:val="000000" w:themeColor="text1"/>
          <w:u w:color="000000"/>
          <w:lang w:val="en-US"/>
        </w:rPr>
        <w:t>C</w:t>
      </w:r>
      <w:r w:rsidR="001A7540" w:rsidRPr="007C37B0">
        <w:rPr>
          <w:b/>
          <w:color w:val="000000" w:themeColor="text1"/>
          <w:u w:color="000000"/>
          <w:lang w:val="en-US"/>
        </w:rPr>
        <w:t>ategories</w:t>
      </w:r>
    </w:p>
    <w:p w14:paraId="47387538" w14:textId="5E27F690" w:rsidR="00105EA6" w:rsidRPr="007C37B0" w:rsidRDefault="006E3F56" w:rsidP="0079455C">
      <w:pPr>
        <w:ind w:firstLine="720"/>
        <w:rPr>
          <w:color w:val="000000" w:themeColor="text1"/>
          <w:u w:color="000000"/>
          <w:lang w:val="en-US"/>
        </w:rPr>
      </w:pPr>
      <w:r w:rsidRPr="007C37B0">
        <w:rPr>
          <w:color w:val="000000" w:themeColor="text1"/>
          <w:u w:color="000000"/>
          <w:lang w:val="en-US"/>
        </w:rPr>
        <w:t>W</w:t>
      </w:r>
      <w:r w:rsidR="00411F6F" w:rsidRPr="007C37B0">
        <w:rPr>
          <w:color w:val="000000" w:themeColor="text1"/>
          <w:u w:color="000000"/>
          <w:lang w:val="en-US"/>
        </w:rPr>
        <w:t xml:space="preserve">e </w:t>
      </w:r>
      <w:r w:rsidR="00B537F6" w:rsidRPr="007C37B0">
        <w:rPr>
          <w:color w:val="000000" w:themeColor="text1"/>
          <w:u w:color="000000"/>
          <w:lang w:val="en-US"/>
        </w:rPr>
        <w:t>use the following</w:t>
      </w:r>
      <w:r w:rsidR="00411F6F" w:rsidRPr="007C37B0">
        <w:rPr>
          <w:color w:val="000000" w:themeColor="text1"/>
          <w:u w:color="000000"/>
          <w:lang w:val="en-US"/>
        </w:rPr>
        <w:t xml:space="preserve"> procedure to </w:t>
      </w:r>
      <w:r w:rsidR="00FC513F">
        <w:rPr>
          <w:color w:val="000000" w:themeColor="text1"/>
          <w:u w:color="000000"/>
          <w:lang w:val="en-US"/>
        </w:rPr>
        <w:t>further classify shareholder complaint content into type</w:t>
      </w:r>
      <w:r w:rsidR="00773C69" w:rsidRPr="007C37B0">
        <w:rPr>
          <w:color w:val="000000" w:themeColor="text1"/>
          <w:u w:color="000000"/>
          <w:lang w:val="en-US"/>
        </w:rPr>
        <w:t xml:space="preserve"> sub</w:t>
      </w:r>
      <w:r w:rsidR="00FC513F">
        <w:rPr>
          <w:color w:val="000000" w:themeColor="text1"/>
          <w:u w:color="000000"/>
          <w:lang w:val="en-US"/>
        </w:rPr>
        <w:t>-</w:t>
      </w:r>
      <w:r w:rsidR="00773C69" w:rsidRPr="007C37B0">
        <w:rPr>
          <w:color w:val="000000" w:themeColor="text1"/>
          <w:u w:color="000000"/>
          <w:lang w:val="en-US"/>
        </w:rPr>
        <w:t>categories</w:t>
      </w:r>
      <w:r w:rsidR="00411F6F" w:rsidRPr="007C37B0">
        <w:rPr>
          <w:color w:val="000000" w:themeColor="text1"/>
          <w:u w:color="000000"/>
          <w:lang w:val="en-US"/>
        </w:rPr>
        <w:t>.</w:t>
      </w:r>
      <w:r w:rsidR="00773C69" w:rsidRPr="007C37B0">
        <w:rPr>
          <w:color w:val="000000" w:themeColor="text1"/>
          <w:u w:color="000000"/>
          <w:lang w:val="en-US"/>
        </w:rPr>
        <w:t xml:space="preserve"> </w:t>
      </w:r>
      <w:r w:rsidR="00BD00F9" w:rsidRPr="007C37B0">
        <w:rPr>
          <w:color w:val="000000" w:themeColor="text1"/>
          <w:u w:color="000000"/>
          <w:lang w:val="en-US"/>
        </w:rPr>
        <w:t xml:space="preserve">First, we use the sub-categories </w:t>
      </w:r>
      <w:r w:rsidR="007E0C55" w:rsidRPr="007C37B0">
        <w:rPr>
          <w:color w:val="000000" w:themeColor="text1"/>
          <w:u w:color="000000"/>
          <w:lang w:val="en-US"/>
        </w:rPr>
        <w:t xml:space="preserve">of </w:t>
      </w:r>
      <w:r w:rsidR="00C45FB9" w:rsidRPr="007C37B0">
        <w:rPr>
          <w:color w:val="000000" w:themeColor="text1"/>
          <w:u w:color="000000"/>
          <w:lang w:val="en-US"/>
        </w:rPr>
        <w:t xml:space="preserve">the </w:t>
      </w:r>
      <w:r w:rsidR="00411F6F" w:rsidRPr="007C37B0">
        <w:rPr>
          <w:color w:val="000000" w:themeColor="text1"/>
          <w:u w:color="000000"/>
          <w:lang w:val="en-US"/>
        </w:rPr>
        <w:t>KLD</w:t>
      </w:r>
      <w:r w:rsidR="00C45FB9" w:rsidRPr="007C37B0">
        <w:rPr>
          <w:color w:val="000000" w:themeColor="text1"/>
          <w:u w:color="000000"/>
          <w:lang w:val="en-US"/>
        </w:rPr>
        <w:t xml:space="preserve"> database</w:t>
      </w:r>
      <w:r w:rsidR="00411F6F" w:rsidRPr="007C37B0">
        <w:rPr>
          <w:color w:val="000000" w:themeColor="text1"/>
          <w:u w:color="000000"/>
          <w:lang w:val="en-US"/>
        </w:rPr>
        <w:t xml:space="preserve"> </w:t>
      </w:r>
      <w:r w:rsidR="00A52B39" w:rsidRPr="007C37B0">
        <w:rPr>
          <w:color w:val="000000" w:themeColor="text1"/>
          <w:u w:color="000000"/>
          <w:lang w:val="en-US"/>
        </w:rPr>
        <w:t xml:space="preserve">to augment our dichotomous </w:t>
      </w:r>
      <w:r w:rsidR="00105EA6" w:rsidRPr="007C37B0">
        <w:rPr>
          <w:color w:val="000000" w:themeColor="text1"/>
          <w:u w:color="000000"/>
          <w:lang w:val="en-US"/>
        </w:rPr>
        <w:t xml:space="preserve">financial/nonfinancial </w:t>
      </w:r>
      <w:r w:rsidR="00A52B39" w:rsidRPr="007C37B0">
        <w:rPr>
          <w:color w:val="000000" w:themeColor="text1"/>
          <w:u w:color="000000"/>
          <w:lang w:val="en-US"/>
        </w:rPr>
        <w:t>classification</w:t>
      </w:r>
      <w:r w:rsidR="00411F6F" w:rsidRPr="007C37B0">
        <w:rPr>
          <w:color w:val="000000" w:themeColor="text1"/>
          <w:u w:color="000000"/>
          <w:lang w:val="en-US"/>
        </w:rPr>
        <w:t xml:space="preserve">. </w:t>
      </w:r>
      <w:r w:rsidR="00BD00F9" w:rsidRPr="007C37B0">
        <w:rPr>
          <w:color w:val="000000" w:themeColor="text1"/>
          <w:u w:color="000000"/>
          <w:lang w:val="en-US"/>
        </w:rPr>
        <w:t>As a leading standard for rating</w:t>
      </w:r>
      <w:r w:rsidR="0080683F" w:rsidRPr="007C37B0">
        <w:rPr>
          <w:color w:val="000000" w:themeColor="text1"/>
          <w:u w:color="000000"/>
          <w:lang w:val="en-US"/>
        </w:rPr>
        <w:t>s</w:t>
      </w:r>
      <w:r w:rsidR="00BD00F9" w:rsidRPr="007C37B0">
        <w:rPr>
          <w:color w:val="000000" w:themeColor="text1"/>
          <w:u w:color="000000"/>
          <w:lang w:val="en-US"/>
        </w:rPr>
        <w:t xml:space="preserve"> on </w:t>
      </w:r>
      <w:r w:rsidR="0088213C" w:rsidRPr="007C37B0">
        <w:rPr>
          <w:color w:val="000000" w:themeColor="text1"/>
          <w:u w:color="000000"/>
          <w:lang w:val="en-US"/>
        </w:rPr>
        <w:t xml:space="preserve">firms’ </w:t>
      </w:r>
      <w:r w:rsidR="00A52B39" w:rsidRPr="007C37B0">
        <w:rPr>
          <w:color w:val="000000" w:themeColor="text1"/>
          <w:u w:color="000000"/>
          <w:lang w:val="en-US"/>
        </w:rPr>
        <w:t>corporate governance</w:t>
      </w:r>
      <w:r w:rsidR="00BD00F9" w:rsidRPr="007C37B0">
        <w:rPr>
          <w:color w:val="000000" w:themeColor="text1"/>
          <w:u w:color="000000"/>
          <w:lang w:val="en-US"/>
        </w:rPr>
        <w:t xml:space="preserve"> and nonfinancial performance, the KLD data have found wide acceptance in both academi</w:t>
      </w:r>
      <w:r w:rsidR="0088213C" w:rsidRPr="007C37B0">
        <w:rPr>
          <w:color w:val="000000" w:themeColor="text1"/>
          <w:u w:color="000000"/>
          <w:lang w:val="en-US"/>
        </w:rPr>
        <w:t>a</w:t>
      </w:r>
      <w:r w:rsidR="00BD00F9" w:rsidRPr="007C37B0">
        <w:rPr>
          <w:color w:val="000000" w:themeColor="text1"/>
          <w:u w:color="000000"/>
          <w:lang w:val="en-US"/>
        </w:rPr>
        <w:t xml:space="preserve"> and </w:t>
      </w:r>
      <w:r w:rsidR="00DC65B8" w:rsidRPr="007C37B0">
        <w:rPr>
          <w:color w:val="000000" w:themeColor="text1"/>
          <w:u w:color="000000"/>
          <w:lang w:val="en-US"/>
        </w:rPr>
        <w:t xml:space="preserve">business </w:t>
      </w:r>
      <w:r w:rsidR="00BD00F9" w:rsidRPr="007C37B0">
        <w:rPr>
          <w:color w:val="000000" w:themeColor="text1"/>
          <w:u w:color="000000"/>
          <w:lang w:val="en-US"/>
        </w:rPr>
        <w:t>(e.g., Groening</w:t>
      </w:r>
      <w:r w:rsidR="00FB6512">
        <w:rPr>
          <w:color w:val="000000" w:themeColor="text1"/>
          <w:u w:color="000000"/>
          <w:lang w:val="en-US"/>
        </w:rPr>
        <w:t>, Mittal, and Zhang</w:t>
      </w:r>
      <w:r w:rsidR="00BD00F9" w:rsidRPr="007C37B0">
        <w:rPr>
          <w:color w:val="000000" w:themeColor="text1"/>
          <w:u w:color="000000"/>
          <w:lang w:val="en-US"/>
        </w:rPr>
        <w:t xml:space="preserve"> 2015). </w:t>
      </w:r>
      <w:r w:rsidR="00411F6F" w:rsidRPr="007C37B0">
        <w:rPr>
          <w:color w:val="000000" w:themeColor="text1"/>
          <w:u w:color="000000"/>
          <w:lang w:val="en-US"/>
        </w:rPr>
        <w:t xml:space="preserve">KLD differentiates between </w:t>
      </w:r>
      <w:r w:rsidR="00105EA6" w:rsidRPr="007C37B0">
        <w:rPr>
          <w:color w:val="000000" w:themeColor="text1"/>
          <w:u w:color="000000"/>
          <w:lang w:val="en-US"/>
        </w:rPr>
        <w:t xml:space="preserve">financial (i.e., </w:t>
      </w:r>
      <w:r w:rsidR="00555BC1" w:rsidRPr="007C37B0">
        <w:rPr>
          <w:color w:val="000000" w:themeColor="text1"/>
          <w:u w:color="000000"/>
          <w:lang w:val="en-US"/>
        </w:rPr>
        <w:t>financial/</w:t>
      </w:r>
      <w:r w:rsidR="00411F6F" w:rsidRPr="007C37B0">
        <w:rPr>
          <w:color w:val="000000" w:themeColor="text1"/>
          <w:u w:color="000000"/>
          <w:lang w:val="en-US"/>
        </w:rPr>
        <w:t>corporate governance</w:t>
      </w:r>
      <w:r w:rsidR="00105EA6" w:rsidRPr="007C37B0">
        <w:rPr>
          <w:color w:val="000000" w:themeColor="text1"/>
          <w:u w:color="000000"/>
          <w:lang w:val="en-US"/>
        </w:rPr>
        <w:t>)</w:t>
      </w:r>
      <w:r w:rsidR="00411F6F" w:rsidRPr="007C37B0">
        <w:rPr>
          <w:color w:val="000000" w:themeColor="text1"/>
          <w:u w:color="000000"/>
          <w:lang w:val="en-US"/>
        </w:rPr>
        <w:t xml:space="preserve"> and </w:t>
      </w:r>
      <w:r w:rsidR="00105EA6" w:rsidRPr="007C37B0">
        <w:rPr>
          <w:color w:val="000000" w:themeColor="text1"/>
          <w:u w:color="000000"/>
          <w:lang w:val="en-US"/>
        </w:rPr>
        <w:t xml:space="preserve">nonfinancial (i.e., </w:t>
      </w:r>
      <w:r w:rsidR="00411F6F" w:rsidRPr="007C37B0">
        <w:rPr>
          <w:color w:val="000000" w:themeColor="text1"/>
          <w:u w:color="000000"/>
          <w:lang w:val="en-US"/>
        </w:rPr>
        <w:t xml:space="preserve">social </w:t>
      </w:r>
      <w:r w:rsidR="0088213C" w:rsidRPr="007C37B0">
        <w:rPr>
          <w:color w:val="000000" w:themeColor="text1"/>
          <w:u w:color="000000"/>
          <w:lang w:val="en-US"/>
        </w:rPr>
        <w:t>responsibility</w:t>
      </w:r>
      <w:r w:rsidR="00105EA6" w:rsidRPr="007C37B0">
        <w:rPr>
          <w:color w:val="000000" w:themeColor="text1"/>
          <w:u w:color="000000"/>
          <w:lang w:val="en-US"/>
        </w:rPr>
        <w:t>)</w:t>
      </w:r>
      <w:r w:rsidR="0088213C" w:rsidRPr="007C37B0">
        <w:rPr>
          <w:color w:val="000000" w:themeColor="text1"/>
          <w:u w:color="000000"/>
          <w:lang w:val="en-US"/>
        </w:rPr>
        <w:t xml:space="preserve"> pe</w:t>
      </w:r>
      <w:r w:rsidR="001D1480" w:rsidRPr="007C37B0">
        <w:rPr>
          <w:color w:val="000000" w:themeColor="text1"/>
          <w:u w:color="000000"/>
          <w:lang w:val="en-US"/>
        </w:rPr>
        <w:t>r</w:t>
      </w:r>
      <w:r w:rsidR="0088213C" w:rsidRPr="007C37B0">
        <w:rPr>
          <w:color w:val="000000" w:themeColor="text1"/>
          <w:u w:color="000000"/>
          <w:lang w:val="en-US"/>
        </w:rPr>
        <w:t>formance</w:t>
      </w:r>
      <w:r w:rsidR="00411F6F" w:rsidRPr="007C37B0">
        <w:rPr>
          <w:color w:val="000000" w:themeColor="text1"/>
          <w:u w:color="000000"/>
          <w:lang w:val="en-US"/>
        </w:rPr>
        <w:t xml:space="preserve">, </w:t>
      </w:r>
      <w:r w:rsidR="000D1E76" w:rsidRPr="007C37B0">
        <w:rPr>
          <w:color w:val="000000" w:themeColor="text1"/>
          <w:u w:color="000000"/>
          <w:lang w:val="en-US"/>
        </w:rPr>
        <w:t xml:space="preserve">comparable to the </w:t>
      </w:r>
      <w:proofErr w:type="spellStart"/>
      <w:r w:rsidR="000D1E76" w:rsidRPr="007C37B0">
        <w:rPr>
          <w:color w:val="000000" w:themeColor="text1"/>
          <w:u w:color="000000"/>
          <w:lang w:val="en-US"/>
        </w:rPr>
        <w:t>Risk</w:t>
      </w:r>
      <w:r w:rsidR="0088213C" w:rsidRPr="007C37B0">
        <w:rPr>
          <w:color w:val="000000" w:themeColor="text1"/>
          <w:u w:color="000000"/>
          <w:lang w:val="en-US"/>
        </w:rPr>
        <w:t>Metrics</w:t>
      </w:r>
      <w:proofErr w:type="spellEnd"/>
      <w:r w:rsidR="0088213C" w:rsidRPr="007C37B0">
        <w:rPr>
          <w:color w:val="000000" w:themeColor="text1"/>
          <w:u w:color="000000"/>
          <w:lang w:val="en-US"/>
        </w:rPr>
        <w:t xml:space="preserve"> classification, but</w:t>
      </w:r>
      <w:r w:rsidR="00411F6F" w:rsidRPr="007C37B0">
        <w:rPr>
          <w:color w:val="000000" w:themeColor="text1"/>
          <w:u w:color="000000"/>
          <w:lang w:val="en-US"/>
        </w:rPr>
        <w:t xml:space="preserve"> provides more detailed </w:t>
      </w:r>
      <w:r w:rsidR="0088213C" w:rsidRPr="007C37B0">
        <w:rPr>
          <w:color w:val="000000" w:themeColor="text1"/>
          <w:u w:color="000000"/>
          <w:lang w:val="en-US"/>
        </w:rPr>
        <w:t>sub-categories</w:t>
      </w:r>
      <w:r w:rsidR="00411F6F" w:rsidRPr="007C37B0">
        <w:rPr>
          <w:color w:val="000000" w:themeColor="text1"/>
          <w:u w:color="000000"/>
          <w:lang w:val="en-US"/>
        </w:rPr>
        <w:t xml:space="preserve">, as depicted in </w:t>
      </w:r>
      <w:r w:rsidR="00861D40" w:rsidRPr="007C37B0">
        <w:rPr>
          <w:color w:val="000000" w:themeColor="text1"/>
          <w:u w:color="000000"/>
          <w:lang w:val="en-US"/>
        </w:rPr>
        <w:t xml:space="preserve">Column II.1 </w:t>
      </w:r>
      <w:r w:rsidR="001D254B" w:rsidRPr="007C37B0">
        <w:rPr>
          <w:color w:val="000000" w:themeColor="text1"/>
          <w:u w:color="000000"/>
          <w:lang w:val="en-US"/>
        </w:rPr>
        <w:t>of</w:t>
      </w:r>
      <w:r w:rsidR="00861D40" w:rsidRPr="007C37B0">
        <w:rPr>
          <w:color w:val="000000" w:themeColor="text1"/>
          <w:u w:color="000000"/>
          <w:lang w:val="en-US"/>
        </w:rPr>
        <w:t xml:space="preserve"> </w:t>
      </w:r>
      <w:r w:rsidR="00411F6F" w:rsidRPr="007C37B0">
        <w:rPr>
          <w:color w:val="000000" w:themeColor="text1"/>
          <w:u w:color="000000"/>
          <w:lang w:val="en-US"/>
        </w:rPr>
        <w:t>T</w:t>
      </w:r>
      <w:r w:rsidR="001D1480" w:rsidRPr="007C37B0">
        <w:rPr>
          <w:color w:val="000000" w:themeColor="text1"/>
          <w:u w:color="000000"/>
          <w:lang w:val="en-US"/>
        </w:rPr>
        <w:t xml:space="preserve">able </w:t>
      </w:r>
      <w:r w:rsidR="00E23449">
        <w:rPr>
          <w:color w:val="000000" w:themeColor="text1"/>
          <w:u w:color="000000"/>
          <w:lang w:val="en-US"/>
        </w:rPr>
        <w:t>E</w:t>
      </w:r>
      <w:r w:rsidR="00411F6F" w:rsidRPr="007C37B0">
        <w:rPr>
          <w:color w:val="000000" w:themeColor="text1"/>
          <w:u w:color="000000"/>
          <w:lang w:val="en-US"/>
        </w:rPr>
        <w:t xml:space="preserve">1. </w:t>
      </w:r>
      <w:r w:rsidR="00105EA6" w:rsidRPr="007C37B0">
        <w:rPr>
          <w:color w:val="000000" w:themeColor="text1"/>
          <w:u w:color="000000"/>
          <w:lang w:val="en-US"/>
        </w:rPr>
        <w:t xml:space="preserve">We combine sub-categories if their frequencies </w:t>
      </w:r>
      <w:r w:rsidR="00FC513F">
        <w:rPr>
          <w:color w:val="000000" w:themeColor="text1"/>
          <w:u w:color="000000"/>
          <w:lang w:val="en-US"/>
        </w:rPr>
        <w:t xml:space="preserve">among all complaints </w:t>
      </w:r>
      <w:r w:rsidR="00105EA6" w:rsidRPr="007C37B0">
        <w:rPr>
          <w:color w:val="000000" w:themeColor="text1"/>
          <w:u w:color="000000"/>
          <w:lang w:val="en-US"/>
        </w:rPr>
        <w:t>are below 5%</w:t>
      </w:r>
      <w:r w:rsidR="0028093D" w:rsidRPr="007C37B0">
        <w:rPr>
          <w:color w:val="000000" w:themeColor="text1"/>
          <w:u w:color="000000"/>
          <w:lang w:val="en-US"/>
        </w:rPr>
        <w:t xml:space="preserve"> or if their applications substantially overlap (e.g., diversity issues tend to relate to diversity issues among employees)</w:t>
      </w:r>
      <w:r w:rsidR="00105EA6" w:rsidRPr="007C37B0">
        <w:rPr>
          <w:color w:val="000000" w:themeColor="text1"/>
          <w:u w:color="000000"/>
          <w:lang w:val="en-US"/>
        </w:rPr>
        <w:t xml:space="preserve">, leading to the final list of </w:t>
      </w:r>
      <w:r w:rsidR="00E64171">
        <w:rPr>
          <w:color w:val="000000" w:themeColor="text1"/>
          <w:u w:color="000000"/>
          <w:lang w:val="en-US"/>
        </w:rPr>
        <w:t xml:space="preserve">nine </w:t>
      </w:r>
      <w:r w:rsidR="00105EA6" w:rsidRPr="007C37B0">
        <w:rPr>
          <w:color w:val="000000" w:themeColor="text1"/>
          <w:u w:color="000000"/>
          <w:lang w:val="en-US"/>
        </w:rPr>
        <w:t xml:space="preserve">sub-categories as depicted in Column II.2 of Table </w:t>
      </w:r>
      <w:r w:rsidR="00E23449">
        <w:rPr>
          <w:color w:val="000000" w:themeColor="text1"/>
          <w:u w:color="000000"/>
          <w:lang w:val="en-US"/>
        </w:rPr>
        <w:t>E</w:t>
      </w:r>
      <w:r w:rsidR="00105EA6" w:rsidRPr="007C37B0">
        <w:rPr>
          <w:color w:val="000000" w:themeColor="text1"/>
          <w:u w:color="000000"/>
          <w:lang w:val="en-US"/>
        </w:rPr>
        <w:t>1.</w:t>
      </w:r>
    </w:p>
    <w:p w14:paraId="2D722700" w14:textId="5F55EE63" w:rsidR="000D1E76" w:rsidRPr="007C37B0" w:rsidRDefault="0079455C" w:rsidP="008873DE">
      <w:pPr>
        <w:ind w:firstLine="720"/>
        <w:rPr>
          <w:color w:val="000000" w:themeColor="text1"/>
          <w:lang w:val="en-US"/>
        </w:rPr>
      </w:pPr>
      <w:r w:rsidRPr="007C37B0">
        <w:rPr>
          <w:color w:val="000000" w:themeColor="text1"/>
          <w:u w:color="000000"/>
          <w:lang w:val="en-US"/>
        </w:rPr>
        <w:t xml:space="preserve">Second, we pull all </w:t>
      </w:r>
      <w:r w:rsidR="000D1E76" w:rsidRPr="007C37B0">
        <w:rPr>
          <w:color w:val="000000" w:themeColor="text1"/>
          <w:u w:color="000000"/>
          <w:lang w:val="en-US"/>
        </w:rPr>
        <w:t>shareholder</w:t>
      </w:r>
      <w:r w:rsidRPr="007C37B0">
        <w:rPr>
          <w:color w:val="000000" w:themeColor="text1"/>
          <w:u w:color="000000"/>
          <w:lang w:val="en-US"/>
        </w:rPr>
        <w:t xml:space="preserve"> complaint descriptions from </w:t>
      </w:r>
      <w:proofErr w:type="spellStart"/>
      <w:r w:rsidRPr="007C37B0">
        <w:rPr>
          <w:color w:val="000000" w:themeColor="text1"/>
          <w:u w:color="000000"/>
          <w:lang w:val="en-US"/>
        </w:rPr>
        <w:t>RiskMetrics</w:t>
      </w:r>
      <w:proofErr w:type="spellEnd"/>
      <w:r w:rsidR="000D1E76" w:rsidRPr="007C37B0">
        <w:rPr>
          <w:color w:val="000000" w:themeColor="text1"/>
          <w:u w:color="000000"/>
          <w:lang w:val="en-US"/>
        </w:rPr>
        <w:t xml:space="preserve"> and code each complaint into </w:t>
      </w:r>
      <w:r w:rsidR="00E64171" w:rsidRPr="007C37B0">
        <w:rPr>
          <w:color w:val="000000" w:themeColor="text1"/>
          <w:u w:color="000000"/>
          <w:lang w:val="en-US"/>
        </w:rPr>
        <w:t xml:space="preserve">the respective </w:t>
      </w:r>
      <w:r w:rsidR="000D1E76" w:rsidRPr="007C37B0">
        <w:rPr>
          <w:color w:val="000000" w:themeColor="text1"/>
          <w:u w:color="000000"/>
          <w:lang w:val="en-US"/>
        </w:rPr>
        <w:t>sub-categor</w:t>
      </w:r>
      <w:r w:rsidR="00E64171" w:rsidRPr="007C37B0">
        <w:rPr>
          <w:color w:val="000000" w:themeColor="text1"/>
          <w:u w:color="000000"/>
          <w:lang w:val="en-US"/>
        </w:rPr>
        <w:t>y</w:t>
      </w:r>
      <w:r w:rsidR="000D1E76" w:rsidRPr="007C37B0">
        <w:rPr>
          <w:color w:val="000000" w:themeColor="text1"/>
          <w:u w:color="000000"/>
          <w:lang w:val="en-US"/>
        </w:rPr>
        <w:t xml:space="preserve">. </w:t>
      </w:r>
      <w:proofErr w:type="spellStart"/>
      <w:r w:rsidR="000D1E76" w:rsidRPr="007C37B0">
        <w:rPr>
          <w:color w:val="000000" w:themeColor="text1"/>
          <w:u w:color="000000"/>
          <w:lang w:val="en-US"/>
        </w:rPr>
        <w:t>RiskMetrics</w:t>
      </w:r>
      <w:proofErr w:type="spellEnd"/>
      <w:r w:rsidR="000D1E76" w:rsidRPr="007C37B0">
        <w:rPr>
          <w:color w:val="000000" w:themeColor="text1"/>
          <w:u w:color="000000"/>
          <w:lang w:val="en-US"/>
        </w:rPr>
        <w:t xml:space="preserve"> summarizes the content of each complaint in a short description of not more than nine words (91% of summaries are less than six words), which we clean and use</w:t>
      </w:r>
      <w:r w:rsidR="00E64171" w:rsidRPr="007C37B0">
        <w:rPr>
          <w:color w:val="000000" w:themeColor="text1"/>
          <w:u w:color="000000"/>
          <w:lang w:val="en-US"/>
        </w:rPr>
        <w:t xml:space="preserve"> as topic</w:t>
      </w:r>
      <w:r w:rsidR="000D1E76" w:rsidRPr="007C37B0">
        <w:rPr>
          <w:color w:val="000000" w:themeColor="text1"/>
          <w:u w:color="000000"/>
          <w:lang w:val="en-US"/>
        </w:rPr>
        <w:t xml:space="preserve"> to </w:t>
      </w:r>
      <w:r w:rsidR="005A0328" w:rsidRPr="007C37B0">
        <w:rPr>
          <w:color w:val="000000" w:themeColor="text1"/>
          <w:u w:color="000000"/>
          <w:lang w:val="en-US"/>
        </w:rPr>
        <w:t xml:space="preserve">match with the respective sub-category. </w:t>
      </w:r>
      <w:r w:rsidR="008873DE" w:rsidRPr="007C37B0">
        <w:rPr>
          <w:color w:val="000000" w:themeColor="text1"/>
          <w:u w:color="000000"/>
          <w:lang w:val="en-US"/>
        </w:rPr>
        <w:t xml:space="preserve">If we cannot sort a complaint’s content into any of the sub-categories, we place </w:t>
      </w:r>
      <w:r w:rsidR="00E64171">
        <w:rPr>
          <w:color w:val="000000" w:themeColor="text1"/>
          <w:u w:color="000000"/>
          <w:lang w:val="en-US"/>
        </w:rPr>
        <w:t>the complaint</w:t>
      </w:r>
      <w:r w:rsidR="00E64171" w:rsidRPr="007C37B0">
        <w:rPr>
          <w:color w:val="000000" w:themeColor="text1"/>
          <w:u w:color="000000"/>
          <w:lang w:val="en-US"/>
        </w:rPr>
        <w:t xml:space="preserve"> </w:t>
      </w:r>
      <w:r w:rsidR="008873DE" w:rsidRPr="007C37B0">
        <w:rPr>
          <w:color w:val="000000" w:themeColor="text1"/>
          <w:u w:color="000000"/>
          <w:lang w:val="en-US"/>
        </w:rPr>
        <w:t>in the residual sub-category “Other</w:t>
      </w:r>
      <w:r w:rsidR="00614B1C" w:rsidRPr="007C37B0">
        <w:rPr>
          <w:color w:val="000000" w:themeColor="text1"/>
          <w:u w:color="000000"/>
          <w:lang w:val="en-US"/>
        </w:rPr>
        <w:t>.</w:t>
      </w:r>
      <w:r w:rsidR="008873DE" w:rsidRPr="007C37B0">
        <w:rPr>
          <w:color w:val="000000" w:themeColor="text1"/>
          <w:u w:color="000000"/>
          <w:lang w:val="en-US"/>
        </w:rPr>
        <w:t xml:space="preserve">” </w:t>
      </w:r>
      <w:r w:rsidR="00FC513F">
        <w:rPr>
          <w:color w:val="000000" w:themeColor="text1"/>
          <w:lang w:val="en-US"/>
        </w:rPr>
        <w:t>Two</w:t>
      </w:r>
      <w:r w:rsidR="00FC513F" w:rsidRPr="007C37B0">
        <w:rPr>
          <w:color w:val="000000" w:themeColor="text1"/>
          <w:lang w:val="en-US"/>
        </w:rPr>
        <w:t xml:space="preserve"> </w:t>
      </w:r>
      <w:r w:rsidR="005A0328" w:rsidRPr="007C37B0">
        <w:rPr>
          <w:color w:val="000000" w:themeColor="text1"/>
          <w:lang w:val="en-US"/>
        </w:rPr>
        <w:t>independent and experienced coder</w:t>
      </w:r>
      <w:r w:rsidR="00FC513F">
        <w:rPr>
          <w:color w:val="000000" w:themeColor="text1"/>
          <w:lang w:val="en-US"/>
        </w:rPr>
        <w:t>s</w:t>
      </w:r>
      <w:r w:rsidR="005A0328" w:rsidRPr="007C37B0">
        <w:rPr>
          <w:color w:val="000000" w:themeColor="text1"/>
          <w:lang w:val="en-US"/>
        </w:rPr>
        <w:t xml:space="preserve"> </w:t>
      </w:r>
      <w:r w:rsidR="00FC513F">
        <w:rPr>
          <w:color w:val="000000" w:themeColor="text1"/>
          <w:lang w:val="en-US"/>
        </w:rPr>
        <w:t>were</w:t>
      </w:r>
      <w:r w:rsidR="00FC513F" w:rsidRPr="007C37B0">
        <w:rPr>
          <w:color w:val="000000" w:themeColor="text1"/>
          <w:lang w:val="en-US"/>
        </w:rPr>
        <w:t xml:space="preserve"> </w:t>
      </w:r>
      <w:r w:rsidR="005A0328" w:rsidRPr="007C37B0">
        <w:rPr>
          <w:color w:val="000000" w:themeColor="text1"/>
          <w:lang w:val="en-US"/>
        </w:rPr>
        <w:t xml:space="preserve">asked to validate our choice of assigning topics to sub-categories. The inter-rater reliability measure of </w:t>
      </w:r>
      <w:r w:rsidR="005A0328" w:rsidRPr="007C37B0">
        <w:rPr>
          <w:color w:val="000000" w:themeColor="text1"/>
        </w:rPr>
        <w:t>κ</w:t>
      </w:r>
      <w:r w:rsidR="005A0328" w:rsidRPr="007C37B0">
        <w:rPr>
          <w:color w:val="000000" w:themeColor="text1"/>
          <w:lang w:val="en-US"/>
        </w:rPr>
        <w:t xml:space="preserve"> = </w:t>
      </w:r>
      <w:r w:rsidR="00F471C1">
        <w:rPr>
          <w:color w:val="000000" w:themeColor="text1"/>
          <w:lang w:val="en-US"/>
        </w:rPr>
        <w:t>.</w:t>
      </w:r>
      <w:r w:rsidR="005A0328" w:rsidRPr="007C37B0">
        <w:rPr>
          <w:color w:val="000000" w:themeColor="text1"/>
          <w:lang w:val="en-US"/>
        </w:rPr>
        <w:t>98 reflects that complaint</w:t>
      </w:r>
      <w:r w:rsidR="004F6556" w:rsidRPr="007C37B0">
        <w:rPr>
          <w:color w:val="000000" w:themeColor="text1"/>
          <w:lang w:val="en-US"/>
        </w:rPr>
        <w:t xml:space="preserve"> topic</w:t>
      </w:r>
      <w:r w:rsidR="005A0328" w:rsidRPr="007C37B0">
        <w:rPr>
          <w:color w:val="000000" w:themeColor="text1"/>
          <w:lang w:val="en-US"/>
        </w:rPr>
        <w:t>s are unambiguous. In the process of assigning topics to sub-categories, we create dictionaries of words that describe each sub-categor</w:t>
      </w:r>
      <w:r w:rsidR="00DD0342" w:rsidRPr="007C37B0">
        <w:rPr>
          <w:color w:val="000000" w:themeColor="text1"/>
          <w:lang w:val="en-US"/>
        </w:rPr>
        <w:t>y</w:t>
      </w:r>
      <w:r w:rsidR="005A0328" w:rsidRPr="007C37B0">
        <w:rPr>
          <w:color w:val="000000" w:themeColor="text1"/>
          <w:lang w:val="en-US"/>
        </w:rPr>
        <w:t xml:space="preserve"> </w:t>
      </w:r>
      <w:r w:rsidR="008873DE" w:rsidRPr="007C37B0">
        <w:rPr>
          <w:color w:val="000000" w:themeColor="text1"/>
          <w:lang w:val="en-US"/>
        </w:rPr>
        <w:t>which</w:t>
      </w:r>
      <w:r w:rsidR="005A0328" w:rsidRPr="007C37B0">
        <w:rPr>
          <w:color w:val="000000" w:themeColor="text1"/>
          <w:lang w:val="en-US"/>
        </w:rPr>
        <w:t xml:space="preserve"> are available from the authors upon request. </w:t>
      </w:r>
    </w:p>
    <w:p w14:paraId="2DED4A22" w14:textId="21D34BDC" w:rsidR="00CB137C" w:rsidRPr="007C37B0" w:rsidRDefault="00CB137C" w:rsidP="00CB137C">
      <w:pPr>
        <w:ind w:firstLine="720"/>
        <w:rPr>
          <w:color w:val="000000" w:themeColor="text1"/>
          <w:u w:color="000000"/>
          <w:lang w:val="en-US"/>
        </w:rPr>
      </w:pPr>
      <w:r w:rsidRPr="007C37B0">
        <w:rPr>
          <w:i/>
          <w:color w:val="000000" w:themeColor="text1"/>
          <w:u w:color="000000"/>
          <w:lang w:val="en-US"/>
        </w:rPr>
        <w:t>Example</w:t>
      </w:r>
      <w:r w:rsidRPr="007C37B0">
        <w:rPr>
          <w:color w:val="000000" w:themeColor="text1"/>
          <w:u w:color="000000"/>
          <w:lang w:val="en-US"/>
        </w:rPr>
        <w:t xml:space="preserve">: Shareholder complaint description of “Request for independent board chairman,” </w:t>
      </w:r>
      <w:r w:rsidRPr="007C37B0">
        <w:rPr>
          <w:color w:val="000000" w:themeColor="text1"/>
          <w:lang w:val="en-US"/>
        </w:rPr>
        <w:t xml:space="preserve">was classified as financial concern by </w:t>
      </w:r>
      <w:proofErr w:type="spellStart"/>
      <w:r w:rsidRPr="007C37B0">
        <w:rPr>
          <w:color w:val="000000" w:themeColor="text1"/>
          <w:lang w:val="en-US"/>
        </w:rPr>
        <w:t>RiskMetrics</w:t>
      </w:r>
      <w:proofErr w:type="spellEnd"/>
      <w:r w:rsidRPr="007C37B0">
        <w:rPr>
          <w:color w:val="000000" w:themeColor="text1"/>
          <w:lang w:val="en-US"/>
        </w:rPr>
        <w:t xml:space="preserve"> and the two coders, and then assigned into the sub-category “Board of directors” by one of the authors and a coder. </w:t>
      </w:r>
    </w:p>
    <w:p w14:paraId="2DF94EC7" w14:textId="3EEB61A0" w:rsidR="0072503B" w:rsidRPr="007C37B0" w:rsidRDefault="0072503B" w:rsidP="007C37B0">
      <w:pPr>
        <w:rPr>
          <w:color w:val="000000" w:themeColor="text1"/>
          <w:u w:color="000000"/>
          <w:lang w:val="en-US"/>
        </w:rPr>
      </w:pPr>
    </w:p>
    <w:p w14:paraId="7C56F9EA" w14:textId="28EEDB68" w:rsidR="0072503B" w:rsidRPr="007C37B0" w:rsidRDefault="00E058DB" w:rsidP="0072503B">
      <w:pPr>
        <w:rPr>
          <w:b/>
          <w:color w:val="000000" w:themeColor="text1"/>
          <w:u w:color="000000"/>
          <w:lang w:val="en-US"/>
        </w:rPr>
      </w:pPr>
      <w:r>
        <w:rPr>
          <w:b/>
          <w:color w:val="000000" w:themeColor="text1"/>
          <w:u w:color="000000"/>
          <w:lang w:val="en-US"/>
        </w:rPr>
        <w:t>E</w:t>
      </w:r>
      <w:r w:rsidR="00290C5F">
        <w:rPr>
          <w:b/>
          <w:color w:val="000000" w:themeColor="text1"/>
          <w:u w:color="000000"/>
          <w:lang w:val="en-US"/>
        </w:rPr>
        <w:t>5</w:t>
      </w:r>
      <w:r w:rsidR="0072503B" w:rsidRPr="007C37B0">
        <w:rPr>
          <w:b/>
          <w:color w:val="000000" w:themeColor="text1"/>
          <w:u w:color="000000"/>
          <w:lang w:val="en-US"/>
        </w:rPr>
        <w:t xml:space="preserve">. </w:t>
      </w:r>
      <w:r w:rsidR="00CC4671" w:rsidRPr="007C37B0">
        <w:rPr>
          <w:b/>
          <w:color w:val="000000" w:themeColor="text1"/>
          <w:u w:color="000000"/>
          <w:lang w:val="en-US"/>
        </w:rPr>
        <w:t>Effect Sizes of Shareholder Complaint Salience Moderat</w:t>
      </w:r>
      <w:r w:rsidR="00A065FF">
        <w:rPr>
          <w:b/>
          <w:color w:val="000000" w:themeColor="text1"/>
          <w:u w:color="000000"/>
          <w:lang w:val="en-US"/>
        </w:rPr>
        <w:t>ors</w:t>
      </w:r>
    </w:p>
    <w:p w14:paraId="118D6490" w14:textId="192897E1" w:rsidR="00CC4671" w:rsidRPr="007C37B0" w:rsidRDefault="00ED1D9A" w:rsidP="004A54BF">
      <w:pPr>
        <w:ind w:firstLine="720"/>
        <w:rPr>
          <w:color w:val="000000" w:themeColor="text1"/>
          <w:u w:color="000000"/>
          <w:lang w:val="en-US"/>
        </w:rPr>
      </w:pPr>
      <w:r w:rsidRPr="007C37B0">
        <w:rPr>
          <w:color w:val="000000" w:themeColor="text1"/>
          <w:u w:color="000000"/>
          <w:lang w:val="en-US"/>
        </w:rPr>
        <w:t xml:space="preserve">Figure </w:t>
      </w:r>
      <w:r w:rsidR="00E058DB">
        <w:rPr>
          <w:color w:val="000000" w:themeColor="text1"/>
          <w:u w:color="000000"/>
          <w:lang w:val="en-US"/>
        </w:rPr>
        <w:t>E</w:t>
      </w:r>
      <w:r w:rsidRPr="007C37B0">
        <w:rPr>
          <w:color w:val="000000" w:themeColor="text1"/>
          <w:u w:color="000000"/>
          <w:lang w:val="en-US"/>
        </w:rPr>
        <w:t xml:space="preserve">1 reports effect sizes of an advertising investment response for low (high) values of </w:t>
      </w:r>
      <w:r w:rsidR="00FB6512" w:rsidRPr="007C37B0">
        <w:rPr>
          <w:color w:val="000000" w:themeColor="text1"/>
          <w:u w:color="000000"/>
          <w:lang w:val="en-US"/>
        </w:rPr>
        <w:t xml:space="preserve">the </w:t>
      </w:r>
      <w:r w:rsidRPr="007C37B0">
        <w:rPr>
          <w:color w:val="000000" w:themeColor="text1"/>
          <w:u w:color="000000"/>
          <w:lang w:val="en-US"/>
        </w:rPr>
        <w:t xml:space="preserve">shareholder complaint salience moderators, respectively. </w:t>
      </w:r>
      <w:r w:rsidR="004A54BF" w:rsidRPr="007C37B0">
        <w:rPr>
          <w:color w:val="000000" w:themeColor="text1"/>
          <w:u w:color="000000"/>
          <w:lang w:val="en-US"/>
        </w:rPr>
        <w:t xml:space="preserve">We identify low levels of </w:t>
      </w:r>
      <w:r w:rsidR="00E64171" w:rsidRPr="007C37B0">
        <w:rPr>
          <w:color w:val="000000" w:themeColor="text1"/>
          <w:u w:color="000000"/>
          <w:lang w:val="en-US"/>
        </w:rPr>
        <w:t>each</w:t>
      </w:r>
      <w:r w:rsidR="004A54BF" w:rsidRPr="007C37B0">
        <w:rPr>
          <w:color w:val="000000" w:themeColor="text1"/>
          <w:u w:color="000000"/>
          <w:lang w:val="en-US"/>
        </w:rPr>
        <w:t xml:space="preserve"> moderator variable by values one standard deviation below </w:t>
      </w:r>
      <w:r w:rsidR="00E64171" w:rsidRPr="007C37B0">
        <w:rPr>
          <w:color w:val="000000" w:themeColor="text1"/>
          <w:u w:color="000000"/>
          <w:lang w:val="en-US"/>
        </w:rPr>
        <w:t>its</w:t>
      </w:r>
      <w:r w:rsidR="004A54BF" w:rsidRPr="007C37B0">
        <w:rPr>
          <w:color w:val="000000" w:themeColor="text1"/>
          <w:u w:color="000000"/>
          <w:lang w:val="en-US"/>
        </w:rPr>
        <w:t xml:space="preserve"> mean, and high levels of the respective variable by values one standard deviation above </w:t>
      </w:r>
      <w:r w:rsidR="00E64171" w:rsidRPr="007C37B0">
        <w:rPr>
          <w:color w:val="000000" w:themeColor="text1"/>
          <w:u w:color="000000"/>
          <w:lang w:val="en-US"/>
        </w:rPr>
        <w:t>its</w:t>
      </w:r>
      <w:r w:rsidR="004A54BF" w:rsidRPr="007C37B0">
        <w:rPr>
          <w:color w:val="000000" w:themeColor="text1"/>
          <w:u w:color="000000"/>
          <w:lang w:val="en-US"/>
        </w:rPr>
        <w:t xml:space="preserve"> mean</w:t>
      </w:r>
      <w:r w:rsidR="00555BC1" w:rsidRPr="007C37B0">
        <w:rPr>
          <w:color w:val="000000" w:themeColor="text1"/>
          <w:u w:color="000000"/>
          <w:lang w:val="en-US"/>
        </w:rPr>
        <w:t>, based on estimating Equation 2 as reported in Table 3</w:t>
      </w:r>
      <w:r w:rsidR="004A54BF" w:rsidRPr="007C37B0">
        <w:rPr>
          <w:color w:val="000000" w:themeColor="text1"/>
          <w:u w:color="000000"/>
          <w:lang w:val="en-US"/>
        </w:rPr>
        <w:t xml:space="preserve">. </w:t>
      </w:r>
    </w:p>
    <w:p w14:paraId="54877FFA" w14:textId="77777777" w:rsidR="00CC4671" w:rsidRPr="007C37B0" w:rsidRDefault="00CC4671" w:rsidP="0072503B">
      <w:pPr>
        <w:rPr>
          <w:color w:val="000000" w:themeColor="text1"/>
          <w:u w:color="000000"/>
          <w:lang w:val="en-US"/>
        </w:rPr>
      </w:pPr>
    </w:p>
    <w:p w14:paraId="3EFFE0EA" w14:textId="77777777" w:rsidR="00290C5F" w:rsidRDefault="00290C5F">
      <w:pPr>
        <w:rPr>
          <w:b/>
          <w:caps/>
          <w:color w:val="000000" w:themeColor="text1"/>
          <w:lang w:val="en-US"/>
        </w:rPr>
      </w:pPr>
      <w:r>
        <w:rPr>
          <w:b/>
          <w:caps/>
          <w:color w:val="000000" w:themeColor="text1"/>
          <w:lang w:val="en-US"/>
        </w:rPr>
        <w:br w:type="page"/>
      </w:r>
    </w:p>
    <w:p w14:paraId="3D0D9D10" w14:textId="0B23A2D8" w:rsidR="0072503B" w:rsidRPr="007C37B0" w:rsidRDefault="00ED1D9A" w:rsidP="0072503B">
      <w:pPr>
        <w:jc w:val="center"/>
        <w:rPr>
          <w:b/>
          <w:caps/>
          <w:color w:val="000000" w:themeColor="text1"/>
          <w:lang w:val="en-US"/>
        </w:rPr>
      </w:pPr>
      <w:r w:rsidRPr="007C37B0">
        <w:rPr>
          <w:b/>
          <w:caps/>
          <w:color w:val="000000" w:themeColor="text1"/>
          <w:lang w:val="en-US"/>
        </w:rPr>
        <w:lastRenderedPageBreak/>
        <w:t xml:space="preserve">Figure </w:t>
      </w:r>
      <w:r w:rsidR="00E058DB">
        <w:rPr>
          <w:b/>
          <w:caps/>
          <w:color w:val="000000" w:themeColor="text1"/>
          <w:lang w:val="en-US"/>
        </w:rPr>
        <w:t>E</w:t>
      </w:r>
      <w:r w:rsidRPr="007C37B0">
        <w:rPr>
          <w:b/>
          <w:caps/>
          <w:color w:val="000000" w:themeColor="text1"/>
          <w:lang w:val="en-US"/>
        </w:rPr>
        <w:t xml:space="preserve">1: </w:t>
      </w:r>
      <w:r w:rsidR="00C50911" w:rsidRPr="007C37B0">
        <w:rPr>
          <w:b/>
          <w:caps/>
          <w:color w:val="000000" w:themeColor="text1"/>
          <w:lang w:val="en-US"/>
        </w:rPr>
        <w:t xml:space="preserve">ESTIMATED </w:t>
      </w:r>
      <w:r w:rsidRPr="007C37B0">
        <w:rPr>
          <w:b/>
          <w:caps/>
          <w:color w:val="000000" w:themeColor="text1"/>
          <w:lang w:val="en-US"/>
        </w:rPr>
        <w:t>Advertising Investment Response for Shareholder Complaint Salience Moderators</w:t>
      </w:r>
    </w:p>
    <w:p w14:paraId="6D966B21" w14:textId="77777777" w:rsidR="009E2E65" w:rsidRPr="007C37B0" w:rsidRDefault="009E2E65" w:rsidP="0072503B">
      <w:pPr>
        <w:jc w:val="center"/>
        <w:rPr>
          <w:color w:val="000000" w:themeColor="text1"/>
          <w:sz w:val="16"/>
          <w:lang w:val="en-US"/>
        </w:rPr>
      </w:pPr>
    </w:p>
    <w:p w14:paraId="1F90EF92" w14:textId="6930159E" w:rsidR="0072503B" w:rsidRPr="007C37B0" w:rsidRDefault="005F5027" w:rsidP="007C37B0">
      <w:pPr>
        <w:jc w:val="center"/>
        <w:rPr>
          <w:color w:val="000000" w:themeColor="text1"/>
          <w:u w:color="000000"/>
          <w:lang w:val="en-US"/>
        </w:rPr>
      </w:pPr>
      <w:r>
        <w:rPr>
          <w:noProof/>
          <w:color w:val="000000" w:themeColor="text1"/>
          <w:u w:color="000000"/>
          <w:lang w:val="en-US"/>
        </w:rPr>
        <w:drawing>
          <wp:inline distT="0" distB="0" distL="0" distR="0" wp14:anchorId="74BA3892" wp14:editId="3842D1D2">
            <wp:extent cx="5943600" cy="180213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C Interactions_003.pdf"/>
                    <pic:cNvPicPr/>
                  </pic:nvPicPr>
                  <pic:blipFill>
                    <a:blip r:embed="rId10"/>
                    <a:stretch>
                      <a:fillRect/>
                    </a:stretch>
                  </pic:blipFill>
                  <pic:spPr>
                    <a:xfrm>
                      <a:off x="0" y="0"/>
                      <a:ext cx="5943600" cy="1802130"/>
                    </a:xfrm>
                    <a:prstGeom prst="rect">
                      <a:avLst/>
                    </a:prstGeom>
                  </pic:spPr>
                </pic:pic>
              </a:graphicData>
            </a:graphic>
          </wp:inline>
        </w:drawing>
      </w:r>
    </w:p>
    <w:p w14:paraId="17E8B4E3" w14:textId="55701B57" w:rsidR="00290C5F" w:rsidRDefault="00290C5F">
      <w:pPr>
        <w:rPr>
          <w:color w:val="000000" w:themeColor="text1"/>
          <w:u w:color="000000"/>
          <w:lang w:val="en-US"/>
        </w:rPr>
      </w:pPr>
    </w:p>
    <w:p w14:paraId="50728DAF" w14:textId="77777777" w:rsidR="00290C5F" w:rsidRPr="007C37B0" w:rsidRDefault="00290C5F" w:rsidP="007C37B0">
      <w:pPr>
        <w:rPr>
          <w:color w:val="000000" w:themeColor="text1"/>
          <w:u w:color="000000"/>
          <w:lang w:val="en-US"/>
        </w:rPr>
      </w:pPr>
    </w:p>
    <w:p w14:paraId="6B1FDB30" w14:textId="55B25A80" w:rsidR="00290C5F" w:rsidRDefault="00290C5F">
      <w:pPr>
        <w:rPr>
          <w:color w:val="000000" w:themeColor="text1"/>
          <w:u w:color="000000"/>
          <w:lang w:val="en-US"/>
        </w:rPr>
      </w:pPr>
      <w:r>
        <w:rPr>
          <w:color w:val="000000" w:themeColor="text1"/>
          <w:u w:color="000000"/>
          <w:lang w:val="en-US"/>
        </w:rPr>
        <w:br w:type="page"/>
      </w:r>
    </w:p>
    <w:p w14:paraId="6C5CF0B8" w14:textId="11C9BF8E" w:rsidR="00411F6F" w:rsidRPr="007C37B0" w:rsidRDefault="00B66541" w:rsidP="00903202">
      <w:pPr>
        <w:jc w:val="center"/>
        <w:rPr>
          <w:b/>
          <w:caps/>
          <w:color w:val="000000" w:themeColor="text1"/>
          <w:u w:color="000000"/>
          <w:lang w:val="en-US"/>
        </w:rPr>
      </w:pPr>
      <w:r w:rsidRPr="007C37B0">
        <w:rPr>
          <w:b/>
          <w:caps/>
          <w:color w:val="000000" w:themeColor="text1"/>
          <w:u w:color="000000"/>
          <w:lang w:val="en-US"/>
        </w:rPr>
        <w:lastRenderedPageBreak/>
        <w:t xml:space="preserve">Table </w:t>
      </w:r>
      <w:r w:rsidR="00E23449">
        <w:rPr>
          <w:b/>
          <w:caps/>
          <w:color w:val="000000" w:themeColor="text1"/>
          <w:u w:color="000000"/>
          <w:lang w:val="en-US"/>
        </w:rPr>
        <w:t>E</w:t>
      </w:r>
      <w:r w:rsidR="00903202" w:rsidRPr="007C37B0">
        <w:rPr>
          <w:b/>
          <w:caps/>
          <w:color w:val="000000" w:themeColor="text1"/>
          <w:u w:color="000000"/>
          <w:lang w:val="en-US"/>
        </w:rPr>
        <w:t>1: S</w:t>
      </w:r>
      <w:r w:rsidR="00041B60" w:rsidRPr="007C37B0">
        <w:rPr>
          <w:b/>
          <w:caps/>
          <w:color w:val="000000" w:themeColor="text1"/>
          <w:u w:color="000000"/>
          <w:lang w:val="en-US"/>
        </w:rPr>
        <w:t>ub-</w:t>
      </w:r>
      <w:r w:rsidR="00EA3989" w:rsidRPr="007C37B0">
        <w:rPr>
          <w:b/>
          <w:caps/>
          <w:color w:val="000000" w:themeColor="text1"/>
          <w:u w:color="000000"/>
          <w:lang w:val="en-US"/>
        </w:rPr>
        <w:t>C</w:t>
      </w:r>
      <w:r w:rsidR="00041B60" w:rsidRPr="007C37B0">
        <w:rPr>
          <w:b/>
          <w:caps/>
          <w:color w:val="000000" w:themeColor="text1"/>
          <w:u w:color="000000"/>
          <w:lang w:val="en-US"/>
        </w:rPr>
        <w:t xml:space="preserve">ategories of </w:t>
      </w:r>
      <w:r w:rsidR="003307D1" w:rsidRPr="007C37B0">
        <w:rPr>
          <w:b/>
          <w:caps/>
          <w:color w:val="000000" w:themeColor="text1"/>
          <w:u w:color="000000"/>
          <w:lang w:val="en-US"/>
        </w:rPr>
        <w:t>S</w:t>
      </w:r>
      <w:r w:rsidR="00041B60" w:rsidRPr="007C37B0">
        <w:rPr>
          <w:b/>
          <w:caps/>
          <w:color w:val="000000" w:themeColor="text1"/>
          <w:u w:color="000000"/>
          <w:lang w:val="en-US"/>
        </w:rPr>
        <w:t>h</w:t>
      </w:r>
      <w:r w:rsidR="00903202" w:rsidRPr="007C37B0">
        <w:rPr>
          <w:b/>
          <w:caps/>
          <w:color w:val="000000" w:themeColor="text1"/>
          <w:u w:color="000000"/>
          <w:lang w:val="en-US"/>
        </w:rPr>
        <w:t xml:space="preserve">areholder </w:t>
      </w:r>
      <w:r w:rsidR="003307D1" w:rsidRPr="007C37B0">
        <w:rPr>
          <w:b/>
          <w:caps/>
          <w:color w:val="000000" w:themeColor="text1"/>
          <w:u w:color="000000"/>
          <w:lang w:val="en-US"/>
        </w:rPr>
        <w:t>C</w:t>
      </w:r>
      <w:r w:rsidR="00903202" w:rsidRPr="007C37B0">
        <w:rPr>
          <w:b/>
          <w:caps/>
          <w:color w:val="000000" w:themeColor="text1"/>
          <w:u w:color="000000"/>
          <w:lang w:val="en-US"/>
        </w:rPr>
        <w:t xml:space="preserve">omplaint </w:t>
      </w:r>
      <w:r w:rsidR="00C50911" w:rsidRPr="007C37B0">
        <w:rPr>
          <w:b/>
          <w:caps/>
          <w:color w:val="000000" w:themeColor="text1"/>
          <w:u w:color="000000"/>
          <w:lang w:val="en-US"/>
        </w:rPr>
        <w:t>type</w:t>
      </w:r>
    </w:p>
    <w:p w14:paraId="680669D5" w14:textId="77777777" w:rsidR="00903202" w:rsidRPr="007C37B0" w:rsidRDefault="00903202" w:rsidP="00903202">
      <w:pPr>
        <w:jc w:val="center"/>
        <w:rPr>
          <w:b/>
          <w:color w:val="000000" w:themeColor="text1"/>
          <w:u w:color="000000"/>
          <w:lang w:val="en-US"/>
        </w:rPr>
      </w:pPr>
    </w:p>
    <w:tbl>
      <w:tblPr>
        <w:tblStyle w:val="TableGrid"/>
        <w:tblW w:w="0" w:type="auto"/>
        <w:tblLook w:val="04A0" w:firstRow="1" w:lastRow="0" w:firstColumn="1" w:lastColumn="0" w:noHBand="0" w:noVBand="1"/>
      </w:tblPr>
      <w:tblGrid>
        <w:gridCol w:w="2167"/>
        <w:gridCol w:w="3012"/>
        <w:gridCol w:w="4171"/>
      </w:tblGrid>
      <w:tr w:rsidR="00FB6512" w:rsidRPr="007C37B0" w14:paraId="7B90C500" w14:textId="77777777" w:rsidTr="00244E9F">
        <w:tc>
          <w:tcPr>
            <w:tcW w:w="2635" w:type="dxa"/>
          </w:tcPr>
          <w:p w14:paraId="34B6A670" w14:textId="76C24827" w:rsidR="00AF4830" w:rsidRPr="007C37B0" w:rsidRDefault="00AF4830" w:rsidP="00602A4D">
            <w:pPr>
              <w:jc w:val="center"/>
              <w:rPr>
                <w:b/>
                <w:color w:val="000000" w:themeColor="text1"/>
                <w:u w:color="000000"/>
              </w:rPr>
            </w:pPr>
            <w:r w:rsidRPr="007C37B0">
              <w:rPr>
                <w:b/>
                <w:color w:val="000000" w:themeColor="text1"/>
                <w:u w:color="000000"/>
              </w:rPr>
              <w:t>Category level I</w:t>
            </w:r>
          </w:p>
        </w:tc>
        <w:tc>
          <w:tcPr>
            <w:tcW w:w="9664" w:type="dxa"/>
            <w:gridSpan w:val="2"/>
          </w:tcPr>
          <w:p w14:paraId="6FF2E7B4" w14:textId="4340C0BD" w:rsidR="00AF4830" w:rsidRPr="007C37B0" w:rsidRDefault="00AF4830" w:rsidP="00602A4D">
            <w:pPr>
              <w:jc w:val="center"/>
              <w:rPr>
                <w:b/>
                <w:color w:val="000000" w:themeColor="text1"/>
                <w:u w:color="000000"/>
              </w:rPr>
            </w:pPr>
            <w:r w:rsidRPr="007C37B0">
              <w:rPr>
                <w:b/>
                <w:color w:val="000000" w:themeColor="text1"/>
                <w:u w:color="000000"/>
              </w:rPr>
              <w:t>Sub-category level II</w:t>
            </w:r>
          </w:p>
        </w:tc>
      </w:tr>
      <w:tr w:rsidR="00FB6512" w:rsidRPr="00224536" w14:paraId="364EBBD3" w14:textId="77777777" w:rsidTr="00FA311E">
        <w:tc>
          <w:tcPr>
            <w:tcW w:w="2635" w:type="dxa"/>
            <w:vAlign w:val="center"/>
          </w:tcPr>
          <w:p w14:paraId="41B3B5F6" w14:textId="26616712" w:rsidR="00602A4D" w:rsidRPr="007C37B0" w:rsidRDefault="00EA3A92" w:rsidP="00D40030">
            <w:pPr>
              <w:jc w:val="center"/>
              <w:rPr>
                <w:b/>
                <w:color w:val="000000" w:themeColor="text1"/>
                <w:u w:color="000000"/>
              </w:rPr>
            </w:pPr>
            <w:r w:rsidRPr="007C37B0">
              <w:rPr>
                <w:b/>
                <w:color w:val="000000" w:themeColor="text1"/>
                <w:u w:color="000000"/>
              </w:rPr>
              <w:t>Categories provided by RiskMetrics</w:t>
            </w:r>
          </w:p>
        </w:tc>
        <w:tc>
          <w:tcPr>
            <w:tcW w:w="3852" w:type="dxa"/>
            <w:vAlign w:val="center"/>
          </w:tcPr>
          <w:p w14:paraId="078EEF6B" w14:textId="77777777" w:rsidR="00602A4D" w:rsidRPr="007C37B0" w:rsidRDefault="00602A4D" w:rsidP="00D40030">
            <w:pPr>
              <w:jc w:val="center"/>
              <w:rPr>
                <w:b/>
                <w:color w:val="000000" w:themeColor="text1"/>
                <w:u w:color="000000"/>
                <w:lang w:val="en-US"/>
              </w:rPr>
            </w:pPr>
            <w:r w:rsidRPr="007C37B0">
              <w:rPr>
                <w:b/>
                <w:color w:val="000000" w:themeColor="text1"/>
                <w:u w:color="000000"/>
                <w:lang w:val="en-US"/>
              </w:rPr>
              <w:t>(1)</w:t>
            </w:r>
          </w:p>
          <w:p w14:paraId="265877E9" w14:textId="18B2F06A" w:rsidR="00602A4D" w:rsidRPr="007C37B0" w:rsidRDefault="00602A4D" w:rsidP="00D40030">
            <w:pPr>
              <w:jc w:val="center"/>
              <w:rPr>
                <w:b/>
                <w:color w:val="000000" w:themeColor="text1"/>
                <w:u w:color="000000"/>
                <w:lang w:val="en-US"/>
              </w:rPr>
            </w:pPr>
            <w:r w:rsidRPr="007C37B0">
              <w:rPr>
                <w:b/>
                <w:color w:val="000000" w:themeColor="text1"/>
                <w:u w:color="000000"/>
                <w:lang w:val="en-US"/>
              </w:rPr>
              <w:t>Sub-categories</w:t>
            </w:r>
            <w:r w:rsidR="00EA3A92" w:rsidRPr="007C37B0">
              <w:rPr>
                <w:b/>
                <w:color w:val="000000" w:themeColor="text1"/>
                <w:u w:color="000000"/>
                <w:lang w:val="en-US"/>
              </w:rPr>
              <w:t xml:space="preserve"> </w:t>
            </w:r>
            <w:r w:rsidRPr="007C37B0">
              <w:rPr>
                <w:b/>
                <w:color w:val="000000" w:themeColor="text1"/>
                <w:u w:color="000000"/>
                <w:lang w:val="en-US"/>
              </w:rPr>
              <w:t>provided by KLD</w:t>
            </w:r>
          </w:p>
        </w:tc>
        <w:tc>
          <w:tcPr>
            <w:tcW w:w="5812" w:type="dxa"/>
          </w:tcPr>
          <w:p w14:paraId="50EC667B" w14:textId="77777777" w:rsidR="00602A4D" w:rsidRPr="007C37B0" w:rsidRDefault="00602A4D" w:rsidP="00FA311E">
            <w:pPr>
              <w:jc w:val="center"/>
              <w:rPr>
                <w:b/>
                <w:color w:val="000000" w:themeColor="text1"/>
                <w:u w:color="000000"/>
                <w:lang w:val="en-US"/>
              </w:rPr>
            </w:pPr>
            <w:r w:rsidRPr="007C37B0">
              <w:rPr>
                <w:b/>
                <w:color w:val="000000" w:themeColor="text1"/>
                <w:u w:color="000000"/>
                <w:lang w:val="en-US"/>
              </w:rPr>
              <w:t>(2)</w:t>
            </w:r>
          </w:p>
          <w:p w14:paraId="2AFCDB72" w14:textId="47EC57AD" w:rsidR="00602A4D" w:rsidRPr="007C37B0" w:rsidRDefault="00602A4D" w:rsidP="00FA311E">
            <w:pPr>
              <w:jc w:val="center"/>
              <w:rPr>
                <w:b/>
                <w:color w:val="000000" w:themeColor="text1"/>
                <w:u w:color="000000"/>
                <w:lang w:val="en-US"/>
              </w:rPr>
            </w:pPr>
            <w:r w:rsidRPr="007C37B0">
              <w:rPr>
                <w:b/>
                <w:color w:val="000000" w:themeColor="text1"/>
                <w:u w:color="000000"/>
                <w:lang w:val="en-US"/>
              </w:rPr>
              <w:t>Sub-categories used in analysis</w:t>
            </w:r>
          </w:p>
        </w:tc>
      </w:tr>
      <w:tr w:rsidR="00FB6512" w:rsidRPr="00224536" w14:paraId="7E484CA6" w14:textId="77777777" w:rsidTr="00AF4830">
        <w:tc>
          <w:tcPr>
            <w:tcW w:w="2635" w:type="dxa"/>
          </w:tcPr>
          <w:p w14:paraId="5CF71E72" w14:textId="636E0FA6" w:rsidR="00602A4D" w:rsidRPr="007C37B0" w:rsidRDefault="00602A4D" w:rsidP="00602A4D">
            <w:pPr>
              <w:jc w:val="center"/>
              <w:rPr>
                <w:color w:val="000000" w:themeColor="text1"/>
                <w:u w:color="000000"/>
              </w:rPr>
            </w:pPr>
            <w:r w:rsidRPr="007C37B0">
              <w:rPr>
                <w:b/>
                <w:color w:val="000000" w:themeColor="text1"/>
                <w:u w:color="000000"/>
              </w:rPr>
              <w:t>Financial</w:t>
            </w:r>
            <w:r w:rsidR="00E31CED" w:rsidRPr="007C37B0">
              <w:rPr>
                <w:b/>
                <w:color w:val="000000" w:themeColor="text1"/>
                <w:u w:color="000000"/>
              </w:rPr>
              <w:t xml:space="preserve"> </w:t>
            </w:r>
            <w:r w:rsidR="00E31CED" w:rsidRPr="007C37B0">
              <w:rPr>
                <w:color w:val="000000" w:themeColor="text1"/>
                <w:u w:color="000000"/>
              </w:rPr>
              <w:t>(corporate governance)</w:t>
            </w:r>
          </w:p>
        </w:tc>
        <w:tc>
          <w:tcPr>
            <w:tcW w:w="3852" w:type="dxa"/>
          </w:tcPr>
          <w:p w14:paraId="1349A2DC" w14:textId="77777777" w:rsidR="00602A4D" w:rsidRPr="007C37B0" w:rsidRDefault="00602A4D" w:rsidP="00784E5F">
            <w:pPr>
              <w:pStyle w:val="ListParagraph"/>
              <w:numPr>
                <w:ilvl w:val="0"/>
                <w:numId w:val="4"/>
              </w:numPr>
              <w:rPr>
                <w:rFonts w:eastAsia="Calibri"/>
                <w:color w:val="000000" w:themeColor="text1"/>
                <w:u w:color="000000"/>
              </w:rPr>
            </w:pPr>
            <w:r w:rsidRPr="007C37B0">
              <w:rPr>
                <w:rFonts w:eastAsia="Calibri"/>
                <w:color w:val="000000" w:themeColor="text1"/>
                <w:u w:color="000000"/>
              </w:rPr>
              <w:t>Board of directors</w:t>
            </w:r>
          </w:p>
          <w:p w14:paraId="07845C29" w14:textId="77777777" w:rsidR="00602A4D" w:rsidRPr="007C37B0" w:rsidRDefault="00602A4D" w:rsidP="00784E5F">
            <w:pPr>
              <w:pStyle w:val="ListParagraph"/>
              <w:numPr>
                <w:ilvl w:val="0"/>
                <w:numId w:val="4"/>
              </w:numPr>
              <w:rPr>
                <w:rFonts w:eastAsia="Calibri"/>
                <w:color w:val="000000" w:themeColor="text1"/>
                <w:u w:color="000000"/>
              </w:rPr>
            </w:pPr>
            <w:r w:rsidRPr="007C37B0">
              <w:rPr>
                <w:rFonts w:eastAsia="Calibri"/>
                <w:color w:val="000000" w:themeColor="text1"/>
                <w:u w:color="000000"/>
              </w:rPr>
              <w:t>Executive compensation</w:t>
            </w:r>
          </w:p>
          <w:p w14:paraId="0F57D4CF" w14:textId="1175A701" w:rsidR="00602A4D" w:rsidRPr="007C37B0" w:rsidRDefault="00602A4D" w:rsidP="00784E5F">
            <w:pPr>
              <w:pStyle w:val="ListParagraph"/>
              <w:numPr>
                <w:ilvl w:val="0"/>
                <w:numId w:val="4"/>
              </w:numPr>
              <w:rPr>
                <w:rFonts w:eastAsia="Calibri" w:hAnsi="Calibri"/>
                <w:color w:val="000000" w:themeColor="text1"/>
                <w:u w:color="000000"/>
              </w:rPr>
            </w:pPr>
            <w:r w:rsidRPr="007C37B0">
              <w:rPr>
                <w:rFonts w:eastAsia="Calibri"/>
                <w:color w:val="000000" w:themeColor="text1"/>
                <w:u w:color="000000"/>
              </w:rPr>
              <w:t>Takeovers</w:t>
            </w:r>
          </w:p>
        </w:tc>
        <w:tc>
          <w:tcPr>
            <w:tcW w:w="5812" w:type="dxa"/>
          </w:tcPr>
          <w:p w14:paraId="0DFE6F31" w14:textId="77777777" w:rsidR="00602A4D" w:rsidRPr="007C37B0" w:rsidRDefault="00602A4D" w:rsidP="00784E5F">
            <w:pPr>
              <w:pStyle w:val="ListParagraph"/>
              <w:numPr>
                <w:ilvl w:val="0"/>
                <w:numId w:val="4"/>
              </w:numPr>
              <w:rPr>
                <w:rFonts w:eastAsia="Calibri" w:hAnsi="Calibri"/>
                <w:color w:val="000000" w:themeColor="text1"/>
                <w:u w:color="000000"/>
              </w:rPr>
            </w:pPr>
            <w:r w:rsidRPr="007C37B0">
              <w:rPr>
                <w:rFonts w:eastAsia="Calibri" w:hAnsi="Calibri"/>
                <w:color w:val="000000" w:themeColor="text1"/>
                <w:u w:color="000000"/>
              </w:rPr>
              <w:t>Board of directors</w:t>
            </w:r>
          </w:p>
          <w:p w14:paraId="4F41DAB3" w14:textId="77777777" w:rsidR="00602A4D" w:rsidRPr="007C37B0" w:rsidRDefault="00602A4D" w:rsidP="00784E5F">
            <w:pPr>
              <w:pStyle w:val="ListParagraph"/>
              <w:numPr>
                <w:ilvl w:val="0"/>
                <w:numId w:val="4"/>
              </w:numPr>
              <w:rPr>
                <w:rFonts w:eastAsia="Calibri" w:hAnsi="Calibri"/>
                <w:color w:val="000000" w:themeColor="text1"/>
                <w:u w:color="000000"/>
              </w:rPr>
            </w:pPr>
            <w:r w:rsidRPr="007C37B0">
              <w:rPr>
                <w:rFonts w:eastAsia="Calibri" w:hAnsi="Calibri"/>
                <w:color w:val="000000" w:themeColor="text1"/>
                <w:u w:color="000000"/>
              </w:rPr>
              <w:t>Executive compensation</w:t>
            </w:r>
          </w:p>
          <w:p w14:paraId="378BB110" w14:textId="157FF385" w:rsidR="00602A4D" w:rsidRPr="007C37B0" w:rsidRDefault="00602A4D" w:rsidP="00784E5F">
            <w:pPr>
              <w:pStyle w:val="ListParagraph"/>
              <w:numPr>
                <w:ilvl w:val="0"/>
                <w:numId w:val="4"/>
              </w:numPr>
              <w:rPr>
                <w:rFonts w:eastAsia="Calibri" w:hAnsi="Calibri"/>
                <w:color w:val="000000" w:themeColor="text1"/>
                <w:u w:color="000000"/>
              </w:rPr>
            </w:pPr>
            <w:r w:rsidRPr="007C37B0">
              <w:rPr>
                <w:rFonts w:eastAsia="Calibri" w:hAnsi="Calibri"/>
                <w:color w:val="000000" w:themeColor="text1"/>
                <w:u w:color="000000"/>
              </w:rPr>
              <w:t>Takeovers and other shareholder rights</w:t>
            </w:r>
          </w:p>
        </w:tc>
      </w:tr>
      <w:tr w:rsidR="00FB6512" w:rsidRPr="00224536" w14:paraId="15A51A15" w14:textId="77777777" w:rsidTr="00AF4830">
        <w:tc>
          <w:tcPr>
            <w:tcW w:w="2635" w:type="dxa"/>
          </w:tcPr>
          <w:p w14:paraId="53108CD1" w14:textId="105B3CA9" w:rsidR="00602A4D" w:rsidRPr="007C37B0" w:rsidRDefault="00602A4D" w:rsidP="00602A4D">
            <w:pPr>
              <w:jc w:val="center"/>
              <w:rPr>
                <w:color w:val="000000" w:themeColor="text1"/>
                <w:u w:color="000000"/>
              </w:rPr>
            </w:pPr>
            <w:r w:rsidRPr="007C37B0">
              <w:rPr>
                <w:b/>
                <w:color w:val="000000" w:themeColor="text1"/>
                <w:u w:color="000000"/>
              </w:rPr>
              <w:t>Nonfinancial</w:t>
            </w:r>
            <w:r w:rsidR="00E31CED" w:rsidRPr="007C37B0">
              <w:rPr>
                <w:b/>
                <w:color w:val="000000" w:themeColor="text1"/>
                <w:u w:color="000000"/>
              </w:rPr>
              <w:t xml:space="preserve"> </w:t>
            </w:r>
            <w:r w:rsidR="00E31CED" w:rsidRPr="007C37B0">
              <w:rPr>
                <w:color w:val="000000" w:themeColor="text1"/>
                <w:u w:color="000000"/>
              </w:rPr>
              <w:t>(</w:t>
            </w:r>
            <w:r w:rsidR="00327645" w:rsidRPr="007C37B0">
              <w:rPr>
                <w:color w:val="000000" w:themeColor="text1"/>
                <w:u w:color="000000"/>
              </w:rPr>
              <w:t>social responsibility</w:t>
            </w:r>
            <w:r w:rsidR="00E31CED" w:rsidRPr="007C37B0">
              <w:rPr>
                <w:color w:val="000000" w:themeColor="text1"/>
                <w:u w:color="000000"/>
              </w:rPr>
              <w:t>)</w:t>
            </w:r>
          </w:p>
        </w:tc>
        <w:tc>
          <w:tcPr>
            <w:tcW w:w="3852" w:type="dxa"/>
          </w:tcPr>
          <w:p w14:paraId="1EF12BEC" w14:textId="77777777" w:rsidR="00602A4D" w:rsidRPr="007C37B0" w:rsidRDefault="00602A4D" w:rsidP="00650FD4">
            <w:pPr>
              <w:pStyle w:val="ListParagraph"/>
              <w:numPr>
                <w:ilvl w:val="0"/>
                <w:numId w:val="4"/>
              </w:numPr>
              <w:rPr>
                <w:rFonts w:eastAsia="Calibri"/>
                <w:color w:val="000000" w:themeColor="text1"/>
                <w:u w:color="000000"/>
              </w:rPr>
            </w:pPr>
            <w:r w:rsidRPr="007C37B0">
              <w:rPr>
                <w:rFonts w:eastAsia="Calibri"/>
                <w:color w:val="000000" w:themeColor="text1"/>
                <w:u w:color="000000"/>
              </w:rPr>
              <w:t>Environment</w:t>
            </w:r>
          </w:p>
          <w:p w14:paraId="3F5A2FD4" w14:textId="77777777" w:rsidR="00602A4D" w:rsidRPr="007C37B0" w:rsidRDefault="00602A4D" w:rsidP="00650FD4">
            <w:pPr>
              <w:pStyle w:val="ListParagraph"/>
              <w:numPr>
                <w:ilvl w:val="0"/>
                <w:numId w:val="4"/>
              </w:numPr>
              <w:rPr>
                <w:rFonts w:eastAsia="Calibri"/>
                <w:color w:val="000000" w:themeColor="text1"/>
                <w:u w:color="000000"/>
              </w:rPr>
            </w:pPr>
            <w:r w:rsidRPr="007C37B0">
              <w:rPr>
                <w:rFonts w:eastAsia="Calibri"/>
                <w:color w:val="000000" w:themeColor="text1"/>
                <w:u w:color="000000"/>
              </w:rPr>
              <w:t>Employees</w:t>
            </w:r>
          </w:p>
          <w:p w14:paraId="6B190E11" w14:textId="77777777" w:rsidR="00602A4D" w:rsidRPr="007C37B0" w:rsidRDefault="00602A4D" w:rsidP="00650FD4">
            <w:pPr>
              <w:pStyle w:val="ListParagraph"/>
              <w:numPr>
                <w:ilvl w:val="0"/>
                <w:numId w:val="4"/>
              </w:numPr>
              <w:rPr>
                <w:rFonts w:eastAsia="Calibri"/>
                <w:color w:val="000000" w:themeColor="text1"/>
                <w:u w:color="000000"/>
              </w:rPr>
            </w:pPr>
            <w:r w:rsidRPr="007C37B0">
              <w:rPr>
                <w:rFonts w:eastAsia="Calibri"/>
                <w:color w:val="000000" w:themeColor="text1"/>
                <w:u w:color="000000"/>
              </w:rPr>
              <w:t>Community</w:t>
            </w:r>
          </w:p>
          <w:p w14:paraId="14BB2353" w14:textId="77777777" w:rsidR="00602A4D" w:rsidRPr="007C37B0" w:rsidRDefault="00602A4D" w:rsidP="00650FD4">
            <w:pPr>
              <w:pStyle w:val="ListParagraph"/>
              <w:numPr>
                <w:ilvl w:val="0"/>
                <w:numId w:val="4"/>
              </w:numPr>
              <w:rPr>
                <w:rFonts w:eastAsia="Calibri"/>
                <w:color w:val="000000" w:themeColor="text1"/>
                <w:u w:color="000000"/>
              </w:rPr>
            </w:pPr>
            <w:r w:rsidRPr="007C37B0">
              <w:rPr>
                <w:rFonts w:eastAsia="Calibri"/>
                <w:color w:val="000000" w:themeColor="text1"/>
                <w:u w:color="000000"/>
              </w:rPr>
              <w:t>Diversity</w:t>
            </w:r>
          </w:p>
          <w:p w14:paraId="229C8319" w14:textId="77777777" w:rsidR="00602A4D" w:rsidRPr="007C37B0" w:rsidRDefault="00602A4D" w:rsidP="00650FD4">
            <w:pPr>
              <w:pStyle w:val="ListParagraph"/>
              <w:numPr>
                <w:ilvl w:val="0"/>
                <w:numId w:val="4"/>
              </w:numPr>
              <w:rPr>
                <w:rFonts w:eastAsia="Calibri"/>
                <w:color w:val="000000" w:themeColor="text1"/>
                <w:u w:color="000000"/>
              </w:rPr>
            </w:pPr>
            <w:r w:rsidRPr="007C37B0">
              <w:rPr>
                <w:rFonts w:eastAsia="Calibri"/>
                <w:color w:val="000000" w:themeColor="text1"/>
                <w:u w:color="000000"/>
              </w:rPr>
              <w:t>Product</w:t>
            </w:r>
          </w:p>
          <w:p w14:paraId="6D9F2A72" w14:textId="77777777" w:rsidR="00602A4D" w:rsidRPr="007C37B0" w:rsidRDefault="00602A4D" w:rsidP="00650FD4">
            <w:pPr>
              <w:pStyle w:val="ListParagraph"/>
              <w:numPr>
                <w:ilvl w:val="0"/>
                <w:numId w:val="4"/>
              </w:numPr>
              <w:rPr>
                <w:rFonts w:eastAsia="Calibri"/>
                <w:color w:val="000000" w:themeColor="text1"/>
                <w:u w:color="000000"/>
              </w:rPr>
            </w:pPr>
            <w:r w:rsidRPr="007C37B0">
              <w:rPr>
                <w:rFonts w:eastAsia="Calibri"/>
                <w:color w:val="000000" w:themeColor="text1"/>
                <w:u w:color="000000"/>
              </w:rPr>
              <w:t>Human rights</w:t>
            </w:r>
          </w:p>
          <w:p w14:paraId="32BC7AB8" w14:textId="77777777" w:rsidR="00602A4D" w:rsidRPr="007C37B0" w:rsidRDefault="00602A4D" w:rsidP="00650FD4">
            <w:pPr>
              <w:pStyle w:val="ListParagraph"/>
              <w:numPr>
                <w:ilvl w:val="0"/>
                <w:numId w:val="4"/>
              </w:numPr>
              <w:rPr>
                <w:rFonts w:eastAsia="Calibri"/>
                <w:color w:val="000000" w:themeColor="text1"/>
                <w:u w:color="000000"/>
              </w:rPr>
            </w:pPr>
            <w:r w:rsidRPr="007C37B0">
              <w:rPr>
                <w:rFonts w:eastAsia="Calibri"/>
                <w:color w:val="000000" w:themeColor="text1"/>
                <w:u w:color="000000"/>
              </w:rPr>
              <w:t>Alcohol</w:t>
            </w:r>
          </w:p>
          <w:p w14:paraId="21C1FED7" w14:textId="77777777" w:rsidR="00602A4D" w:rsidRPr="007C37B0" w:rsidRDefault="00602A4D" w:rsidP="00650FD4">
            <w:pPr>
              <w:pStyle w:val="ListParagraph"/>
              <w:numPr>
                <w:ilvl w:val="0"/>
                <w:numId w:val="4"/>
              </w:numPr>
              <w:rPr>
                <w:rFonts w:eastAsia="Calibri"/>
                <w:color w:val="000000" w:themeColor="text1"/>
                <w:u w:color="000000"/>
              </w:rPr>
            </w:pPr>
            <w:r w:rsidRPr="007C37B0">
              <w:rPr>
                <w:rFonts w:eastAsia="Calibri"/>
                <w:color w:val="000000" w:themeColor="text1"/>
                <w:u w:color="000000"/>
              </w:rPr>
              <w:t>Firearms</w:t>
            </w:r>
          </w:p>
          <w:p w14:paraId="2DBAF9E8" w14:textId="77777777" w:rsidR="00602A4D" w:rsidRPr="007C37B0" w:rsidRDefault="00602A4D" w:rsidP="00650FD4">
            <w:pPr>
              <w:pStyle w:val="ListParagraph"/>
              <w:numPr>
                <w:ilvl w:val="0"/>
                <w:numId w:val="4"/>
              </w:numPr>
              <w:rPr>
                <w:rFonts w:eastAsia="Calibri"/>
                <w:color w:val="000000" w:themeColor="text1"/>
                <w:u w:color="000000"/>
              </w:rPr>
            </w:pPr>
            <w:r w:rsidRPr="007C37B0">
              <w:rPr>
                <w:rFonts w:eastAsia="Calibri"/>
                <w:color w:val="000000" w:themeColor="text1"/>
                <w:u w:color="000000"/>
              </w:rPr>
              <w:t>Gambling</w:t>
            </w:r>
          </w:p>
          <w:p w14:paraId="1E6A45AA" w14:textId="77777777" w:rsidR="00602A4D" w:rsidRPr="007C37B0" w:rsidRDefault="00602A4D" w:rsidP="00650FD4">
            <w:pPr>
              <w:pStyle w:val="ListParagraph"/>
              <w:numPr>
                <w:ilvl w:val="0"/>
                <w:numId w:val="4"/>
              </w:numPr>
              <w:rPr>
                <w:rFonts w:eastAsia="Calibri"/>
                <w:color w:val="000000" w:themeColor="text1"/>
                <w:u w:color="000000"/>
              </w:rPr>
            </w:pPr>
            <w:r w:rsidRPr="007C37B0">
              <w:rPr>
                <w:rFonts w:eastAsia="Calibri"/>
                <w:color w:val="000000" w:themeColor="text1"/>
                <w:u w:color="000000"/>
              </w:rPr>
              <w:t>Military</w:t>
            </w:r>
          </w:p>
          <w:p w14:paraId="1D368A74" w14:textId="77777777" w:rsidR="00602A4D" w:rsidRPr="007C37B0" w:rsidRDefault="00602A4D" w:rsidP="00650FD4">
            <w:pPr>
              <w:pStyle w:val="ListParagraph"/>
              <w:numPr>
                <w:ilvl w:val="0"/>
                <w:numId w:val="4"/>
              </w:numPr>
              <w:rPr>
                <w:rFonts w:eastAsia="Calibri"/>
                <w:color w:val="000000" w:themeColor="text1"/>
                <w:u w:color="000000"/>
              </w:rPr>
            </w:pPr>
            <w:r w:rsidRPr="007C37B0">
              <w:rPr>
                <w:rFonts w:eastAsia="Calibri"/>
                <w:color w:val="000000" w:themeColor="text1"/>
                <w:u w:color="000000"/>
              </w:rPr>
              <w:t>Nuclear power</w:t>
            </w:r>
          </w:p>
          <w:p w14:paraId="3CF70A8A" w14:textId="2EA438FA" w:rsidR="00602A4D" w:rsidRPr="007C37B0" w:rsidRDefault="00602A4D" w:rsidP="00650FD4">
            <w:pPr>
              <w:pStyle w:val="ListParagraph"/>
              <w:numPr>
                <w:ilvl w:val="0"/>
                <w:numId w:val="4"/>
              </w:numPr>
              <w:rPr>
                <w:rFonts w:eastAsia="Calibri" w:hAnsi="Calibri"/>
                <w:color w:val="000000" w:themeColor="text1"/>
                <w:u w:color="000000"/>
              </w:rPr>
            </w:pPr>
            <w:r w:rsidRPr="007C37B0">
              <w:rPr>
                <w:rFonts w:eastAsia="Calibri"/>
                <w:color w:val="000000" w:themeColor="text1"/>
                <w:u w:color="000000"/>
              </w:rPr>
              <w:t>Tobacco</w:t>
            </w:r>
          </w:p>
        </w:tc>
        <w:tc>
          <w:tcPr>
            <w:tcW w:w="5812" w:type="dxa"/>
          </w:tcPr>
          <w:p w14:paraId="17111E87" w14:textId="3B734EAB" w:rsidR="00602A4D" w:rsidRPr="007C37B0" w:rsidRDefault="00602A4D" w:rsidP="00650FD4">
            <w:pPr>
              <w:pStyle w:val="ListParagraph"/>
              <w:numPr>
                <w:ilvl w:val="0"/>
                <w:numId w:val="4"/>
              </w:numPr>
              <w:rPr>
                <w:rFonts w:eastAsia="Calibri"/>
                <w:color w:val="000000" w:themeColor="text1"/>
                <w:u w:color="000000"/>
              </w:rPr>
            </w:pPr>
            <w:proofErr w:type="spellStart"/>
            <w:r w:rsidRPr="007C37B0">
              <w:rPr>
                <w:rFonts w:eastAsia="Calibri" w:hAnsi="Calibri"/>
                <w:color w:val="000000" w:themeColor="text1"/>
                <w:u w:color="000000"/>
              </w:rPr>
              <w:t>Environment</w:t>
            </w:r>
            <w:r w:rsidR="002B4EE1" w:rsidRPr="007C37B0">
              <w:rPr>
                <w:rFonts w:eastAsia="Calibri"/>
                <w:color w:val="000000" w:themeColor="text1"/>
                <w:u w:color="000000"/>
                <w:vertAlign w:val="superscript"/>
              </w:rPr>
              <w:t>a</w:t>
            </w:r>
            <w:proofErr w:type="spellEnd"/>
          </w:p>
          <w:p w14:paraId="3E8C9F44" w14:textId="3B63D95A" w:rsidR="00602A4D" w:rsidRPr="007C37B0" w:rsidRDefault="00D16F0D" w:rsidP="00650FD4">
            <w:pPr>
              <w:pStyle w:val="ListParagraph"/>
              <w:numPr>
                <w:ilvl w:val="0"/>
                <w:numId w:val="4"/>
              </w:numPr>
              <w:rPr>
                <w:rFonts w:eastAsia="Calibri"/>
                <w:color w:val="000000" w:themeColor="text1"/>
                <w:u w:color="000000"/>
              </w:rPr>
            </w:pPr>
            <w:r w:rsidRPr="007C37B0">
              <w:rPr>
                <w:rFonts w:eastAsia="Calibri"/>
                <w:color w:val="000000" w:themeColor="text1"/>
                <w:u w:color="000000"/>
              </w:rPr>
              <w:t>Diversity</w:t>
            </w:r>
            <w:r w:rsidR="00A64BAD" w:rsidRPr="007C37B0">
              <w:rPr>
                <w:rFonts w:eastAsia="Calibri"/>
                <w:color w:val="000000" w:themeColor="text1"/>
                <w:u w:color="000000"/>
              </w:rPr>
              <w:t xml:space="preserve"> (incl. Employees)</w:t>
            </w:r>
          </w:p>
          <w:p w14:paraId="446F8CB5" w14:textId="2422C04D" w:rsidR="00602A4D" w:rsidRPr="007C37B0" w:rsidRDefault="00602A4D" w:rsidP="00650FD4">
            <w:pPr>
              <w:pStyle w:val="ListParagraph"/>
              <w:numPr>
                <w:ilvl w:val="0"/>
                <w:numId w:val="4"/>
              </w:numPr>
              <w:rPr>
                <w:rFonts w:eastAsia="Calibri"/>
                <w:color w:val="000000" w:themeColor="text1"/>
                <w:u w:color="000000"/>
              </w:rPr>
            </w:pPr>
            <w:proofErr w:type="spellStart"/>
            <w:r w:rsidRPr="007C37B0">
              <w:rPr>
                <w:rFonts w:eastAsia="Calibri"/>
                <w:color w:val="000000" w:themeColor="text1"/>
                <w:u w:color="000000"/>
              </w:rPr>
              <w:t>Community</w:t>
            </w:r>
            <w:r w:rsidR="00D16F0D" w:rsidRPr="007C37B0">
              <w:rPr>
                <w:rFonts w:eastAsia="Calibri"/>
                <w:color w:val="000000" w:themeColor="text1"/>
                <w:u w:color="000000"/>
                <w:vertAlign w:val="superscript"/>
              </w:rPr>
              <w:t>b</w:t>
            </w:r>
            <w:proofErr w:type="spellEnd"/>
            <w:r w:rsidRPr="007C37B0">
              <w:rPr>
                <w:rFonts w:eastAsia="Calibri"/>
                <w:color w:val="000000" w:themeColor="text1"/>
                <w:u w:color="000000"/>
              </w:rPr>
              <w:t xml:space="preserve"> </w:t>
            </w:r>
          </w:p>
          <w:p w14:paraId="4F9E33A9" w14:textId="49AE71A5" w:rsidR="00602A4D" w:rsidRPr="007C37B0" w:rsidRDefault="00602A4D" w:rsidP="00650FD4">
            <w:pPr>
              <w:pStyle w:val="ListParagraph"/>
              <w:numPr>
                <w:ilvl w:val="0"/>
                <w:numId w:val="4"/>
              </w:numPr>
              <w:rPr>
                <w:rFonts w:eastAsia="Calibri"/>
                <w:color w:val="000000" w:themeColor="text1"/>
                <w:u w:color="000000"/>
              </w:rPr>
            </w:pPr>
            <w:proofErr w:type="spellStart"/>
            <w:r w:rsidRPr="007C37B0">
              <w:rPr>
                <w:rFonts w:eastAsia="Calibri"/>
                <w:color w:val="000000" w:themeColor="text1"/>
                <w:u w:color="000000"/>
              </w:rPr>
              <w:t>Product</w:t>
            </w:r>
            <w:r w:rsidR="00D16F0D" w:rsidRPr="007C37B0">
              <w:rPr>
                <w:rFonts w:eastAsia="Calibri"/>
                <w:color w:val="000000" w:themeColor="text1"/>
                <w:u w:color="000000"/>
                <w:vertAlign w:val="superscript"/>
              </w:rPr>
              <w:t>c</w:t>
            </w:r>
            <w:proofErr w:type="spellEnd"/>
          </w:p>
          <w:p w14:paraId="7EB5BF39" w14:textId="41064D9E" w:rsidR="00602A4D" w:rsidRPr="007C37B0" w:rsidRDefault="00602A4D" w:rsidP="00650FD4">
            <w:pPr>
              <w:pStyle w:val="ListParagraph"/>
              <w:numPr>
                <w:ilvl w:val="0"/>
                <w:numId w:val="4"/>
              </w:numPr>
              <w:rPr>
                <w:rFonts w:eastAsia="Calibri"/>
                <w:color w:val="000000" w:themeColor="text1"/>
                <w:u w:color="000000"/>
              </w:rPr>
            </w:pPr>
            <w:r w:rsidRPr="007C37B0">
              <w:rPr>
                <w:rFonts w:eastAsia="Calibri"/>
                <w:color w:val="000000" w:themeColor="text1"/>
                <w:u w:color="000000"/>
              </w:rPr>
              <w:t xml:space="preserve">Human </w:t>
            </w:r>
            <w:proofErr w:type="spellStart"/>
            <w:r w:rsidRPr="007C37B0">
              <w:rPr>
                <w:rFonts w:eastAsia="Calibri"/>
                <w:color w:val="000000" w:themeColor="text1"/>
                <w:u w:color="000000"/>
              </w:rPr>
              <w:t>rights</w:t>
            </w:r>
            <w:r w:rsidR="00F052E1" w:rsidRPr="007C37B0">
              <w:rPr>
                <w:rFonts w:eastAsia="Calibri"/>
                <w:color w:val="000000" w:themeColor="text1"/>
                <w:u w:color="000000"/>
                <w:vertAlign w:val="superscript"/>
              </w:rPr>
              <w:t>d</w:t>
            </w:r>
            <w:proofErr w:type="spellEnd"/>
          </w:p>
          <w:p w14:paraId="6C5C1716" w14:textId="0B6CD31F" w:rsidR="00602A4D" w:rsidRPr="007C37B0" w:rsidRDefault="00602A4D" w:rsidP="00650FD4">
            <w:pPr>
              <w:pStyle w:val="ListParagraph"/>
              <w:numPr>
                <w:ilvl w:val="0"/>
                <w:numId w:val="4"/>
              </w:numPr>
              <w:rPr>
                <w:rFonts w:eastAsia="Calibri" w:hAnsi="Calibri"/>
                <w:color w:val="000000" w:themeColor="text1"/>
                <w:u w:color="000000"/>
              </w:rPr>
            </w:pPr>
            <w:proofErr w:type="spellStart"/>
            <w:r w:rsidRPr="007C37B0">
              <w:rPr>
                <w:rFonts w:eastAsia="Calibri"/>
                <w:color w:val="000000" w:themeColor="text1"/>
                <w:u w:color="000000"/>
              </w:rPr>
              <w:t>Vice</w:t>
            </w:r>
            <w:r w:rsidR="004156B1" w:rsidRPr="007C37B0">
              <w:rPr>
                <w:rFonts w:eastAsia="Calibri"/>
                <w:color w:val="000000" w:themeColor="text1"/>
                <w:u w:color="000000"/>
              </w:rPr>
              <w:t>s</w:t>
            </w:r>
            <w:r w:rsidR="00F052E1" w:rsidRPr="007C37B0">
              <w:rPr>
                <w:rFonts w:eastAsia="Calibri"/>
                <w:color w:val="000000" w:themeColor="text1"/>
                <w:u w:color="000000"/>
                <w:vertAlign w:val="superscript"/>
              </w:rPr>
              <w:t>e</w:t>
            </w:r>
            <w:proofErr w:type="spellEnd"/>
            <w:r w:rsidRPr="007C37B0">
              <w:rPr>
                <w:rFonts w:eastAsia="Calibri"/>
                <w:color w:val="000000" w:themeColor="text1"/>
                <w:u w:color="000000"/>
              </w:rPr>
              <w:t xml:space="preserve"> (</w:t>
            </w:r>
            <w:r w:rsidR="00D16F0D" w:rsidRPr="007C37B0">
              <w:rPr>
                <w:rFonts w:eastAsia="Calibri"/>
                <w:color w:val="000000" w:themeColor="text1"/>
                <w:u w:color="000000"/>
              </w:rPr>
              <w:t>i.e., A</w:t>
            </w:r>
            <w:r w:rsidRPr="007C37B0">
              <w:rPr>
                <w:rFonts w:eastAsia="Calibri"/>
                <w:color w:val="000000" w:themeColor="text1"/>
                <w:u w:color="000000"/>
              </w:rPr>
              <w:t xml:space="preserve">lcohol, </w:t>
            </w:r>
            <w:r w:rsidR="00D16F0D" w:rsidRPr="007C37B0">
              <w:rPr>
                <w:rFonts w:eastAsia="Calibri"/>
                <w:color w:val="000000" w:themeColor="text1"/>
                <w:u w:color="000000"/>
              </w:rPr>
              <w:t>F</w:t>
            </w:r>
            <w:r w:rsidRPr="007C37B0">
              <w:rPr>
                <w:rFonts w:eastAsia="Calibri"/>
                <w:color w:val="000000" w:themeColor="text1"/>
                <w:u w:color="000000"/>
              </w:rPr>
              <w:t xml:space="preserve">irearms, </w:t>
            </w:r>
            <w:r w:rsidR="00D16F0D" w:rsidRPr="007C37B0">
              <w:rPr>
                <w:rFonts w:eastAsia="Calibri"/>
                <w:color w:val="000000" w:themeColor="text1"/>
                <w:u w:color="000000"/>
              </w:rPr>
              <w:t>G</w:t>
            </w:r>
            <w:r w:rsidRPr="007C37B0">
              <w:rPr>
                <w:rFonts w:eastAsia="Calibri"/>
                <w:color w:val="000000" w:themeColor="text1"/>
                <w:u w:color="000000"/>
              </w:rPr>
              <w:t xml:space="preserve">ambling, </w:t>
            </w:r>
            <w:r w:rsidR="00D16F0D" w:rsidRPr="007C37B0">
              <w:rPr>
                <w:rFonts w:eastAsia="Calibri"/>
                <w:color w:val="000000" w:themeColor="text1"/>
                <w:u w:color="000000"/>
              </w:rPr>
              <w:t>M</w:t>
            </w:r>
            <w:r w:rsidRPr="007C37B0">
              <w:rPr>
                <w:rFonts w:eastAsia="Calibri"/>
                <w:color w:val="000000" w:themeColor="text1"/>
                <w:u w:color="000000"/>
              </w:rPr>
              <w:t xml:space="preserve">ilitary, </w:t>
            </w:r>
            <w:r w:rsidR="00D16F0D" w:rsidRPr="007C37B0">
              <w:rPr>
                <w:rFonts w:eastAsia="Calibri"/>
                <w:color w:val="000000" w:themeColor="text1"/>
                <w:u w:color="000000"/>
              </w:rPr>
              <w:t>N</w:t>
            </w:r>
            <w:r w:rsidRPr="007C37B0">
              <w:rPr>
                <w:rFonts w:eastAsia="Calibri"/>
                <w:color w:val="000000" w:themeColor="text1"/>
                <w:u w:color="000000"/>
              </w:rPr>
              <w:t xml:space="preserve">uclear </w:t>
            </w:r>
            <w:r w:rsidR="00D16F0D" w:rsidRPr="007C37B0">
              <w:rPr>
                <w:rFonts w:eastAsia="Calibri"/>
                <w:color w:val="000000" w:themeColor="text1"/>
                <w:u w:color="000000"/>
              </w:rPr>
              <w:t>p</w:t>
            </w:r>
            <w:r w:rsidRPr="007C37B0">
              <w:rPr>
                <w:rFonts w:eastAsia="Calibri"/>
                <w:color w:val="000000" w:themeColor="text1"/>
                <w:u w:color="000000"/>
              </w:rPr>
              <w:t xml:space="preserve">ower, </w:t>
            </w:r>
            <w:r w:rsidR="00D16F0D" w:rsidRPr="007C37B0">
              <w:rPr>
                <w:rFonts w:eastAsia="Calibri"/>
                <w:color w:val="000000" w:themeColor="text1"/>
                <w:u w:color="000000"/>
              </w:rPr>
              <w:t>T</w:t>
            </w:r>
            <w:r w:rsidRPr="007C37B0">
              <w:rPr>
                <w:rFonts w:eastAsia="Calibri"/>
                <w:color w:val="000000" w:themeColor="text1"/>
                <w:u w:color="000000"/>
              </w:rPr>
              <w:t>obacco)</w:t>
            </w:r>
          </w:p>
        </w:tc>
      </w:tr>
    </w:tbl>
    <w:p w14:paraId="7E8DEB75" w14:textId="37272F6D" w:rsidR="00411F6F" w:rsidRPr="007C37B0" w:rsidRDefault="00411F6F" w:rsidP="00650FD4">
      <w:pPr>
        <w:rPr>
          <w:color w:val="000000" w:themeColor="text1"/>
          <w:sz w:val="20"/>
          <w:szCs w:val="20"/>
          <w:u w:color="000000"/>
          <w:lang w:val="en-US"/>
        </w:rPr>
      </w:pPr>
      <w:r w:rsidRPr="007C37B0">
        <w:rPr>
          <w:color w:val="000000" w:themeColor="text1"/>
          <w:sz w:val="20"/>
          <w:szCs w:val="20"/>
          <w:u w:color="000000"/>
          <w:lang w:val="en-US"/>
        </w:rPr>
        <w:t xml:space="preserve"> </w:t>
      </w:r>
      <w:r w:rsidR="002B4EE1" w:rsidRPr="007C37B0">
        <w:rPr>
          <w:i/>
          <w:color w:val="000000" w:themeColor="text1"/>
          <w:sz w:val="20"/>
          <w:szCs w:val="20"/>
          <w:u w:color="000000"/>
          <w:lang w:val="en-US"/>
        </w:rPr>
        <w:t>Notes</w:t>
      </w:r>
      <w:r w:rsidR="002B4EE1" w:rsidRPr="007C37B0">
        <w:rPr>
          <w:color w:val="000000" w:themeColor="text1"/>
          <w:sz w:val="20"/>
          <w:szCs w:val="20"/>
          <w:u w:color="000000"/>
          <w:lang w:val="en-US"/>
        </w:rPr>
        <w:t xml:space="preserve">: </w:t>
      </w:r>
      <w:r w:rsidR="002B4EE1" w:rsidRPr="007C37B0">
        <w:rPr>
          <w:color w:val="000000" w:themeColor="text1"/>
          <w:sz w:val="20"/>
          <w:szCs w:val="20"/>
          <w:u w:color="000000"/>
          <w:vertAlign w:val="superscript"/>
          <w:lang w:val="en-US"/>
        </w:rPr>
        <w:t>a</w:t>
      </w:r>
      <w:r w:rsidR="00814FD9" w:rsidRPr="007C37B0">
        <w:rPr>
          <w:color w:val="000000" w:themeColor="text1"/>
          <w:sz w:val="20"/>
          <w:szCs w:val="20"/>
          <w:u w:color="000000"/>
          <w:vertAlign w:val="superscript"/>
          <w:lang w:val="en-US"/>
        </w:rPr>
        <w:t xml:space="preserve"> </w:t>
      </w:r>
      <w:r w:rsidR="002B4EE1" w:rsidRPr="007C37B0">
        <w:rPr>
          <w:color w:val="000000" w:themeColor="text1"/>
          <w:sz w:val="20"/>
          <w:szCs w:val="20"/>
          <w:u w:color="000000"/>
          <w:lang w:val="en-US"/>
        </w:rPr>
        <w:t>includes animal welfare concerns,</w:t>
      </w:r>
      <w:r w:rsidR="00814FD9" w:rsidRPr="007C37B0">
        <w:rPr>
          <w:color w:val="000000" w:themeColor="text1"/>
          <w:sz w:val="20"/>
          <w:szCs w:val="20"/>
          <w:u w:color="000000"/>
          <w:lang w:val="en-US"/>
        </w:rPr>
        <w:t xml:space="preserve"> </w:t>
      </w:r>
      <w:r w:rsidR="00814FD9" w:rsidRPr="007C37B0">
        <w:rPr>
          <w:color w:val="000000" w:themeColor="text1"/>
          <w:sz w:val="20"/>
          <w:szCs w:val="20"/>
          <w:u w:color="000000"/>
          <w:vertAlign w:val="superscript"/>
          <w:lang w:val="en-US"/>
        </w:rPr>
        <w:t xml:space="preserve">b </w:t>
      </w:r>
      <w:r w:rsidR="002B4EE1" w:rsidRPr="007C37B0">
        <w:rPr>
          <w:color w:val="000000" w:themeColor="text1"/>
          <w:sz w:val="20"/>
          <w:szCs w:val="20"/>
          <w:u w:color="000000"/>
          <w:lang w:val="en-US"/>
        </w:rPr>
        <w:t xml:space="preserve">includes political concerns, </w:t>
      </w:r>
      <w:r w:rsidR="00D16F0D" w:rsidRPr="007C37B0">
        <w:rPr>
          <w:color w:val="000000" w:themeColor="text1"/>
          <w:sz w:val="20"/>
          <w:szCs w:val="20"/>
          <w:u w:color="000000"/>
          <w:vertAlign w:val="superscript"/>
          <w:lang w:val="en-US"/>
        </w:rPr>
        <w:t>c</w:t>
      </w:r>
      <w:r w:rsidR="002B4EE1" w:rsidRPr="007C37B0">
        <w:rPr>
          <w:color w:val="000000" w:themeColor="text1"/>
          <w:sz w:val="20"/>
          <w:szCs w:val="20"/>
          <w:u w:color="000000"/>
          <w:lang w:val="en-US"/>
        </w:rPr>
        <w:t xml:space="preserve"> includes consumer and marketing con</w:t>
      </w:r>
      <w:r w:rsidR="008F4839" w:rsidRPr="007C37B0">
        <w:rPr>
          <w:color w:val="000000" w:themeColor="text1"/>
          <w:sz w:val="20"/>
          <w:szCs w:val="20"/>
          <w:u w:color="000000"/>
          <w:lang w:val="en-US"/>
        </w:rPr>
        <w:t>c</w:t>
      </w:r>
      <w:r w:rsidR="002B4EE1" w:rsidRPr="007C37B0">
        <w:rPr>
          <w:color w:val="000000" w:themeColor="text1"/>
          <w:sz w:val="20"/>
          <w:szCs w:val="20"/>
          <w:u w:color="000000"/>
          <w:lang w:val="en-US"/>
        </w:rPr>
        <w:t>erns</w:t>
      </w:r>
      <w:r w:rsidR="00D16F0D" w:rsidRPr="007C37B0">
        <w:rPr>
          <w:color w:val="000000" w:themeColor="text1"/>
          <w:sz w:val="20"/>
          <w:szCs w:val="20"/>
          <w:u w:color="000000"/>
          <w:lang w:val="en-US"/>
        </w:rPr>
        <w:t>,</w:t>
      </w:r>
      <w:r w:rsidR="00F052E1" w:rsidRPr="007C37B0">
        <w:rPr>
          <w:color w:val="000000" w:themeColor="text1"/>
          <w:sz w:val="20"/>
          <w:szCs w:val="20"/>
          <w:u w:color="000000"/>
          <w:lang w:val="en-US"/>
        </w:rPr>
        <w:t xml:space="preserve"> </w:t>
      </w:r>
      <w:r w:rsidR="00F052E1" w:rsidRPr="007C37B0">
        <w:rPr>
          <w:color w:val="000000" w:themeColor="text1"/>
          <w:sz w:val="20"/>
          <w:szCs w:val="20"/>
          <w:u w:color="000000"/>
          <w:vertAlign w:val="superscript"/>
          <w:lang w:val="en-US"/>
        </w:rPr>
        <w:t>d</w:t>
      </w:r>
      <w:r w:rsidR="00F052E1" w:rsidRPr="007C37B0">
        <w:rPr>
          <w:color w:val="000000" w:themeColor="text1"/>
          <w:sz w:val="20"/>
          <w:szCs w:val="20"/>
          <w:u w:color="000000"/>
          <w:lang w:val="en-US"/>
        </w:rPr>
        <w:t xml:space="preserve"> includes other eth</w:t>
      </w:r>
      <w:r w:rsidR="00FB41B1" w:rsidRPr="007C37B0">
        <w:rPr>
          <w:color w:val="000000" w:themeColor="text1"/>
          <w:sz w:val="20"/>
          <w:szCs w:val="20"/>
          <w:u w:color="000000"/>
          <w:lang w:val="en-US"/>
        </w:rPr>
        <w:t>ical concerns,</w:t>
      </w:r>
      <w:r w:rsidR="00D16F0D" w:rsidRPr="007C37B0">
        <w:rPr>
          <w:color w:val="000000" w:themeColor="text1"/>
          <w:sz w:val="20"/>
          <w:szCs w:val="20"/>
          <w:u w:color="000000"/>
          <w:lang w:val="en-US"/>
        </w:rPr>
        <w:t xml:space="preserve"> </w:t>
      </w:r>
      <w:r w:rsidR="00F052E1" w:rsidRPr="007C37B0">
        <w:rPr>
          <w:color w:val="000000" w:themeColor="text1"/>
          <w:sz w:val="20"/>
          <w:szCs w:val="20"/>
          <w:u w:color="000000"/>
          <w:vertAlign w:val="superscript"/>
          <w:lang w:val="en-US"/>
        </w:rPr>
        <w:t>e</w:t>
      </w:r>
      <w:r w:rsidR="00D16F0D" w:rsidRPr="007C37B0">
        <w:rPr>
          <w:color w:val="000000" w:themeColor="text1"/>
          <w:sz w:val="20"/>
          <w:szCs w:val="20"/>
          <w:u w:color="000000"/>
          <w:lang w:val="en-US"/>
        </w:rPr>
        <w:t xml:space="preserve"> includes pornography concerns. </w:t>
      </w:r>
    </w:p>
    <w:p w14:paraId="1E41D46F" w14:textId="74A22C6B" w:rsidR="00A5250A" w:rsidRPr="007C37B0" w:rsidRDefault="00A5250A" w:rsidP="00411F6F">
      <w:pPr>
        <w:ind w:firstLine="720"/>
        <w:rPr>
          <w:color w:val="000000" w:themeColor="text1"/>
          <w:u w:color="000000"/>
          <w:lang w:val="en-US"/>
        </w:rPr>
      </w:pPr>
    </w:p>
    <w:p w14:paraId="71A4DCAC" w14:textId="77777777" w:rsidR="00A5250A" w:rsidRPr="007C37B0" w:rsidRDefault="00A5250A" w:rsidP="00411F6F">
      <w:pPr>
        <w:ind w:firstLine="720"/>
        <w:rPr>
          <w:color w:val="000000" w:themeColor="text1"/>
          <w:u w:color="000000"/>
          <w:lang w:val="en-US"/>
        </w:rPr>
        <w:sectPr w:rsidR="00A5250A" w:rsidRPr="007C37B0" w:rsidSect="00E87BE6">
          <w:pgSz w:w="12240" w:h="15840"/>
          <w:pgMar w:top="1440" w:right="1440" w:bottom="1440" w:left="1440" w:header="720" w:footer="720" w:gutter="0"/>
          <w:cols w:space="708"/>
          <w:docGrid w:linePitch="360"/>
        </w:sectPr>
      </w:pPr>
    </w:p>
    <w:p w14:paraId="7258E8F9" w14:textId="6C3E7B8B" w:rsidR="00A5250A" w:rsidRPr="007C37B0" w:rsidRDefault="00AC6E76" w:rsidP="002F00EB">
      <w:pPr>
        <w:jc w:val="center"/>
        <w:rPr>
          <w:caps/>
          <w:color w:val="000000" w:themeColor="text1"/>
          <w:u w:color="000000"/>
          <w:lang w:val="en-US"/>
        </w:rPr>
      </w:pPr>
      <w:r w:rsidRPr="007C37B0">
        <w:rPr>
          <w:b/>
          <w:caps/>
          <w:color w:val="000000" w:themeColor="text1"/>
          <w:u w:color="000000"/>
          <w:lang w:val="en-US"/>
        </w:rPr>
        <w:lastRenderedPageBreak/>
        <w:t xml:space="preserve">Table </w:t>
      </w:r>
      <w:r w:rsidR="00E23449">
        <w:rPr>
          <w:b/>
          <w:caps/>
          <w:color w:val="000000" w:themeColor="text1"/>
          <w:u w:color="000000"/>
          <w:lang w:val="en-US"/>
        </w:rPr>
        <w:t>E</w:t>
      </w:r>
      <w:r w:rsidR="002F00EB" w:rsidRPr="007C37B0">
        <w:rPr>
          <w:b/>
          <w:caps/>
          <w:color w:val="000000" w:themeColor="text1"/>
          <w:u w:color="000000"/>
          <w:lang w:val="en-US"/>
        </w:rPr>
        <w:t xml:space="preserve">2: Advertising Investment Response </w:t>
      </w:r>
      <w:r w:rsidR="00D553E6">
        <w:rPr>
          <w:b/>
          <w:caps/>
          <w:color w:val="000000" w:themeColor="text1"/>
          <w:u w:color="000000"/>
          <w:lang w:val="en-US"/>
        </w:rPr>
        <w:t>(</w:t>
      </w:r>
      <w:r w:rsidR="00C50911">
        <w:rPr>
          <w:b/>
          <w:caps/>
          <w:color w:val="000000" w:themeColor="text1"/>
          <w:u w:color="000000"/>
          <w:lang w:val="en-US"/>
        </w:rPr>
        <w:t xml:space="preserve">TYPE </w:t>
      </w:r>
      <w:r w:rsidR="002F00EB" w:rsidRPr="007C37B0">
        <w:rPr>
          <w:b/>
          <w:caps/>
          <w:color w:val="000000" w:themeColor="text1"/>
          <w:u w:color="000000"/>
          <w:lang w:val="en-US"/>
        </w:rPr>
        <w:t>Sub-Categories</w:t>
      </w:r>
      <w:r w:rsidR="00D553E6">
        <w:rPr>
          <w:b/>
          <w:caps/>
          <w:color w:val="000000" w:themeColor="text1"/>
          <w:u w:color="000000"/>
          <w:lang w:val="en-US"/>
        </w:rPr>
        <w:t>)</w:t>
      </w:r>
    </w:p>
    <w:p w14:paraId="4AFC4065" w14:textId="5585E168" w:rsidR="0099531D" w:rsidRPr="007C37B0" w:rsidRDefault="0099531D" w:rsidP="00411F6F">
      <w:pPr>
        <w:ind w:firstLine="720"/>
        <w:rPr>
          <w:color w:val="000000" w:themeColor="text1"/>
          <w:u w:color="000000"/>
          <w:lang w:val="en-US"/>
        </w:rPr>
      </w:pPr>
    </w:p>
    <w:p w14:paraId="4F09BB2E" w14:textId="77777777" w:rsidR="00130CB1" w:rsidRPr="007C37B0" w:rsidRDefault="00130CB1" w:rsidP="00411F6F">
      <w:pPr>
        <w:ind w:firstLine="720"/>
        <w:rPr>
          <w:color w:val="000000" w:themeColor="text1"/>
          <w:sz w:val="6"/>
          <w:szCs w:val="6"/>
          <w:u w:color="000000"/>
          <w:lang w:val="en-US"/>
        </w:rPr>
      </w:pPr>
    </w:p>
    <w:tbl>
      <w:tblPr>
        <w:tblW w:w="10011" w:type="dxa"/>
        <w:jc w:val="center"/>
        <w:tblLayout w:type="fixed"/>
        <w:tblCellMar>
          <w:left w:w="75" w:type="dxa"/>
          <w:right w:w="75" w:type="dxa"/>
        </w:tblCellMar>
        <w:tblLook w:val="0000" w:firstRow="0" w:lastRow="0" w:firstColumn="0" w:lastColumn="0" w:noHBand="0" w:noVBand="0"/>
      </w:tblPr>
      <w:tblGrid>
        <w:gridCol w:w="6555"/>
        <w:gridCol w:w="3456"/>
      </w:tblGrid>
      <w:tr w:rsidR="00C50911" w:rsidRPr="007C37B0" w14:paraId="124D1193" w14:textId="77777777" w:rsidTr="008617AF">
        <w:trPr>
          <w:jc w:val="center"/>
        </w:trPr>
        <w:tc>
          <w:tcPr>
            <w:tcW w:w="6555" w:type="dxa"/>
            <w:tcBorders>
              <w:top w:val="single" w:sz="6" w:space="0" w:color="auto"/>
              <w:left w:val="nil"/>
              <w:bottom w:val="nil"/>
              <w:right w:val="nil"/>
            </w:tcBorders>
          </w:tcPr>
          <w:p w14:paraId="294F4AF8" w14:textId="77777777" w:rsidR="00C50911" w:rsidRPr="007C37B0" w:rsidRDefault="00C50911" w:rsidP="008617AF">
            <w:pPr>
              <w:widowControl w:val="0"/>
              <w:autoSpaceDE w:val="0"/>
              <w:autoSpaceDN w:val="0"/>
              <w:adjustRightInd w:val="0"/>
              <w:rPr>
                <w:b/>
                <w:color w:val="000000" w:themeColor="text1"/>
                <w:lang w:val="en-US"/>
              </w:rPr>
            </w:pPr>
          </w:p>
        </w:tc>
        <w:tc>
          <w:tcPr>
            <w:tcW w:w="3456" w:type="dxa"/>
            <w:tcBorders>
              <w:top w:val="single" w:sz="6" w:space="0" w:color="auto"/>
              <w:left w:val="nil"/>
              <w:bottom w:val="nil"/>
              <w:right w:val="nil"/>
            </w:tcBorders>
          </w:tcPr>
          <w:p w14:paraId="61FBC1F7" w14:textId="37EF56BA" w:rsidR="00C50911" w:rsidRPr="007C37B0" w:rsidRDefault="00C50911" w:rsidP="008617AF">
            <w:pPr>
              <w:widowControl w:val="0"/>
              <w:autoSpaceDE w:val="0"/>
              <w:autoSpaceDN w:val="0"/>
              <w:adjustRightInd w:val="0"/>
              <w:jc w:val="center"/>
              <w:rPr>
                <w:b/>
                <w:color w:val="000000" w:themeColor="text1"/>
                <w:lang w:val="en-US"/>
              </w:rPr>
            </w:pPr>
            <w:r w:rsidRPr="007C37B0">
              <w:rPr>
                <w:b/>
                <w:color w:val="000000" w:themeColor="text1"/>
                <w:lang w:val="en-US"/>
              </w:rPr>
              <w:t>Advertising investments</w:t>
            </w:r>
          </w:p>
        </w:tc>
      </w:tr>
      <w:tr w:rsidR="00C50911" w:rsidRPr="007C37B0" w14:paraId="284A5EB4" w14:textId="77777777" w:rsidTr="008617AF">
        <w:trPr>
          <w:jc w:val="center"/>
        </w:trPr>
        <w:tc>
          <w:tcPr>
            <w:tcW w:w="6555" w:type="dxa"/>
            <w:tcBorders>
              <w:top w:val="nil"/>
              <w:left w:val="nil"/>
              <w:bottom w:val="single" w:sz="6" w:space="0" w:color="auto"/>
              <w:right w:val="nil"/>
            </w:tcBorders>
          </w:tcPr>
          <w:p w14:paraId="31A7FD02" w14:textId="77777777" w:rsidR="00C50911" w:rsidRPr="007C37B0" w:rsidRDefault="00C50911" w:rsidP="008617AF">
            <w:pPr>
              <w:widowControl w:val="0"/>
              <w:autoSpaceDE w:val="0"/>
              <w:autoSpaceDN w:val="0"/>
              <w:adjustRightInd w:val="0"/>
              <w:rPr>
                <w:b/>
                <w:color w:val="000000" w:themeColor="text1"/>
                <w:lang w:val="en-US"/>
              </w:rPr>
            </w:pPr>
          </w:p>
        </w:tc>
        <w:tc>
          <w:tcPr>
            <w:tcW w:w="3456" w:type="dxa"/>
            <w:tcBorders>
              <w:top w:val="nil"/>
              <w:left w:val="nil"/>
              <w:bottom w:val="single" w:sz="6" w:space="0" w:color="auto"/>
              <w:right w:val="nil"/>
            </w:tcBorders>
          </w:tcPr>
          <w:p w14:paraId="14A20FF1" w14:textId="048DA3D7" w:rsidR="00C50911" w:rsidRPr="007C37B0" w:rsidRDefault="00C50911" w:rsidP="008617AF">
            <w:pPr>
              <w:widowControl w:val="0"/>
              <w:autoSpaceDE w:val="0"/>
              <w:autoSpaceDN w:val="0"/>
              <w:adjustRightInd w:val="0"/>
              <w:jc w:val="center"/>
              <w:rPr>
                <w:b/>
                <w:color w:val="000000" w:themeColor="text1"/>
                <w:lang w:val="en-US"/>
              </w:rPr>
            </w:pPr>
            <w:r w:rsidRPr="007C37B0">
              <w:rPr>
                <w:b/>
                <w:color w:val="000000" w:themeColor="text1"/>
                <w:lang w:val="en-US"/>
              </w:rPr>
              <w:t>(</w:t>
            </w:r>
            <w:r w:rsidRPr="007C37B0">
              <w:rPr>
                <w:b/>
                <w:i/>
                <w:color w:val="000000" w:themeColor="text1"/>
                <w:lang w:val="en-US"/>
              </w:rPr>
              <w:t>UADV</w:t>
            </w:r>
            <w:r w:rsidRPr="007C37B0">
              <w:rPr>
                <w:b/>
                <w:color w:val="000000" w:themeColor="text1"/>
                <w:lang w:val="en-US"/>
              </w:rPr>
              <w:t>)</w:t>
            </w:r>
          </w:p>
        </w:tc>
      </w:tr>
      <w:tr w:rsidR="00C50911" w:rsidRPr="00FB6512" w14:paraId="20AA8FED" w14:textId="77777777" w:rsidTr="008617AF">
        <w:trPr>
          <w:jc w:val="center"/>
        </w:trPr>
        <w:tc>
          <w:tcPr>
            <w:tcW w:w="6555" w:type="dxa"/>
            <w:tcBorders>
              <w:top w:val="nil"/>
              <w:left w:val="nil"/>
              <w:bottom w:val="nil"/>
              <w:right w:val="nil"/>
            </w:tcBorders>
          </w:tcPr>
          <w:p w14:paraId="481FE42D"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0A816273" w14:textId="77777777" w:rsidR="00C50911" w:rsidRPr="00064F56" w:rsidRDefault="00C50911" w:rsidP="008617AF">
            <w:pPr>
              <w:widowControl w:val="0"/>
              <w:autoSpaceDE w:val="0"/>
              <w:autoSpaceDN w:val="0"/>
              <w:adjustRightInd w:val="0"/>
              <w:jc w:val="center"/>
              <w:rPr>
                <w:color w:val="000000" w:themeColor="text1"/>
                <w:lang w:val="en-US"/>
              </w:rPr>
            </w:pPr>
          </w:p>
        </w:tc>
      </w:tr>
      <w:tr w:rsidR="00C50911" w:rsidRPr="00FB6512" w14:paraId="06D793EB" w14:textId="77777777" w:rsidTr="008617AF">
        <w:trPr>
          <w:jc w:val="center"/>
        </w:trPr>
        <w:tc>
          <w:tcPr>
            <w:tcW w:w="6555" w:type="dxa"/>
            <w:tcBorders>
              <w:top w:val="nil"/>
              <w:left w:val="nil"/>
              <w:bottom w:val="nil"/>
              <w:right w:val="nil"/>
            </w:tcBorders>
          </w:tcPr>
          <w:p w14:paraId="4A6028C6"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Shareholder complaints</w:t>
            </w:r>
            <w:r>
              <w:rPr>
                <w:color w:val="000000" w:themeColor="text1"/>
                <w:lang w:val="en-US"/>
              </w:rPr>
              <w:t xml:space="preserve"> (</w:t>
            </w:r>
            <w:r w:rsidRPr="00064F56">
              <w:rPr>
                <w:i/>
                <w:color w:val="000000" w:themeColor="text1"/>
                <w:lang w:val="en-US"/>
              </w:rPr>
              <w:t>SHC</w:t>
            </w:r>
            <w:r>
              <w:rPr>
                <w:color w:val="000000" w:themeColor="text1"/>
                <w:lang w:val="en-US"/>
              </w:rPr>
              <w:t>)</w:t>
            </w:r>
          </w:p>
        </w:tc>
        <w:tc>
          <w:tcPr>
            <w:tcW w:w="3456" w:type="dxa"/>
            <w:tcBorders>
              <w:top w:val="nil"/>
              <w:left w:val="nil"/>
              <w:bottom w:val="nil"/>
              <w:right w:val="nil"/>
            </w:tcBorders>
          </w:tcPr>
          <w:p w14:paraId="66091E2D" w14:textId="77777777" w:rsidR="00C50911" w:rsidRPr="00064F56" w:rsidRDefault="00C50911" w:rsidP="008617AF">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0720**</w:t>
            </w:r>
          </w:p>
        </w:tc>
      </w:tr>
      <w:tr w:rsidR="00C50911" w:rsidRPr="00FB6512" w14:paraId="50FB0D57" w14:textId="77777777" w:rsidTr="008617AF">
        <w:trPr>
          <w:jc w:val="center"/>
        </w:trPr>
        <w:tc>
          <w:tcPr>
            <w:tcW w:w="6555" w:type="dxa"/>
            <w:tcBorders>
              <w:top w:val="nil"/>
              <w:left w:val="nil"/>
              <w:bottom w:val="nil"/>
              <w:right w:val="nil"/>
            </w:tcBorders>
          </w:tcPr>
          <w:p w14:paraId="1752639C"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4EC404DA"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030)</w:t>
            </w:r>
          </w:p>
        </w:tc>
      </w:tr>
      <w:tr w:rsidR="00C50911" w:rsidRPr="00FB6512" w14:paraId="29D707BA" w14:textId="77777777" w:rsidTr="008617AF">
        <w:trPr>
          <w:jc w:val="center"/>
        </w:trPr>
        <w:tc>
          <w:tcPr>
            <w:tcW w:w="6555" w:type="dxa"/>
            <w:tcBorders>
              <w:top w:val="nil"/>
              <w:left w:val="nil"/>
              <w:bottom w:val="nil"/>
              <w:right w:val="nil"/>
            </w:tcBorders>
          </w:tcPr>
          <w:p w14:paraId="4A3B9CE5"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 xml:space="preserve">Shareholder complaints </w:t>
            </w:r>
            <w:r>
              <w:rPr>
                <w:color w:val="000000" w:themeColor="text1"/>
                <w:lang w:val="en-US"/>
              </w:rPr>
              <w:t>(</w:t>
            </w:r>
            <w:r w:rsidRPr="006A4731">
              <w:rPr>
                <w:i/>
                <w:color w:val="000000" w:themeColor="text1"/>
                <w:lang w:val="en-US"/>
              </w:rPr>
              <w:t>SHC</w:t>
            </w:r>
            <w:r>
              <w:rPr>
                <w:color w:val="000000" w:themeColor="text1"/>
                <w:lang w:val="en-US"/>
              </w:rPr>
              <w:t xml:space="preserve">) </w:t>
            </w:r>
            <w:r w:rsidRPr="00064F56">
              <w:rPr>
                <w:color w:val="000000" w:themeColor="text1"/>
                <w:lang w:val="en-US"/>
              </w:rPr>
              <w:t>* Institutional submitter</w:t>
            </w:r>
            <w:r>
              <w:rPr>
                <w:color w:val="000000" w:themeColor="text1"/>
                <w:lang w:val="en-US"/>
              </w:rPr>
              <w:t xml:space="preserve"> (</w:t>
            </w:r>
            <w:r w:rsidRPr="00064F56">
              <w:rPr>
                <w:i/>
                <w:color w:val="000000" w:themeColor="text1"/>
                <w:lang w:val="en-US"/>
              </w:rPr>
              <w:t>INST</w:t>
            </w:r>
            <w:r>
              <w:rPr>
                <w:color w:val="000000" w:themeColor="text1"/>
                <w:lang w:val="en-US"/>
              </w:rPr>
              <w:t>)</w:t>
            </w:r>
          </w:p>
        </w:tc>
        <w:tc>
          <w:tcPr>
            <w:tcW w:w="3456" w:type="dxa"/>
            <w:tcBorders>
              <w:top w:val="nil"/>
              <w:left w:val="nil"/>
              <w:bottom w:val="nil"/>
              <w:right w:val="nil"/>
            </w:tcBorders>
          </w:tcPr>
          <w:p w14:paraId="6BFED24F" w14:textId="77777777" w:rsidR="00C50911" w:rsidRPr="00064F56" w:rsidRDefault="00C50911" w:rsidP="008617AF">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1099</w:t>
            </w:r>
          </w:p>
        </w:tc>
      </w:tr>
      <w:tr w:rsidR="00C50911" w:rsidRPr="00FB6512" w14:paraId="45977DDF" w14:textId="77777777" w:rsidTr="008617AF">
        <w:trPr>
          <w:jc w:val="center"/>
        </w:trPr>
        <w:tc>
          <w:tcPr>
            <w:tcW w:w="6555" w:type="dxa"/>
            <w:tcBorders>
              <w:top w:val="nil"/>
              <w:left w:val="nil"/>
              <w:bottom w:val="nil"/>
              <w:right w:val="nil"/>
            </w:tcBorders>
          </w:tcPr>
          <w:p w14:paraId="39503B1E"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55F8D1DA"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106)</w:t>
            </w:r>
          </w:p>
        </w:tc>
      </w:tr>
      <w:tr w:rsidR="00C50911" w:rsidRPr="00FB6512" w14:paraId="75BDFDCF" w14:textId="77777777" w:rsidTr="008617AF">
        <w:trPr>
          <w:jc w:val="center"/>
        </w:trPr>
        <w:tc>
          <w:tcPr>
            <w:tcW w:w="6555" w:type="dxa"/>
            <w:tcBorders>
              <w:top w:val="nil"/>
              <w:left w:val="nil"/>
              <w:bottom w:val="nil"/>
              <w:right w:val="nil"/>
            </w:tcBorders>
          </w:tcPr>
          <w:p w14:paraId="5FC4C082" w14:textId="35092A8B"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 xml:space="preserve">Shareholder complaints </w:t>
            </w:r>
            <w:r>
              <w:rPr>
                <w:color w:val="000000" w:themeColor="text1"/>
                <w:lang w:val="en-US"/>
              </w:rPr>
              <w:t>(</w:t>
            </w:r>
            <w:r w:rsidRPr="006A4731">
              <w:rPr>
                <w:i/>
                <w:color w:val="000000" w:themeColor="text1"/>
                <w:lang w:val="en-US"/>
              </w:rPr>
              <w:t>SHC</w:t>
            </w:r>
            <w:r>
              <w:rPr>
                <w:color w:val="000000" w:themeColor="text1"/>
                <w:lang w:val="en-US"/>
              </w:rPr>
              <w:t xml:space="preserve">) </w:t>
            </w:r>
            <w:r w:rsidRPr="00064F56">
              <w:rPr>
                <w:color w:val="000000" w:themeColor="text1"/>
                <w:lang w:val="en-US"/>
              </w:rPr>
              <w:t xml:space="preserve">* </w:t>
            </w:r>
            <w:r w:rsidR="00A065FF">
              <w:rPr>
                <w:color w:val="000000" w:themeColor="text1"/>
                <w:lang w:val="en-US"/>
              </w:rPr>
              <w:t>Topic m</w:t>
            </w:r>
            <w:r w:rsidRPr="00064F56">
              <w:rPr>
                <w:color w:val="000000" w:themeColor="text1"/>
                <w:lang w:val="en-US"/>
              </w:rPr>
              <w:t>edia attention</w:t>
            </w:r>
            <w:r>
              <w:rPr>
                <w:color w:val="000000" w:themeColor="text1"/>
                <w:lang w:val="en-US"/>
              </w:rPr>
              <w:t xml:space="preserve"> (</w:t>
            </w:r>
            <w:r w:rsidRPr="00064F56">
              <w:rPr>
                <w:i/>
                <w:color w:val="000000" w:themeColor="text1"/>
                <w:lang w:val="en-US"/>
              </w:rPr>
              <w:t>MEDIA</w:t>
            </w:r>
            <w:r>
              <w:rPr>
                <w:color w:val="000000" w:themeColor="text1"/>
                <w:lang w:val="en-US"/>
              </w:rPr>
              <w:t>)</w:t>
            </w:r>
          </w:p>
        </w:tc>
        <w:tc>
          <w:tcPr>
            <w:tcW w:w="3456" w:type="dxa"/>
            <w:tcBorders>
              <w:top w:val="nil"/>
              <w:left w:val="nil"/>
              <w:bottom w:val="nil"/>
              <w:right w:val="nil"/>
            </w:tcBorders>
          </w:tcPr>
          <w:p w14:paraId="1A1A15AB" w14:textId="0C5F57C8" w:rsidR="00C50911" w:rsidRPr="00064F56" w:rsidRDefault="00C50911" w:rsidP="008617AF">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026</w:t>
            </w:r>
            <w:r w:rsidR="00305CE2">
              <w:rPr>
                <w:color w:val="000000" w:themeColor="text1"/>
                <w:lang w:val="en-US"/>
              </w:rPr>
              <w:t>1</w:t>
            </w:r>
            <w:r w:rsidRPr="00064F56">
              <w:rPr>
                <w:color w:val="000000" w:themeColor="text1"/>
                <w:lang w:val="en-US"/>
              </w:rPr>
              <w:t>***</w:t>
            </w:r>
          </w:p>
        </w:tc>
      </w:tr>
      <w:tr w:rsidR="00C50911" w:rsidRPr="00FB6512" w14:paraId="65C2F366" w14:textId="77777777" w:rsidTr="008617AF">
        <w:trPr>
          <w:jc w:val="center"/>
        </w:trPr>
        <w:tc>
          <w:tcPr>
            <w:tcW w:w="6555" w:type="dxa"/>
            <w:tcBorders>
              <w:top w:val="nil"/>
              <w:left w:val="nil"/>
              <w:bottom w:val="nil"/>
              <w:right w:val="nil"/>
            </w:tcBorders>
          </w:tcPr>
          <w:p w14:paraId="14BEF35A"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7C8A6EA0" w14:textId="48B1FAAD"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w:t>
            </w:r>
            <w:r w:rsidR="00305CE2">
              <w:rPr>
                <w:color w:val="000000" w:themeColor="text1"/>
                <w:lang w:val="en-US"/>
              </w:rPr>
              <w:t>10</w:t>
            </w:r>
            <w:r w:rsidRPr="00064F56">
              <w:rPr>
                <w:color w:val="000000" w:themeColor="text1"/>
                <w:lang w:val="en-US"/>
              </w:rPr>
              <w:t>)</w:t>
            </w:r>
          </w:p>
        </w:tc>
      </w:tr>
      <w:tr w:rsidR="00C50911" w:rsidRPr="00FB6512" w14:paraId="2B32658F" w14:textId="77777777" w:rsidTr="008617AF">
        <w:trPr>
          <w:jc w:val="center"/>
        </w:trPr>
        <w:tc>
          <w:tcPr>
            <w:tcW w:w="6555" w:type="dxa"/>
            <w:tcBorders>
              <w:top w:val="nil"/>
              <w:left w:val="nil"/>
              <w:bottom w:val="nil"/>
              <w:right w:val="nil"/>
            </w:tcBorders>
          </w:tcPr>
          <w:p w14:paraId="030072E4"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 xml:space="preserve">Shareholder complaints </w:t>
            </w:r>
            <w:r>
              <w:rPr>
                <w:color w:val="000000" w:themeColor="text1"/>
                <w:lang w:val="en-US"/>
              </w:rPr>
              <w:t>(</w:t>
            </w:r>
            <w:r w:rsidRPr="006A4731">
              <w:rPr>
                <w:i/>
                <w:color w:val="000000" w:themeColor="text1"/>
                <w:lang w:val="en-US"/>
              </w:rPr>
              <w:t>SHC</w:t>
            </w:r>
            <w:r>
              <w:rPr>
                <w:color w:val="000000" w:themeColor="text1"/>
                <w:lang w:val="en-US"/>
              </w:rPr>
              <w:t xml:space="preserve">) </w:t>
            </w:r>
            <w:r w:rsidRPr="00064F56">
              <w:rPr>
                <w:color w:val="000000" w:themeColor="text1"/>
                <w:lang w:val="en-US"/>
              </w:rPr>
              <w:t>* Board of directors</w:t>
            </w:r>
          </w:p>
        </w:tc>
        <w:tc>
          <w:tcPr>
            <w:tcW w:w="3456" w:type="dxa"/>
            <w:tcBorders>
              <w:top w:val="nil"/>
              <w:left w:val="nil"/>
              <w:bottom w:val="nil"/>
              <w:right w:val="nil"/>
            </w:tcBorders>
          </w:tcPr>
          <w:p w14:paraId="43443858"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0422</w:t>
            </w:r>
          </w:p>
        </w:tc>
      </w:tr>
      <w:tr w:rsidR="00C50911" w:rsidRPr="00FB6512" w14:paraId="3F888337" w14:textId="77777777" w:rsidTr="008617AF">
        <w:trPr>
          <w:jc w:val="center"/>
        </w:trPr>
        <w:tc>
          <w:tcPr>
            <w:tcW w:w="6555" w:type="dxa"/>
            <w:tcBorders>
              <w:top w:val="nil"/>
              <w:left w:val="nil"/>
              <w:bottom w:val="nil"/>
              <w:right w:val="nil"/>
            </w:tcBorders>
          </w:tcPr>
          <w:p w14:paraId="476EE468"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043D523C"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073)</w:t>
            </w:r>
          </w:p>
        </w:tc>
      </w:tr>
      <w:tr w:rsidR="00C50911" w:rsidRPr="00FB6512" w14:paraId="74718988" w14:textId="77777777" w:rsidTr="008617AF">
        <w:trPr>
          <w:jc w:val="center"/>
        </w:trPr>
        <w:tc>
          <w:tcPr>
            <w:tcW w:w="6555" w:type="dxa"/>
            <w:tcBorders>
              <w:top w:val="nil"/>
              <w:left w:val="nil"/>
              <w:bottom w:val="nil"/>
              <w:right w:val="nil"/>
            </w:tcBorders>
          </w:tcPr>
          <w:p w14:paraId="731EB064"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 xml:space="preserve">Shareholder complaints </w:t>
            </w:r>
            <w:r>
              <w:rPr>
                <w:color w:val="000000" w:themeColor="text1"/>
                <w:lang w:val="en-US"/>
              </w:rPr>
              <w:t>(</w:t>
            </w:r>
            <w:r w:rsidRPr="006A4731">
              <w:rPr>
                <w:i/>
                <w:color w:val="000000" w:themeColor="text1"/>
                <w:lang w:val="en-US"/>
              </w:rPr>
              <w:t>SHC</w:t>
            </w:r>
            <w:r>
              <w:rPr>
                <w:color w:val="000000" w:themeColor="text1"/>
                <w:lang w:val="en-US"/>
              </w:rPr>
              <w:t xml:space="preserve">) </w:t>
            </w:r>
            <w:r w:rsidRPr="00064F56">
              <w:rPr>
                <w:color w:val="000000" w:themeColor="text1"/>
                <w:lang w:val="en-US"/>
              </w:rPr>
              <w:t>* Executive compensation</w:t>
            </w:r>
          </w:p>
        </w:tc>
        <w:tc>
          <w:tcPr>
            <w:tcW w:w="3456" w:type="dxa"/>
            <w:tcBorders>
              <w:top w:val="nil"/>
              <w:left w:val="nil"/>
              <w:bottom w:val="nil"/>
              <w:right w:val="nil"/>
            </w:tcBorders>
          </w:tcPr>
          <w:p w14:paraId="7B61DD3E"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0107</w:t>
            </w:r>
          </w:p>
        </w:tc>
      </w:tr>
      <w:tr w:rsidR="00C50911" w:rsidRPr="00FB6512" w14:paraId="7FDB1C6A" w14:textId="77777777" w:rsidTr="008617AF">
        <w:trPr>
          <w:jc w:val="center"/>
        </w:trPr>
        <w:tc>
          <w:tcPr>
            <w:tcW w:w="6555" w:type="dxa"/>
            <w:tcBorders>
              <w:top w:val="nil"/>
              <w:left w:val="nil"/>
              <w:bottom w:val="nil"/>
              <w:right w:val="nil"/>
            </w:tcBorders>
          </w:tcPr>
          <w:p w14:paraId="42B629E8"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61727ABA"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078)</w:t>
            </w:r>
          </w:p>
        </w:tc>
      </w:tr>
      <w:tr w:rsidR="00C50911" w:rsidRPr="00FB6512" w14:paraId="36977A8D" w14:textId="77777777" w:rsidTr="008617AF">
        <w:trPr>
          <w:jc w:val="center"/>
        </w:trPr>
        <w:tc>
          <w:tcPr>
            <w:tcW w:w="6555" w:type="dxa"/>
            <w:tcBorders>
              <w:top w:val="nil"/>
              <w:left w:val="nil"/>
              <w:bottom w:val="nil"/>
              <w:right w:val="nil"/>
            </w:tcBorders>
          </w:tcPr>
          <w:p w14:paraId="13DE0F76"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 xml:space="preserve">Shareholder complaints </w:t>
            </w:r>
            <w:r>
              <w:rPr>
                <w:color w:val="000000" w:themeColor="text1"/>
                <w:lang w:val="en-US"/>
              </w:rPr>
              <w:t>(</w:t>
            </w:r>
            <w:r w:rsidRPr="006A4731">
              <w:rPr>
                <w:i/>
                <w:color w:val="000000" w:themeColor="text1"/>
                <w:lang w:val="en-US"/>
              </w:rPr>
              <w:t>SHC</w:t>
            </w:r>
            <w:r>
              <w:rPr>
                <w:color w:val="000000" w:themeColor="text1"/>
                <w:lang w:val="en-US"/>
              </w:rPr>
              <w:t xml:space="preserve">) </w:t>
            </w:r>
            <w:r w:rsidRPr="00064F56">
              <w:rPr>
                <w:color w:val="000000" w:themeColor="text1"/>
                <w:lang w:val="en-US"/>
              </w:rPr>
              <w:t xml:space="preserve">* </w:t>
            </w:r>
            <w:r w:rsidRPr="00064F56">
              <w:rPr>
                <w:rFonts w:eastAsia="Calibri" w:hAnsi="Calibri"/>
                <w:color w:val="000000" w:themeColor="text1"/>
                <w:u w:color="000000"/>
                <w:lang w:val="en-US"/>
              </w:rPr>
              <w:t xml:space="preserve">Takeovers and other shareholder </w:t>
            </w:r>
          </w:p>
        </w:tc>
        <w:tc>
          <w:tcPr>
            <w:tcW w:w="3456" w:type="dxa"/>
            <w:tcBorders>
              <w:top w:val="nil"/>
              <w:left w:val="nil"/>
              <w:bottom w:val="nil"/>
              <w:right w:val="nil"/>
            </w:tcBorders>
          </w:tcPr>
          <w:p w14:paraId="4903EC92"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1357*</w:t>
            </w:r>
          </w:p>
        </w:tc>
      </w:tr>
      <w:tr w:rsidR="00C50911" w:rsidRPr="00FB6512" w14:paraId="6510B014" w14:textId="77777777" w:rsidTr="008617AF">
        <w:trPr>
          <w:jc w:val="center"/>
        </w:trPr>
        <w:tc>
          <w:tcPr>
            <w:tcW w:w="6555" w:type="dxa"/>
            <w:tcBorders>
              <w:top w:val="nil"/>
              <w:left w:val="nil"/>
              <w:bottom w:val="nil"/>
              <w:right w:val="nil"/>
            </w:tcBorders>
          </w:tcPr>
          <w:p w14:paraId="6C454112" w14:textId="77777777" w:rsidR="00C50911" w:rsidRPr="00064F56" w:rsidRDefault="00C50911" w:rsidP="008617AF">
            <w:pPr>
              <w:widowControl w:val="0"/>
              <w:autoSpaceDE w:val="0"/>
              <w:autoSpaceDN w:val="0"/>
              <w:adjustRightInd w:val="0"/>
              <w:rPr>
                <w:color w:val="000000" w:themeColor="text1"/>
                <w:lang w:val="en-US"/>
              </w:rPr>
            </w:pPr>
            <w:r w:rsidRPr="006A4731">
              <w:rPr>
                <w:rFonts w:eastAsia="Calibri" w:hAnsi="Calibri"/>
                <w:color w:val="000000" w:themeColor="text1"/>
                <w:u w:color="000000"/>
                <w:lang w:val="en-US"/>
              </w:rPr>
              <w:t>rights</w:t>
            </w:r>
          </w:p>
        </w:tc>
        <w:tc>
          <w:tcPr>
            <w:tcW w:w="3456" w:type="dxa"/>
            <w:tcBorders>
              <w:top w:val="nil"/>
              <w:left w:val="nil"/>
              <w:bottom w:val="nil"/>
              <w:right w:val="nil"/>
            </w:tcBorders>
          </w:tcPr>
          <w:p w14:paraId="37DE452D"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070)</w:t>
            </w:r>
          </w:p>
        </w:tc>
      </w:tr>
      <w:tr w:rsidR="00C50911" w:rsidRPr="00FB6512" w14:paraId="35AADC31" w14:textId="77777777" w:rsidTr="008617AF">
        <w:trPr>
          <w:jc w:val="center"/>
        </w:trPr>
        <w:tc>
          <w:tcPr>
            <w:tcW w:w="6555" w:type="dxa"/>
            <w:tcBorders>
              <w:top w:val="nil"/>
              <w:left w:val="nil"/>
              <w:bottom w:val="nil"/>
              <w:right w:val="nil"/>
            </w:tcBorders>
          </w:tcPr>
          <w:p w14:paraId="4C3FDC36"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 xml:space="preserve">Shareholder complaints </w:t>
            </w:r>
            <w:r>
              <w:rPr>
                <w:color w:val="000000" w:themeColor="text1"/>
                <w:lang w:val="en-US"/>
              </w:rPr>
              <w:t>(</w:t>
            </w:r>
            <w:r w:rsidRPr="006A4731">
              <w:rPr>
                <w:i/>
                <w:color w:val="000000" w:themeColor="text1"/>
                <w:lang w:val="en-US"/>
              </w:rPr>
              <w:t>SHC</w:t>
            </w:r>
            <w:r>
              <w:rPr>
                <w:color w:val="000000" w:themeColor="text1"/>
                <w:lang w:val="en-US"/>
              </w:rPr>
              <w:t xml:space="preserve">) </w:t>
            </w:r>
            <w:r w:rsidRPr="00064F56">
              <w:rPr>
                <w:color w:val="000000" w:themeColor="text1"/>
                <w:lang w:val="en-US"/>
              </w:rPr>
              <w:t>* Environment</w:t>
            </w:r>
          </w:p>
        </w:tc>
        <w:tc>
          <w:tcPr>
            <w:tcW w:w="3456" w:type="dxa"/>
            <w:tcBorders>
              <w:top w:val="nil"/>
              <w:left w:val="nil"/>
              <w:bottom w:val="nil"/>
              <w:right w:val="nil"/>
            </w:tcBorders>
          </w:tcPr>
          <w:p w14:paraId="48EFE181" w14:textId="77777777" w:rsidR="00C50911" w:rsidRPr="00064F56" w:rsidRDefault="00C50911" w:rsidP="008617AF">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0023</w:t>
            </w:r>
          </w:p>
        </w:tc>
      </w:tr>
      <w:tr w:rsidR="00C50911" w:rsidRPr="00FB6512" w14:paraId="754F9C4A" w14:textId="77777777" w:rsidTr="008617AF">
        <w:trPr>
          <w:jc w:val="center"/>
        </w:trPr>
        <w:tc>
          <w:tcPr>
            <w:tcW w:w="6555" w:type="dxa"/>
            <w:tcBorders>
              <w:top w:val="nil"/>
              <w:left w:val="nil"/>
              <w:bottom w:val="nil"/>
              <w:right w:val="nil"/>
            </w:tcBorders>
          </w:tcPr>
          <w:p w14:paraId="76CE24D4"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5D67E1D5"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005)</w:t>
            </w:r>
          </w:p>
        </w:tc>
      </w:tr>
      <w:tr w:rsidR="00C50911" w:rsidRPr="00FB6512" w14:paraId="2E614D00" w14:textId="77777777" w:rsidTr="008617AF">
        <w:trPr>
          <w:jc w:val="center"/>
        </w:trPr>
        <w:tc>
          <w:tcPr>
            <w:tcW w:w="6555" w:type="dxa"/>
            <w:tcBorders>
              <w:top w:val="nil"/>
              <w:left w:val="nil"/>
              <w:bottom w:val="nil"/>
              <w:right w:val="nil"/>
            </w:tcBorders>
          </w:tcPr>
          <w:p w14:paraId="0A2BC304"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 xml:space="preserve">Shareholder complaints </w:t>
            </w:r>
            <w:r>
              <w:rPr>
                <w:color w:val="000000" w:themeColor="text1"/>
                <w:lang w:val="en-US"/>
              </w:rPr>
              <w:t>(</w:t>
            </w:r>
            <w:r w:rsidRPr="006A4731">
              <w:rPr>
                <w:i/>
                <w:color w:val="000000" w:themeColor="text1"/>
                <w:lang w:val="en-US"/>
              </w:rPr>
              <w:t>SHC</w:t>
            </w:r>
            <w:r>
              <w:rPr>
                <w:color w:val="000000" w:themeColor="text1"/>
                <w:lang w:val="en-US"/>
              </w:rPr>
              <w:t xml:space="preserve">) </w:t>
            </w:r>
            <w:r w:rsidRPr="00064F56">
              <w:rPr>
                <w:color w:val="000000" w:themeColor="text1"/>
                <w:lang w:val="en-US"/>
              </w:rPr>
              <w:t xml:space="preserve">* Diversity </w:t>
            </w:r>
          </w:p>
        </w:tc>
        <w:tc>
          <w:tcPr>
            <w:tcW w:w="3456" w:type="dxa"/>
            <w:tcBorders>
              <w:top w:val="nil"/>
              <w:left w:val="nil"/>
              <w:bottom w:val="nil"/>
              <w:right w:val="nil"/>
            </w:tcBorders>
          </w:tcPr>
          <w:p w14:paraId="4BE514F1" w14:textId="77777777" w:rsidR="00C50911" w:rsidRPr="00064F56" w:rsidRDefault="00C50911" w:rsidP="008617AF">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0152</w:t>
            </w:r>
          </w:p>
        </w:tc>
      </w:tr>
      <w:tr w:rsidR="00C50911" w:rsidRPr="00FB6512" w14:paraId="5EF32434" w14:textId="77777777" w:rsidTr="008617AF">
        <w:trPr>
          <w:jc w:val="center"/>
        </w:trPr>
        <w:tc>
          <w:tcPr>
            <w:tcW w:w="6555" w:type="dxa"/>
            <w:tcBorders>
              <w:top w:val="nil"/>
              <w:left w:val="nil"/>
              <w:bottom w:val="nil"/>
              <w:right w:val="nil"/>
            </w:tcBorders>
          </w:tcPr>
          <w:p w14:paraId="65D3BE9B"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074436B3"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127)</w:t>
            </w:r>
          </w:p>
        </w:tc>
      </w:tr>
      <w:tr w:rsidR="00C50911" w:rsidRPr="00FB6512" w14:paraId="3A93794F" w14:textId="77777777" w:rsidTr="008617AF">
        <w:trPr>
          <w:jc w:val="center"/>
        </w:trPr>
        <w:tc>
          <w:tcPr>
            <w:tcW w:w="6555" w:type="dxa"/>
            <w:tcBorders>
              <w:top w:val="nil"/>
              <w:left w:val="nil"/>
              <w:bottom w:val="nil"/>
              <w:right w:val="nil"/>
            </w:tcBorders>
          </w:tcPr>
          <w:p w14:paraId="30C0BB0E"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 xml:space="preserve">Shareholder complaints </w:t>
            </w:r>
            <w:r>
              <w:rPr>
                <w:color w:val="000000" w:themeColor="text1"/>
                <w:lang w:val="en-US"/>
              </w:rPr>
              <w:t>(</w:t>
            </w:r>
            <w:r w:rsidRPr="006A4731">
              <w:rPr>
                <w:i/>
                <w:color w:val="000000" w:themeColor="text1"/>
                <w:lang w:val="en-US"/>
              </w:rPr>
              <w:t>SHC</w:t>
            </w:r>
            <w:r>
              <w:rPr>
                <w:color w:val="000000" w:themeColor="text1"/>
                <w:lang w:val="en-US"/>
              </w:rPr>
              <w:t xml:space="preserve">) </w:t>
            </w:r>
            <w:r w:rsidRPr="00064F56">
              <w:rPr>
                <w:color w:val="000000" w:themeColor="text1"/>
                <w:lang w:val="en-US"/>
              </w:rPr>
              <w:t>* Community</w:t>
            </w:r>
          </w:p>
        </w:tc>
        <w:tc>
          <w:tcPr>
            <w:tcW w:w="3456" w:type="dxa"/>
            <w:tcBorders>
              <w:top w:val="nil"/>
              <w:left w:val="nil"/>
              <w:bottom w:val="nil"/>
              <w:right w:val="nil"/>
            </w:tcBorders>
          </w:tcPr>
          <w:p w14:paraId="6CD4CB98" w14:textId="77777777" w:rsidR="00C50911" w:rsidRPr="00064F56" w:rsidRDefault="00C50911" w:rsidP="008617AF">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0645</w:t>
            </w:r>
          </w:p>
        </w:tc>
      </w:tr>
      <w:tr w:rsidR="00C50911" w:rsidRPr="00FB6512" w14:paraId="55EC6839" w14:textId="77777777" w:rsidTr="008617AF">
        <w:trPr>
          <w:jc w:val="center"/>
        </w:trPr>
        <w:tc>
          <w:tcPr>
            <w:tcW w:w="6555" w:type="dxa"/>
            <w:tcBorders>
              <w:top w:val="nil"/>
              <w:left w:val="nil"/>
              <w:bottom w:val="nil"/>
              <w:right w:val="nil"/>
            </w:tcBorders>
          </w:tcPr>
          <w:p w14:paraId="46A1A58A"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425870CE"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075)</w:t>
            </w:r>
          </w:p>
        </w:tc>
      </w:tr>
      <w:tr w:rsidR="00C50911" w:rsidRPr="00FB6512" w14:paraId="045F8DC4" w14:textId="77777777" w:rsidTr="008617AF">
        <w:trPr>
          <w:jc w:val="center"/>
        </w:trPr>
        <w:tc>
          <w:tcPr>
            <w:tcW w:w="6555" w:type="dxa"/>
            <w:tcBorders>
              <w:top w:val="nil"/>
              <w:left w:val="nil"/>
              <w:bottom w:val="nil"/>
              <w:right w:val="nil"/>
            </w:tcBorders>
          </w:tcPr>
          <w:p w14:paraId="6967474B"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 xml:space="preserve">Shareholder complaints </w:t>
            </w:r>
            <w:r>
              <w:rPr>
                <w:color w:val="000000" w:themeColor="text1"/>
                <w:lang w:val="en-US"/>
              </w:rPr>
              <w:t>(</w:t>
            </w:r>
            <w:r w:rsidRPr="006A4731">
              <w:rPr>
                <w:i/>
                <w:color w:val="000000" w:themeColor="text1"/>
                <w:lang w:val="en-US"/>
              </w:rPr>
              <w:t>SHC</w:t>
            </w:r>
            <w:r>
              <w:rPr>
                <w:color w:val="000000" w:themeColor="text1"/>
                <w:lang w:val="en-US"/>
              </w:rPr>
              <w:t xml:space="preserve">) </w:t>
            </w:r>
            <w:r w:rsidRPr="00064F56">
              <w:rPr>
                <w:color w:val="000000" w:themeColor="text1"/>
                <w:lang w:val="en-US"/>
              </w:rPr>
              <w:t>* Product</w:t>
            </w:r>
          </w:p>
        </w:tc>
        <w:tc>
          <w:tcPr>
            <w:tcW w:w="3456" w:type="dxa"/>
            <w:tcBorders>
              <w:top w:val="nil"/>
              <w:left w:val="nil"/>
              <w:bottom w:val="nil"/>
              <w:right w:val="nil"/>
            </w:tcBorders>
          </w:tcPr>
          <w:p w14:paraId="3A26FA5D" w14:textId="77777777" w:rsidR="00C50911" w:rsidRPr="00064F56" w:rsidRDefault="00C50911" w:rsidP="008617AF">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4793**</w:t>
            </w:r>
          </w:p>
        </w:tc>
      </w:tr>
      <w:tr w:rsidR="00C50911" w:rsidRPr="00FB6512" w14:paraId="005A5038" w14:textId="77777777" w:rsidTr="008617AF">
        <w:trPr>
          <w:jc w:val="center"/>
        </w:trPr>
        <w:tc>
          <w:tcPr>
            <w:tcW w:w="6555" w:type="dxa"/>
            <w:tcBorders>
              <w:top w:val="nil"/>
              <w:left w:val="nil"/>
              <w:bottom w:val="nil"/>
              <w:right w:val="nil"/>
            </w:tcBorders>
          </w:tcPr>
          <w:p w14:paraId="60CE52B8"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664857B9"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213)</w:t>
            </w:r>
          </w:p>
        </w:tc>
      </w:tr>
      <w:tr w:rsidR="00C50911" w:rsidRPr="00FB6512" w14:paraId="2FBC6CAF" w14:textId="77777777" w:rsidTr="008617AF">
        <w:trPr>
          <w:jc w:val="center"/>
        </w:trPr>
        <w:tc>
          <w:tcPr>
            <w:tcW w:w="6555" w:type="dxa"/>
            <w:tcBorders>
              <w:top w:val="nil"/>
              <w:left w:val="nil"/>
              <w:bottom w:val="nil"/>
              <w:right w:val="nil"/>
            </w:tcBorders>
          </w:tcPr>
          <w:p w14:paraId="23C41910"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 xml:space="preserve">Shareholder complaints </w:t>
            </w:r>
            <w:r>
              <w:rPr>
                <w:color w:val="000000" w:themeColor="text1"/>
                <w:lang w:val="en-US"/>
              </w:rPr>
              <w:t>(</w:t>
            </w:r>
            <w:r w:rsidRPr="006A4731">
              <w:rPr>
                <w:i/>
                <w:color w:val="000000" w:themeColor="text1"/>
                <w:lang w:val="en-US"/>
              </w:rPr>
              <w:t>SHC</w:t>
            </w:r>
            <w:r>
              <w:rPr>
                <w:color w:val="000000" w:themeColor="text1"/>
                <w:lang w:val="en-US"/>
              </w:rPr>
              <w:t xml:space="preserve">) </w:t>
            </w:r>
            <w:r w:rsidRPr="00064F56">
              <w:rPr>
                <w:color w:val="000000" w:themeColor="text1"/>
                <w:lang w:val="en-US"/>
              </w:rPr>
              <w:t>* Human rights</w:t>
            </w:r>
          </w:p>
        </w:tc>
        <w:tc>
          <w:tcPr>
            <w:tcW w:w="3456" w:type="dxa"/>
            <w:tcBorders>
              <w:top w:val="nil"/>
              <w:left w:val="nil"/>
              <w:bottom w:val="nil"/>
              <w:right w:val="nil"/>
            </w:tcBorders>
          </w:tcPr>
          <w:p w14:paraId="35022E71"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0525</w:t>
            </w:r>
          </w:p>
        </w:tc>
      </w:tr>
      <w:tr w:rsidR="00C50911" w:rsidRPr="00FB6512" w14:paraId="2C79B4C8" w14:textId="77777777" w:rsidTr="008617AF">
        <w:trPr>
          <w:jc w:val="center"/>
        </w:trPr>
        <w:tc>
          <w:tcPr>
            <w:tcW w:w="6555" w:type="dxa"/>
            <w:tcBorders>
              <w:top w:val="nil"/>
              <w:left w:val="nil"/>
              <w:bottom w:val="nil"/>
              <w:right w:val="nil"/>
            </w:tcBorders>
          </w:tcPr>
          <w:p w14:paraId="6AA241ED"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6DC7FE75"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160)</w:t>
            </w:r>
          </w:p>
        </w:tc>
      </w:tr>
      <w:tr w:rsidR="00C50911" w:rsidRPr="00FB6512" w14:paraId="325CB0DF" w14:textId="77777777" w:rsidTr="008617AF">
        <w:trPr>
          <w:jc w:val="center"/>
        </w:trPr>
        <w:tc>
          <w:tcPr>
            <w:tcW w:w="6555" w:type="dxa"/>
            <w:tcBorders>
              <w:top w:val="nil"/>
              <w:left w:val="nil"/>
              <w:bottom w:val="nil"/>
              <w:right w:val="nil"/>
            </w:tcBorders>
          </w:tcPr>
          <w:p w14:paraId="5419343F"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 xml:space="preserve">Shareholder complaints </w:t>
            </w:r>
            <w:r>
              <w:rPr>
                <w:color w:val="000000" w:themeColor="text1"/>
                <w:lang w:val="en-US"/>
              </w:rPr>
              <w:t>(</w:t>
            </w:r>
            <w:r w:rsidRPr="006A4731">
              <w:rPr>
                <w:i/>
                <w:color w:val="000000" w:themeColor="text1"/>
                <w:lang w:val="en-US"/>
              </w:rPr>
              <w:t>SHC</w:t>
            </w:r>
            <w:r>
              <w:rPr>
                <w:color w:val="000000" w:themeColor="text1"/>
                <w:lang w:val="en-US"/>
              </w:rPr>
              <w:t xml:space="preserve">) </w:t>
            </w:r>
            <w:r w:rsidRPr="00064F56">
              <w:rPr>
                <w:color w:val="000000" w:themeColor="text1"/>
                <w:lang w:val="en-US"/>
              </w:rPr>
              <w:t>* Vices</w:t>
            </w:r>
          </w:p>
        </w:tc>
        <w:tc>
          <w:tcPr>
            <w:tcW w:w="3456" w:type="dxa"/>
            <w:tcBorders>
              <w:top w:val="nil"/>
              <w:left w:val="nil"/>
              <w:bottom w:val="nil"/>
              <w:right w:val="nil"/>
            </w:tcBorders>
          </w:tcPr>
          <w:p w14:paraId="65F63BB0"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0035</w:t>
            </w:r>
          </w:p>
        </w:tc>
      </w:tr>
      <w:tr w:rsidR="00C50911" w:rsidRPr="00FB6512" w14:paraId="0A0ED564" w14:textId="77777777" w:rsidTr="008617AF">
        <w:trPr>
          <w:jc w:val="center"/>
        </w:trPr>
        <w:tc>
          <w:tcPr>
            <w:tcW w:w="6555" w:type="dxa"/>
            <w:tcBorders>
              <w:top w:val="nil"/>
              <w:left w:val="nil"/>
              <w:bottom w:val="nil"/>
              <w:right w:val="nil"/>
            </w:tcBorders>
          </w:tcPr>
          <w:p w14:paraId="28FA1E00"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1E5DA850"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006)</w:t>
            </w:r>
          </w:p>
        </w:tc>
      </w:tr>
      <w:tr w:rsidR="00C50911" w:rsidRPr="00FB6512" w14:paraId="10254483" w14:textId="77777777" w:rsidTr="008617AF">
        <w:trPr>
          <w:jc w:val="center"/>
        </w:trPr>
        <w:tc>
          <w:tcPr>
            <w:tcW w:w="6555" w:type="dxa"/>
            <w:tcBorders>
              <w:top w:val="nil"/>
              <w:left w:val="nil"/>
              <w:bottom w:val="nil"/>
              <w:right w:val="nil"/>
            </w:tcBorders>
          </w:tcPr>
          <w:p w14:paraId="761D0603"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Shareholder complaint institutional submitter</w:t>
            </w:r>
            <w:r>
              <w:rPr>
                <w:color w:val="000000" w:themeColor="text1"/>
                <w:lang w:val="en-US"/>
              </w:rPr>
              <w:t xml:space="preserve"> (</w:t>
            </w:r>
            <w:r w:rsidRPr="006A4731">
              <w:rPr>
                <w:i/>
                <w:color w:val="000000" w:themeColor="text1"/>
                <w:lang w:val="en-US"/>
              </w:rPr>
              <w:t>INST</w:t>
            </w:r>
            <w:r>
              <w:rPr>
                <w:color w:val="000000" w:themeColor="text1"/>
                <w:lang w:val="en-US"/>
              </w:rPr>
              <w:t>)</w:t>
            </w:r>
          </w:p>
        </w:tc>
        <w:tc>
          <w:tcPr>
            <w:tcW w:w="3456" w:type="dxa"/>
            <w:tcBorders>
              <w:top w:val="nil"/>
              <w:left w:val="nil"/>
              <w:bottom w:val="nil"/>
              <w:right w:val="nil"/>
            </w:tcBorders>
          </w:tcPr>
          <w:p w14:paraId="527C9321" w14:textId="77777777" w:rsidR="00C50911" w:rsidRPr="00064F56" w:rsidRDefault="00C50911" w:rsidP="008617AF">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0196</w:t>
            </w:r>
          </w:p>
        </w:tc>
      </w:tr>
      <w:tr w:rsidR="00C50911" w:rsidRPr="00FB6512" w14:paraId="15B2C999" w14:textId="77777777" w:rsidTr="008617AF">
        <w:trPr>
          <w:jc w:val="center"/>
        </w:trPr>
        <w:tc>
          <w:tcPr>
            <w:tcW w:w="6555" w:type="dxa"/>
            <w:tcBorders>
              <w:top w:val="nil"/>
              <w:left w:val="nil"/>
              <w:bottom w:val="nil"/>
              <w:right w:val="nil"/>
            </w:tcBorders>
          </w:tcPr>
          <w:p w14:paraId="00C2222C"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32A59786"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092)</w:t>
            </w:r>
          </w:p>
        </w:tc>
      </w:tr>
      <w:tr w:rsidR="00C50911" w:rsidRPr="00FB6512" w14:paraId="673EE19E" w14:textId="77777777" w:rsidTr="008617AF">
        <w:trPr>
          <w:jc w:val="center"/>
        </w:trPr>
        <w:tc>
          <w:tcPr>
            <w:tcW w:w="6555" w:type="dxa"/>
            <w:tcBorders>
              <w:top w:val="nil"/>
              <w:left w:val="nil"/>
              <w:bottom w:val="nil"/>
              <w:right w:val="nil"/>
            </w:tcBorders>
          </w:tcPr>
          <w:p w14:paraId="06ECB05D" w14:textId="661E05B8"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Shareholder complaint</w:t>
            </w:r>
            <w:r w:rsidR="00A065FF">
              <w:rPr>
                <w:color w:val="000000" w:themeColor="text1"/>
                <w:lang w:val="en-US"/>
              </w:rPr>
              <w:t xml:space="preserve"> topic</w:t>
            </w:r>
            <w:r w:rsidRPr="00064F56">
              <w:rPr>
                <w:color w:val="000000" w:themeColor="text1"/>
                <w:lang w:val="en-US"/>
              </w:rPr>
              <w:t xml:space="preserve"> media attention</w:t>
            </w:r>
            <w:r>
              <w:rPr>
                <w:color w:val="000000" w:themeColor="text1"/>
                <w:lang w:val="en-US"/>
              </w:rPr>
              <w:t xml:space="preserve"> (</w:t>
            </w:r>
            <w:r w:rsidRPr="00064F56">
              <w:rPr>
                <w:i/>
                <w:color w:val="000000" w:themeColor="text1"/>
                <w:lang w:val="en-US"/>
              </w:rPr>
              <w:t>MEDIA</w:t>
            </w:r>
            <w:r>
              <w:rPr>
                <w:color w:val="000000" w:themeColor="text1"/>
                <w:lang w:val="en-US"/>
              </w:rPr>
              <w:t>)</w:t>
            </w:r>
          </w:p>
        </w:tc>
        <w:tc>
          <w:tcPr>
            <w:tcW w:w="3456" w:type="dxa"/>
            <w:tcBorders>
              <w:top w:val="nil"/>
              <w:left w:val="nil"/>
              <w:bottom w:val="nil"/>
              <w:right w:val="nil"/>
            </w:tcBorders>
          </w:tcPr>
          <w:p w14:paraId="41369D57" w14:textId="15546A19"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045</w:t>
            </w:r>
            <w:r w:rsidR="00305CE2">
              <w:rPr>
                <w:color w:val="000000" w:themeColor="text1"/>
                <w:lang w:val="en-US"/>
              </w:rPr>
              <w:t>2</w:t>
            </w:r>
            <w:r w:rsidRPr="00064F56">
              <w:rPr>
                <w:color w:val="000000" w:themeColor="text1"/>
                <w:lang w:val="en-US"/>
              </w:rPr>
              <w:t>***</w:t>
            </w:r>
          </w:p>
        </w:tc>
      </w:tr>
      <w:tr w:rsidR="00C50911" w:rsidRPr="00FB6512" w14:paraId="57A6D98C" w14:textId="77777777" w:rsidTr="008617AF">
        <w:trPr>
          <w:jc w:val="center"/>
        </w:trPr>
        <w:tc>
          <w:tcPr>
            <w:tcW w:w="6555" w:type="dxa"/>
            <w:tcBorders>
              <w:top w:val="nil"/>
              <w:left w:val="nil"/>
              <w:bottom w:val="nil"/>
              <w:right w:val="nil"/>
            </w:tcBorders>
          </w:tcPr>
          <w:p w14:paraId="726245CF"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3F1D071E"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000)</w:t>
            </w:r>
          </w:p>
        </w:tc>
      </w:tr>
      <w:tr w:rsidR="00D413E8" w:rsidRPr="00FB6512" w14:paraId="318CB82A" w14:textId="77777777" w:rsidTr="00064F56">
        <w:trPr>
          <w:jc w:val="center"/>
        </w:trPr>
        <w:tc>
          <w:tcPr>
            <w:tcW w:w="6555" w:type="dxa"/>
            <w:tcBorders>
              <w:top w:val="nil"/>
              <w:left w:val="nil"/>
              <w:bottom w:val="nil"/>
              <w:right w:val="nil"/>
            </w:tcBorders>
          </w:tcPr>
          <w:p w14:paraId="275BABBB" w14:textId="77777777" w:rsidR="00D413E8" w:rsidRPr="00064F56" w:rsidRDefault="00D413E8" w:rsidP="00064F56">
            <w:pPr>
              <w:widowControl w:val="0"/>
              <w:autoSpaceDE w:val="0"/>
              <w:autoSpaceDN w:val="0"/>
              <w:adjustRightInd w:val="0"/>
              <w:rPr>
                <w:color w:val="000000" w:themeColor="text1"/>
                <w:lang w:val="en-US"/>
              </w:rPr>
            </w:pPr>
            <w:r w:rsidRPr="00064F56">
              <w:rPr>
                <w:color w:val="000000" w:themeColor="text1"/>
                <w:lang w:val="en-US"/>
              </w:rPr>
              <w:t>Shareholder complaints excluded</w:t>
            </w:r>
          </w:p>
        </w:tc>
        <w:tc>
          <w:tcPr>
            <w:tcW w:w="3456" w:type="dxa"/>
            <w:tcBorders>
              <w:top w:val="nil"/>
              <w:left w:val="nil"/>
              <w:bottom w:val="nil"/>
              <w:right w:val="nil"/>
            </w:tcBorders>
          </w:tcPr>
          <w:p w14:paraId="02D7F2DD" w14:textId="77777777" w:rsidR="00D413E8" w:rsidRPr="00064F56" w:rsidRDefault="00D413E8" w:rsidP="00064F56">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0370**</w:t>
            </w:r>
          </w:p>
        </w:tc>
      </w:tr>
      <w:tr w:rsidR="00D413E8" w:rsidRPr="00FB6512" w14:paraId="0B79ACFA" w14:textId="77777777" w:rsidTr="00064F56">
        <w:trPr>
          <w:jc w:val="center"/>
        </w:trPr>
        <w:tc>
          <w:tcPr>
            <w:tcW w:w="6555" w:type="dxa"/>
            <w:tcBorders>
              <w:top w:val="nil"/>
              <w:left w:val="nil"/>
              <w:bottom w:val="nil"/>
              <w:right w:val="nil"/>
            </w:tcBorders>
          </w:tcPr>
          <w:p w14:paraId="7E81FFB8" w14:textId="77777777" w:rsidR="00D413E8" w:rsidRPr="00064F56" w:rsidRDefault="00D413E8" w:rsidP="00064F56">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5C3C2C3B" w14:textId="77777777" w:rsidR="00D413E8" w:rsidRPr="00064F56" w:rsidRDefault="00D413E8" w:rsidP="00064F56">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018)</w:t>
            </w:r>
          </w:p>
        </w:tc>
      </w:tr>
      <w:tr w:rsidR="00D413E8" w:rsidRPr="00FB6512" w14:paraId="2A6D0D28" w14:textId="77777777" w:rsidTr="00064F56">
        <w:trPr>
          <w:jc w:val="center"/>
        </w:trPr>
        <w:tc>
          <w:tcPr>
            <w:tcW w:w="6555" w:type="dxa"/>
            <w:tcBorders>
              <w:top w:val="nil"/>
              <w:left w:val="nil"/>
              <w:bottom w:val="nil"/>
              <w:right w:val="nil"/>
            </w:tcBorders>
          </w:tcPr>
          <w:p w14:paraId="55EDA89E" w14:textId="77777777" w:rsidR="00D413E8" w:rsidRPr="00064F56" w:rsidRDefault="00D413E8" w:rsidP="00064F56">
            <w:pPr>
              <w:widowControl w:val="0"/>
              <w:autoSpaceDE w:val="0"/>
              <w:autoSpaceDN w:val="0"/>
              <w:adjustRightInd w:val="0"/>
              <w:rPr>
                <w:color w:val="000000" w:themeColor="text1"/>
                <w:lang w:val="en-US"/>
              </w:rPr>
            </w:pPr>
            <w:r w:rsidRPr="00064F56">
              <w:rPr>
                <w:color w:val="000000" w:themeColor="text1"/>
                <w:lang w:val="en-US"/>
              </w:rPr>
              <w:t>Shareholder complaint voting support</w:t>
            </w:r>
          </w:p>
        </w:tc>
        <w:tc>
          <w:tcPr>
            <w:tcW w:w="3456" w:type="dxa"/>
            <w:tcBorders>
              <w:top w:val="nil"/>
              <w:left w:val="nil"/>
              <w:bottom w:val="nil"/>
              <w:right w:val="nil"/>
            </w:tcBorders>
          </w:tcPr>
          <w:p w14:paraId="196A9F46" w14:textId="77777777" w:rsidR="00D413E8" w:rsidRPr="00064F56" w:rsidRDefault="00D413E8" w:rsidP="00064F56">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0025</w:t>
            </w:r>
          </w:p>
        </w:tc>
      </w:tr>
      <w:tr w:rsidR="00D413E8" w:rsidRPr="00FB6512" w14:paraId="0888D378" w14:textId="77777777" w:rsidTr="00064F56">
        <w:trPr>
          <w:jc w:val="center"/>
        </w:trPr>
        <w:tc>
          <w:tcPr>
            <w:tcW w:w="6555" w:type="dxa"/>
            <w:tcBorders>
              <w:top w:val="nil"/>
              <w:left w:val="nil"/>
              <w:bottom w:val="nil"/>
              <w:right w:val="nil"/>
            </w:tcBorders>
          </w:tcPr>
          <w:p w14:paraId="349E915F" w14:textId="77777777" w:rsidR="00D413E8" w:rsidRPr="00064F56" w:rsidRDefault="00D413E8" w:rsidP="00064F56">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423BBB2F" w14:textId="77777777" w:rsidR="00D413E8" w:rsidRPr="00064F56" w:rsidRDefault="00D413E8" w:rsidP="00064F56">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014)</w:t>
            </w:r>
          </w:p>
        </w:tc>
      </w:tr>
      <w:tr w:rsidR="00C50911" w:rsidRPr="00FB6512" w14:paraId="3E97BAB7" w14:textId="77777777" w:rsidTr="008617AF">
        <w:trPr>
          <w:jc w:val="center"/>
        </w:trPr>
        <w:tc>
          <w:tcPr>
            <w:tcW w:w="6555" w:type="dxa"/>
            <w:tcBorders>
              <w:top w:val="nil"/>
              <w:left w:val="nil"/>
              <w:bottom w:val="nil"/>
              <w:right w:val="nil"/>
            </w:tcBorders>
          </w:tcPr>
          <w:p w14:paraId="36F4ACEC"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Board of directors</w:t>
            </w:r>
          </w:p>
        </w:tc>
        <w:tc>
          <w:tcPr>
            <w:tcW w:w="3456" w:type="dxa"/>
            <w:tcBorders>
              <w:top w:val="nil"/>
              <w:left w:val="nil"/>
              <w:bottom w:val="nil"/>
              <w:right w:val="nil"/>
            </w:tcBorders>
          </w:tcPr>
          <w:p w14:paraId="639AA423"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1921***</w:t>
            </w:r>
          </w:p>
        </w:tc>
      </w:tr>
      <w:tr w:rsidR="00C50911" w:rsidRPr="00FB6512" w14:paraId="5E53C0B2" w14:textId="77777777" w:rsidTr="008617AF">
        <w:trPr>
          <w:jc w:val="center"/>
        </w:trPr>
        <w:tc>
          <w:tcPr>
            <w:tcW w:w="6555" w:type="dxa"/>
            <w:tcBorders>
              <w:top w:val="nil"/>
              <w:left w:val="nil"/>
              <w:bottom w:val="nil"/>
              <w:right w:val="nil"/>
            </w:tcBorders>
          </w:tcPr>
          <w:p w14:paraId="5DE2DCD0"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633E0BB3"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066)</w:t>
            </w:r>
          </w:p>
        </w:tc>
      </w:tr>
      <w:tr w:rsidR="00C50911" w:rsidRPr="00FB6512" w14:paraId="30EE1F4E" w14:textId="77777777" w:rsidTr="008617AF">
        <w:trPr>
          <w:jc w:val="center"/>
        </w:trPr>
        <w:tc>
          <w:tcPr>
            <w:tcW w:w="6555" w:type="dxa"/>
            <w:tcBorders>
              <w:top w:val="nil"/>
              <w:left w:val="nil"/>
              <w:bottom w:val="nil"/>
              <w:right w:val="nil"/>
            </w:tcBorders>
          </w:tcPr>
          <w:p w14:paraId="4E14515E"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Executive compensation</w:t>
            </w:r>
          </w:p>
        </w:tc>
        <w:tc>
          <w:tcPr>
            <w:tcW w:w="3456" w:type="dxa"/>
            <w:tcBorders>
              <w:top w:val="nil"/>
              <w:left w:val="nil"/>
              <w:bottom w:val="nil"/>
              <w:right w:val="nil"/>
            </w:tcBorders>
          </w:tcPr>
          <w:p w14:paraId="7C8261C8" w14:textId="77777777" w:rsidR="00C50911" w:rsidRPr="00064F56" w:rsidRDefault="00C50911" w:rsidP="008617AF">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0499</w:t>
            </w:r>
          </w:p>
        </w:tc>
      </w:tr>
      <w:tr w:rsidR="00C50911" w:rsidRPr="00FB6512" w14:paraId="150EAFA6" w14:textId="77777777" w:rsidTr="008617AF">
        <w:trPr>
          <w:jc w:val="center"/>
        </w:trPr>
        <w:tc>
          <w:tcPr>
            <w:tcW w:w="6555" w:type="dxa"/>
            <w:tcBorders>
              <w:top w:val="nil"/>
              <w:left w:val="nil"/>
              <w:bottom w:val="nil"/>
              <w:right w:val="nil"/>
            </w:tcBorders>
          </w:tcPr>
          <w:p w14:paraId="3A33D1AC"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70FF8142"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073)</w:t>
            </w:r>
          </w:p>
        </w:tc>
      </w:tr>
      <w:tr w:rsidR="00C50911" w:rsidRPr="00FB6512" w14:paraId="11D20BF2" w14:textId="77777777" w:rsidTr="008617AF">
        <w:trPr>
          <w:jc w:val="center"/>
        </w:trPr>
        <w:tc>
          <w:tcPr>
            <w:tcW w:w="6555" w:type="dxa"/>
            <w:tcBorders>
              <w:top w:val="nil"/>
              <w:left w:val="nil"/>
              <w:bottom w:val="nil"/>
              <w:right w:val="nil"/>
            </w:tcBorders>
          </w:tcPr>
          <w:p w14:paraId="6F7531B8" w14:textId="77777777" w:rsidR="00C50911" w:rsidRPr="00064F56" w:rsidRDefault="00C50911" w:rsidP="008617AF">
            <w:pPr>
              <w:widowControl w:val="0"/>
              <w:autoSpaceDE w:val="0"/>
              <w:autoSpaceDN w:val="0"/>
              <w:adjustRightInd w:val="0"/>
              <w:rPr>
                <w:color w:val="000000" w:themeColor="text1"/>
                <w:lang w:val="en-US"/>
              </w:rPr>
            </w:pPr>
            <w:r w:rsidRPr="00064F56">
              <w:rPr>
                <w:rFonts w:eastAsia="Calibri" w:hAnsi="Calibri"/>
                <w:color w:val="000000" w:themeColor="text1"/>
                <w:u w:color="000000"/>
                <w:lang w:val="en-US"/>
              </w:rPr>
              <w:t>Takeovers and other shareholder rights</w:t>
            </w:r>
          </w:p>
        </w:tc>
        <w:tc>
          <w:tcPr>
            <w:tcW w:w="3456" w:type="dxa"/>
            <w:tcBorders>
              <w:top w:val="nil"/>
              <w:left w:val="nil"/>
              <w:bottom w:val="nil"/>
              <w:right w:val="nil"/>
            </w:tcBorders>
          </w:tcPr>
          <w:p w14:paraId="7E014571" w14:textId="77777777" w:rsidR="00C50911" w:rsidRPr="00064F56" w:rsidRDefault="00C50911" w:rsidP="008617AF">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0088</w:t>
            </w:r>
          </w:p>
        </w:tc>
      </w:tr>
      <w:tr w:rsidR="00C50911" w:rsidRPr="00FB6512" w14:paraId="71D44E64" w14:textId="77777777" w:rsidTr="008617AF">
        <w:trPr>
          <w:jc w:val="center"/>
        </w:trPr>
        <w:tc>
          <w:tcPr>
            <w:tcW w:w="6555" w:type="dxa"/>
            <w:tcBorders>
              <w:top w:val="nil"/>
              <w:left w:val="nil"/>
              <w:bottom w:val="nil"/>
              <w:right w:val="nil"/>
            </w:tcBorders>
          </w:tcPr>
          <w:p w14:paraId="4220FB2F"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065123BA"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065)</w:t>
            </w:r>
          </w:p>
        </w:tc>
      </w:tr>
      <w:tr w:rsidR="00C50911" w:rsidRPr="00FB6512" w14:paraId="405A39AC" w14:textId="77777777" w:rsidTr="008617AF">
        <w:trPr>
          <w:jc w:val="center"/>
        </w:trPr>
        <w:tc>
          <w:tcPr>
            <w:tcW w:w="6555" w:type="dxa"/>
            <w:tcBorders>
              <w:top w:val="nil"/>
              <w:left w:val="nil"/>
              <w:bottom w:val="nil"/>
              <w:right w:val="nil"/>
            </w:tcBorders>
          </w:tcPr>
          <w:p w14:paraId="78D03887"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Environment</w:t>
            </w:r>
          </w:p>
        </w:tc>
        <w:tc>
          <w:tcPr>
            <w:tcW w:w="3456" w:type="dxa"/>
            <w:tcBorders>
              <w:top w:val="nil"/>
              <w:left w:val="nil"/>
              <w:bottom w:val="nil"/>
              <w:right w:val="nil"/>
            </w:tcBorders>
          </w:tcPr>
          <w:p w14:paraId="671589F4"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0052</w:t>
            </w:r>
          </w:p>
        </w:tc>
      </w:tr>
      <w:tr w:rsidR="00C50911" w:rsidRPr="00FB6512" w14:paraId="33F3DC94" w14:textId="77777777" w:rsidTr="008617AF">
        <w:trPr>
          <w:jc w:val="center"/>
        </w:trPr>
        <w:tc>
          <w:tcPr>
            <w:tcW w:w="6555" w:type="dxa"/>
            <w:tcBorders>
              <w:top w:val="nil"/>
              <w:left w:val="nil"/>
              <w:bottom w:val="nil"/>
              <w:right w:val="nil"/>
            </w:tcBorders>
          </w:tcPr>
          <w:p w14:paraId="606341C4"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5ADEE494"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005)</w:t>
            </w:r>
          </w:p>
        </w:tc>
      </w:tr>
      <w:tr w:rsidR="00C50911" w:rsidRPr="00FB6512" w14:paraId="4D22B043" w14:textId="77777777" w:rsidTr="008617AF">
        <w:trPr>
          <w:jc w:val="center"/>
        </w:trPr>
        <w:tc>
          <w:tcPr>
            <w:tcW w:w="6555" w:type="dxa"/>
            <w:tcBorders>
              <w:top w:val="nil"/>
              <w:left w:val="nil"/>
              <w:bottom w:val="nil"/>
              <w:right w:val="nil"/>
            </w:tcBorders>
          </w:tcPr>
          <w:p w14:paraId="2D61F94D"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 xml:space="preserve">Diversity </w:t>
            </w:r>
          </w:p>
        </w:tc>
        <w:tc>
          <w:tcPr>
            <w:tcW w:w="3456" w:type="dxa"/>
            <w:tcBorders>
              <w:top w:val="nil"/>
              <w:left w:val="nil"/>
              <w:bottom w:val="nil"/>
              <w:right w:val="nil"/>
            </w:tcBorders>
          </w:tcPr>
          <w:p w14:paraId="22A5C927"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0213</w:t>
            </w:r>
          </w:p>
        </w:tc>
      </w:tr>
      <w:tr w:rsidR="00C50911" w:rsidRPr="00FB6512" w14:paraId="3CA62C64" w14:textId="77777777" w:rsidTr="008617AF">
        <w:trPr>
          <w:jc w:val="center"/>
        </w:trPr>
        <w:tc>
          <w:tcPr>
            <w:tcW w:w="6555" w:type="dxa"/>
            <w:tcBorders>
              <w:top w:val="nil"/>
              <w:left w:val="nil"/>
              <w:bottom w:val="nil"/>
              <w:right w:val="nil"/>
            </w:tcBorders>
          </w:tcPr>
          <w:p w14:paraId="46D0E50A"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56EF7D49"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116)</w:t>
            </w:r>
          </w:p>
        </w:tc>
      </w:tr>
      <w:tr w:rsidR="00C50911" w:rsidRPr="00FB6512" w14:paraId="4FA6F98A" w14:textId="77777777" w:rsidTr="008617AF">
        <w:trPr>
          <w:jc w:val="center"/>
        </w:trPr>
        <w:tc>
          <w:tcPr>
            <w:tcW w:w="6555" w:type="dxa"/>
            <w:tcBorders>
              <w:top w:val="nil"/>
              <w:left w:val="nil"/>
              <w:bottom w:val="nil"/>
              <w:right w:val="nil"/>
            </w:tcBorders>
          </w:tcPr>
          <w:p w14:paraId="4E01CE1F"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Community</w:t>
            </w:r>
          </w:p>
        </w:tc>
        <w:tc>
          <w:tcPr>
            <w:tcW w:w="3456" w:type="dxa"/>
            <w:tcBorders>
              <w:top w:val="nil"/>
              <w:left w:val="nil"/>
              <w:bottom w:val="nil"/>
              <w:right w:val="nil"/>
            </w:tcBorders>
          </w:tcPr>
          <w:p w14:paraId="364D5447"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0849</w:t>
            </w:r>
          </w:p>
        </w:tc>
      </w:tr>
      <w:tr w:rsidR="00C50911" w:rsidRPr="00FB6512" w14:paraId="6A0AFDDD" w14:textId="77777777" w:rsidTr="008617AF">
        <w:trPr>
          <w:jc w:val="center"/>
        </w:trPr>
        <w:tc>
          <w:tcPr>
            <w:tcW w:w="6555" w:type="dxa"/>
            <w:tcBorders>
              <w:top w:val="nil"/>
              <w:left w:val="nil"/>
              <w:bottom w:val="nil"/>
              <w:right w:val="nil"/>
            </w:tcBorders>
          </w:tcPr>
          <w:p w14:paraId="53C0037D"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0852C2E2"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076)</w:t>
            </w:r>
          </w:p>
        </w:tc>
      </w:tr>
      <w:tr w:rsidR="00C50911" w:rsidRPr="00FB6512" w14:paraId="28DEC063" w14:textId="77777777" w:rsidTr="008617AF">
        <w:trPr>
          <w:jc w:val="center"/>
        </w:trPr>
        <w:tc>
          <w:tcPr>
            <w:tcW w:w="6555" w:type="dxa"/>
            <w:tcBorders>
              <w:top w:val="nil"/>
              <w:left w:val="nil"/>
              <w:bottom w:val="nil"/>
              <w:right w:val="nil"/>
            </w:tcBorders>
          </w:tcPr>
          <w:p w14:paraId="42B9F61B"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Product</w:t>
            </w:r>
          </w:p>
        </w:tc>
        <w:tc>
          <w:tcPr>
            <w:tcW w:w="3456" w:type="dxa"/>
            <w:tcBorders>
              <w:top w:val="nil"/>
              <w:left w:val="nil"/>
              <w:bottom w:val="nil"/>
              <w:right w:val="nil"/>
            </w:tcBorders>
          </w:tcPr>
          <w:p w14:paraId="73233615" w14:textId="77777777" w:rsidR="00C50911" w:rsidRPr="00064F56" w:rsidRDefault="00C50911" w:rsidP="008617AF">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0070</w:t>
            </w:r>
          </w:p>
        </w:tc>
      </w:tr>
      <w:tr w:rsidR="00C50911" w:rsidRPr="00FB6512" w14:paraId="66A47752" w14:textId="77777777" w:rsidTr="008617AF">
        <w:trPr>
          <w:jc w:val="center"/>
        </w:trPr>
        <w:tc>
          <w:tcPr>
            <w:tcW w:w="6555" w:type="dxa"/>
            <w:tcBorders>
              <w:top w:val="nil"/>
              <w:left w:val="nil"/>
              <w:bottom w:val="nil"/>
              <w:right w:val="nil"/>
            </w:tcBorders>
          </w:tcPr>
          <w:p w14:paraId="04875A14"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57976903"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008)</w:t>
            </w:r>
          </w:p>
        </w:tc>
      </w:tr>
      <w:tr w:rsidR="00C50911" w:rsidRPr="00FB6512" w14:paraId="4D05F3D9" w14:textId="77777777" w:rsidTr="008617AF">
        <w:trPr>
          <w:jc w:val="center"/>
        </w:trPr>
        <w:tc>
          <w:tcPr>
            <w:tcW w:w="6555" w:type="dxa"/>
            <w:tcBorders>
              <w:top w:val="nil"/>
              <w:left w:val="nil"/>
              <w:bottom w:val="nil"/>
              <w:right w:val="nil"/>
            </w:tcBorders>
          </w:tcPr>
          <w:p w14:paraId="4E827FD2"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Human rights</w:t>
            </w:r>
          </w:p>
        </w:tc>
        <w:tc>
          <w:tcPr>
            <w:tcW w:w="3456" w:type="dxa"/>
            <w:tcBorders>
              <w:top w:val="nil"/>
              <w:left w:val="nil"/>
              <w:bottom w:val="nil"/>
              <w:right w:val="nil"/>
            </w:tcBorders>
          </w:tcPr>
          <w:p w14:paraId="7F6E7EDD"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0068</w:t>
            </w:r>
          </w:p>
        </w:tc>
      </w:tr>
      <w:tr w:rsidR="00C50911" w:rsidRPr="00FB6512" w14:paraId="44EF93C2" w14:textId="77777777" w:rsidTr="008617AF">
        <w:trPr>
          <w:jc w:val="center"/>
        </w:trPr>
        <w:tc>
          <w:tcPr>
            <w:tcW w:w="6555" w:type="dxa"/>
            <w:tcBorders>
              <w:top w:val="nil"/>
              <w:left w:val="nil"/>
              <w:bottom w:val="nil"/>
              <w:right w:val="nil"/>
            </w:tcBorders>
          </w:tcPr>
          <w:p w14:paraId="7868A691"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61CB079A"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166)</w:t>
            </w:r>
          </w:p>
        </w:tc>
      </w:tr>
      <w:tr w:rsidR="00C50911" w:rsidRPr="00FB6512" w14:paraId="62336885" w14:textId="77777777" w:rsidTr="008617AF">
        <w:trPr>
          <w:jc w:val="center"/>
        </w:trPr>
        <w:tc>
          <w:tcPr>
            <w:tcW w:w="6555" w:type="dxa"/>
            <w:tcBorders>
              <w:top w:val="nil"/>
              <w:left w:val="nil"/>
              <w:bottom w:val="nil"/>
              <w:right w:val="nil"/>
            </w:tcBorders>
          </w:tcPr>
          <w:p w14:paraId="36045A23"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Vices</w:t>
            </w:r>
          </w:p>
        </w:tc>
        <w:tc>
          <w:tcPr>
            <w:tcW w:w="3456" w:type="dxa"/>
            <w:tcBorders>
              <w:top w:val="nil"/>
              <w:left w:val="nil"/>
              <w:bottom w:val="nil"/>
              <w:right w:val="nil"/>
            </w:tcBorders>
          </w:tcPr>
          <w:p w14:paraId="6002B054"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6384**</w:t>
            </w:r>
          </w:p>
        </w:tc>
      </w:tr>
      <w:tr w:rsidR="00C50911" w:rsidRPr="00FB6512" w14:paraId="7AF45B7A" w14:textId="77777777" w:rsidTr="008617AF">
        <w:trPr>
          <w:jc w:val="center"/>
        </w:trPr>
        <w:tc>
          <w:tcPr>
            <w:tcW w:w="6555" w:type="dxa"/>
            <w:tcBorders>
              <w:top w:val="nil"/>
              <w:left w:val="nil"/>
              <w:bottom w:val="nil"/>
              <w:right w:val="nil"/>
            </w:tcBorders>
          </w:tcPr>
          <w:p w14:paraId="693DA6A2"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7D2E7967"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267)</w:t>
            </w:r>
          </w:p>
        </w:tc>
      </w:tr>
      <w:tr w:rsidR="00C50911" w:rsidRPr="00FB6512" w14:paraId="6A877BBA" w14:textId="77777777" w:rsidTr="008617AF">
        <w:trPr>
          <w:jc w:val="center"/>
        </w:trPr>
        <w:tc>
          <w:tcPr>
            <w:tcW w:w="6555" w:type="dxa"/>
            <w:tcBorders>
              <w:top w:val="nil"/>
              <w:left w:val="nil"/>
              <w:bottom w:val="nil"/>
              <w:right w:val="nil"/>
            </w:tcBorders>
          </w:tcPr>
          <w:p w14:paraId="0B66494A"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Firm size</w:t>
            </w:r>
          </w:p>
        </w:tc>
        <w:tc>
          <w:tcPr>
            <w:tcW w:w="3456" w:type="dxa"/>
            <w:tcBorders>
              <w:top w:val="nil"/>
              <w:left w:val="nil"/>
              <w:bottom w:val="nil"/>
              <w:right w:val="nil"/>
            </w:tcBorders>
          </w:tcPr>
          <w:p w14:paraId="6E1659FF" w14:textId="77777777" w:rsidR="00C50911" w:rsidRPr="00064F56" w:rsidRDefault="00C50911" w:rsidP="008617AF">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0000*</w:t>
            </w:r>
          </w:p>
        </w:tc>
      </w:tr>
      <w:tr w:rsidR="00C50911" w:rsidRPr="00FB6512" w14:paraId="61309334" w14:textId="77777777" w:rsidTr="008617AF">
        <w:trPr>
          <w:jc w:val="center"/>
        </w:trPr>
        <w:tc>
          <w:tcPr>
            <w:tcW w:w="6555" w:type="dxa"/>
            <w:tcBorders>
              <w:top w:val="nil"/>
              <w:left w:val="nil"/>
              <w:bottom w:val="nil"/>
              <w:right w:val="nil"/>
            </w:tcBorders>
          </w:tcPr>
          <w:p w14:paraId="6AA28495"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77C52530"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000)</w:t>
            </w:r>
          </w:p>
        </w:tc>
      </w:tr>
      <w:tr w:rsidR="00C50911" w:rsidRPr="00FB6512" w14:paraId="3F3A68ED" w14:textId="77777777" w:rsidTr="008617AF">
        <w:trPr>
          <w:jc w:val="center"/>
        </w:trPr>
        <w:tc>
          <w:tcPr>
            <w:tcW w:w="6555" w:type="dxa"/>
            <w:tcBorders>
              <w:top w:val="nil"/>
              <w:left w:val="nil"/>
              <w:bottom w:val="nil"/>
              <w:right w:val="nil"/>
            </w:tcBorders>
          </w:tcPr>
          <w:p w14:paraId="1F8C19F8"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Cash flows</w:t>
            </w:r>
          </w:p>
        </w:tc>
        <w:tc>
          <w:tcPr>
            <w:tcW w:w="3456" w:type="dxa"/>
            <w:tcBorders>
              <w:top w:val="nil"/>
              <w:left w:val="nil"/>
              <w:bottom w:val="nil"/>
              <w:right w:val="nil"/>
            </w:tcBorders>
          </w:tcPr>
          <w:p w14:paraId="5CCCFE08"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0008</w:t>
            </w:r>
          </w:p>
        </w:tc>
      </w:tr>
      <w:tr w:rsidR="00C50911" w:rsidRPr="00FB6512" w14:paraId="1A9FCD5A" w14:textId="77777777" w:rsidTr="008617AF">
        <w:trPr>
          <w:jc w:val="center"/>
        </w:trPr>
        <w:tc>
          <w:tcPr>
            <w:tcW w:w="6555" w:type="dxa"/>
            <w:tcBorders>
              <w:top w:val="nil"/>
              <w:left w:val="nil"/>
              <w:bottom w:val="nil"/>
              <w:right w:val="nil"/>
            </w:tcBorders>
          </w:tcPr>
          <w:p w14:paraId="3ED814C7"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02A1F77B"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001)</w:t>
            </w:r>
          </w:p>
        </w:tc>
      </w:tr>
      <w:tr w:rsidR="00C50911" w:rsidRPr="00FB6512" w14:paraId="0AB840EF" w14:textId="77777777" w:rsidTr="008617AF">
        <w:trPr>
          <w:jc w:val="center"/>
        </w:trPr>
        <w:tc>
          <w:tcPr>
            <w:tcW w:w="6555" w:type="dxa"/>
            <w:tcBorders>
              <w:top w:val="nil"/>
              <w:left w:val="nil"/>
              <w:bottom w:val="nil"/>
              <w:right w:val="nil"/>
            </w:tcBorders>
          </w:tcPr>
          <w:p w14:paraId="7F2485A3"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Stock returns</w:t>
            </w:r>
          </w:p>
        </w:tc>
        <w:tc>
          <w:tcPr>
            <w:tcW w:w="3456" w:type="dxa"/>
            <w:tcBorders>
              <w:top w:val="nil"/>
              <w:left w:val="nil"/>
              <w:bottom w:val="nil"/>
              <w:right w:val="nil"/>
            </w:tcBorders>
          </w:tcPr>
          <w:p w14:paraId="3727BE31" w14:textId="77777777" w:rsidR="00C50911" w:rsidRPr="00064F56" w:rsidRDefault="00C50911" w:rsidP="008617AF">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0063</w:t>
            </w:r>
          </w:p>
        </w:tc>
      </w:tr>
      <w:tr w:rsidR="00C50911" w:rsidRPr="00FB6512" w14:paraId="1C614AF3" w14:textId="77777777" w:rsidTr="008617AF">
        <w:trPr>
          <w:jc w:val="center"/>
        </w:trPr>
        <w:tc>
          <w:tcPr>
            <w:tcW w:w="6555" w:type="dxa"/>
            <w:tcBorders>
              <w:top w:val="nil"/>
              <w:left w:val="nil"/>
              <w:bottom w:val="nil"/>
              <w:right w:val="nil"/>
            </w:tcBorders>
          </w:tcPr>
          <w:p w14:paraId="599FD036"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63039B14"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008)</w:t>
            </w:r>
          </w:p>
        </w:tc>
      </w:tr>
      <w:tr w:rsidR="00C50911" w:rsidRPr="00FB6512" w14:paraId="1B46CA6B" w14:textId="77777777" w:rsidTr="008617AF">
        <w:trPr>
          <w:jc w:val="center"/>
        </w:trPr>
        <w:tc>
          <w:tcPr>
            <w:tcW w:w="6555" w:type="dxa"/>
            <w:tcBorders>
              <w:top w:val="nil"/>
              <w:left w:val="nil"/>
              <w:bottom w:val="nil"/>
              <w:right w:val="nil"/>
            </w:tcBorders>
          </w:tcPr>
          <w:p w14:paraId="5B850958"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Sales growth</w:t>
            </w:r>
          </w:p>
        </w:tc>
        <w:tc>
          <w:tcPr>
            <w:tcW w:w="3456" w:type="dxa"/>
            <w:tcBorders>
              <w:top w:val="nil"/>
              <w:left w:val="nil"/>
              <w:bottom w:val="nil"/>
              <w:right w:val="nil"/>
            </w:tcBorders>
          </w:tcPr>
          <w:p w14:paraId="19C4503C" w14:textId="77777777" w:rsidR="00C50911" w:rsidRPr="00064F56" w:rsidRDefault="00C50911" w:rsidP="008617AF">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0021</w:t>
            </w:r>
          </w:p>
        </w:tc>
      </w:tr>
      <w:tr w:rsidR="00C50911" w:rsidRPr="00FB6512" w14:paraId="4C9DEAB4" w14:textId="77777777" w:rsidTr="008617AF">
        <w:trPr>
          <w:jc w:val="center"/>
        </w:trPr>
        <w:tc>
          <w:tcPr>
            <w:tcW w:w="6555" w:type="dxa"/>
            <w:tcBorders>
              <w:top w:val="nil"/>
              <w:left w:val="nil"/>
              <w:bottom w:val="nil"/>
              <w:right w:val="nil"/>
            </w:tcBorders>
          </w:tcPr>
          <w:p w14:paraId="05D01C54"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1BDB7180"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006)</w:t>
            </w:r>
          </w:p>
        </w:tc>
      </w:tr>
      <w:tr w:rsidR="00C50911" w:rsidRPr="00FB6512" w14:paraId="2C065AED" w14:textId="77777777" w:rsidTr="008617AF">
        <w:trPr>
          <w:jc w:val="center"/>
        </w:trPr>
        <w:tc>
          <w:tcPr>
            <w:tcW w:w="6555" w:type="dxa"/>
            <w:tcBorders>
              <w:top w:val="nil"/>
              <w:left w:val="nil"/>
              <w:bottom w:val="nil"/>
              <w:right w:val="nil"/>
            </w:tcBorders>
          </w:tcPr>
          <w:p w14:paraId="6141E5DD"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Financial leverage</w:t>
            </w:r>
          </w:p>
        </w:tc>
        <w:tc>
          <w:tcPr>
            <w:tcW w:w="3456" w:type="dxa"/>
            <w:tcBorders>
              <w:top w:val="nil"/>
              <w:left w:val="nil"/>
              <w:bottom w:val="nil"/>
              <w:right w:val="nil"/>
            </w:tcBorders>
          </w:tcPr>
          <w:p w14:paraId="381C2D65" w14:textId="77777777" w:rsidR="00C50911" w:rsidRPr="00064F56" w:rsidRDefault="00C50911" w:rsidP="008617AF">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0002</w:t>
            </w:r>
          </w:p>
        </w:tc>
      </w:tr>
      <w:tr w:rsidR="00C50911" w:rsidRPr="00FB6512" w14:paraId="71ADB5DA" w14:textId="77777777" w:rsidTr="008617AF">
        <w:trPr>
          <w:jc w:val="center"/>
        </w:trPr>
        <w:tc>
          <w:tcPr>
            <w:tcW w:w="6555" w:type="dxa"/>
            <w:tcBorders>
              <w:top w:val="nil"/>
              <w:left w:val="nil"/>
              <w:bottom w:val="nil"/>
              <w:right w:val="nil"/>
            </w:tcBorders>
          </w:tcPr>
          <w:p w14:paraId="0ADB0AC5"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1038E4C9"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000)</w:t>
            </w:r>
          </w:p>
        </w:tc>
      </w:tr>
      <w:tr w:rsidR="00C50911" w:rsidRPr="00FB6512" w14:paraId="014FBA97" w14:textId="77777777" w:rsidTr="008617AF">
        <w:trPr>
          <w:jc w:val="center"/>
        </w:trPr>
        <w:tc>
          <w:tcPr>
            <w:tcW w:w="6555" w:type="dxa"/>
            <w:tcBorders>
              <w:top w:val="nil"/>
              <w:left w:val="nil"/>
              <w:bottom w:val="nil"/>
              <w:right w:val="nil"/>
            </w:tcBorders>
          </w:tcPr>
          <w:p w14:paraId="4D02B94A"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Constant</w:t>
            </w:r>
          </w:p>
        </w:tc>
        <w:tc>
          <w:tcPr>
            <w:tcW w:w="3456" w:type="dxa"/>
            <w:tcBorders>
              <w:top w:val="nil"/>
              <w:left w:val="nil"/>
              <w:bottom w:val="nil"/>
              <w:right w:val="nil"/>
            </w:tcBorders>
          </w:tcPr>
          <w:p w14:paraId="7C8B2678"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2836***</w:t>
            </w:r>
          </w:p>
        </w:tc>
      </w:tr>
      <w:tr w:rsidR="00C50911" w:rsidRPr="00FB6512" w14:paraId="7803FEE2" w14:textId="77777777" w:rsidTr="008617AF">
        <w:trPr>
          <w:jc w:val="center"/>
        </w:trPr>
        <w:tc>
          <w:tcPr>
            <w:tcW w:w="6555" w:type="dxa"/>
            <w:tcBorders>
              <w:top w:val="nil"/>
              <w:left w:val="nil"/>
              <w:bottom w:val="nil"/>
              <w:right w:val="nil"/>
            </w:tcBorders>
          </w:tcPr>
          <w:p w14:paraId="6AB5E308"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5ED3A23E"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w:t>
            </w:r>
            <w:r>
              <w:rPr>
                <w:color w:val="000000" w:themeColor="text1"/>
                <w:lang w:val="en-US"/>
              </w:rPr>
              <w:t>.</w:t>
            </w:r>
            <w:r w:rsidRPr="00064F56">
              <w:rPr>
                <w:color w:val="000000" w:themeColor="text1"/>
                <w:lang w:val="en-US"/>
              </w:rPr>
              <w:t>023)</w:t>
            </w:r>
          </w:p>
        </w:tc>
      </w:tr>
      <w:tr w:rsidR="00C50911" w:rsidRPr="00FB6512" w14:paraId="66B9ECB4" w14:textId="77777777" w:rsidTr="008617AF">
        <w:trPr>
          <w:jc w:val="center"/>
        </w:trPr>
        <w:tc>
          <w:tcPr>
            <w:tcW w:w="6555" w:type="dxa"/>
            <w:tcBorders>
              <w:top w:val="nil"/>
              <w:left w:val="nil"/>
              <w:bottom w:val="nil"/>
              <w:right w:val="nil"/>
            </w:tcBorders>
          </w:tcPr>
          <w:p w14:paraId="4C56268D" w14:textId="77777777" w:rsidR="00C50911" w:rsidRPr="00064F56" w:rsidRDefault="00C50911" w:rsidP="008617AF">
            <w:pPr>
              <w:widowControl w:val="0"/>
              <w:autoSpaceDE w:val="0"/>
              <w:autoSpaceDN w:val="0"/>
              <w:adjustRightInd w:val="0"/>
              <w:rPr>
                <w:color w:val="000000" w:themeColor="text1"/>
                <w:lang w:val="en-US"/>
              </w:rPr>
            </w:pPr>
          </w:p>
        </w:tc>
        <w:tc>
          <w:tcPr>
            <w:tcW w:w="3456" w:type="dxa"/>
            <w:tcBorders>
              <w:top w:val="nil"/>
              <w:left w:val="nil"/>
              <w:bottom w:val="nil"/>
              <w:right w:val="nil"/>
            </w:tcBorders>
          </w:tcPr>
          <w:p w14:paraId="2011D235" w14:textId="77777777" w:rsidR="00C50911" w:rsidRPr="00064F56" w:rsidRDefault="00C50911" w:rsidP="008617AF">
            <w:pPr>
              <w:widowControl w:val="0"/>
              <w:autoSpaceDE w:val="0"/>
              <w:autoSpaceDN w:val="0"/>
              <w:adjustRightInd w:val="0"/>
              <w:jc w:val="center"/>
              <w:rPr>
                <w:color w:val="000000" w:themeColor="text1"/>
                <w:lang w:val="en-US"/>
              </w:rPr>
            </w:pPr>
          </w:p>
        </w:tc>
      </w:tr>
      <w:tr w:rsidR="00C50911" w:rsidRPr="00FB6512" w14:paraId="496587C7" w14:textId="77777777" w:rsidTr="008617AF">
        <w:trPr>
          <w:jc w:val="center"/>
        </w:trPr>
        <w:tc>
          <w:tcPr>
            <w:tcW w:w="6555" w:type="dxa"/>
            <w:tcBorders>
              <w:top w:val="nil"/>
              <w:left w:val="nil"/>
              <w:bottom w:val="nil"/>
              <w:right w:val="nil"/>
            </w:tcBorders>
          </w:tcPr>
          <w:p w14:paraId="05BAB11A"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Observations</w:t>
            </w:r>
          </w:p>
        </w:tc>
        <w:tc>
          <w:tcPr>
            <w:tcW w:w="3456" w:type="dxa"/>
            <w:tcBorders>
              <w:top w:val="nil"/>
              <w:left w:val="nil"/>
              <w:bottom w:val="nil"/>
              <w:right w:val="nil"/>
            </w:tcBorders>
          </w:tcPr>
          <w:p w14:paraId="6628E1A6"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4,428</w:t>
            </w:r>
          </w:p>
        </w:tc>
      </w:tr>
      <w:tr w:rsidR="00C50911" w:rsidRPr="00FB6512" w14:paraId="55EA0456" w14:textId="77777777" w:rsidTr="008617AF">
        <w:trPr>
          <w:jc w:val="center"/>
        </w:trPr>
        <w:tc>
          <w:tcPr>
            <w:tcW w:w="6555" w:type="dxa"/>
            <w:tcBorders>
              <w:top w:val="nil"/>
              <w:left w:val="nil"/>
              <w:bottom w:val="nil"/>
              <w:right w:val="nil"/>
            </w:tcBorders>
          </w:tcPr>
          <w:p w14:paraId="5716BB67"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Adjusted R-squared</w:t>
            </w:r>
          </w:p>
        </w:tc>
        <w:tc>
          <w:tcPr>
            <w:tcW w:w="3456" w:type="dxa"/>
            <w:tcBorders>
              <w:top w:val="nil"/>
              <w:left w:val="nil"/>
              <w:bottom w:val="nil"/>
              <w:right w:val="nil"/>
            </w:tcBorders>
          </w:tcPr>
          <w:p w14:paraId="1E203DA7" w14:textId="77777777" w:rsidR="00C50911" w:rsidRPr="00064F56" w:rsidRDefault="00C50911" w:rsidP="008617AF">
            <w:pPr>
              <w:widowControl w:val="0"/>
              <w:autoSpaceDE w:val="0"/>
              <w:autoSpaceDN w:val="0"/>
              <w:adjustRightInd w:val="0"/>
              <w:jc w:val="center"/>
              <w:rPr>
                <w:color w:val="000000" w:themeColor="text1"/>
                <w:lang w:val="en-US"/>
              </w:rPr>
            </w:pPr>
            <w:r>
              <w:rPr>
                <w:color w:val="000000" w:themeColor="text1"/>
                <w:lang w:val="en-US"/>
              </w:rPr>
              <w:t>.</w:t>
            </w:r>
            <w:r w:rsidRPr="00064F56">
              <w:rPr>
                <w:color w:val="000000" w:themeColor="text1"/>
                <w:lang w:val="en-US"/>
              </w:rPr>
              <w:t>101</w:t>
            </w:r>
          </w:p>
        </w:tc>
      </w:tr>
      <w:tr w:rsidR="00C50911" w:rsidRPr="00FB6512" w14:paraId="65C15D25" w14:textId="77777777" w:rsidTr="008617AF">
        <w:tblPrEx>
          <w:tblBorders>
            <w:bottom w:val="single" w:sz="6" w:space="0" w:color="auto"/>
          </w:tblBorders>
        </w:tblPrEx>
        <w:trPr>
          <w:jc w:val="center"/>
        </w:trPr>
        <w:tc>
          <w:tcPr>
            <w:tcW w:w="6555" w:type="dxa"/>
            <w:tcBorders>
              <w:top w:val="nil"/>
              <w:left w:val="nil"/>
              <w:bottom w:val="single" w:sz="6" w:space="0" w:color="auto"/>
              <w:right w:val="nil"/>
            </w:tcBorders>
          </w:tcPr>
          <w:p w14:paraId="0DB53AD3" w14:textId="77777777" w:rsidR="00C50911" w:rsidRPr="00064F56" w:rsidRDefault="00C50911" w:rsidP="008617AF">
            <w:pPr>
              <w:widowControl w:val="0"/>
              <w:autoSpaceDE w:val="0"/>
              <w:autoSpaceDN w:val="0"/>
              <w:adjustRightInd w:val="0"/>
              <w:rPr>
                <w:color w:val="000000" w:themeColor="text1"/>
                <w:lang w:val="en-US"/>
              </w:rPr>
            </w:pPr>
            <w:r w:rsidRPr="00064F56">
              <w:rPr>
                <w:color w:val="000000" w:themeColor="text1"/>
                <w:lang w:val="en-US"/>
              </w:rPr>
              <w:t>Model F-statistic (DF)</w:t>
            </w:r>
          </w:p>
        </w:tc>
        <w:tc>
          <w:tcPr>
            <w:tcW w:w="3456" w:type="dxa"/>
            <w:tcBorders>
              <w:top w:val="nil"/>
              <w:left w:val="nil"/>
              <w:bottom w:val="single" w:sz="6" w:space="0" w:color="auto"/>
              <w:right w:val="nil"/>
            </w:tcBorders>
          </w:tcPr>
          <w:p w14:paraId="7C9E737C" w14:textId="77777777" w:rsidR="00C50911" w:rsidRPr="00064F56" w:rsidRDefault="00C50911" w:rsidP="008617AF">
            <w:pPr>
              <w:widowControl w:val="0"/>
              <w:autoSpaceDE w:val="0"/>
              <w:autoSpaceDN w:val="0"/>
              <w:adjustRightInd w:val="0"/>
              <w:jc w:val="center"/>
              <w:rPr>
                <w:color w:val="000000" w:themeColor="text1"/>
                <w:lang w:val="en-US"/>
              </w:rPr>
            </w:pPr>
            <w:r w:rsidRPr="00064F56">
              <w:rPr>
                <w:color w:val="000000" w:themeColor="text1"/>
                <w:lang w:val="en-US"/>
              </w:rPr>
              <w:t>11.55 (42)***</w:t>
            </w:r>
          </w:p>
        </w:tc>
      </w:tr>
    </w:tbl>
    <w:p w14:paraId="1ABC87E4" w14:textId="1C3404A8" w:rsidR="00AB319D" w:rsidRPr="007C37B0" w:rsidRDefault="00AB319D" w:rsidP="00C33C6D">
      <w:pPr>
        <w:pStyle w:val="NoSpacing"/>
        <w:spacing w:line="240" w:lineRule="auto"/>
        <w:ind w:left="-284"/>
        <w:rPr>
          <w:color w:val="000000" w:themeColor="text1"/>
          <w:sz w:val="20"/>
          <w:lang w:val="en-US"/>
        </w:rPr>
      </w:pPr>
      <w:r w:rsidRPr="007C37B0">
        <w:rPr>
          <w:i/>
          <w:color w:val="000000" w:themeColor="text1"/>
          <w:sz w:val="20"/>
          <w:lang w:val="en-US"/>
        </w:rPr>
        <w:t>Notes</w:t>
      </w:r>
      <w:r w:rsidRPr="007C37B0">
        <w:rPr>
          <w:color w:val="000000" w:themeColor="text1"/>
          <w:sz w:val="20"/>
          <w:lang w:val="en-US"/>
        </w:rPr>
        <w:t xml:space="preserve">: </w:t>
      </w:r>
      <w:r w:rsidR="00305CE2" w:rsidRPr="007C37B0">
        <w:rPr>
          <w:sz w:val="20"/>
          <w:lang w:val="en-US"/>
        </w:rPr>
        <w:t>Coefficients scaled by 10</w:t>
      </w:r>
      <w:r w:rsidR="00305CE2" w:rsidRPr="007C37B0">
        <w:rPr>
          <w:sz w:val="20"/>
          <w:vertAlign w:val="superscript"/>
          <w:lang w:val="en-US"/>
        </w:rPr>
        <w:t>-1</w:t>
      </w:r>
      <w:r w:rsidR="00305CE2" w:rsidRPr="007C37B0">
        <w:rPr>
          <w:sz w:val="20"/>
          <w:lang w:val="en-US"/>
        </w:rPr>
        <w:t xml:space="preserve"> to improve readability. </w:t>
      </w:r>
      <w:r w:rsidR="00507D27" w:rsidRPr="007C37B0">
        <w:rPr>
          <w:color w:val="000000" w:themeColor="text1"/>
          <w:sz w:val="20"/>
          <w:lang w:val="en-US"/>
        </w:rPr>
        <w:t>S</w:t>
      </w:r>
      <w:r w:rsidRPr="007C37B0">
        <w:rPr>
          <w:color w:val="000000" w:themeColor="text1"/>
          <w:sz w:val="20"/>
          <w:lang w:val="en-US"/>
        </w:rPr>
        <w:t xml:space="preserve">tandard errors in parentheses. Predictors calculated at period t-1. </w:t>
      </w:r>
      <w:r w:rsidR="00C33C6D" w:rsidRPr="007C37B0">
        <w:rPr>
          <w:color w:val="000000" w:themeColor="text1"/>
          <w:sz w:val="20"/>
          <w:lang w:val="en-US"/>
        </w:rPr>
        <w:t xml:space="preserve">Firm and year fixed effects not reported. </w:t>
      </w:r>
      <w:r w:rsidRPr="007C37B0">
        <w:rPr>
          <w:color w:val="000000" w:themeColor="text1"/>
          <w:sz w:val="20"/>
          <w:lang w:val="en-US"/>
        </w:rPr>
        <w:t>***</w:t>
      </w:r>
      <w:r w:rsidRPr="007C37B0">
        <w:rPr>
          <w:i/>
          <w:color w:val="000000" w:themeColor="text1"/>
          <w:sz w:val="20"/>
          <w:lang w:val="en-US"/>
        </w:rPr>
        <w:t>p</w:t>
      </w:r>
      <w:r w:rsidRPr="007C37B0">
        <w:rPr>
          <w:color w:val="000000" w:themeColor="text1"/>
          <w:sz w:val="20"/>
          <w:lang w:val="en-US"/>
        </w:rPr>
        <w:t>&lt;</w:t>
      </w:r>
      <w:r w:rsidR="00F471C1">
        <w:rPr>
          <w:color w:val="000000" w:themeColor="text1"/>
          <w:sz w:val="20"/>
          <w:lang w:val="en-US"/>
        </w:rPr>
        <w:t>.</w:t>
      </w:r>
      <w:r w:rsidRPr="007C37B0">
        <w:rPr>
          <w:color w:val="000000" w:themeColor="text1"/>
          <w:sz w:val="20"/>
          <w:lang w:val="en-US"/>
        </w:rPr>
        <w:t>01, **</w:t>
      </w:r>
      <w:r w:rsidRPr="007C37B0">
        <w:rPr>
          <w:i/>
          <w:color w:val="000000" w:themeColor="text1"/>
          <w:sz w:val="20"/>
          <w:lang w:val="en-US"/>
        </w:rPr>
        <w:t>p</w:t>
      </w:r>
      <w:r w:rsidRPr="007C37B0">
        <w:rPr>
          <w:color w:val="000000" w:themeColor="text1"/>
          <w:sz w:val="20"/>
          <w:lang w:val="en-US"/>
        </w:rPr>
        <w:t>&lt;</w:t>
      </w:r>
      <w:r w:rsidR="00F471C1">
        <w:rPr>
          <w:color w:val="000000" w:themeColor="text1"/>
          <w:sz w:val="20"/>
          <w:lang w:val="en-US"/>
        </w:rPr>
        <w:t>.</w:t>
      </w:r>
      <w:r w:rsidRPr="007C37B0">
        <w:rPr>
          <w:color w:val="000000" w:themeColor="text1"/>
          <w:sz w:val="20"/>
          <w:lang w:val="en-US"/>
        </w:rPr>
        <w:t>05, *</w:t>
      </w:r>
      <w:r w:rsidRPr="007C37B0">
        <w:rPr>
          <w:i/>
          <w:color w:val="000000" w:themeColor="text1"/>
          <w:sz w:val="20"/>
          <w:lang w:val="en-US"/>
        </w:rPr>
        <w:t>p</w:t>
      </w:r>
      <w:r w:rsidRPr="007C37B0">
        <w:rPr>
          <w:color w:val="000000" w:themeColor="text1"/>
          <w:sz w:val="20"/>
          <w:lang w:val="en-US"/>
        </w:rPr>
        <w:t>&lt;</w:t>
      </w:r>
      <w:r w:rsidR="00F471C1">
        <w:rPr>
          <w:color w:val="000000" w:themeColor="text1"/>
          <w:sz w:val="20"/>
          <w:lang w:val="en-US"/>
        </w:rPr>
        <w:t>.</w:t>
      </w:r>
      <w:r w:rsidRPr="007C37B0">
        <w:rPr>
          <w:color w:val="000000" w:themeColor="text1"/>
          <w:sz w:val="20"/>
          <w:lang w:val="en-US"/>
        </w:rPr>
        <w:t>1</w:t>
      </w:r>
      <w:r w:rsidR="00F471C1">
        <w:rPr>
          <w:color w:val="000000" w:themeColor="text1"/>
          <w:sz w:val="20"/>
          <w:lang w:val="en-US"/>
        </w:rPr>
        <w:t>.</w:t>
      </w:r>
      <w:r w:rsidRPr="007C37B0">
        <w:rPr>
          <w:color w:val="000000" w:themeColor="text1"/>
          <w:sz w:val="20"/>
          <w:lang w:val="en-US"/>
        </w:rPr>
        <w:t xml:space="preserve"> </w:t>
      </w:r>
    </w:p>
    <w:p w14:paraId="0F5DDA44" w14:textId="77777777" w:rsidR="0099531D" w:rsidRPr="007C37B0" w:rsidRDefault="0099531D" w:rsidP="00411F6F">
      <w:pPr>
        <w:ind w:firstLine="720"/>
        <w:rPr>
          <w:color w:val="000000" w:themeColor="text1"/>
          <w:u w:color="000000"/>
          <w:lang w:val="en-US"/>
        </w:rPr>
      </w:pPr>
    </w:p>
    <w:p w14:paraId="60EDE5ED" w14:textId="77777777" w:rsidR="0040491B" w:rsidRPr="007C37B0" w:rsidRDefault="0040491B" w:rsidP="00411F6F">
      <w:pPr>
        <w:pStyle w:val="Default"/>
        <w:ind w:firstLine="709"/>
        <w:rPr>
          <w:rFonts w:ascii="Times New Roman" w:hAnsi="Times New Roman" w:cs="Times New Roman"/>
          <w:i/>
          <w:color w:val="000000" w:themeColor="text1"/>
          <w:sz w:val="24"/>
          <w:szCs w:val="24"/>
        </w:rPr>
      </w:pPr>
    </w:p>
    <w:p w14:paraId="5AB38E6F" w14:textId="77777777" w:rsidR="0040491B" w:rsidRPr="007C37B0" w:rsidRDefault="0040491B" w:rsidP="00411F6F">
      <w:pPr>
        <w:pStyle w:val="Default"/>
        <w:ind w:firstLine="709"/>
        <w:rPr>
          <w:rFonts w:ascii="Times New Roman" w:hAnsi="Times New Roman" w:cs="Times New Roman"/>
          <w:i/>
          <w:color w:val="000000" w:themeColor="text1"/>
          <w:sz w:val="24"/>
          <w:szCs w:val="24"/>
        </w:rPr>
      </w:pPr>
    </w:p>
    <w:p w14:paraId="1678CC18" w14:textId="77777777" w:rsidR="00411F6F" w:rsidRPr="007C37B0" w:rsidRDefault="00411F6F" w:rsidP="00F0342B">
      <w:pPr>
        <w:rPr>
          <w:color w:val="000000" w:themeColor="text1"/>
          <w:lang w:val="en-US"/>
        </w:rPr>
      </w:pPr>
    </w:p>
    <w:p w14:paraId="333A6666" w14:textId="77777777" w:rsidR="00411F6F" w:rsidRPr="007C37B0" w:rsidRDefault="00411F6F" w:rsidP="00F0342B">
      <w:pPr>
        <w:rPr>
          <w:color w:val="000000" w:themeColor="text1"/>
          <w:lang w:val="en-US"/>
        </w:rPr>
      </w:pPr>
    </w:p>
    <w:p w14:paraId="2117D7B3" w14:textId="77777777" w:rsidR="0055113C" w:rsidRPr="007C37B0" w:rsidRDefault="0055113C" w:rsidP="00F0342B">
      <w:pPr>
        <w:rPr>
          <w:color w:val="000000" w:themeColor="text1"/>
          <w:lang w:val="en-US"/>
        </w:rPr>
      </w:pPr>
    </w:p>
    <w:p w14:paraId="7503E7CF" w14:textId="77777777" w:rsidR="00AC6E76" w:rsidRPr="007C37B0" w:rsidRDefault="00AC6E76" w:rsidP="0055113C">
      <w:pPr>
        <w:jc w:val="center"/>
        <w:rPr>
          <w:b/>
          <w:color w:val="000000" w:themeColor="text1"/>
          <w:lang w:val="en-US"/>
        </w:rPr>
      </w:pPr>
      <w:r w:rsidRPr="007C37B0">
        <w:rPr>
          <w:b/>
          <w:color w:val="000000" w:themeColor="text1"/>
          <w:lang w:val="en-US"/>
        </w:rPr>
        <w:br w:type="page"/>
      </w:r>
    </w:p>
    <w:p w14:paraId="479EEE30" w14:textId="77777777" w:rsidR="00E23449" w:rsidRPr="007C37B0" w:rsidRDefault="00E23449" w:rsidP="00E23449">
      <w:pPr>
        <w:pStyle w:val="Heading1"/>
        <w:rPr>
          <w:color w:val="000000" w:themeColor="text1"/>
        </w:rPr>
      </w:pPr>
      <w:r w:rsidRPr="007C37B0">
        <w:rPr>
          <w:color w:val="000000" w:themeColor="text1"/>
        </w:rPr>
        <w:lastRenderedPageBreak/>
        <w:t>WEB APPENDIX F: Switching Regression Method</w:t>
      </w:r>
    </w:p>
    <w:p w14:paraId="372476F0" w14:textId="77777777" w:rsidR="00E23449" w:rsidRPr="007C37B0" w:rsidRDefault="00E23449" w:rsidP="00E23449">
      <w:pPr>
        <w:jc w:val="center"/>
        <w:rPr>
          <w:b/>
          <w:color w:val="000000" w:themeColor="text1"/>
          <w:lang w:val="en-US"/>
        </w:rPr>
      </w:pPr>
    </w:p>
    <w:p w14:paraId="0CF3A451" w14:textId="77777777" w:rsidR="00E23449" w:rsidRPr="007C37B0" w:rsidRDefault="00E23449" w:rsidP="00E23449">
      <w:pPr>
        <w:widowControl w:val="0"/>
        <w:autoSpaceDE w:val="0"/>
        <w:autoSpaceDN w:val="0"/>
        <w:adjustRightInd w:val="0"/>
        <w:ind w:firstLine="720"/>
        <w:rPr>
          <w:color w:val="000000" w:themeColor="text1"/>
          <w:lang w:val="en-US"/>
        </w:rPr>
      </w:pPr>
      <w:r w:rsidRPr="007C37B0">
        <w:rPr>
          <w:color w:val="000000" w:themeColor="text1"/>
          <w:lang w:val="en-US"/>
        </w:rPr>
        <w:t xml:space="preserve">We examine what the performance of a firm not increasing advertising investments would have been if it had opted to increase its advertising investments, and vice versa. To do so, we employ a switching regression method, implemented as a two-step Heckman-type estimation structure. This procedure is discussed, among others, in Fang (2005) and Cao and Sorescu (2013), and is a generalized version of the traditional Heckman model that accounts for the effect of </w:t>
      </w:r>
      <w:proofErr w:type="spellStart"/>
      <w:r w:rsidRPr="007C37B0">
        <w:rPr>
          <w:color w:val="000000" w:themeColor="text1"/>
          <w:lang w:val="en-US"/>
        </w:rPr>
        <w:t>unobservables</w:t>
      </w:r>
      <w:proofErr w:type="spellEnd"/>
      <w:r w:rsidRPr="007C37B0">
        <w:rPr>
          <w:color w:val="000000" w:themeColor="text1"/>
          <w:lang w:val="en-US"/>
        </w:rPr>
        <w:t xml:space="preserve"> by using inverse Mills ratios. It consists of a binary equation that reflects selection into increasing advertising investments, and two regression equations on firm value. Formally:</w:t>
      </w:r>
    </w:p>
    <w:p w14:paraId="79F363B5" w14:textId="77777777" w:rsidR="00E23449" w:rsidRPr="007C37B0" w:rsidRDefault="00E23449" w:rsidP="00E23449">
      <w:pPr>
        <w:widowControl w:val="0"/>
        <w:autoSpaceDE w:val="0"/>
        <w:autoSpaceDN w:val="0"/>
        <w:adjustRightInd w:val="0"/>
        <w:ind w:firstLine="720"/>
        <w:rPr>
          <w:color w:val="000000" w:themeColor="text1"/>
          <w:lang w:val="en-US"/>
        </w:rPr>
      </w:pPr>
    </w:p>
    <w:p w14:paraId="0944FE02" w14:textId="77777777" w:rsidR="00E23449" w:rsidRPr="007C37B0" w:rsidRDefault="00E23449" w:rsidP="00E23449">
      <w:pPr>
        <w:widowControl w:val="0"/>
        <w:autoSpaceDE w:val="0"/>
        <w:autoSpaceDN w:val="0"/>
        <w:adjustRightInd w:val="0"/>
        <w:rPr>
          <w:color w:val="000000" w:themeColor="text1"/>
          <w:lang w:val="en-US"/>
        </w:rPr>
      </w:pPr>
      <w:r w:rsidRPr="007C37B0">
        <w:rPr>
          <w:color w:val="000000" w:themeColor="text1"/>
          <w:lang w:val="en-US"/>
        </w:rPr>
        <w:t>(F1)</w:t>
      </w:r>
      <w:r w:rsidRPr="007C37B0">
        <w:rPr>
          <w:color w:val="000000" w:themeColor="text1"/>
          <w:lang w:val="en-US"/>
        </w:rPr>
        <w:tab/>
        <w:t>I*</w:t>
      </w:r>
      <w:r w:rsidRPr="007C37B0">
        <w:rPr>
          <w:color w:val="000000" w:themeColor="text1"/>
          <w:vertAlign w:val="subscript"/>
          <w:lang w:val="en-US"/>
        </w:rPr>
        <w:t>i</w:t>
      </w:r>
      <w:r w:rsidRPr="007C37B0">
        <w:rPr>
          <w:color w:val="000000" w:themeColor="text1"/>
          <w:lang w:val="en-US"/>
        </w:rPr>
        <w:t xml:space="preserve"> = Z</w:t>
      </w:r>
      <w:r w:rsidRPr="007C37B0">
        <w:rPr>
          <w:color w:val="000000" w:themeColor="text1"/>
          <w:vertAlign w:val="subscript"/>
          <w:lang w:val="en-US"/>
        </w:rPr>
        <w:t>i</w:t>
      </w:r>
      <w:r w:rsidRPr="007C37B0">
        <w:rPr>
          <w:color w:val="000000" w:themeColor="text1"/>
          <w:lang w:val="en-US"/>
        </w:rPr>
        <w:t>’</w:t>
      </w:r>
      <w:r w:rsidRPr="007C37B0">
        <w:rPr>
          <w:color w:val="000000" w:themeColor="text1"/>
        </w:rPr>
        <w:t>γ</w:t>
      </w:r>
      <w:r w:rsidRPr="007C37B0">
        <w:rPr>
          <w:color w:val="000000" w:themeColor="text1"/>
          <w:lang w:val="en-US"/>
        </w:rPr>
        <w:t xml:space="preserve"> + </w:t>
      </w:r>
      <w:r w:rsidRPr="007C37B0">
        <w:rPr>
          <w:color w:val="000000" w:themeColor="text1"/>
        </w:rPr>
        <w:t>ε</w:t>
      </w:r>
      <w:r w:rsidRPr="007C37B0">
        <w:rPr>
          <w:color w:val="000000" w:themeColor="text1"/>
          <w:vertAlign w:val="subscript"/>
          <w:lang w:val="en-US"/>
        </w:rPr>
        <w:t>i</w:t>
      </w:r>
      <w:r w:rsidRPr="007C37B0">
        <w:rPr>
          <w:color w:val="000000" w:themeColor="text1"/>
          <w:lang w:val="en-US"/>
        </w:rPr>
        <w:t xml:space="preserve">, </w:t>
      </w:r>
      <w:r w:rsidRPr="007C37B0">
        <w:rPr>
          <w:color w:val="000000" w:themeColor="text1"/>
          <w:lang w:val="en-US"/>
        </w:rPr>
        <w:tab/>
        <w:t>discretized as: I</w:t>
      </w:r>
      <w:r w:rsidRPr="007C37B0">
        <w:rPr>
          <w:color w:val="000000" w:themeColor="text1"/>
          <w:vertAlign w:val="subscript"/>
          <w:lang w:val="en-US"/>
        </w:rPr>
        <w:t>i</w:t>
      </w:r>
      <w:r w:rsidRPr="007C37B0">
        <w:rPr>
          <w:color w:val="000000" w:themeColor="text1"/>
          <w:lang w:val="en-US"/>
        </w:rPr>
        <w:t xml:space="preserve"> = 1 </w:t>
      </w:r>
      <w:proofErr w:type="spellStart"/>
      <w:r w:rsidRPr="007C37B0">
        <w:rPr>
          <w:color w:val="000000" w:themeColor="text1"/>
          <w:lang w:val="en-US"/>
        </w:rPr>
        <w:t>iff</w:t>
      </w:r>
      <w:proofErr w:type="spellEnd"/>
      <w:r w:rsidRPr="007C37B0">
        <w:rPr>
          <w:color w:val="000000" w:themeColor="text1"/>
          <w:lang w:val="en-US"/>
        </w:rPr>
        <w:t xml:space="preserve"> I*</w:t>
      </w:r>
      <w:r w:rsidRPr="007C37B0">
        <w:rPr>
          <w:color w:val="000000" w:themeColor="text1"/>
          <w:vertAlign w:val="subscript"/>
          <w:lang w:val="en-US"/>
        </w:rPr>
        <w:t>I</w:t>
      </w:r>
      <w:r w:rsidRPr="007C37B0">
        <w:rPr>
          <w:color w:val="000000" w:themeColor="text1"/>
          <w:lang w:val="en-US"/>
        </w:rPr>
        <w:t xml:space="preserve"> &gt; 0 and I*</w:t>
      </w:r>
      <w:r w:rsidRPr="007C37B0">
        <w:rPr>
          <w:color w:val="000000" w:themeColor="text1"/>
          <w:vertAlign w:val="subscript"/>
          <w:lang w:val="en-US"/>
        </w:rPr>
        <w:t>i</w:t>
      </w:r>
      <w:r w:rsidRPr="007C37B0">
        <w:rPr>
          <w:color w:val="000000" w:themeColor="text1"/>
          <w:lang w:val="en-US"/>
        </w:rPr>
        <w:t xml:space="preserve"> =0 </w:t>
      </w:r>
      <w:proofErr w:type="spellStart"/>
      <w:r w:rsidRPr="007C37B0">
        <w:rPr>
          <w:color w:val="000000" w:themeColor="text1"/>
          <w:lang w:val="en-US"/>
        </w:rPr>
        <w:t>iff</w:t>
      </w:r>
      <w:proofErr w:type="spellEnd"/>
      <w:r w:rsidRPr="007C37B0">
        <w:rPr>
          <w:color w:val="000000" w:themeColor="text1"/>
          <w:lang w:val="en-US"/>
        </w:rPr>
        <w:t xml:space="preserve"> I*</w:t>
      </w:r>
      <w:r w:rsidRPr="007C37B0">
        <w:rPr>
          <w:color w:val="000000" w:themeColor="text1"/>
          <w:vertAlign w:val="subscript"/>
          <w:lang w:val="en-US"/>
        </w:rPr>
        <w:t>i</w:t>
      </w:r>
      <w:r w:rsidRPr="007C37B0">
        <w:rPr>
          <w:color w:val="000000" w:themeColor="text1"/>
          <w:lang w:val="en-US"/>
        </w:rPr>
        <w:t xml:space="preserve"> &lt;=0,</w:t>
      </w:r>
    </w:p>
    <w:p w14:paraId="36D151E4" w14:textId="77777777" w:rsidR="00E23449" w:rsidRPr="007C37B0" w:rsidRDefault="00E23449" w:rsidP="00E23449">
      <w:pPr>
        <w:widowControl w:val="0"/>
        <w:autoSpaceDE w:val="0"/>
        <w:autoSpaceDN w:val="0"/>
        <w:adjustRightInd w:val="0"/>
        <w:rPr>
          <w:color w:val="000000" w:themeColor="text1"/>
          <w:lang w:val="en-US"/>
        </w:rPr>
      </w:pPr>
      <w:r w:rsidRPr="007C37B0">
        <w:rPr>
          <w:color w:val="000000" w:themeColor="text1"/>
          <w:lang w:val="en-US"/>
        </w:rPr>
        <w:t>(F2)</w:t>
      </w:r>
      <w:r w:rsidRPr="007C37B0">
        <w:rPr>
          <w:color w:val="000000" w:themeColor="text1"/>
          <w:lang w:val="en-US"/>
        </w:rPr>
        <w:tab/>
        <w:t>y</w:t>
      </w:r>
      <w:r w:rsidRPr="007C37B0">
        <w:rPr>
          <w:color w:val="000000" w:themeColor="text1"/>
          <w:vertAlign w:val="subscript"/>
          <w:lang w:val="en-US"/>
        </w:rPr>
        <w:t>1i</w:t>
      </w:r>
      <w:r w:rsidRPr="007C37B0">
        <w:rPr>
          <w:color w:val="000000" w:themeColor="text1"/>
          <w:lang w:val="en-US"/>
        </w:rPr>
        <w:t xml:space="preserve"> = x</w:t>
      </w:r>
      <w:r w:rsidRPr="007C37B0">
        <w:rPr>
          <w:color w:val="000000" w:themeColor="text1"/>
          <w:vertAlign w:val="subscript"/>
          <w:lang w:val="en-US"/>
        </w:rPr>
        <w:t>i</w:t>
      </w:r>
      <w:r w:rsidRPr="007C37B0">
        <w:rPr>
          <w:color w:val="000000" w:themeColor="text1"/>
          <w:lang w:val="en-US"/>
        </w:rPr>
        <w:t>’</w:t>
      </w:r>
      <w:r w:rsidRPr="007C37B0">
        <w:rPr>
          <w:color w:val="000000" w:themeColor="text1"/>
        </w:rPr>
        <w:t>β</w:t>
      </w:r>
      <w:r w:rsidRPr="007C37B0">
        <w:rPr>
          <w:color w:val="000000" w:themeColor="text1"/>
          <w:vertAlign w:val="subscript"/>
          <w:lang w:val="en-US"/>
        </w:rPr>
        <w:t>1</w:t>
      </w:r>
      <w:r w:rsidRPr="007C37B0">
        <w:rPr>
          <w:color w:val="000000" w:themeColor="text1"/>
          <w:lang w:val="en-US"/>
        </w:rPr>
        <w:t xml:space="preserve"> + u</w:t>
      </w:r>
      <w:r w:rsidRPr="007C37B0">
        <w:rPr>
          <w:color w:val="000000" w:themeColor="text1"/>
          <w:vertAlign w:val="subscript"/>
          <w:lang w:val="en-US"/>
        </w:rPr>
        <w:t>1i</w:t>
      </w:r>
      <w:r w:rsidRPr="007C37B0">
        <w:rPr>
          <w:color w:val="000000" w:themeColor="text1"/>
          <w:lang w:val="en-US"/>
        </w:rPr>
        <w:t>,</w:t>
      </w:r>
    </w:p>
    <w:p w14:paraId="173F7664" w14:textId="77777777" w:rsidR="00E23449" w:rsidRPr="007C37B0" w:rsidRDefault="00E23449" w:rsidP="00E23449">
      <w:pPr>
        <w:widowControl w:val="0"/>
        <w:autoSpaceDE w:val="0"/>
        <w:autoSpaceDN w:val="0"/>
        <w:adjustRightInd w:val="0"/>
        <w:rPr>
          <w:color w:val="000000" w:themeColor="text1"/>
          <w:lang w:val="en-US"/>
        </w:rPr>
      </w:pPr>
      <w:r w:rsidRPr="007C37B0">
        <w:rPr>
          <w:color w:val="000000" w:themeColor="text1"/>
          <w:lang w:val="en-US"/>
        </w:rPr>
        <w:t>(F3)</w:t>
      </w:r>
      <w:r w:rsidRPr="007C37B0">
        <w:rPr>
          <w:color w:val="000000" w:themeColor="text1"/>
          <w:lang w:val="en-US"/>
        </w:rPr>
        <w:tab/>
        <w:t>y</w:t>
      </w:r>
      <w:r w:rsidRPr="007C37B0">
        <w:rPr>
          <w:color w:val="000000" w:themeColor="text1"/>
          <w:vertAlign w:val="subscript"/>
          <w:lang w:val="en-US"/>
        </w:rPr>
        <w:t>2i</w:t>
      </w:r>
      <w:r w:rsidRPr="007C37B0">
        <w:rPr>
          <w:color w:val="000000" w:themeColor="text1"/>
          <w:lang w:val="en-US"/>
        </w:rPr>
        <w:t xml:space="preserve"> = x</w:t>
      </w:r>
      <w:r w:rsidRPr="007C37B0">
        <w:rPr>
          <w:color w:val="000000" w:themeColor="text1"/>
          <w:vertAlign w:val="subscript"/>
          <w:lang w:val="en-US"/>
        </w:rPr>
        <w:t>i</w:t>
      </w:r>
      <w:r w:rsidRPr="007C37B0">
        <w:rPr>
          <w:color w:val="000000" w:themeColor="text1"/>
          <w:lang w:val="en-US"/>
        </w:rPr>
        <w:t>’</w:t>
      </w:r>
      <w:r w:rsidRPr="007C37B0">
        <w:rPr>
          <w:color w:val="000000" w:themeColor="text1"/>
        </w:rPr>
        <w:t>β</w:t>
      </w:r>
      <w:r w:rsidRPr="007C37B0">
        <w:rPr>
          <w:color w:val="000000" w:themeColor="text1"/>
          <w:vertAlign w:val="subscript"/>
          <w:lang w:val="en-US"/>
        </w:rPr>
        <w:t>2</w:t>
      </w:r>
      <w:r w:rsidRPr="007C37B0">
        <w:rPr>
          <w:color w:val="000000" w:themeColor="text1"/>
          <w:lang w:val="en-US"/>
        </w:rPr>
        <w:t xml:space="preserve"> + u</w:t>
      </w:r>
      <w:r w:rsidRPr="007C37B0">
        <w:rPr>
          <w:color w:val="000000" w:themeColor="text1"/>
          <w:vertAlign w:val="subscript"/>
          <w:lang w:val="en-US"/>
        </w:rPr>
        <w:t>2i</w:t>
      </w:r>
      <w:r w:rsidRPr="007C37B0">
        <w:rPr>
          <w:color w:val="000000" w:themeColor="text1"/>
          <w:lang w:val="en-US"/>
        </w:rPr>
        <w:t>.</w:t>
      </w:r>
    </w:p>
    <w:p w14:paraId="78AD96A4" w14:textId="77777777" w:rsidR="00E23449" w:rsidRPr="007C37B0" w:rsidRDefault="00E23449" w:rsidP="00E23449">
      <w:pPr>
        <w:widowControl w:val="0"/>
        <w:autoSpaceDE w:val="0"/>
        <w:autoSpaceDN w:val="0"/>
        <w:adjustRightInd w:val="0"/>
        <w:rPr>
          <w:color w:val="000000" w:themeColor="text1"/>
          <w:lang w:val="en-US"/>
        </w:rPr>
      </w:pPr>
    </w:p>
    <w:p w14:paraId="36791A40" w14:textId="77777777" w:rsidR="00E23449" w:rsidRPr="007C37B0" w:rsidRDefault="00E23449" w:rsidP="00E23449">
      <w:pPr>
        <w:widowControl w:val="0"/>
        <w:autoSpaceDE w:val="0"/>
        <w:autoSpaceDN w:val="0"/>
        <w:adjustRightInd w:val="0"/>
        <w:ind w:firstLine="720"/>
        <w:rPr>
          <w:color w:val="000000" w:themeColor="text1"/>
          <w:lang w:val="en-US"/>
        </w:rPr>
      </w:pPr>
      <w:r w:rsidRPr="007C37B0">
        <w:rPr>
          <w:color w:val="000000" w:themeColor="text1"/>
          <w:lang w:val="en-US"/>
        </w:rPr>
        <w:t>The dependent variable I*</w:t>
      </w:r>
      <w:r w:rsidRPr="007C37B0">
        <w:rPr>
          <w:color w:val="000000" w:themeColor="text1"/>
          <w:vertAlign w:val="subscript"/>
          <w:lang w:val="en-US"/>
        </w:rPr>
        <w:t>i</w:t>
      </w:r>
      <w:r w:rsidRPr="007C37B0">
        <w:rPr>
          <w:color w:val="000000" w:themeColor="text1"/>
          <w:lang w:val="en-US"/>
        </w:rPr>
        <w:t xml:space="preserve"> indicates whether a firm increases its advertising investments or not, and this choice is explained by variables in the vector Z</w:t>
      </w:r>
      <w:r w:rsidRPr="007C37B0">
        <w:rPr>
          <w:color w:val="000000" w:themeColor="text1"/>
          <w:vertAlign w:val="subscript"/>
          <w:lang w:val="en-US"/>
        </w:rPr>
        <w:t>i</w:t>
      </w:r>
      <w:r w:rsidRPr="007C37B0">
        <w:rPr>
          <w:color w:val="000000" w:themeColor="text1"/>
          <w:lang w:val="en-US"/>
        </w:rPr>
        <w:t xml:space="preserve"> including firm size, profitability, stock returns, sales growth and financial leverage, as well as industry earnings response sensitivity and whether the firm operates in a B2B industry (for the justification and operationalization hereof, see the nomological validity analyses </w:t>
      </w:r>
      <w:r>
        <w:rPr>
          <w:color w:val="000000" w:themeColor="text1"/>
          <w:lang w:val="en-US"/>
        </w:rPr>
        <w:t>in</w:t>
      </w:r>
      <w:r w:rsidRPr="007C37B0">
        <w:rPr>
          <w:color w:val="000000" w:themeColor="text1"/>
          <w:lang w:val="en-US"/>
        </w:rPr>
        <w:t xml:space="preserve"> the paper). The latter two variables serve as exclusion restrictions as they should be correlated with the firm’s choice to increase advertising investments, but be independent of </w:t>
      </w:r>
      <w:r>
        <w:rPr>
          <w:color w:val="000000" w:themeColor="text1"/>
          <w:lang w:val="en-US"/>
        </w:rPr>
        <w:t>Tobin’s q</w:t>
      </w:r>
      <w:r w:rsidRPr="007C37B0">
        <w:rPr>
          <w:color w:val="000000" w:themeColor="text1"/>
          <w:lang w:val="en-US"/>
        </w:rPr>
        <w:t xml:space="preserve">. We estimate this first-stage equation with a </w:t>
      </w:r>
      <w:proofErr w:type="spellStart"/>
      <w:r w:rsidRPr="007C37B0">
        <w:rPr>
          <w:color w:val="000000" w:themeColor="text1"/>
          <w:lang w:val="en-US"/>
        </w:rPr>
        <w:t>probit</w:t>
      </w:r>
      <w:proofErr w:type="spellEnd"/>
      <w:r w:rsidRPr="007C37B0">
        <w:rPr>
          <w:color w:val="000000" w:themeColor="text1"/>
          <w:lang w:val="en-US"/>
        </w:rPr>
        <w:t xml:space="preserve"> model. Using the estimates, the inverse Mills ratio can be computed, calculated as a ratio of the cumulative distribution of the standard normal function and its density function. </w:t>
      </w:r>
    </w:p>
    <w:p w14:paraId="5EF0C8B6" w14:textId="77777777" w:rsidR="00E23449" w:rsidRPr="007C37B0" w:rsidRDefault="00E23449" w:rsidP="00E23449">
      <w:pPr>
        <w:widowControl w:val="0"/>
        <w:autoSpaceDE w:val="0"/>
        <w:autoSpaceDN w:val="0"/>
        <w:adjustRightInd w:val="0"/>
        <w:ind w:firstLine="720"/>
        <w:rPr>
          <w:color w:val="000000" w:themeColor="text1"/>
          <w:lang w:val="en-US"/>
        </w:rPr>
      </w:pPr>
      <w:r w:rsidRPr="007C37B0">
        <w:rPr>
          <w:color w:val="000000" w:themeColor="text1"/>
          <w:lang w:val="en-US"/>
        </w:rPr>
        <w:t xml:space="preserve">Equation F2 analyzes firm value, proxied by Tobin’s q, following shareholder complaints for firms that increase their advertising investments, while Equation F3 does the same for firms that did not increase advertising investments (based on Equation 3). Given that either Equation F2 or F3 is realized depending on the firm increasing advertising investments, the observed firm value is a conditional variable and the models cannot be consistently estimated by means of ordinary least squares (OLS). We therefore augment both equations F2 and F3 with the inverse Mills ratio as additional regressor, generating Equations F2’ and F3’, respectively, which we estimate using bootstrapped standard errors. Next, one can compute the hypothetical firm value for firms increasing their advertising investments had they not increased advertising investments using Equation F3’, and the hypothetical firm value for firms not increasing their advertising investments had they increased their advertising investments using equation F2’. Specifically, the estimates of F3’ can be used to compute the mean of firm value for firms that increased their advertising investments had they chosen not to do so, and the estimates of F2’ can be used to predict the mean value of firms that did not increase advertising investments had they chosen to do so. A comparison of the expected firm value for firms under their chosen advertising investment strategy and the expected firm value under the nonpreferred advertising investment alternative provides a measure of the likely change in </w:t>
      </w:r>
      <w:r>
        <w:rPr>
          <w:color w:val="000000" w:themeColor="text1"/>
          <w:lang w:val="en-US"/>
        </w:rPr>
        <w:t>Tobin’s q</w:t>
      </w:r>
      <w:r w:rsidRPr="007C37B0">
        <w:rPr>
          <w:color w:val="000000" w:themeColor="text1"/>
          <w:lang w:val="en-US"/>
        </w:rPr>
        <w:t xml:space="preserve"> if firms were forced to switch to the other alternative. Table F1 presents the results of this counterfactual analysis. The difference between actual firm value</w:t>
      </w:r>
      <w:r>
        <w:rPr>
          <w:color w:val="000000" w:themeColor="text1"/>
          <w:lang w:val="en-US"/>
        </w:rPr>
        <w:t>, as proxied by Tobin’s q,</w:t>
      </w:r>
      <w:r w:rsidRPr="007C37B0">
        <w:rPr>
          <w:color w:val="000000" w:themeColor="text1"/>
          <w:lang w:val="en-US"/>
        </w:rPr>
        <w:t xml:space="preserve"> of firms that chose to advertise and the hypothetical firm value estimated from the above what-if analysis yields the firm value improvement attributable to increasing advertising investments after shareholder complaints.</w:t>
      </w:r>
    </w:p>
    <w:p w14:paraId="5650E88D" w14:textId="77777777" w:rsidR="00E23449" w:rsidRPr="007C37B0" w:rsidRDefault="00E23449" w:rsidP="00E23449">
      <w:pPr>
        <w:widowControl w:val="0"/>
        <w:autoSpaceDE w:val="0"/>
        <w:autoSpaceDN w:val="0"/>
        <w:adjustRightInd w:val="0"/>
        <w:jc w:val="center"/>
        <w:rPr>
          <w:b/>
          <w:caps/>
          <w:color w:val="000000" w:themeColor="text1"/>
          <w:lang w:val="en-US"/>
        </w:rPr>
      </w:pPr>
      <w:r w:rsidRPr="007C37B0">
        <w:rPr>
          <w:b/>
          <w:caps/>
          <w:color w:val="000000" w:themeColor="text1"/>
          <w:lang w:val="en-US"/>
        </w:rPr>
        <w:lastRenderedPageBreak/>
        <w:t xml:space="preserve">Table F1: Actual and Hypothetical Firm Value Following Advertising Investment Response for Firms Receiving Shareholder </w:t>
      </w:r>
      <w:proofErr w:type="spellStart"/>
      <w:r w:rsidRPr="007C37B0">
        <w:rPr>
          <w:b/>
          <w:caps/>
          <w:color w:val="000000" w:themeColor="text1"/>
          <w:lang w:val="en-US"/>
        </w:rPr>
        <w:t>Complaints</w:t>
      </w:r>
      <w:r>
        <w:rPr>
          <w:b/>
          <w:color w:val="000000" w:themeColor="text1"/>
          <w:vertAlign w:val="superscript"/>
          <w:lang w:val="en-US"/>
        </w:rPr>
        <w:t>a</w:t>
      </w:r>
      <w:proofErr w:type="spellEnd"/>
    </w:p>
    <w:p w14:paraId="78F63B6A" w14:textId="77777777" w:rsidR="00E23449" w:rsidRPr="007C37B0" w:rsidRDefault="00E23449" w:rsidP="00E23449">
      <w:pPr>
        <w:widowControl w:val="0"/>
        <w:autoSpaceDE w:val="0"/>
        <w:autoSpaceDN w:val="0"/>
        <w:adjustRightInd w:val="0"/>
        <w:jc w:val="center"/>
        <w:rPr>
          <w:b/>
          <w:color w:val="000000" w:themeColor="text1"/>
          <w:lang w:val="en-US"/>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2736"/>
        <w:gridCol w:w="2977"/>
        <w:gridCol w:w="2835"/>
      </w:tblGrid>
      <w:tr w:rsidR="00E23449" w:rsidRPr="007C37B0" w14:paraId="0793D398" w14:textId="77777777" w:rsidTr="00D15FF7">
        <w:tc>
          <w:tcPr>
            <w:tcW w:w="9498" w:type="dxa"/>
            <w:gridSpan w:val="4"/>
            <w:tcBorders>
              <w:top w:val="single" w:sz="4" w:space="0" w:color="auto"/>
              <w:bottom w:val="single" w:sz="4" w:space="0" w:color="auto"/>
            </w:tcBorders>
          </w:tcPr>
          <w:p w14:paraId="19525BAE" w14:textId="77777777" w:rsidR="00E23449" w:rsidRPr="007C37B0" w:rsidRDefault="00E23449" w:rsidP="00D15FF7">
            <w:pPr>
              <w:widowControl w:val="0"/>
              <w:autoSpaceDE w:val="0"/>
              <w:autoSpaceDN w:val="0"/>
              <w:adjustRightInd w:val="0"/>
              <w:jc w:val="center"/>
              <w:rPr>
                <w:b/>
                <w:color w:val="000000" w:themeColor="text1"/>
                <w:lang w:val="en-US"/>
              </w:rPr>
            </w:pPr>
            <w:r w:rsidRPr="00064F56">
              <w:rPr>
                <w:b/>
                <w:color w:val="000000" w:themeColor="text1"/>
                <w:lang w:val="en-US"/>
              </w:rPr>
              <w:t>Firms increasing advertising investments</w:t>
            </w:r>
          </w:p>
        </w:tc>
      </w:tr>
      <w:tr w:rsidR="00E23449" w:rsidRPr="00224536" w14:paraId="7496B7A2" w14:textId="77777777" w:rsidTr="00D15FF7">
        <w:tc>
          <w:tcPr>
            <w:tcW w:w="950" w:type="dxa"/>
            <w:tcBorders>
              <w:top w:val="single" w:sz="4" w:space="0" w:color="auto"/>
              <w:bottom w:val="single" w:sz="4" w:space="0" w:color="auto"/>
            </w:tcBorders>
          </w:tcPr>
          <w:p w14:paraId="4D29163B" w14:textId="77777777" w:rsidR="00E23449" w:rsidRPr="007C37B0" w:rsidRDefault="00E23449" w:rsidP="00D15FF7">
            <w:pPr>
              <w:widowControl w:val="0"/>
              <w:autoSpaceDE w:val="0"/>
              <w:autoSpaceDN w:val="0"/>
              <w:adjustRightInd w:val="0"/>
              <w:rPr>
                <w:b/>
                <w:color w:val="000000" w:themeColor="text1"/>
                <w:lang w:val="en-US"/>
              </w:rPr>
            </w:pPr>
          </w:p>
        </w:tc>
        <w:tc>
          <w:tcPr>
            <w:tcW w:w="2736" w:type="dxa"/>
            <w:tcBorders>
              <w:top w:val="single" w:sz="4" w:space="0" w:color="auto"/>
              <w:bottom w:val="single" w:sz="4" w:space="0" w:color="auto"/>
            </w:tcBorders>
          </w:tcPr>
          <w:p w14:paraId="3C46AF20" w14:textId="77777777" w:rsidR="00E23449" w:rsidRPr="007C37B0" w:rsidRDefault="00E23449" w:rsidP="00D15FF7">
            <w:pPr>
              <w:widowControl w:val="0"/>
              <w:autoSpaceDE w:val="0"/>
              <w:autoSpaceDN w:val="0"/>
              <w:adjustRightInd w:val="0"/>
              <w:jc w:val="center"/>
              <w:rPr>
                <w:color w:val="000000" w:themeColor="text1"/>
                <w:lang w:val="en-US"/>
              </w:rPr>
            </w:pPr>
            <w:r w:rsidRPr="007C37B0">
              <w:rPr>
                <w:color w:val="000000" w:themeColor="text1"/>
                <w:lang w:val="en-US"/>
              </w:rPr>
              <w:t>Actual firm value</w:t>
            </w:r>
          </w:p>
        </w:tc>
        <w:tc>
          <w:tcPr>
            <w:tcW w:w="2977" w:type="dxa"/>
            <w:tcBorders>
              <w:top w:val="single" w:sz="4" w:space="0" w:color="auto"/>
              <w:bottom w:val="single" w:sz="4" w:space="0" w:color="auto"/>
            </w:tcBorders>
          </w:tcPr>
          <w:p w14:paraId="7EB9225B" w14:textId="77777777" w:rsidR="00E23449" w:rsidRPr="007C37B0" w:rsidRDefault="00E23449" w:rsidP="00D15FF7">
            <w:pPr>
              <w:widowControl w:val="0"/>
              <w:autoSpaceDE w:val="0"/>
              <w:autoSpaceDN w:val="0"/>
              <w:adjustRightInd w:val="0"/>
              <w:jc w:val="center"/>
              <w:rPr>
                <w:color w:val="000000" w:themeColor="text1"/>
                <w:lang w:val="en-US"/>
              </w:rPr>
            </w:pPr>
            <w:r w:rsidRPr="007C37B0">
              <w:rPr>
                <w:color w:val="000000" w:themeColor="text1"/>
                <w:lang w:val="en-US"/>
              </w:rPr>
              <w:t>Firm value had firms not increased advertising investments</w:t>
            </w:r>
          </w:p>
        </w:tc>
        <w:tc>
          <w:tcPr>
            <w:tcW w:w="2835" w:type="dxa"/>
            <w:tcBorders>
              <w:top w:val="single" w:sz="4" w:space="0" w:color="auto"/>
              <w:bottom w:val="single" w:sz="4" w:space="0" w:color="auto"/>
            </w:tcBorders>
          </w:tcPr>
          <w:p w14:paraId="1F68050E" w14:textId="77777777" w:rsidR="00E23449" w:rsidRPr="007C37B0" w:rsidRDefault="00E23449" w:rsidP="00D15FF7">
            <w:pPr>
              <w:widowControl w:val="0"/>
              <w:autoSpaceDE w:val="0"/>
              <w:autoSpaceDN w:val="0"/>
              <w:adjustRightInd w:val="0"/>
              <w:jc w:val="center"/>
              <w:rPr>
                <w:color w:val="000000" w:themeColor="text1"/>
                <w:lang w:val="en-US"/>
              </w:rPr>
            </w:pPr>
            <w:r w:rsidRPr="007C37B0">
              <w:rPr>
                <w:color w:val="000000" w:themeColor="text1"/>
                <w:lang w:val="en-US"/>
              </w:rPr>
              <w:t xml:space="preserve">Firm value improvement through increasing advertising </w:t>
            </w:r>
            <w:proofErr w:type="spellStart"/>
            <w:r w:rsidRPr="007C37B0">
              <w:rPr>
                <w:color w:val="000000" w:themeColor="text1"/>
                <w:lang w:val="en-US"/>
              </w:rPr>
              <w:t>investments</w:t>
            </w:r>
            <w:r>
              <w:rPr>
                <w:color w:val="000000" w:themeColor="text1"/>
                <w:vertAlign w:val="superscript"/>
                <w:lang w:val="en-US"/>
              </w:rPr>
              <w:t>b</w:t>
            </w:r>
            <w:proofErr w:type="spellEnd"/>
          </w:p>
        </w:tc>
      </w:tr>
      <w:tr w:rsidR="00E23449" w:rsidRPr="007C37B0" w14:paraId="01FD272B" w14:textId="77777777" w:rsidTr="00D15FF7">
        <w:trPr>
          <w:trHeight w:val="279"/>
        </w:trPr>
        <w:tc>
          <w:tcPr>
            <w:tcW w:w="950" w:type="dxa"/>
            <w:tcBorders>
              <w:top w:val="single" w:sz="4" w:space="0" w:color="auto"/>
              <w:bottom w:val="single" w:sz="4" w:space="0" w:color="auto"/>
            </w:tcBorders>
          </w:tcPr>
          <w:p w14:paraId="550FC1FA" w14:textId="77777777" w:rsidR="00E23449" w:rsidRPr="007C37B0" w:rsidRDefault="00E23449" w:rsidP="00D15FF7">
            <w:pPr>
              <w:widowControl w:val="0"/>
              <w:autoSpaceDE w:val="0"/>
              <w:autoSpaceDN w:val="0"/>
              <w:adjustRightInd w:val="0"/>
              <w:rPr>
                <w:color w:val="000000" w:themeColor="text1"/>
              </w:rPr>
            </w:pPr>
            <w:r w:rsidRPr="007C37B0">
              <w:rPr>
                <w:color w:val="000000" w:themeColor="text1"/>
              </w:rPr>
              <w:t>Mean</w:t>
            </w:r>
          </w:p>
        </w:tc>
        <w:tc>
          <w:tcPr>
            <w:tcW w:w="2736" w:type="dxa"/>
            <w:tcBorders>
              <w:top w:val="single" w:sz="4" w:space="0" w:color="auto"/>
              <w:bottom w:val="single" w:sz="4" w:space="0" w:color="auto"/>
            </w:tcBorders>
          </w:tcPr>
          <w:p w14:paraId="58918509" w14:textId="77777777" w:rsidR="00E23449" w:rsidRPr="007C37B0" w:rsidRDefault="00E23449" w:rsidP="00D15FF7">
            <w:pPr>
              <w:widowControl w:val="0"/>
              <w:autoSpaceDE w:val="0"/>
              <w:autoSpaceDN w:val="0"/>
              <w:adjustRightInd w:val="0"/>
              <w:jc w:val="center"/>
              <w:rPr>
                <w:color w:val="000000" w:themeColor="text1"/>
              </w:rPr>
            </w:pPr>
            <w:r w:rsidRPr="007C37B0">
              <w:rPr>
                <w:color w:val="000000" w:themeColor="text1"/>
              </w:rPr>
              <w:t>1.617</w:t>
            </w:r>
          </w:p>
        </w:tc>
        <w:tc>
          <w:tcPr>
            <w:tcW w:w="2977" w:type="dxa"/>
            <w:tcBorders>
              <w:top w:val="single" w:sz="4" w:space="0" w:color="auto"/>
              <w:bottom w:val="single" w:sz="4" w:space="0" w:color="auto"/>
            </w:tcBorders>
          </w:tcPr>
          <w:p w14:paraId="61A995B7" w14:textId="77777777" w:rsidR="00E23449" w:rsidRPr="007C37B0" w:rsidRDefault="00E23449" w:rsidP="00D15FF7">
            <w:pPr>
              <w:widowControl w:val="0"/>
              <w:autoSpaceDE w:val="0"/>
              <w:autoSpaceDN w:val="0"/>
              <w:adjustRightInd w:val="0"/>
              <w:jc w:val="center"/>
              <w:rPr>
                <w:color w:val="000000" w:themeColor="text1"/>
              </w:rPr>
            </w:pPr>
            <w:r w:rsidRPr="007C37B0">
              <w:rPr>
                <w:color w:val="000000" w:themeColor="text1"/>
              </w:rPr>
              <w:t>1.560</w:t>
            </w:r>
          </w:p>
        </w:tc>
        <w:tc>
          <w:tcPr>
            <w:tcW w:w="2835" w:type="dxa"/>
            <w:tcBorders>
              <w:top w:val="single" w:sz="4" w:space="0" w:color="auto"/>
              <w:bottom w:val="single" w:sz="4" w:space="0" w:color="auto"/>
            </w:tcBorders>
          </w:tcPr>
          <w:p w14:paraId="41E17974" w14:textId="77777777" w:rsidR="00E23449" w:rsidRPr="007C37B0" w:rsidRDefault="00E23449" w:rsidP="00D15FF7">
            <w:pPr>
              <w:widowControl w:val="0"/>
              <w:autoSpaceDE w:val="0"/>
              <w:autoSpaceDN w:val="0"/>
              <w:adjustRightInd w:val="0"/>
              <w:jc w:val="center"/>
              <w:rPr>
                <w:color w:val="000000" w:themeColor="text1"/>
              </w:rPr>
            </w:pPr>
            <w:r w:rsidRPr="007C37B0">
              <w:rPr>
                <w:color w:val="000000" w:themeColor="text1"/>
              </w:rPr>
              <w:t>.057**</w:t>
            </w:r>
          </w:p>
        </w:tc>
      </w:tr>
      <w:tr w:rsidR="00E23449" w:rsidRPr="00224536" w14:paraId="57062146" w14:textId="77777777" w:rsidTr="00D15FF7">
        <w:tc>
          <w:tcPr>
            <w:tcW w:w="9498" w:type="dxa"/>
            <w:gridSpan w:val="4"/>
            <w:tcBorders>
              <w:top w:val="single" w:sz="4" w:space="0" w:color="auto"/>
              <w:bottom w:val="single" w:sz="4" w:space="0" w:color="auto"/>
            </w:tcBorders>
          </w:tcPr>
          <w:p w14:paraId="67D44FCC" w14:textId="77777777" w:rsidR="00E23449" w:rsidRPr="007C37B0" w:rsidDel="00F471C1" w:rsidRDefault="00E23449" w:rsidP="00D15FF7">
            <w:pPr>
              <w:widowControl w:val="0"/>
              <w:autoSpaceDE w:val="0"/>
              <w:autoSpaceDN w:val="0"/>
              <w:adjustRightInd w:val="0"/>
              <w:jc w:val="center"/>
              <w:rPr>
                <w:b/>
                <w:color w:val="000000" w:themeColor="text1"/>
                <w:lang w:val="en-US"/>
              </w:rPr>
            </w:pPr>
            <w:r w:rsidRPr="007C37B0">
              <w:rPr>
                <w:b/>
                <w:color w:val="000000" w:themeColor="text1"/>
                <w:lang w:val="en-US"/>
              </w:rPr>
              <w:t>Firms not increasing advertising investments</w:t>
            </w:r>
          </w:p>
        </w:tc>
      </w:tr>
      <w:tr w:rsidR="00E23449" w:rsidRPr="00224536" w14:paraId="602F7059" w14:textId="77777777" w:rsidTr="00D15FF7">
        <w:tc>
          <w:tcPr>
            <w:tcW w:w="950" w:type="dxa"/>
            <w:tcBorders>
              <w:top w:val="single" w:sz="4" w:space="0" w:color="auto"/>
              <w:bottom w:val="single" w:sz="4" w:space="0" w:color="auto"/>
            </w:tcBorders>
          </w:tcPr>
          <w:p w14:paraId="213754F2" w14:textId="77777777" w:rsidR="00E23449" w:rsidRPr="00064F56" w:rsidRDefault="00E23449" w:rsidP="00D15FF7">
            <w:pPr>
              <w:widowControl w:val="0"/>
              <w:autoSpaceDE w:val="0"/>
              <w:autoSpaceDN w:val="0"/>
              <w:adjustRightInd w:val="0"/>
              <w:rPr>
                <w:b/>
                <w:color w:val="000000" w:themeColor="text1"/>
                <w:sz w:val="24"/>
                <w:szCs w:val="24"/>
                <w:lang w:val="en-US"/>
              </w:rPr>
            </w:pPr>
          </w:p>
        </w:tc>
        <w:tc>
          <w:tcPr>
            <w:tcW w:w="2736" w:type="dxa"/>
            <w:tcBorders>
              <w:top w:val="single" w:sz="4" w:space="0" w:color="auto"/>
              <w:bottom w:val="single" w:sz="4" w:space="0" w:color="auto"/>
            </w:tcBorders>
          </w:tcPr>
          <w:p w14:paraId="62C28B93" w14:textId="77777777" w:rsidR="00E23449" w:rsidRPr="007C37B0" w:rsidRDefault="00E23449" w:rsidP="00D15FF7">
            <w:pPr>
              <w:widowControl w:val="0"/>
              <w:autoSpaceDE w:val="0"/>
              <w:autoSpaceDN w:val="0"/>
              <w:adjustRightInd w:val="0"/>
              <w:jc w:val="center"/>
              <w:rPr>
                <w:color w:val="000000" w:themeColor="text1"/>
                <w:sz w:val="24"/>
                <w:szCs w:val="24"/>
                <w:lang w:val="en-US"/>
              </w:rPr>
            </w:pPr>
            <w:r w:rsidRPr="007C37B0">
              <w:rPr>
                <w:color w:val="000000" w:themeColor="text1"/>
                <w:lang w:val="en-US"/>
              </w:rPr>
              <w:t>Actual firm value</w:t>
            </w:r>
          </w:p>
        </w:tc>
        <w:tc>
          <w:tcPr>
            <w:tcW w:w="2977" w:type="dxa"/>
            <w:tcBorders>
              <w:top w:val="single" w:sz="4" w:space="0" w:color="auto"/>
              <w:bottom w:val="single" w:sz="4" w:space="0" w:color="auto"/>
            </w:tcBorders>
          </w:tcPr>
          <w:p w14:paraId="5C716110" w14:textId="77777777" w:rsidR="00E23449" w:rsidRPr="007C37B0" w:rsidRDefault="00E23449" w:rsidP="00D15FF7">
            <w:pPr>
              <w:widowControl w:val="0"/>
              <w:autoSpaceDE w:val="0"/>
              <w:autoSpaceDN w:val="0"/>
              <w:adjustRightInd w:val="0"/>
              <w:jc w:val="center"/>
              <w:rPr>
                <w:color w:val="000000" w:themeColor="text1"/>
                <w:sz w:val="24"/>
                <w:szCs w:val="24"/>
                <w:lang w:val="en-US"/>
              </w:rPr>
            </w:pPr>
            <w:r w:rsidRPr="007C37B0">
              <w:rPr>
                <w:color w:val="000000" w:themeColor="text1"/>
                <w:lang w:val="en-US"/>
              </w:rPr>
              <w:t>Firm value had firms increased advertising investments</w:t>
            </w:r>
          </w:p>
        </w:tc>
        <w:tc>
          <w:tcPr>
            <w:tcW w:w="2835" w:type="dxa"/>
            <w:tcBorders>
              <w:top w:val="single" w:sz="4" w:space="0" w:color="auto"/>
              <w:bottom w:val="single" w:sz="4" w:space="0" w:color="auto"/>
            </w:tcBorders>
          </w:tcPr>
          <w:p w14:paraId="04A59AC7" w14:textId="77777777" w:rsidR="00E23449" w:rsidRPr="007C37B0" w:rsidRDefault="00E23449" w:rsidP="00D15FF7">
            <w:pPr>
              <w:widowControl w:val="0"/>
              <w:autoSpaceDE w:val="0"/>
              <w:autoSpaceDN w:val="0"/>
              <w:adjustRightInd w:val="0"/>
              <w:jc w:val="center"/>
              <w:rPr>
                <w:color w:val="000000" w:themeColor="text1"/>
                <w:sz w:val="24"/>
                <w:szCs w:val="24"/>
                <w:vertAlign w:val="superscript"/>
                <w:lang w:val="en-US"/>
              </w:rPr>
            </w:pPr>
            <w:r w:rsidRPr="007C37B0">
              <w:rPr>
                <w:color w:val="000000" w:themeColor="text1"/>
                <w:lang w:val="en-US"/>
              </w:rPr>
              <w:t xml:space="preserve">Firm value deterioration through not increasing advertising </w:t>
            </w:r>
            <w:proofErr w:type="spellStart"/>
            <w:r w:rsidRPr="007C37B0">
              <w:rPr>
                <w:color w:val="000000" w:themeColor="text1"/>
                <w:lang w:val="en-US"/>
              </w:rPr>
              <w:t>investments</w:t>
            </w:r>
            <w:r>
              <w:rPr>
                <w:color w:val="000000" w:themeColor="text1"/>
                <w:vertAlign w:val="superscript"/>
                <w:lang w:val="en-US"/>
              </w:rPr>
              <w:t>b</w:t>
            </w:r>
            <w:proofErr w:type="spellEnd"/>
          </w:p>
        </w:tc>
      </w:tr>
      <w:tr w:rsidR="00E23449" w:rsidRPr="00FB6512" w14:paraId="329F8298" w14:textId="77777777" w:rsidTr="00D15FF7">
        <w:tc>
          <w:tcPr>
            <w:tcW w:w="950" w:type="dxa"/>
            <w:tcBorders>
              <w:top w:val="single" w:sz="4" w:space="0" w:color="auto"/>
              <w:bottom w:val="single" w:sz="4" w:space="0" w:color="auto"/>
            </w:tcBorders>
          </w:tcPr>
          <w:p w14:paraId="16F5FF0B" w14:textId="77777777" w:rsidR="00E23449" w:rsidRPr="00064F56" w:rsidRDefault="00E23449" w:rsidP="00D15FF7">
            <w:pPr>
              <w:widowControl w:val="0"/>
              <w:autoSpaceDE w:val="0"/>
              <w:autoSpaceDN w:val="0"/>
              <w:adjustRightInd w:val="0"/>
              <w:rPr>
                <w:color w:val="000000" w:themeColor="text1"/>
                <w:sz w:val="24"/>
                <w:szCs w:val="24"/>
              </w:rPr>
            </w:pPr>
            <w:r w:rsidRPr="00064F56">
              <w:rPr>
                <w:color w:val="000000" w:themeColor="text1"/>
              </w:rPr>
              <w:t>Mean</w:t>
            </w:r>
          </w:p>
        </w:tc>
        <w:tc>
          <w:tcPr>
            <w:tcW w:w="2736" w:type="dxa"/>
            <w:tcBorders>
              <w:top w:val="single" w:sz="4" w:space="0" w:color="auto"/>
              <w:bottom w:val="single" w:sz="4" w:space="0" w:color="auto"/>
            </w:tcBorders>
          </w:tcPr>
          <w:p w14:paraId="7646145F" w14:textId="77777777" w:rsidR="00E23449" w:rsidRPr="00064F56" w:rsidRDefault="00E23449" w:rsidP="00D15FF7">
            <w:pPr>
              <w:widowControl w:val="0"/>
              <w:autoSpaceDE w:val="0"/>
              <w:autoSpaceDN w:val="0"/>
              <w:adjustRightInd w:val="0"/>
              <w:jc w:val="center"/>
              <w:rPr>
                <w:color w:val="000000" w:themeColor="text1"/>
                <w:sz w:val="24"/>
                <w:szCs w:val="24"/>
              </w:rPr>
            </w:pPr>
            <w:r w:rsidRPr="00064F56">
              <w:rPr>
                <w:color w:val="000000" w:themeColor="text1"/>
              </w:rPr>
              <w:t>1.465</w:t>
            </w:r>
          </w:p>
        </w:tc>
        <w:tc>
          <w:tcPr>
            <w:tcW w:w="2977" w:type="dxa"/>
            <w:tcBorders>
              <w:top w:val="single" w:sz="4" w:space="0" w:color="auto"/>
              <w:bottom w:val="single" w:sz="4" w:space="0" w:color="auto"/>
            </w:tcBorders>
          </w:tcPr>
          <w:p w14:paraId="7988765F" w14:textId="77777777" w:rsidR="00E23449" w:rsidRPr="00064F56" w:rsidRDefault="00E23449" w:rsidP="00D15FF7">
            <w:pPr>
              <w:widowControl w:val="0"/>
              <w:autoSpaceDE w:val="0"/>
              <w:autoSpaceDN w:val="0"/>
              <w:adjustRightInd w:val="0"/>
              <w:jc w:val="center"/>
              <w:rPr>
                <w:color w:val="000000" w:themeColor="text1"/>
                <w:sz w:val="24"/>
                <w:szCs w:val="24"/>
              </w:rPr>
            </w:pPr>
            <w:r w:rsidRPr="00064F56">
              <w:rPr>
                <w:color w:val="000000" w:themeColor="text1"/>
              </w:rPr>
              <w:t>1.617</w:t>
            </w:r>
          </w:p>
        </w:tc>
        <w:tc>
          <w:tcPr>
            <w:tcW w:w="2835" w:type="dxa"/>
            <w:tcBorders>
              <w:top w:val="single" w:sz="4" w:space="0" w:color="auto"/>
              <w:bottom w:val="single" w:sz="4" w:space="0" w:color="auto"/>
            </w:tcBorders>
          </w:tcPr>
          <w:p w14:paraId="03321014" w14:textId="77777777" w:rsidR="00E23449" w:rsidRPr="00064F56" w:rsidRDefault="00E23449" w:rsidP="00D15FF7">
            <w:pPr>
              <w:widowControl w:val="0"/>
              <w:autoSpaceDE w:val="0"/>
              <w:autoSpaceDN w:val="0"/>
              <w:adjustRightInd w:val="0"/>
              <w:jc w:val="center"/>
              <w:rPr>
                <w:color w:val="000000" w:themeColor="text1"/>
                <w:sz w:val="24"/>
                <w:szCs w:val="24"/>
              </w:rPr>
            </w:pPr>
            <w:r w:rsidRPr="00064F56">
              <w:rPr>
                <w:color w:val="000000" w:themeColor="text1"/>
              </w:rPr>
              <w:t>-</w:t>
            </w:r>
            <w:r>
              <w:rPr>
                <w:color w:val="000000" w:themeColor="text1"/>
              </w:rPr>
              <w:t>.</w:t>
            </w:r>
            <w:r w:rsidRPr="00064F56">
              <w:rPr>
                <w:color w:val="000000" w:themeColor="text1"/>
              </w:rPr>
              <w:t>152***</w:t>
            </w:r>
          </w:p>
        </w:tc>
      </w:tr>
    </w:tbl>
    <w:p w14:paraId="2C61C4F5" w14:textId="77777777" w:rsidR="00E23449" w:rsidRPr="00064F56" w:rsidRDefault="00E23449" w:rsidP="00E23449">
      <w:pPr>
        <w:widowControl w:val="0"/>
        <w:autoSpaceDE w:val="0"/>
        <w:autoSpaceDN w:val="0"/>
        <w:adjustRightInd w:val="0"/>
        <w:jc w:val="center"/>
        <w:rPr>
          <w:i/>
          <w:color w:val="000000" w:themeColor="text1"/>
          <w:sz w:val="6"/>
          <w:szCs w:val="6"/>
        </w:rPr>
      </w:pPr>
    </w:p>
    <w:p w14:paraId="3DCDBD47" w14:textId="77777777" w:rsidR="00E23449" w:rsidRPr="007C37B0" w:rsidRDefault="00E23449" w:rsidP="00E23449">
      <w:pPr>
        <w:widowControl w:val="0"/>
        <w:autoSpaceDE w:val="0"/>
        <w:autoSpaceDN w:val="0"/>
        <w:adjustRightInd w:val="0"/>
        <w:rPr>
          <w:color w:val="000000" w:themeColor="text1"/>
          <w:sz w:val="20"/>
          <w:szCs w:val="20"/>
          <w:lang w:val="en-US"/>
        </w:rPr>
      </w:pPr>
      <w:r w:rsidRPr="007C37B0">
        <w:rPr>
          <w:i/>
          <w:color w:val="000000" w:themeColor="text1"/>
          <w:sz w:val="20"/>
          <w:szCs w:val="20"/>
          <w:lang w:val="en-US"/>
        </w:rPr>
        <w:t>Notes</w:t>
      </w:r>
      <w:r w:rsidRPr="007C37B0">
        <w:rPr>
          <w:color w:val="000000" w:themeColor="text1"/>
          <w:sz w:val="20"/>
          <w:szCs w:val="20"/>
          <w:lang w:val="en-US"/>
        </w:rPr>
        <w:t xml:space="preserve">: </w:t>
      </w:r>
      <w:r w:rsidRPr="007C37B0">
        <w:rPr>
          <w:color w:val="000000" w:themeColor="text1"/>
          <w:sz w:val="20"/>
          <w:szCs w:val="20"/>
          <w:vertAlign w:val="superscript"/>
          <w:lang w:val="en-US"/>
        </w:rPr>
        <w:t>a</w:t>
      </w:r>
      <w:r w:rsidRPr="007C37B0">
        <w:rPr>
          <w:color w:val="000000" w:themeColor="text1"/>
          <w:sz w:val="20"/>
          <w:szCs w:val="20"/>
          <w:lang w:val="en-US"/>
        </w:rPr>
        <w:t xml:space="preserve"> Firm value proxied by Tobin’s q. </w:t>
      </w:r>
      <w:r w:rsidRPr="007C37B0">
        <w:rPr>
          <w:color w:val="000000" w:themeColor="text1"/>
          <w:sz w:val="20"/>
          <w:szCs w:val="20"/>
          <w:vertAlign w:val="superscript"/>
          <w:lang w:val="en-US"/>
        </w:rPr>
        <w:t>b</w:t>
      </w:r>
      <w:r w:rsidRPr="007C37B0">
        <w:rPr>
          <w:color w:val="000000" w:themeColor="text1"/>
          <w:sz w:val="20"/>
          <w:szCs w:val="20"/>
          <w:lang w:val="en-US"/>
        </w:rPr>
        <w:t xml:space="preserve"> Statistical significance calculated using rank-sum test.</w:t>
      </w:r>
      <w:r w:rsidRPr="007C37B0">
        <w:rPr>
          <w:color w:val="000000"/>
          <w:sz w:val="20"/>
          <w:szCs w:val="20"/>
          <w:lang w:val="en-US"/>
        </w:rPr>
        <w:t xml:space="preserve"> </w:t>
      </w:r>
      <w:r w:rsidRPr="007C37B0">
        <w:rPr>
          <w:sz w:val="20"/>
          <w:szCs w:val="20"/>
          <w:lang w:val="en-US"/>
        </w:rPr>
        <w:t>***</w:t>
      </w:r>
      <w:r w:rsidRPr="007C37B0">
        <w:rPr>
          <w:i/>
          <w:sz w:val="20"/>
          <w:szCs w:val="20"/>
          <w:lang w:val="en-US"/>
        </w:rPr>
        <w:t>p</w:t>
      </w:r>
      <w:r w:rsidRPr="007C37B0">
        <w:rPr>
          <w:sz w:val="20"/>
          <w:szCs w:val="20"/>
          <w:lang w:val="en-US"/>
        </w:rPr>
        <w:t>&lt;.01, **</w:t>
      </w:r>
      <w:r w:rsidRPr="007C37B0">
        <w:rPr>
          <w:i/>
          <w:sz w:val="20"/>
          <w:szCs w:val="20"/>
          <w:lang w:val="en-US"/>
        </w:rPr>
        <w:t>p</w:t>
      </w:r>
      <w:r w:rsidRPr="007C37B0">
        <w:rPr>
          <w:sz w:val="20"/>
          <w:szCs w:val="20"/>
          <w:lang w:val="en-US"/>
        </w:rPr>
        <w:t>&lt;.05, *</w:t>
      </w:r>
      <w:r w:rsidRPr="007C37B0">
        <w:rPr>
          <w:i/>
          <w:sz w:val="20"/>
          <w:szCs w:val="20"/>
          <w:lang w:val="en-US"/>
        </w:rPr>
        <w:t>p</w:t>
      </w:r>
      <w:r w:rsidRPr="007C37B0">
        <w:rPr>
          <w:sz w:val="20"/>
          <w:szCs w:val="20"/>
          <w:lang w:val="en-US"/>
        </w:rPr>
        <w:t>&lt;.1.</w:t>
      </w:r>
    </w:p>
    <w:p w14:paraId="18E31135" w14:textId="77777777" w:rsidR="00E23449" w:rsidRPr="007C37B0" w:rsidRDefault="00E23449" w:rsidP="00E23449">
      <w:pPr>
        <w:widowControl w:val="0"/>
        <w:autoSpaceDE w:val="0"/>
        <w:autoSpaceDN w:val="0"/>
        <w:adjustRightInd w:val="0"/>
        <w:rPr>
          <w:color w:val="000000" w:themeColor="text1"/>
          <w:lang w:val="en-US"/>
        </w:rPr>
      </w:pPr>
    </w:p>
    <w:p w14:paraId="385172E9" w14:textId="0691370C" w:rsidR="00623783" w:rsidRPr="007C37B0" w:rsidRDefault="00E23449" w:rsidP="00E23449">
      <w:pPr>
        <w:rPr>
          <w:b/>
          <w:caps/>
          <w:color w:val="000000" w:themeColor="text1"/>
          <w:lang w:val="en-US"/>
        </w:rPr>
      </w:pPr>
      <w:r w:rsidRPr="007C37B0">
        <w:rPr>
          <w:color w:val="000000" w:themeColor="text1"/>
          <w:lang w:val="en-US"/>
        </w:rPr>
        <w:br w:type="page"/>
      </w:r>
    </w:p>
    <w:p w14:paraId="7125F546" w14:textId="090FF2C7" w:rsidR="004F15D0" w:rsidRPr="007C37B0" w:rsidRDefault="00AB1DFA" w:rsidP="004B5C45">
      <w:pPr>
        <w:pStyle w:val="Heading1"/>
        <w:rPr>
          <w:color w:val="000000" w:themeColor="text1"/>
        </w:rPr>
      </w:pPr>
      <w:r w:rsidRPr="007C37B0">
        <w:rPr>
          <w:color w:val="000000" w:themeColor="text1"/>
        </w:rPr>
        <w:lastRenderedPageBreak/>
        <w:t xml:space="preserve">WEB APPENDIX </w:t>
      </w:r>
      <w:r w:rsidR="00E23449">
        <w:rPr>
          <w:color w:val="000000" w:themeColor="text1"/>
        </w:rPr>
        <w:t>G</w:t>
      </w:r>
      <w:r w:rsidR="0003111A" w:rsidRPr="007C37B0">
        <w:rPr>
          <w:color w:val="000000" w:themeColor="text1"/>
        </w:rPr>
        <w:t xml:space="preserve">: </w:t>
      </w:r>
      <w:r w:rsidR="0094427E" w:rsidRPr="007C37B0">
        <w:rPr>
          <w:color w:val="000000" w:themeColor="text1"/>
        </w:rPr>
        <w:t>Marginal Effects A</w:t>
      </w:r>
      <w:r w:rsidR="000C2404" w:rsidRPr="007C37B0">
        <w:rPr>
          <w:color w:val="000000" w:themeColor="text1"/>
        </w:rPr>
        <w:t>nalysis</w:t>
      </w:r>
    </w:p>
    <w:p w14:paraId="1EAB666C" w14:textId="77777777" w:rsidR="0094427E" w:rsidRPr="007C37B0" w:rsidRDefault="0094427E" w:rsidP="00D24B1E">
      <w:pPr>
        <w:rPr>
          <w:color w:val="000000" w:themeColor="text1"/>
          <w:lang w:val="en-US"/>
        </w:rPr>
      </w:pPr>
    </w:p>
    <w:p w14:paraId="714A47B7" w14:textId="39E2F1BD" w:rsidR="002257C6" w:rsidRPr="007C37B0" w:rsidRDefault="00E23449" w:rsidP="002257C6">
      <w:pPr>
        <w:rPr>
          <w:b/>
          <w:color w:val="000000" w:themeColor="text1"/>
          <w:lang w:val="en-US"/>
        </w:rPr>
      </w:pPr>
      <w:r>
        <w:rPr>
          <w:b/>
          <w:color w:val="000000" w:themeColor="text1"/>
          <w:lang w:val="en-US"/>
        </w:rPr>
        <w:t>G</w:t>
      </w:r>
      <w:r w:rsidR="00E014F0" w:rsidRPr="007C37B0">
        <w:rPr>
          <w:b/>
          <w:color w:val="000000" w:themeColor="text1"/>
          <w:lang w:val="en-US"/>
        </w:rPr>
        <w:t>1</w:t>
      </w:r>
      <w:r w:rsidR="002257C6" w:rsidRPr="007C37B0">
        <w:rPr>
          <w:b/>
          <w:color w:val="000000" w:themeColor="text1"/>
          <w:lang w:val="en-US"/>
        </w:rPr>
        <w:t xml:space="preserve">. </w:t>
      </w:r>
      <w:r w:rsidR="00D0174A" w:rsidRPr="007C37B0">
        <w:rPr>
          <w:b/>
          <w:color w:val="000000" w:themeColor="text1"/>
          <w:lang w:val="en-US"/>
        </w:rPr>
        <w:t xml:space="preserve">Managerial Decision Aid: </w:t>
      </w:r>
      <w:r w:rsidR="002257C6" w:rsidRPr="007C37B0">
        <w:rPr>
          <w:b/>
          <w:color w:val="000000" w:themeColor="text1"/>
          <w:lang w:val="en-US"/>
        </w:rPr>
        <w:t xml:space="preserve">Obtaining </w:t>
      </w:r>
      <w:r w:rsidR="00D0174A" w:rsidRPr="007C37B0">
        <w:rPr>
          <w:b/>
          <w:color w:val="000000" w:themeColor="text1"/>
          <w:lang w:val="en-US"/>
        </w:rPr>
        <w:t>M</w:t>
      </w:r>
      <w:r w:rsidR="002257C6" w:rsidRPr="007C37B0">
        <w:rPr>
          <w:b/>
          <w:color w:val="000000" w:themeColor="text1"/>
          <w:lang w:val="en-US"/>
        </w:rPr>
        <w:t>arginal Effect of Advertising Investments</w:t>
      </w:r>
    </w:p>
    <w:p w14:paraId="49AE3D27" w14:textId="77777777" w:rsidR="002257C6" w:rsidRPr="007C37B0" w:rsidRDefault="002257C6" w:rsidP="002257C6">
      <w:pPr>
        <w:rPr>
          <w:color w:val="000000" w:themeColor="text1"/>
          <w:lang w:val="en-US"/>
        </w:rPr>
      </w:pPr>
    </w:p>
    <w:p w14:paraId="3C6CDCCE" w14:textId="239101FE" w:rsidR="002257C6" w:rsidRPr="007C37B0" w:rsidRDefault="002257C6" w:rsidP="00AC0B1A">
      <w:pPr>
        <w:ind w:firstLine="360"/>
        <w:rPr>
          <w:color w:val="000000" w:themeColor="text1"/>
          <w:lang w:val="en-US"/>
        </w:rPr>
      </w:pPr>
      <w:r w:rsidRPr="007C37B0">
        <w:rPr>
          <w:color w:val="000000" w:themeColor="text1"/>
          <w:lang w:val="en-US"/>
        </w:rPr>
        <w:t>In the face of shareholder complaints, managers can use the following four-step procedure to calculate</w:t>
      </w:r>
      <w:r w:rsidR="005779F7" w:rsidRPr="007C37B0">
        <w:rPr>
          <w:color w:val="000000" w:themeColor="text1"/>
          <w:lang w:val="en-US"/>
        </w:rPr>
        <w:t xml:space="preserve"> customized</w:t>
      </w:r>
      <w:r w:rsidRPr="007C37B0">
        <w:rPr>
          <w:color w:val="000000" w:themeColor="text1"/>
          <w:lang w:val="en-US"/>
        </w:rPr>
        <w:t xml:space="preserve"> </w:t>
      </w:r>
      <w:r w:rsidR="00B42AD2" w:rsidRPr="007C37B0">
        <w:rPr>
          <w:color w:val="000000" w:themeColor="text1"/>
          <w:lang w:val="en-US"/>
        </w:rPr>
        <w:t>firm-specific</w:t>
      </w:r>
      <w:r w:rsidRPr="007C37B0">
        <w:rPr>
          <w:color w:val="000000" w:themeColor="text1"/>
          <w:lang w:val="en-US"/>
        </w:rPr>
        <w:t xml:space="preserve"> marginal effects of their advertising investments on </w:t>
      </w:r>
      <w:r w:rsidR="00985AF6">
        <w:rPr>
          <w:color w:val="000000" w:themeColor="text1"/>
          <w:lang w:val="en-US"/>
        </w:rPr>
        <w:t>firm value</w:t>
      </w:r>
      <w:r w:rsidRPr="007C37B0">
        <w:rPr>
          <w:color w:val="000000" w:themeColor="text1"/>
          <w:lang w:val="en-US"/>
        </w:rPr>
        <w:t xml:space="preserve"> in order to determine whether or not to </w:t>
      </w:r>
      <w:r w:rsidR="00B336C4" w:rsidRPr="007C37B0">
        <w:rPr>
          <w:color w:val="000000" w:themeColor="text1"/>
          <w:lang w:val="en-US"/>
        </w:rPr>
        <w:t xml:space="preserve">further </w:t>
      </w:r>
      <w:r w:rsidRPr="007C37B0">
        <w:rPr>
          <w:color w:val="000000" w:themeColor="text1"/>
          <w:lang w:val="en-US"/>
        </w:rPr>
        <w:t xml:space="preserve">adjust their advertising </w:t>
      </w:r>
      <w:r w:rsidR="00B806F2" w:rsidRPr="007C37B0">
        <w:rPr>
          <w:color w:val="000000" w:themeColor="text1"/>
          <w:lang w:val="en-US"/>
        </w:rPr>
        <w:t>investments</w:t>
      </w:r>
      <w:r w:rsidR="00B336C4" w:rsidRPr="007C37B0">
        <w:rPr>
          <w:color w:val="000000" w:themeColor="text1"/>
          <w:lang w:val="en-US"/>
        </w:rPr>
        <w:t>.</w:t>
      </w:r>
    </w:p>
    <w:p w14:paraId="375FAA4C" w14:textId="77777777" w:rsidR="002257C6" w:rsidRPr="007C37B0" w:rsidRDefault="002257C6" w:rsidP="002257C6">
      <w:pPr>
        <w:rPr>
          <w:color w:val="000000" w:themeColor="text1"/>
          <w:lang w:val="en-US"/>
        </w:rPr>
      </w:pPr>
    </w:p>
    <w:p w14:paraId="5B2B8866" w14:textId="13534CA0" w:rsidR="00FF4536" w:rsidRPr="007C37B0" w:rsidRDefault="002257C6" w:rsidP="00B80934">
      <w:pPr>
        <w:pStyle w:val="ListParagraph"/>
        <w:numPr>
          <w:ilvl w:val="0"/>
          <w:numId w:val="11"/>
        </w:numPr>
        <w:rPr>
          <w:rFonts w:eastAsia="Times New Roman"/>
          <w:color w:val="000000" w:themeColor="text1"/>
          <w:lang w:val="en-US"/>
        </w:rPr>
      </w:pPr>
      <w:r w:rsidRPr="007C37B0">
        <w:rPr>
          <w:rFonts w:eastAsia="Times New Roman"/>
          <w:color w:val="000000" w:themeColor="text1"/>
          <w:lang w:val="en-US"/>
        </w:rPr>
        <w:t xml:space="preserve">Obtain data on current </w:t>
      </w:r>
      <w:r w:rsidR="00B806F2" w:rsidRPr="007C37B0">
        <w:rPr>
          <w:rFonts w:eastAsia="Times New Roman"/>
          <w:color w:val="000000" w:themeColor="text1"/>
          <w:lang w:val="en-US"/>
        </w:rPr>
        <w:t xml:space="preserve">firm </w:t>
      </w:r>
      <w:r w:rsidRPr="007C37B0">
        <w:rPr>
          <w:rFonts w:eastAsia="Times New Roman"/>
          <w:color w:val="000000" w:themeColor="text1"/>
          <w:lang w:val="en-US"/>
        </w:rPr>
        <w:t>value</w:t>
      </w:r>
      <w:r w:rsidR="00561723" w:rsidRPr="007C37B0">
        <w:rPr>
          <w:rFonts w:eastAsia="Times New Roman"/>
          <w:color w:val="000000" w:themeColor="text1"/>
          <w:lang w:val="en-US"/>
        </w:rPr>
        <w:t xml:space="preserve"> as</w:t>
      </w:r>
      <w:r w:rsidRPr="007C37B0">
        <w:rPr>
          <w:rFonts w:eastAsia="Times New Roman"/>
          <w:color w:val="000000" w:themeColor="text1"/>
          <w:lang w:val="en-US"/>
        </w:rPr>
        <w:t xml:space="preserve"> </w:t>
      </w:r>
      <w:r w:rsidR="00FB6512" w:rsidRPr="007C37B0">
        <w:rPr>
          <w:rFonts w:eastAsia="Times New Roman"/>
          <w:color w:val="000000" w:themeColor="text1"/>
          <w:lang w:val="en-US"/>
        </w:rPr>
        <w:t>proxied by</w:t>
      </w:r>
      <w:r w:rsidRPr="007C37B0">
        <w:rPr>
          <w:rFonts w:eastAsia="Times New Roman"/>
          <w:color w:val="000000" w:themeColor="text1"/>
          <w:lang w:val="en-US"/>
        </w:rPr>
        <w:t xml:space="preserve"> Tobin’s q</w:t>
      </w:r>
      <w:r w:rsidR="00561723" w:rsidRPr="007C37B0">
        <w:rPr>
          <w:rFonts w:eastAsia="Times New Roman"/>
          <w:color w:val="000000" w:themeColor="text1"/>
          <w:lang w:val="en-US"/>
        </w:rPr>
        <w:t xml:space="preserve"> (</w:t>
      </w:r>
      <w:r w:rsidR="001C665A" w:rsidRPr="007C37B0">
        <w:rPr>
          <w:rFonts w:eastAsia="Times New Roman"/>
          <w:color w:val="000000" w:themeColor="text1"/>
          <w:lang w:val="en-US"/>
        </w:rPr>
        <w:t>TQ</w:t>
      </w:r>
      <w:r w:rsidR="001C665A">
        <w:rPr>
          <w:rFonts w:eastAsia="Times New Roman"/>
          <w:color w:val="000000" w:themeColor="text1"/>
          <w:lang w:val="en-US"/>
        </w:rPr>
        <w:t xml:space="preserve">, </w:t>
      </w:r>
      <w:r w:rsidR="00B806F2" w:rsidRPr="007C37B0">
        <w:rPr>
          <w:rFonts w:eastAsia="Times New Roman"/>
          <w:color w:val="000000" w:themeColor="text1"/>
          <w:lang w:val="en-US"/>
        </w:rPr>
        <w:t xml:space="preserve">calculation described in main </w:t>
      </w:r>
      <w:r w:rsidR="005779F7" w:rsidRPr="007C37B0">
        <w:rPr>
          <w:rFonts w:eastAsia="Times New Roman"/>
          <w:color w:val="000000" w:themeColor="text1"/>
          <w:lang w:val="en-US"/>
        </w:rPr>
        <w:t>body of the paper</w:t>
      </w:r>
      <w:r w:rsidR="00B806F2" w:rsidRPr="007C37B0">
        <w:rPr>
          <w:rFonts w:eastAsia="Times New Roman"/>
          <w:color w:val="000000" w:themeColor="text1"/>
          <w:lang w:val="en-US"/>
        </w:rPr>
        <w:t>; data can be retrieved from firm income statement and balance sheet</w:t>
      </w:r>
      <w:r w:rsidRPr="007C37B0">
        <w:rPr>
          <w:rFonts w:eastAsia="Times New Roman"/>
          <w:color w:val="000000" w:themeColor="text1"/>
          <w:lang w:val="en-US"/>
        </w:rPr>
        <w:t>), the number of shareholder complaints received (SHC</w:t>
      </w:r>
      <w:r w:rsidR="001C665A">
        <w:rPr>
          <w:rFonts w:eastAsia="Times New Roman"/>
          <w:color w:val="000000" w:themeColor="text1"/>
          <w:lang w:val="en-US"/>
        </w:rPr>
        <w:t>, log-transformed as described in main body of the paper</w:t>
      </w:r>
      <w:r w:rsidRPr="007C37B0">
        <w:rPr>
          <w:rFonts w:eastAsia="Times New Roman"/>
          <w:color w:val="000000" w:themeColor="text1"/>
          <w:lang w:val="en-US"/>
        </w:rPr>
        <w:t xml:space="preserve">), and current </w:t>
      </w:r>
      <w:r w:rsidR="005779F7" w:rsidRPr="007C37B0">
        <w:rPr>
          <w:rFonts w:eastAsia="Times New Roman"/>
          <w:color w:val="000000" w:themeColor="text1"/>
          <w:lang w:val="en-US"/>
        </w:rPr>
        <w:t xml:space="preserve">unexpected </w:t>
      </w:r>
      <w:r w:rsidR="00561723">
        <w:rPr>
          <w:rFonts w:eastAsia="Times New Roman"/>
          <w:color w:val="000000" w:themeColor="text1"/>
          <w:lang w:val="en-US"/>
        </w:rPr>
        <w:t xml:space="preserve">size-adjusted </w:t>
      </w:r>
      <w:r w:rsidRPr="007C37B0">
        <w:rPr>
          <w:rFonts w:eastAsia="Times New Roman"/>
          <w:color w:val="000000" w:themeColor="text1"/>
          <w:lang w:val="en-US"/>
        </w:rPr>
        <w:t>advertising investments</w:t>
      </w:r>
      <w:r w:rsidR="00B806F2" w:rsidRPr="007C37B0">
        <w:rPr>
          <w:rFonts w:eastAsia="Times New Roman"/>
          <w:color w:val="000000" w:themeColor="text1"/>
          <w:lang w:val="en-US"/>
        </w:rPr>
        <w:t xml:space="preserve"> </w:t>
      </w:r>
      <w:r w:rsidRPr="007C37B0">
        <w:rPr>
          <w:rFonts w:eastAsia="Times New Roman"/>
          <w:color w:val="000000" w:themeColor="text1"/>
          <w:lang w:val="en-US"/>
        </w:rPr>
        <w:t>(</w:t>
      </w:r>
      <w:r w:rsidR="00163857" w:rsidRPr="007C37B0">
        <w:rPr>
          <w:rFonts w:eastAsia="Times New Roman"/>
          <w:color w:val="000000" w:themeColor="text1"/>
          <w:lang w:val="en-US"/>
        </w:rPr>
        <w:t>U</w:t>
      </w:r>
      <w:r w:rsidRPr="007C37B0">
        <w:rPr>
          <w:rFonts w:eastAsia="Times New Roman"/>
          <w:color w:val="000000" w:themeColor="text1"/>
          <w:lang w:val="en-US"/>
        </w:rPr>
        <w:t>ADV</w:t>
      </w:r>
      <w:r w:rsidR="001C665A">
        <w:rPr>
          <w:rFonts w:eastAsia="Times New Roman"/>
          <w:color w:val="000000" w:themeColor="text1"/>
          <w:lang w:val="en-US"/>
        </w:rPr>
        <w:t>, derivation described in main body of the paper</w:t>
      </w:r>
      <w:r w:rsidRPr="007C37B0">
        <w:rPr>
          <w:rFonts w:eastAsia="Times New Roman"/>
          <w:color w:val="000000" w:themeColor="text1"/>
          <w:lang w:val="en-US"/>
        </w:rPr>
        <w:t>).</w:t>
      </w:r>
      <w:r w:rsidR="005779F7" w:rsidRPr="007C37B0">
        <w:rPr>
          <w:rStyle w:val="FootnoteReference"/>
          <w:rFonts w:eastAsia="Times New Roman"/>
          <w:color w:val="000000" w:themeColor="text1"/>
          <w:lang w:val="en-US"/>
        </w:rPr>
        <w:footnoteReference w:id="1"/>
      </w:r>
      <w:r w:rsidRPr="007C37B0">
        <w:rPr>
          <w:rFonts w:eastAsia="Times New Roman"/>
          <w:color w:val="000000" w:themeColor="text1"/>
          <w:lang w:val="en-US"/>
        </w:rPr>
        <w:t xml:space="preserve"> Denote the coefficient estimates for the interaction of shareholder complaints and advertising investments (</w:t>
      </w:r>
      <w:r w:rsidRPr="007C37B0">
        <w:rPr>
          <w:rFonts w:eastAsia="Times New Roman"/>
          <w:color w:val="000000" w:themeColor="text1"/>
          <w:lang w:val="en-US"/>
        </w:rPr>
        <w:sym w:font="Symbol" w:char="F062"/>
      </w:r>
      <w:r w:rsidRPr="007C37B0">
        <w:rPr>
          <w:rFonts w:eastAsia="Times New Roman"/>
          <w:color w:val="000000" w:themeColor="text1"/>
          <w:lang w:val="en-US"/>
        </w:rPr>
        <w:t xml:space="preserve"> = </w:t>
      </w:r>
      <w:r w:rsidR="00F471C1">
        <w:rPr>
          <w:rFonts w:eastAsia="Times New Roman"/>
          <w:color w:val="000000" w:themeColor="text1"/>
          <w:lang w:val="en-US"/>
        </w:rPr>
        <w:t>.</w:t>
      </w:r>
      <w:r w:rsidRPr="007C37B0">
        <w:rPr>
          <w:rFonts w:eastAsia="Times New Roman"/>
          <w:color w:val="000000" w:themeColor="text1"/>
          <w:lang w:val="en-US"/>
        </w:rPr>
        <w:t xml:space="preserve">003) from Table 3, Column 3, and the </w:t>
      </w:r>
      <w:r w:rsidR="00B806F2" w:rsidRPr="007C37B0">
        <w:rPr>
          <w:rFonts w:eastAsia="Times New Roman"/>
          <w:color w:val="000000" w:themeColor="text1"/>
          <w:lang w:val="en-US"/>
        </w:rPr>
        <w:t xml:space="preserve">corresponding </w:t>
      </w:r>
      <w:r w:rsidRPr="007C37B0">
        <w:rPr>
          <w:rFonts w:eastAsia="Times New Roman"/>
          <w:color w:val="000000" w:themeColor="text1"/>
          <w:lang w:val="en-US"/>
        </w:rPr>
        <w:t xml:space="preserve">variance-covariance matrix </w:t>
      </w:r>
      <w:r w:rsidR="00B80934" w:rsidRPr="007C37B0">
        <w:rPr>
          <w:rFonts w:eastAsia="Times New Roman"/>
          <w:color w:val="000000" w:themeColor="text1"/>
          <w:lang w:val="en-US"/>
        </w:rPr>
        <w:t>(∑</w:t>
      </w:r>
      <w:r w:rsidR="001C665A">
        <w:rPr>
          <w:rFonts w:eastAsia="Times New Roman"/>
          <w:color w:val="000000" w:themeColor="text1"/>
          <w:lang w:val="en-US"/>
        </w:rPr>
        <w:t>TQ</w:t>
      </w:r>
      <w:r w:rsidR="00B80934" w:rsidRPr="007C37B0">
        <w:rPr>
          <w:rFonts w:eastAsia="Times New Roman"/>
          <w:color w:val="000000" w:themeColor="text1"/>
          <w:lang w:val="en-US"/>
        </w:rPr>
        <w:t xml:space="preserve">) </w:t>
      </w:r>
      <w:r w:rsidRPr="007C37B0">
        <w:rPr>
          <w:color w:val="000000" w:themeColor="text1"/>
          <w:lang w:val="en-US"/>
        </w:rPr>
        <w:t xml:space="preserve">of the </w:t>
      </w:r>
      <w:r w:rsidR="00B806F2" w:rsidRPr="007C37B0">
        <w:rPr>
          <w:color w:val="000000" w:themeColor="text1"/>
          <w:lang w:val="en-US"/>
        </w:rPr>
        <w:t xml:space="preserve">focal </w:t>
      </w:r>
      <w:r w:rsidRPr="007C37B0">
        <w:rPr>
          <w:color w:val="000000" w:themeColor="text1"/>
          <w:lang w:val="en-US"/>
        </w:rPr>
        <w:t>estimate</w:t>
      </w:r>
      <w:r w:rsidR="00B806F2" w:rsidRPr="007C37B0">
        <w:rPr>
          <w:color w:val="000000" w:themeColor="text1"/>
          <w:lang w:val="en-US"/>
        </w:rPr>
        <w:t>d coefficients</w:t>
      </w:r>
      <w:r w:rsidR="00B80934" w:rsidRPr="007C37B0">
        <w:rPr>
          <w:color w:val="000000" w:themeColor="text1"/>
          <w:lang w:val="en-US"/>
        </w:rPr>
        <w:t>.</w:t>
      </w:r>
      <w:r w:rsidRPr="007C37B0">
        <w:rPr>
          <w:color w:val="000000" w:themeColor="text1"/>
          <w:lang w:val="en-US"/>
        </w:rPr>
        <w:t xml:space="preserve"> </w:t>
      </w:r>
    </w:p>
    <w:p w14:paraId="79349781" w14:textId="7DAF5AE8" w:rsidR="002257C6" w:rsidRPr="007C37B0" w:rsidRDefault="002257C6" w:rsidP="00062B43">
      <w:pPr>
        <w:pStyle w:val="ListParagraph"/>
        <w:numPr>
          <w:ilvl w:val="0"/>
          <w:numId w:val="11"/>
        </w:numPr>
        <w:rPr>
          <w:rFonts w:eastAsia="Times New Roman"/>
          <w:color w:val="000000" w:themeColor="text1"/>
          <w:lang w:val="en-US"/>
        </w:rPr>
      </w:pPr>
      <w:r w:rsidRPr="007C37B0">
        <w:rPr>
          <w:rFonts w:eastAsia="Times New Roman"/>
          <w:color w:val="000000" w:themeColor="text1"/>
          <w:lang w:val="en-US"/>
        </w:rPr>
        <w:t xml:space="preserve">Draw 1000 values of </w:t>
      </w:r>
      <w:r w:rsidR="006F7A69" w:rsidRPr="007C37B0">
        <w:rPr>
          <w:rFonts w:eastAsia="Times New Roman"/>
          <w:color w:val="000000" w:themeColor="text1"/>
          <w:lang w:val="en-US"/>
        </w:rPr>
        <w:sym w:font="Symbol" w:char="F062"/>
      </w:r>
      <w:r w:rsidR="006F7A69" w:rsidRPr="007C37B0">
        <w:rPr>
          <w:rFonts w:eastAsia="Times New Roman"/>
          <w:color w:val="000000" w:themeColor="text1"/>
          <w:vertAlign w:val="subscript"/>
          <w:lang w:val="en-US"/>
        </w:rPr>
        <w:t>j</w:t>
      </w:r>
      <w:r w:rsidRPr="007C37B0">
        <w:rPr>
          <w:rFonts w:eastAsia="Times New Roman"/>
          <w:color w:val="000000" w:themeColor="text1"/>
          <w:vertAlign w:val="subscript"/>
          <w:lang w:val="en-US"/>
        </w:rPr>
        <w:t xml:space="preserve"> </w:t>
      </w:r>
      <w:r w:rsidRPr="007C37B0">
        <w:rPr>
          <w:rFonts w:eastAsia="Times New Roman"/>
          <w:color w:val="000000" w:themeColor="text1"/>
          <w:lang w:val="en-US"/>
        </w:rPr>
        <w:t xml:space="preserve">(j = 1, 2, ..., 1000) from </w:t>
      </w:r>
      <w:r w:rsidR="00FF4536" w:rsidRPr="007C37B0">
        <w:rPr>
          <w:rFonts w:eastAsia="Times New Roman"/>
          <w:color w:val="000000" w:themeColor="text1"/>
          <w:lang w:val="en-US"/>
        </w:rPr>
        <w:t xml:space="preserve">a multivariate </w:t>
      </w:r>
      <w:r w:rsidRPr="007C37B0">
        <w:rPr>
          <w:rFonts w:eastAsia="Times New Roman"/>
          <w:color w:val="000000" w:themeColor="text1"/>
          <w:lang w:val="en-US"/>
        </w:rPr>
        <w:t xml:space="preserve">normal distribution </w:t>
      </w:r>
      <w:r w:rsidR="00FF4536" w:rsidRPr="007C37B0">
        <w:rPr>
          <w:rFonts w:eastAsia="Times New Roman"/>
          <w:color w:val="000000" w:themeColor="text1"/>
          <w:lang w:val="en-US"/>
        </w:rPr>
        <w:t xml:space="preserve">with </w:t>
      </w:r>
      <w:r w:rsidR="00FF4536" w:rsidRPr="007C37B0">
        <w:rPr>
          <w:rFonts w:eastAsia="Times New Roman"/>
          <w:color w:val="000000" w:themeColor="text1"/>
          <w:u w:color="000000"/>
          <w:lang w:val="en-US"/>
        </w:rPr>
        <w:t xml:space="preserve">means given by the estimated coefficients from </w:t>
      </w:r>
      <w:r w:rsidR="006F7A69" w:rsidRPr="007C37B0">
        <w:rPr>
          <w:rFonts w:eastAsia="Times New Roman"/>
          <w:color w:val="000000" w:themeColor="text1"/>
          <w:u w:color="000000"/>
          <w:lang w:val="en-US"/>
        </w:rPr>
        <w:t>Table</w:t>
      </w:r>
      <w:r w:rsidR="00FF4536" w:rsidRPr="007C37B0">
        <w:rPr>
          <w:rFonts w:eastAsia="Times New Roman"/>
          <w:color w:val="000000" w:themeColor="text1"/>
          <w:u w:color="000000"/>
          <w:lang w:val="en-US"/>
        </w:rPr>
        <w:t xml:space="preserve"> 3 and covariances given by the estimated covariance matrix of the coefficients</w:t>
      </w:r>
      <w:r w:rsidR="006F7A69" w:rsidRPr="007C37B0">
        <w:rPr>
          <w:rFonts w:eastAsia="Times New Roman"/>
          <w:color w:val="000000" w:themeColor="text1"/>
          <w:u w:color="000000"/>
          <w:lang w:val="en-US"/>
        </w:rPr>
        <w:t>,</w:t>
      </w:r>
      <w:r w:rsidR="00FF4536" w:rsidRPr="007C37B0">
        <w:rPr>
          <w:rFonts w:eastAsia="Times New Roman"/>
          <w:color w:val="000000" w:themeColor="text1"/>
          <w:u w:color="000000"/>
          <w:lang w:val="en-US"/>
        </w:rPr>
        <w:t xml:space="preserve"> </w:t>
      </w:r>
      <w:r w:rsidRPr="007C37B0">
        <w:rPr>
          <w:rFonts w:eastAsia="Times New Roman"/>
          <w:color w:val="000000" w:themeColor="text1"/>
          <w:lang w:val="en-US"/>
        </w:rPr>
        <w:t>N(</w:t>
      </w:r>
      <w:r w:rsidRPr="007C37B0">
        <w:rPr>
          <w:rFonts w:eastAsia="Times New Roman"/>
          <w:color w:val="000000" w:themeColor="text1"/>
          <w:lang w:val="en-US"/>
        </w:rPr>
        <w:sym w:font="Symbol" w:char="F062"/>
      </w:r>
      <w:r w:rsidRPr="007C37B0">
        <w:rPr>
          <w:rFonts w:eastAsia="Times New Roman"/>
          <w:color w:val="000000" w:themeColor="text1"/>
          <w:lang w:val="en-US"/>
        </w:rPr>
        <w:t>, ∑</w:t>
      </w:r>
      <w:r w:rsidR="001C665A">
        <w:rPr>
          <w:rFonts w:eastAsia="Times New Roman"/>
          <w:color w:val="000000" w:themeColor="text1"/>
          <w:lang w:val="en-US"/>
        </w:rPr>
        <w:t>TQ</w:t>
      </w:r>
      <w:r w:rsidRPr="007C37B0">
        <w:rPr>
          <w:rFonts w:eastAsia="Times New Roman"/>
          <w:color w:val="000000" w:themeColor="text1"/>
          <w:lang w:val="en-US"/>
        </w:rPr>
        <w:t>)</w:t>
      </w:r>
      <w:r w:rsidR="00FF4536" w:rsidRPr="007C37B0">
        <w:rPr>
          <w:rFonts w:eastAsia="Times New Roman"/>
          <w:color w:val="000000" w:themeColor="text1"/>
          <w:lang w:val="en-US"/>
        </w:rPr>
        <w:t xml:space="preserve">, for instance following the procedure suggested by </w:t>
      </w:r>
      <w:proofErr w:type="spellStart"/>
      <w:r w:rsidR="00FF4536" w:rsidRPr="007C37B0">
        <w:rPr>
          <w:color w:val="000000" w:themeColor="text1"/>
          <w:lang w:val="en-US"/>
        </w:rPr>
        <w:t>Krinsky</w:t>
      </w:r>
      <w:proofErr w:type="spellEnd"/>
      <w:r w:rsidR="00FF4536" w:rsidRPr="007C37B0">
        <w:rPr>
          <w:color w:val="000000" w:themeColor="text1"/>
          <w:lang w:val="en-US"/>
        </w:rPr>
        <w:t xml:space="preserve"> and Robb (1986)</w:t>
      </w:r>
      <w:r w:rsidRPr="007C37B0">
        <w:rPr>
          <w:rFonts w:eastAsia="Times New Roman"/>
          <w:color w:val="000000" w:themeColor="text1"/>
          <w:lang w:val="en-US"/>
        </w:rPr>
        <w:t>. The result of this step is a representative set of</w:t>
      </w:r>
      <w:r w:rsidR="006F7A69" w:rsidRPr="007C37B0">
        <w:rPr>
          <w:rFonts w:eastAsia="Times New Roman"/>
          <w:color w:val="000000" w:themeColor="text1"/>
          <w:lang w:val="en-US"/>
        </w:rPr>
        <w:t xml:space="preserve"> simulated</w:t>
      </w:r>
      <w:r w:rsidRPr="007C37B0">
        <w:rPr>
          <w:rFonts w:eastAsia="Times New Roman"/>
          <w:color w:val="000000" w:themeColor="text1"/>
          <w:lang w:val="en-US"/>
        </w:rPr>
        <w:t xml:space="preserve"> </w:t>
      </w:r>
      <w:r w:rsidR="006F7A69" w:rsidRPr="007C37B0">
        <w:rPr>
          <w:rFonts w:eastAsia="Times New Roman"/>
          <w:color w:val="000000" w:themeColor="text1"/>
          <w:lang w:val="en-US"/>
        </w:rPr>
        <w:sym w:font="Symbol" w:char="F062"/>
      </w:r>
      <w:r w:rsidR="006F7A69" w:rsidRPr="007C37B0">
        <w:rPr>
          <w:rFonts w:eastAsia="Times New Roman"/>
          <w:color w:val="000000" w:themeColor="text1"/>
          <w:lang w:val="en-US"/>
        </w:rPr>
        <w:t xml:space="preserve"> </w:t>
      </w:r>
      <w:r w:rsidRPr="007C37B0">
        <w:rPr>
          <w:rFonts w:eastAsia="Times New Roman"/>
          <w:color w:val="000000" w:themeColor="text1"/>
          <w:lang w:val="en-US"/>
        </w:rPr>
        <w:t>estimates, obtained with associated uncertainty.</w:t>
      </w:r>
    </w:p>
    <w:p w14:paraId="71A51A2F" w14:textId="5B3B959B" w:rsidR="002257C6" w:rsidRPr="007C37B0" w:rsidRDefault="002257C6" w:rsidP="002257C6">
      <w:pPr>
        <w:pStyle w:val="ListParagraph"/>
        <w:numPr>
          <w:ilvl w:val="0"/>
          <w:numId w:val="11"/>
        </w:numPr>
        <w:rPr>
          <w:rFonts w:eastAsia="Times New Roman"/>
          <w:color w:val="000000" w:themeColor="text1"/>
          <w:lang w:val="en-US"/>
        </w:rPr>
      </w:pPr>
      <w:r w:rsidRPr="007C37B0">
        <w:rPr>
          <w:rFonts w:eastAsia="Times New Roman"/>
          <w:color w:val="000000" w:themeColor="text1"/>
        </w:rPr>
        <w:t>(a) Denote the marginal effect of advertising investments on firm value, obtained by differentiating Equation 3 with regard to advertising investments, resulting in the expression</w:t>
      </w:r>
      <w:r w:rsidR="006F7A69" w:rsidRPr="007C37B0">
        <w:rPr>
          <w:rFonts w:eastAsia="Times New Roman"/>
          <w:color w:val="000000" w:themeColor="text1"/>
        </w:rPr>
        <w:t>:</w:t>
      </w:r>
      <w:r w:rsidRPr="007C37B0">
        <w:rPr>
          <w:rFonts w:eastAsia="Times New Roman"/>
          <w:color w:val="000000" w:themeColor="text1"/>
        </w:rPr>
        <w:t xml:space="preserve"> </w:t>
      </w:r>
      <m:oMath>
        <m:r>
          <m:rPr>
            <m:sty m:val="p"/>
          </m:rPr>
          <w:rPr>
            <w:rFonts w:ascii="Cambria Math" w:eastAsia="Times New Roman" w:hAnsi="Cambria Math"/>
            <w:color w:val="000000" w:themeColor="text1"/>
          </w:rPr>
          <m:t xml:space="preserve">TQ´= </m:t>
        </m:r>
        <m:f>
          <m:fPr>
            <m:ctrlPr>
              <w:rPr>
                <w:rFonts w:ascii="Cambria Math" w:eastAsia="Times New Roman" w:hAnsi="Cambria Math"/>
                <w:color w:val="000000" w:themeColor="text1"/>
              </w:rPr>
            </m:ctrlPr>
          </m:fPr>
          <m:num>
            <m:r>
              <m:rPr>
                <m:sty m:val="p"/>
              </m:rPr>
              <w:rPr>
                <w:rFonts w:ascii="Cambria Math" w:eastAsia="Times New Roman" w:hAnsi="Cambria Math"/>
                <w:color w:val="000000" w:themeColor="text1"/>
              </w:rPr>
              <m:t>dTQ</m:t>
            </m:r>
          </m:num>
          <m:den>
            <m:r>
              <m:rPr>
                <m:sty m:val="p"/>
              </m:rPr>
              <w:rPr>
                <w:rFonts w:ascii="Cambria Math" w:eastAsia="Times New Roman" w:hAnsi="Cambria Math"/>
                <w:color w:val="000000" w:themeColor="text1"/>
              </w:rPr>
              <m:t>dUADV</m:t>
            </m:r>
          </m:den>
        </m:f>
        <m:r>
          <m:rPr>
            <m:sty m:val="p"/>
          </m:rPr>
          <w:rPr>
            <w:rFonts w:ascii="Cambria Math" w:eastAsia="Times New Roman" w:hAnsi="Cambria Math"/>
            <w:color w:val="000000" w:themeColor="text1"/>
          </w:rPr>
          <m:t>=UADV+</m:t>
        </m:r>
        <m:r>
          <m:rPr>
            <m:sty m:val="p"/>
          </m:rPr>
          <w:rPr>
            <w:rFonts w:ascii="Cambria Math" w:eastAsia="Times New Roman" w:hAnsi="Cambria Math"/>
            <w:color w:val="000000" w:themeColor="text1"/>
          </w:rPr>
          <w:sym w:font="Symbol" w:char="F062"/>
        </m:r>
        <m:r>
          <m:rPr>
            <m:sty m:val="p"/>
          </m:rPr>
          <w:rPr>
            <w:rFonts w:ascii="Cambria Math" w:eastAsia="Times New Roman" w:hAnsi="Cambria Math"/>
            <w:color w:val="000000" w:themeColor="text1"/>
          </w:rPr>
          <m:t>*SHC=UADV+</m:t>
        </m:r>
        <m:r>
          <m:rPr>
            <m:sty m:val="p"/>
          </m:rPr>
          <w:rPr>
            <w:rFonts w:ascii="Cambria Math" w:eastAsia="Times New Roman" w:hAnsi="Cambria Math"/>
            <w:color w:val="000000" w:themeColor="text1"/>
            <w:lang w:val="en-US"/>
          </w:rPr>
          <m:t>.0030</m:t>
        </m:r>
        <m:r>
          <m:rPr>
            <m:sty m:val="p"/>
          </m:rPr>
          <w:rPr>
            <w:rFonts w:ascii="Cambria Math" w:eastAsia="Times New Roman" w:hAnsi="Cambria Math"/>
            <w:color w:val="000000" w:themeColor="text1"/>
          </w:rPr>
          <m:t>*SHC</m:t>
        </m:r>
      </m:oMath>
      <w:r w:rsidRPr="007C37B0">
        <w:rPr>
          <w:rFonts w:eastAsia="Times New Roman"/>
          <w:color w:val="000000" w:themeColor="text1"/>
          <w:lang w:val="en-US"/>
        </w:rPr>
        <w:t>.</w:t>
      </w:r>
      <w:r w:rsidRPr="007C37B0">
        <w:rPr>
          <w:rFonts w:eastAsia="Times New Roman"/>
          <w:color w:val="000000" w:themeColor="text1"/>
        </w:rPr>
        <w:t xml:space="preserve"> (b) </w:t>
      </w:r>
      <w:r w:rsidR="00FF4536" w:rsidRPr="007C37B0">
        <w:rPr>
          <w:rFonts w:eastAsia="Times New Roman"/>
          <w:color w:val="000000" w:themeColor="text1"/>
        </w:rPr>
        <w:t>Use the simulated parameters to e</w:t>
      </w:r>
      <w:r w:rsidRPr="007C37B0">
        <w:rPr>
          <w:rFonts w:eastAsia="Times New Roman"/>
          <w:color w:val="000000" w:themeColor="text1"/>
        </w:rPr>
        <w:t xml:space="preserve">valuate TQ´, the number of </w:t>
      </w:r>
      <w:r w:rsidRPr="007C37B0">
        <w:rPr>
          <w:rFonts w:eastAsia="Times New Roman"/>
          <w:color w:val="000000" w:themeColor="text1"/>
          <w:lang w:val="en-US"/>
        </w:rPr>
        <w:t xml:space="preserve">shareholder complaints received (SHC), and </w:t>
      </w:r>
      <w:r w:rsidRPr="007C37B0">
        <w:rPr>
          <w:rFonts w:eastAsia="Times New Roman"/>
          <w:color w:val="000000" w:themeColor="text1"/>
        </w:rPr>
        <w:t xml:space="preserve">advertising investments (ADV) and denote the 1000 resulting simulated estimates for the marginal effect of advertising investments on </w:t>
      </w:r>
      <w:r w:rsidR="001C665A">
        <w:rPr>
          <w:rFonts w:eastAsia="Times New Roman"/>
          <w:color w:val="000000" w:themeColor="text1"/>
        </w:rPr>
        <w:t>Tobin’s q</w:t>
      </w:r>
      <w:r w:rsidRPr="007C37B0">
        <w:rPr>
          <w:rFonts w:eastAsia="Times New Roman"/>
          <w:color w:val="000000" w:themeColor="text1"/>
        </w:rPr>
        <w:t xml:space="preserve"> as </w:t>
      </w:r>
      <w:proofErr w:type="spellStart"/>
      <w:r w:rsidRPr="007C37B0">
        <w:rPr>
          <w:rFonts w:eastAsia="Times New Roman"/>
          <w:color w:val="000000" w:themeColor="text1"/>
        </w:rPr>
        <w:t>ME_ADV</w:t>
      </w:r>
      <w:r w:rsidRPr="007C37B0">
        <w:rPr>
          <w:rFonts w:eastAsia="Times New Roman"/>
          <w:color w:val="000000" w:themeColor="text1"/>
          <w:vertAlign w:val="subscript"/>
        </w:rPr>
        <w:t>j</w:t>
      </w:r>
      <w:proofErr w:type="spellEnd"/>
      <w:r w:rsidRPr="007C37B0">
        <w:rPr>
          <w:rFonts w:eastAsia="Times New Roman"/>
          <w:color w:val="000000" w:themeColor="text1"/>
        </w:rPr>
        <w:t>.</w:t>
      </w:r>
    </w:p>
    <w:p w14:paraId="65EA73AF" w14:textId="77777777" w:rsidR="002257C6" w:rsidRPr="007C37B0" w:rsidRDefault="002257C6" w:rsidP="002257C6">
      <w:pPr>
        <w:pStyle w:val="ListParagraph"/>
        <w:numPr>
          <w:ilvl w:val="0"/>
          <w:numId w:val="11"/>
        </w:numPr>
        <w:rPr>
          <w:rFonts w:eastAsia="Times New Roman"/>
          <w:color w:val="000000" w:themeColor="text1"/>
          <w:lang w:val="en-US"/>
        </w:rPr>
      </w:pPr>
      <w:r w:rsidRPr="007C37B0">
        <w:rPr>
          <w:rFonts w:eastAsia="Times New Roman"/>
          <w:color w:val="000000" w:themeColor="text1"/>
        </w:rPr>
        <w:t xml:space="preserve">From the 1000 values of </w:t>
      </w:r>
      <w:proofErr w:type="spellStart"/>
      <w:r w:rsidRPr="007C37B0">
        <w:rPr>
          <w:rFonts w:eastAsia="Times New Roman"/>
          <w:color w:val="000000" w:themeColor="text1"/>
        </w:rPr>
        <w:t>ME_ADV</w:t>
      </w:r>
      <w:r w:rsidRPr="007C37B0">
        <w:rPr>
          <w:rFonts w:eastAsia="Times New Roman"/>
          <w:color w:val="000000" w:themeColor="text1"/>
          <w:vertAlign w:val="subscript"/>
        </w:rPr>
        <w:t>j</w:t>
      </w:r>
      <w:proofErr w:type="spellEnd"/>
      <w:r w:rsidRPr="007C37B0">
        <w:rPr>
          <w:rFonts w:eastAsia="Times New Roman"/>
          <w:color w:val="000000" w:themeColor="text1"/>
        </w:rPr>
        <w:t>, obtain the lower and upper limits of a 95% confidence interval, that is, the 26</w:t>
      </w:r>
      <w:r w:rsidRPr="007C37B0">
        <w:rPr>
          <w:rFonts w:eastAsia="Times New Roman"/>
          <w:color w:val="000000" w:themeColor="text1"/>
          <w:vertAlign w:val="superscript"/>
        </w:rPr>
        <w:t>th</w:t>
      </w:r>
      <w:r w:rsidRPr="007C37B0">
        <w:rPr>
          <w:rFonts w:eastAsia="Times New Roman"/>
          <w:color w:val="000000" w:themeColor="text1"/>
        </w:rPr>
        <w:t xml:space="preserve"> and 976</w:t>
      </w:r>
      <w:r w:rsidRPr="007C37B0">
        <w:rPr>
          <w:rFonts w:eastAsia="Times New Roman"/>
          <w:color w:val="000000" w:themeColor="text1"/>
          <w:vertAlign w:val="superscript"/>
        </w:rPr>
        <w:t>th</w:t>
      </w:r>
      <w:r w:rsidRPr="007C37B0">
        <w:rPr>
          <w:rFonts w:eastAsia="Times New Roman"/>
          <w:color w:val="000000" w:themeColor="text1"/>
        </w:rPr>
        <w:t xml:space="preserve"> estimates of the sorted simulated values.</w:t>
      </w:r>
    </w:p>
    <w:p w14:paraId="6E64EF17" w14:textId="77777777" w:rsidR="002257C6" w:rsidRPr="007C37B0" w:rsidRDefault="002257C6" w:rsidP="002257C6">
      <w:pPr>
        <w:rPr>
          <w:color w:val="000000" w:themeColor="text1"/>
          <w:lang w:val="en-US"/>
        </w:rPr>
      </w:pPr>
    </w:p>
    <w:p w14:paraId="3135427D" w14:textId="17E73A52" w:rsidR="002257C6" w:rsidRDefault="002257C6" w:rsidP="00AC0B1A">
      <w:pPr>
        <w:ind w:firstLine="360"/>
        <w:rPr>
          <w:color w:val="000000" w:themeColor="text1"/>
          <w:lang w:val="en-US"/>
        </w:rPr>
      </w:pPr>
      <w:r w:rsidRPr="007C37B0">
        <w:rPr>
          <w:color w:val="000000" w:themeColor="text1"/>
          <w:lang w:val="en-US"/>
        </w:rPr>
        <w:t xml:space="preserve">Once the marginal effect of advertising investments on </w:t>
      </w:r>
      <w:r w:rsidR="001C665A">
        <w:rPr>
          <w:color w:val="000000" w:themeColor="text1"/>
          <w:lang w:val="en-US"/>
        </w:rPr>
        <w:t>Tobin’s q</w:t>
      </w:r>
      <w:r w:rsidRPr="007C37B0">
        <w:rPr>
          <w:color w:val="000000" w:themeColor="text1"/>
          <w:lang w:val="en-US"/>
        </w:rPr>
        <w:t xml:space="preserve"> is calculated as described above, managers can easily assess whether it is positive and statistically significant, negative and statistically significant, or not significantly different from zero. In particular, the marginal effect is positive (negative) and statistically significant if both the lower and upper limits of the 95% confidence interval are positive (negative) values. The effect is not significantly different from zero if the lower limit is negative and the upper limit is positive. In order to guide strategic decision making, managers can next interpret the marginal effect as follows: If the marginal effect turns out to be positive (negative) and significant, firm’s current advertising investments are too low (high) and should be</w:t>
      </w:r>
      <w:r w:rsidR="00D24743" w:rsidRPr="007C37B0">
        <w:rPr>
          <w:color w:val="000000" w:themeColor="text1"/>
          <w:lang w:val="en-US"/>
        </w:rPr>
        <w:t xml:space="preserve"> further</w:t>
      </w:r>
      <w:r w:rsidRPr="007C37B0">
        <w:rPr>
          <w:color w:val="000000" w:themeColor="text1"/>
          <w:lang w:val="en-US"/>
        </w:rPr>
        <w:t xml:space="preserve"> increased (decreased) in order to buffer the detrimental effects of received shareholder complaints (</w:t>
      </w:r>
      <w:r w:rsidR="001F79EF" w:rsidRPr="007C37B0">
        <w:rPr>
          <w:color w:val="000000" w:themeColor="text1"/>
          <w:lang w:val="en-US"/>
        </w:rPr>
        <w:t xml:space="preserve">and </w:t>
      </w:r>
      <w:r w:rsidRPr="007C37B0">
        <w:rPr>
          <w:color w:val="000000" w:themeColor="text1"/>
          <w:lang w:val="en-US"/>
        </w:rPr>
        <w:t xml:space="preserve">protect firm resources). An insignificant effect means that the current advertising investments are at or close to an optimal level. </w:t>
      </w:r>
      <w:r w:rsidR="006F7A69" w:rsidRPr="007C37B0">
        <w:rPr>
          <w:color w:val="000000" w:themeColor="text1"/>
          <w:lang w:val="en-US"/>
        </w:rPr>
        <w:t xml:space="preserve">We encourage </w:t>
      </w:r>
      <w:r w:rsidR="006F7A69" w:rsidRPr="007C37B0">
        <w:rPr>
          <w:color w:val="000000" w:themeColor="text1"/>
          <w:lang w:val="en-US"/>
        </w:rPr>
        <w:lastRenderedPageBreak/>
        <w:t xml:space="preserve">managers to use </w:t>
      </w:r>
      <w:r w:rsidRPr="007C37B0">
        <w:rPr>
          <w:color w:val="000000" w:themeColor="text1"/>
          <w:lang w:val="en-US"/>
        </w:rPr>
        <w:t xml:space="preserve">this </w:t>
      </w:r>
      <w:r w:rsidR="006F7A69" w:rsidRPr="007C37B0">
        <w:rPr>
          <w:color w:val="000000" w:themeColor="text1"/>
          <w:lang w:val="en-US"/>
        </w:rPr>
        <w:t xml:space="preserve">practical </w:t>
      </w:r>
      <w:r w:rsidRPr="007C37B0">
        <w:rPr>
          <w:color w:val="000000" w:themeColor="text1"/>
          <w:lang w:val="en-US"/>
        </w:rPr>
        <w:t xml:space="preserve">four-step procedure </w:t>
      </w:r>
      <w:r w:rsidR="006F7A69" w:rsidRPr="007C37B0">
        <w:rPr>
          <w:color w:val="000000" w:themeColor="text1"/>
          <w:lang w:val="en-US"/>
        </w:rPr>
        <w:t>and</w:t>
      </w:r>
      <w:r w:rsidRPr="007C37B0">
        <w:rPr>
          <w:color w:val="000000" w:themeColor="text1"/>
          <w:lang w:val="en-US"/>
        </w:rPr>
        <w:t xml:space="preserve"> assess whether </w:t>
      </w:r>
      <w:r w:rsidR="008D376F">
        <w:rPr>
          <w:color w:val="000000" w:themeColor="text1"/>
          <w:lang w:val="en-US"/>
        </w:rPr>
        <w:t xml:space="preserve">their firms’ </w:t>
      </w:r>
      <w:r w:rsidRPr="007C37B0">
        <w:rPr>
          <w:color w:val="000000" w:themeColor="text1"/>
          <w:lang w:val="en-US"/>
        </w:rPr>
        <w:t xml:space="preserve">current advertising investments are sufficient </w:t>
      </w:r>
      <w:r w:rsidR="006F7A69" w:rsidRPr="007C37B0">
        <w:rPr>
          <w:color w:val="000000" w:themeColor="text1"/>
          <w:lang w:val="en-US"/>
        </w:rPr>
        <w:t>when receiving</w:t>
      </w:r>
      <w:r w:rsidRPr="007C37B0">
        <w:rPr>
          <w:color w:val="000000" w:themeColor="text1"/>
          <w:lang w:val="en-US"/>
        </w:rPr>
        <w:t xml:space="preserve"> shareholder complaints.</w:t>
      </w:r>
    </w:p>
    <w:p w14:paraId="2650FC54" w14:textId="77777777" w:rsidR="001C665A" w:rsidRPr="007C37B0" w:rsidRDefault="001C665A" w:rsidP="00AC0B1A">
      <w:pPr>
        <w:ind w:firstLine="360"/>
        <w:rPr>
          <w:color w:val="000000" w:themeColor="text1"/>
          <w:lang w:val="en-US"/>
        </w:rPr>
      </w:pPr>
    </w:p>
    <w:p w14:paraId="73B284FF" w14:textId="64FB26AF" w:rsidR="00E014F0" w:rsidRPr="007C37B0" w:rsidRDefault="00E23449" w:rsidP="00E014F0">
      <w:pPr>
        <w:rPr>
          <w:b/>
          <w:color w:val="000000" w:themeColor="text1"/>
          <w:u w:color="000000"/>
          <w:lang w:val="en-US"/>
        </w:rPr>
      </w:pPr>
      <w:r>
        <w:rPr>
          <w:b/>
          <w:color w:val="000000" w:themeColor="text1"/>
          <w:u w:color="000000"/>
          <w:lang w:val="en-US"/>
        </w:rPr>
        <w:t>G</w:t>
      </w:r>
      <w:r w:rsidR="00E014F0" w:rsidRPr="007C37B0">
        <w:rPr>
          <w:b/>
          <w:color w:val="000000" w:themeColor="text1"/>
          <w:u w:color="000000"/>
          <w:lang w:val="en-US"/>
        </w:rPr>
        <w:t xml:space="preserve">2. </w:t>
      </w:r>
      <w:r w:rsidR="00C123D9">
        <w:rPr>
          <w:b/>
          <w:color w:val="000000" w:themeColor="text1"/>
          <w:u w:color="000000"/>
          <w:lang w:val="en-US"/>
        </w:rPr>
        <w:t>Application to Sample Firms</w:t>
      </w:r>
    </w:p>
    <w:p w14:paraId="22A5333C" w14:textId="77777777" w:rsidR="00E014F0" w:rsidRPr="007C37B0" w:rsidRDefault="00E014F0" w:rsidP="00E014F0">
      <w:pPr>
        <w:pStyle w:val="Body"/>
        <w:spacing w:line="240" w:lineRule="auto"/>
        <w:ind w:firstLine="720"/>
        <w:rPr>
          <w:rFonts w:hAnsi="Times New Roman" w:cs="Times New Roman"/>
          <w:color w:val="000000" w:themeColor="text1"/>
          <w:lang w:val="en-US"/>
        </w:rPr>
      </w:pPr>
    </w:p>
    <w:p w14:paraId="334D1913" w14:textId="6ADEF606" w:rsidR="00E014F0" w:rsidRPr="007C37B0" w:rsidRDefault="00E014F0" w:rsidP="00E014F0">
      <w:pPr>
        <w:pStyle w:val="Body"/>
        <w:spacing w:line="240" w:lineRule="auto"/>
        <w:ind w:firstLine="720"/>
        <w:rPr>
          <w:rFonts w:hAnsi="Times New Roman" w:cs="Times New Roman"/>
          <w:color w:val="000000" w:themeColor="text1"/>
          <w:lang w:val="en-US"/>
        </w:rPr>
      </w:pPr>
      <w:r w:rsidRPr="007C37B0">
        <w:rPr>
          <w:rFonts w:hAnsi="Times New Roman" w:cs="Times New Roman"/>
          <w:color w:val="000000" w:themeColor="text1"/>
          <w:lang w:val="en-US"/>
        </w:rPr>
        <w:t>Following the procedure applied by Srinivasan</w:t>
      </w:r>
      <w:r w:rsidR="00FB6512">
        <w:rPr>
          <w:rFonts w:hAnsi="Times New Roman" w:cs="Times New Roman"/>
          <w:color w:val="000000" w:themeColor="text1"/>
          <w:lang w:val="en-US"/>
        </w:rPr>
        <w:t>, Lilien, and Sridhar</w:t>
      </w:r>
      <w:r w:rsidRPr="007C37B0">
        <w:rPr>
          <w:rFonts w:hAnsi="Times New Roman" w:cs="Times New Roman"/>
          <w:color w:val="000000" w:themeColor="text1"/>
          <w:lang w:val="en-US"/>
        </w:rPr>
        <w:t xml:space="preserve"> (2011), and as described in the diagnostic decision tool in E1, we calculate </w:t>
      </w:r>
      <w:r w:rsidR="00FB6512">
        <w:rPr>
          <w:rFonts w:hAnsi="Times New Roman" w:cs="Times New Roman"/>
          <w:color w:val="000000" w:themeColor="text1"/>
          <w:lang w:val="en-US"/>
        </w:rPr>
        <w:t>marginal effects (</w:t>
      </w:r>
      <w:r w:rsidRPr="007C37B0">
        <w:rPr>
          <w:rFonts w:hAnsi="Times New Roman" w:cs="Times New Roman"/>
          <w:color w:val="000000" w:themeColor="text1"/>
          <w:lang w:val="en-US"/>
        </w:rPr>
        <w:t>ME</w:t>
      </w:r>
      <w:r w:rsidR="00FB6512">
        <w:rPr>
          <w:rFonts w:hAnsi="Times New Roman" w:cs="Times New Roman"/>
          <w:color w:val="000000" w:themeColor="text1"/>
          <w:lang w:val="en-US"/>
        </w:rPr>
        <w:t>)</w:t>
      </w:r>
      <w:r w:rsidRPr="007C37B0">
        <w:rPr>
          <w:rFonts w:hAnsi="Times New Roman" w:cs="Times New Roman"/>
          <w:color w:val="000000" w:themeColor="text1"/>
          <w:lang w:val="en-US"/>
        </w:rPr>
        <w:t xml:space="preserve"> for all firms in our sample to assess their advertising investment response when facing shareholder complaints in the prior year. We provide results in Table </w:t>
      </w:r>
      <w:r w:rsidR="00E23449">
        <w:rPr>
          <w:rFonts w:hAnsi="Times New Roman" w:cs="Times New Roman"/>
          <w:color w:val="000000" w:themeColor="text1"/>
          <w:lang w:val="en-US"/>
        </w:rPr>
        <w:t>G</w:t>
      </w:r>
      <w:r w:rsidRPr="007C37B0">
        <w:rPr>
          <w:rFonts w:hAnsi="Times New Roman" w:cs="Times New Roman"/>
          <w:color w:val="000000" w:themeColor="text1"/>
          <w:lang w:val="en-US"/>
        </w:rPr>
        <w:t xml:space="preserve">1. Each cell gives the proportion of firms that underinvest, overinvest, or invest at nearly optimal levels in a given year when encountering shareholder complaints in the prior year, split over shareholder complaint </w:t>
      </w:r>
      <w:r w:rsidR="00C123D9">
        <w:rPr>
          <w:rFonts w:hAnsi="Times New Roman" w:cs="Times New Roman"/>
          <w:color w:val="000000" w:themeColor="text1"/>
          <w:lang w:val="en-US"/>
        </w:rPr>
        <w:t xml:space="preserve">institutional </w:t>
      </w:r>
      <w:r w:rsidRPr="007C37B0">
        <w:rPr>
          <w:rFonts w:hAnsi="Times New Roman" w:cs="Times New Roman"/>
          <w:color w:val="000000" w:themeColor="text1"/>
          <w:lang w:val="en-US"/>
        </w:rPr>
        <w:t>submitter (</w:t>
      </w:r>
      <w:r w:rsidR="00C123D9">
        <w:rPr>
          <w:rFonts w:hAnsi="Times New Roman" w:cs="Times New Roman"/>
          <w:color w:val="000000" w:themeColor="text1"/>
          <w:lang w:val="en-US"/>
        </w:rPr>
        <w:t>yes/</w:t>
      </w:r>
      <w:r w:rsidR="00C123D9" w:rsidRPr="007C37B0">
        <w:rPr>
          <w:rFonts w:hAnsi="Times New Roman" w:cs="Times New Roman"/>
          <w:color w:val="000000" w:themeColor="text1"/>
          <w:lang w:val="en-US"/>
        </w:rPr>
        <w:t>no</w:t>
      </w:r>
      <w:r w:rsidRPr="007C37B0">
        <w:rPr>
          <w:rFonts w:hAnsi="Times New Roman" w:cs="Times New Roman"/>
          <w:color w:val="000000" w:themeColor="text1"/>
          <w:lang w:val="en-US"/>
        </w:rPr>
        <w:t xml:space="preserve">), shareholder complaint </w:t>
      </w:r>
      <w:r w:rsidR="00C123D9" w:rsidRPr="007C37B0">
        <w:rPr>
          <w:rFonts w:hAnsi="Times New Roman" w:cs="Times New Roman"/>
          <w:color w:val="000000" w:themeColor="text1"/>
          <w:lang w:val="en-US"/>
        </w:rPr>
        <w:t xml:space="preserve">nonfinancial </w:t>
      </w:r>
      <w:r w:rsidRPr="007C37B0">
        <w:rPr>
          <w:rFonts w:hAnsi="Times New Roman" w:cs="Times New Roman"/>
          <w:color w:val="000000" w:themeColor="text1"/>
          <w:lang w:val="en-US"/>
        </w:rPr>
        <w:t>type (</w:t>
      </w:r>
      <w:r w:rsidR="00C123D9" w:rsidRPr="007C37B0">
        <w:rPr>
          <w:rFonts w:hAnsi="Times New Roman" w:cs="Times New Roman"/>
          <w:color w:val="000000" w:themeColor="text1"/>
          <w:lang w:val="en-US"/>
        </w:rPr>
        <w:t>yes/no</w:t>
      </w:r>
      <w:r w:rsidRPr="007C37B0">
        <w:rPr>
          <w:rFonts w:hAnsi="Times New Roman" w:cs="Times New Roman"/>
          <w:color w:val="000000" w:themeColor="text1"/>
          <w:lang w:val="en-US"/>
        </w:rPr>
        <w:t xml:space="preserve">), and shareholder complaint </w:t>
      </w:r>
      <w:r w:rsidR="00FB6512" w:rsidRPr="007C37B0">
        <w:rPr>
          <w:rFonts w:hAnsi="Times New Roman" w:cs="Times New Roman"/>
          <w:color w:val="000000" w:themeColor="text1"/>
          <w:lang w:val="en-US"/>
        </w:rPr>
        <w:t xml:space="preserve">topic </w:t>
      </w:r>
      <w:r w:rsidRPr="007C37B0">
        <w:rPr>
          <w:rFonts w:hAnsi="Times New Roman" w:cs="Times New Roman"/>
          <w:color w:val="000000" w:themeColor="text1"/>
          <w:lang w:val="en-US"/>
        </w:rPr>
        <w:t>media attention (above versus below median). Results indicate that</w:t>
      </w:r>
      <w:r w:rsidR="00C123D9" w:rsidRPr="007C37B0">
        <w:rPr>
          <w:rFonts w:hAnsi="Times New Roman" w:cs="Times New Roman"/>
          <w:color w:val="000000" w:themeColor="text1"/>
          <w:lang w:val="en-US"/>
        </w:rPr>
        <w:t>, on average,</w:t>
      </w:r>
      <w:r w:rsidRPr="007C37B0">
        <w:rPr>
          <w:rFonts w:hAnsi="Times New Roman" w:cs="Times New Roman"/>
          <w:color w:val="000000" w:themeColor="text1"/>
          <w:lang w:val="en-US"/>
        </w:rPr>
        <w:t xml:space="preserve"> the majority of firms underinvest in post-complaint advertising. However, if complaint</w:t>
      </w:r>
      <w:r w:rsidR="00C123D9" w:rsidRPr="007C37B0">
        <w:rPr>
          <w:rFonts w:hAnsi="Times New Roman" w:cs="Times New Roman"/>
          <w:color w:val="000000" w:themeColor="text1"/>
          <w:lang w:val="en-US"/>
        </w:rPr>
        <w:t xml:space="preserve"> topics receive larger media attention</w:t>
      </w:r>
      <w:r w:rsidRPr="007C37B0">
        <w:rPr>
          <w:rFonts w:hAnsi="Times New Roman" w:cs="Times New Roman"/>
          <w:color w:val="000000" w:themeColor="text1"/>
          <w:lang w:val="en-US"/>
        </w:rPr>
        <w:t xml:space="preserve">, firms invest close to an optimal level. With respect to shareholder complaint type, we find that firms advertise close to an optimal level if complaints relate to nonfinancial concerns. </w:t>
      </w:r>
      <w:r w:rsidR="00C123D9" w:rsidRPr="007C37B0">
        <w:rPr>
          <w:rFonts w:hAnsi="Times New Roman" w:cs="Times New Roman"/>
          <w:color w:val="000000" w:themeColor="text1"/>
          <w:lang w:val="en-US"/>
        </w:rPr>
        <w:t>We also note that most firms increase their investment levels to an nearly optimal level when complaints are submitted by institutional investors.</w:t>
      </w:r>
    </w:p>
    <w:p w14:paraId="39A3A01E" w14:textId="77777777" w:rsidR="00CA67ED" w:rsidRPr="007C37B0" w:rsidRDefault="00CA67ED" w:rsidP="00D24B1E">
      <w:pPr>
        <w:ind w:firstLine="720"/>
        <w:rPr>
          <w:color w:val="000000" w:themeColor="text1"/>
          <w:lang w:val="en-US"/>
        </w:rPr>
      </w:pPr>
    </w:p>
    <w:p w14:paraId="6FDCF653" w14:textId="58DFF1CF" w:rsidR="00CA67ED" w:rsidRPr="007C37B0" w:rsidRDefault="0003111A" w:rsidP="00D24B1E">
      <w:pPr>
        <w:jc w:val="center"/>
        <w:rPr>
          <w:b/>
          <w:caps/>
          <w:color w:val="000000" w:themeColor="text1"/>
          <w:u w:color="000000"/>
          <w:lang w:val="en-US"/>
        </w:rPr>
      </w:pPr>
      <w:r w:rsidRPr="007C37B0">
        <w:rPr>
          <w:b/>
          <w:caps/>
          <w:color w:val="000000" w:themeColor="text1"/>
          <w:u w:color="000000"/>
          <w:lang w:val="en-US"/>
        </w:rPr>
        <w:t xml:space="preserve">Table </w:t>
      </w:r>
      <w:r w:rsidR="00E23449">
        <w:rPr>
          <w:b/>
          <w:caps/>
          <w:color w:val="000000" w:themeColor="text1"/>
          <w:u w:color="000000"/>
          <w:lang w:val="en-US"/>
        </w:rPr>
        <w:t>G</w:t>
      </w:r>
      <w:r w:rsidR="00BC5646" w:rsidRPr="007C37B0">
        <w:rPr>
          <w:b/>
          <w:caps/>
          <w:color w:val="000000" w:themeColor="text1"/>
          <w:u w:color="000000"/>
          <w:lang w:val="en-US"/>
        </w:rPr>
        <w:t xml:space="preserve">1: Marginal Effects Analysis of Advertising Investment Response </w:t>
      </w:r>
    </w:p>
    <w:p w14:paraId="0AE2BE40" w14:textId="77777777" w:rsidR="00CA67ED" w:rsidRPr="007C37B0" w:rsidRDefault="00CA67ED" w:rsidP="00D24B1E">
      <w:pPr>
        <w:rPr>
          <w:color w:val="000000" w:themeColor="text1"/>
          <w:u w:color="000000"/>
          <w:lang w:val="en-US"/>
        </w:rPr>
      </w:pPr>
    </w:p>
    <w:tbl>
      <w:tblPr>
        <w:tblW w:w="9137" w:type="dxa"/>
        <w:tblInd w:w="93" w:type="dxa"/>
        <w:tblLook w:val="04A0" w:firstRow="1" w:lastRow="0" w:firstColumn="1" w:lastColumn="0" w:noHBand="0" w:noVBand="1"/>
      </w:tblPr>
      <w:tblGrid>
        <w:gridCol w:w="3260"/>
        <w:gridCol w:w="696"/>
        <w:gridCol w:w="1790"/>
        <w:gridCol w:w="1799"/>
        <w:gridCol w:w="1656"/>
      </w:tblGrid>
      <w:tr w:rsidR="00FB6512" w:rsidRPr="007C37B0" w14:paraId="345083BC" w14:textId="77777777" w:rsidTr="000D4F2B">
        <w:trPr>
          <w:trHeight w:val="300"/>
        </w:trPr>
        <w:tc>
          <w:tcPr>
            <w:tcW w:w="3260" w:type="dxa"/>
            <w:tcBorders>
              <w:top w:val="single" w:sz="4" w:space="0" w:color="auto"/>
              <w:left w:val="nil"/>
              <w:bottom w:val="single" w:sz="4" w:space="0" w:color="auto"/>
              <w:right w:val="nil"/>
            </w:tcBorders>
            <w:shd w:val="clear" w:color="auto" w:fill="auto"/>
            <w:noWrap/>
            <w:vAlign w:val="center"/>
            <w:hideMark/>
          </w:tcPr>
          <w:p w14:paraId="37A94689" w14:textId="77777777" w:rsidR="00CA67ED" w:rsidRPr="007C37B0" w:rsidRDefault="00CA67ED" w:rsidP="00D24B1E">
            <w:pPr>
              <w:rPr>
                <w:color w:val="000000" w:themeColor="text1"/>
                <w:lang w:val="en-US"/>
              </w:rPr>
            </w:pPr>
          </w:p>
        </w:tc>
        <w:tc>
          <w:tcPr>
            <w:tcW w:w="659" w:type="dxa"/>
            <w:tcBorders>
              <w:top w:val="single" w:sz="4" w:space="0" w:color="auto"/>
              <w:left w:val="nil"/>
              <w:bottom w:val="single" w:sz="4" w:space="0" w:color="auto"/>
              <w:right w:val="nil"/>
            </w:tcBorders>
            <w:shd w:val="clear" w:color="auto" w:fill="auto"/>
            <w:noWrap/>
            <w:vAlign w:val="center"/>
            <w:hideMark/>
          </w:tcPr>
          <w:p w14:paraId="7403D2D4" w14:textId="77777777" w:rsidR="00CA67ED" w:rsidRPr="007C37B0" w:rsidRDefault="00CA67ED" w:rsidP="00D24B1E">
            <w:pPr>
              <w:jc w:val="center"/>
              <w:rPr>
                <w:color w:val="000000" w:themeColor="text1"/>
                <w:lang w:val="en-US"/>
              </w:rPr>
            </w:pPr>
          </w:p>
        </w:tc>
        <w:tc>
          <w:tcPr>
            <w:tcW w:w="5218" w:type="dxa"/>
            <w:gridSpan w:val="3"/>
            <w:tcBorders>
              <w:top w:val="single" w:sz="4" w:space="0" w:color="auto"/>
              <w:left w:val="nil"/>
              <w:bottom w:val="single" w:sz="4" w:space="0" w:color="auto"/>
              <w:right w:val="nil"/>
            </w:tcBorders>
            <w:shd w:val="clear" w:color="auto" w:fill="auto"/>
            <w:noWrap/>
            <w:vAlign w:val="center"/>
            <w:hideMark/>
          </w:tcPr>
          <w:p w14:paraId="51BBFFC8" w14:textId="1BAD5559" w:rsidR="00CA67ED" w:rsidRPr="007C37B0" w:rsidRDefault="00CA67ED" w:rsidP="00D24B1E">
            <w:pPr>
              <w:jc w:val="center"/>
              <w:rPr>
                <w:b/>
                <w:bCs/>
                <w:color w:val="000000" w:themeColor="text1"/>
              </w:rPr>
            </w:pPr>
            <w:r w:rsidRPr="007C37B0">
              <w:rPr>
                <w:b/>
                <w:bCs/>
                <w:color w:val="000000" w:themeColor="text1"/>
              </w:rPr>
              <w:t>Advertising investment</w:t>
            </w:r>
            <w:r w:rsidR="00D24B1E" w:rsidRPr="007C37B0">
              <w:rPr>
                <w:b/>
                <w:bCs/>
                <w:color w:val="000000" w:themeColor="text1"/>
              </w:rPr>
              <w:t xml:space="preserve"> response</w:t>
            </w:r>
          </w:p>
        </w:tc>
      </w:tr>
      <w:tr w:rsidR="00FB6512" w:rsidRPr="007C37B0" w14:paraId="3F8A2EF1" w14:textId="77777777" w:rsidTr="000D4F2B">
        <w:trPr>
          <w:trHeight w:val="300"/>
        </w:trPr>
        <w:tc>
          <w:tcPr>
            <w:tcW w:w="3260" w:type="dxa"/>
            <w:tcBorders>
              <w:top w:val="nil"/>
              <w:left w:val="nil"/>
              <w:bottom w:val="single" w:sz="4" w:space="0" w:color="auto"/>
              <w:right w:val="nil"/>
            </w:tcBorders>
            <w:shd w:val="clear" w:color="auto" w:fill="auto"/>
            <w:noWrap/>
            <w:vAlign w:val="center"/>
            <w:hideMark/>
          </w:tcPr>
          <w:p w14:paraId="0FDA823D" w14:textId="77777777" w:rsidR="00CA67ED" w:rsidRPr="007C37B0" w:rsidRDefault="00CA67ED" w:rsidP="00D24B1E">
            <w:pPr>
              <w:rPr>
                <w:color w:val="000000" w:themeColor="text1"/>
              </w:rPr>
            </w:pPr>
          </w:p>
        </w:tc>
        <w:tc>
          <w:tcPr>
            <w:tcW w:w="659" w:type="dxa"/>
            <w:tcBorders>
              <w:top w:val="nil"/>
              <w:left w:val="nil"/>
              <w:bottom w:val="single" w:sz="4" w:space="0" w:color="auto"/>
              <w:right w:val="nil"/>
            </w:tcBorders>
            <w:shd w:val="clear" w:color="auto" w:fill="auto"/>
            <w:noWrap/>
            <w:vAlign w:val="center"/>
            <w:hideMark/>
          </w:tcPr>
          <w:p w14:paraId="4CC327D0" w14:textId="77777777" w:rsidR="00CA67ED" w:rsidRPr="007C37B0" w:rsidRDefault="00CA67ED" w:rsidP="00D24B1E">
            <w:pPr>
              <w:jc w:val="center"/>
              <w:rPr>
                <w:color w:val="000000" w:themeColor="text1"/>
              </w:rPr>
            </w:pPr>
          </w:p>
        </w:tc>
        <w:tc>
          <w:tcPr>
            <w:tcW w:w="1781" w:type="dxa"/>
            <w:tcBorders>
              <w:top w:val="nil"/>
              <w:left w:val="nil"/>
              <w:bottom w:val="single" w:sz="4" w:space="0" w:color="auto"/>
              <w:right w:val="nil"/>
            </w:tcBorders>
            <w:shd w:val="clear" w:color="auto" w:fill="auto"/>
            <w:noWrap/>
            <w:vAlign w:val="center"/>
            <w:hideMark/>
          </w:tcPr>
          <w:p w14:paraId="75DB459A" w14:textId="77777777" w:rsidR="00CA67ED" w:rsidRPr="007C37B0" w:rsidRDefault="00CA67ED" w:rsidP="00D24B1E">
            <w:pPr>
              <w:jc w:val="center"/>
              <w:rPr>
                <w:b/>
                <w:bCs/>
                <w:color w:val="000000" w:themeColor="text1"/>
              </w:rPr>
            </w:pPr>
            <w:r w:rsidRPr="007C37B0">
              <w:rPr>
                <w:b/>
                <w:bCs/>
                <w:color w:val="000000" w:themeColor="text1"/>
              </w:rPr>
              <w:t>Underinvesting</w:t>
            </w:r>
          </w:p>
        </w:tc>
        <w:tc>
          <w:tcPr>
            <w:tcW w:w="1799" w:type="dxa"/>
            <w:tcBorders>
              <w:top w:val="nil"/>
              <w:left w:val="nil"/>
              <w:bottom w:val="single" w:sz="4" w:space="0" w:color="auto"/>
              <w:right w:val="nil"/>
            </w:tcBorders>
            <w:shd w:val="clear" w:color="auto" w:fill="auto"/>
            <w:noWrap/>
            <w:vAlign w:val="center"/>
            <w:hideMark/>
          </w:tcPr>
          <w:p w14:paraId="780A2C7D" w14:textId="77777777" w:rsidR="00CA67ED" w:rsidRPr="007C37B0" w:rsidRDefault="00CA67ED" w:rsidP="00D24B1E">
            <w:pPr>
              <w:jc w:val="center"/>
              <w:rPr>
                <w:b/>
                <w:bCs/>
                <w:color w:val="000000" w:themeColor="text1"/>
              </w:rPr>
            </w:pPr>
            <w:r w:rsidRPr="007C37B0">
              <w:rPr>
                <w:b/>
                <w:bCs/>
                <w:color w:val="000000" w:themeColor="text1"/>
              </w:rPr>
              <w:t>Nearly optimal</w:t>
            </w:r>
          </w:p>
        </w:tc>
        <w:tc>
          <w:tcPr>
            <w:tcW w:w="1638" w:type="dxa"/>
            <w:tcBorders>
              <w:top w:val="nil"/>
              <w:left w:val="nil"/>
              <w:bottom w:val="single" w:sz="4" w:space="0" w:color="auto"/>
              <w:right w:val="nil"/>
            </w:tcBorders>
            <w:shd w:val="clear" w:color="auto" w:fill="auto"/>
            <w:noWrap/>
            <w:vAlign w:val="center"/>
            <w:hideMark/>
          </w:tcPr>
          <w:p w14:paraId="3959A7E1" w14:textId="77777777" w:rsidR="00CA67ED" w:rsidRPr="007C37B0" w:rsidRDefault="00CA67ED" w:rsidP="00D24B1E">
            <w:pPr>
              <w:jc w:val="center"/>
              <w:rPr>
                <w:b/>
                <w:bCs/>
                <w:color w:val="000000" w:themeColor="text1"/>
              </w:rPr>
            </w:pPr>
            <w:r w:rsidRPr="007C37B0">
              <w:rPr>
                <w:b/>
                <w:bCs/>
                <w:color w:val="000000" w:themeColor="text1"/>
              </w:rPr>
              <w:t>Overinvesting</w:t>
            </w:r>
          </w:p>
        </w:tc>
      </w:tr>
      <w:tr w:rsidR="00FB6512" w:rsidRPr="007C37B0" w14:paraId="763B6A5E" w14:textId="77777777" w:rsidTr="000D4F2B">
        <w:trPr>
          <w:trHeight w:val="300"/>
        </w:trPr>
        <w:tc>
          <w:tcPr>
            <w:tcW w:w="3260" w:type="dxa"/>
            <w:tcBorders>
              <w:top w:val="nil"/>
              <w:left w:val="nil"/>
              <w:bottom w:val="nil"/>
              <w:right w:val="nil"/>
            </w:tcBorders>
            <w:shd w:val="clear" w:color="auto" w:fill="auto"/>
            <w:noWrap/>
            <w:vAlign w:val="center"/>
            <w:hideMark/>
          </w:tcPr>
          <w:p w14:paraId="3337A2FA" w14:textId="2C13B6E1" w:rsidR="00CA67ED" w:rsidRPr="007C37B0" w:rsidRDefault="005E6DC9" w:rsidP="00D24B1E">
            <w:pPr>
              <w:rPr>
                <w:color w:val="000000" w:themeColor="text1"/>
              </w:rPr>
            </w:pPr>
            <w:r w:rsidRPr="007C37B0">
              <w:rPr>
                <w:color w:val="000000" w:themeColor="text1"/>
              </w:rPr>
              <w:t xml:space="preserve">Shareholder complaint </w:t>
            </w:r>
          </w:p>
        </w:tc>
        <w:tc>
          <w:tcPr>
            <w:tcW w:w="659" w:type="dxa"/>
            <w:tcBorders>
              <w:top w:val="nil"/>
              <w:left w:val="nil"/>
              <w:bottom w:val="nil"/>
              <w:right w:val="nil"/>
            </w:tcBorders>
            <w:shd w:val="clear" w:color="auto" w:fill="auto"/>
            <w:noWrap/>
            <w:vAlign w:val="center"/>
            <w:hideMark/>
          </w:tcPr>
          <w:p w14:paraId="787418F9" w14:textId="11BAAB65" w:rsidR="00CA67ED" w:rsidRPr="007C37B0" w:rsidRDefault="00E014F0" w:rsidP="00DD2B16">
            <w:pPr>
              <w:jc w:val="center"/>
              <w:rPr>
                <w:color w:val="000000" w:themeColor="text1"/>
              </w:rPr>
            </w:pPr>
            <w:r w:rsidRPr="007C37B0">
              <w:rPr>
                <w:color w:val="000000" w:themeColor="text1"/>
              </w:rPr>
              <w:t>Yes</w:t>
            </w:r>
          </w:p>
        </w:tc>
        <w:tc>
          <w:tcPr>
            <w:tcW w:w="1781" w:type="dxa"/>
            <w:tcBorders>
              <w:top w:val="nil"/>
              <w:left w:val="nil"/>
              <w:bottom w:val="nil"/>
              <w:right w:val="nil"/>
            </w:tcBorders>
            <w:shd w:val="clear" w:color="auto" w:fill="auto"/>
            <w:noWrap/>
            <w:vAlign w:val="center"/>
            <w:hideMark/>
          </w:tcPr>
          <w:p w14:paraId="18EF0597" w14:textId="6F98F816" w:rsidR="00CA67ED" w:rsidRPr="007C37B0" w:rsidRDefault="001F79EF" w:rsidP="00D24B1E">
            <w:pPr>
              <w:jc w:val="center"/>
              <w:rPr>
                <w:color w:val="000000" w:themeColor="text1"/>
              </w:rPr>
            </w:pPr>
            <w:r w:rsidRPr="007C37B0">
              <w:rPr>
                <w:color w:val="000000" w:themeColor="text1"/>
              </w:rPr>
              <w:t>37</w:t>
            </w:r>
            <w:r w:rsidR="00CA67ED" w:rsidRPr="007C37B0">
              <w:rPr>
                <w:color w:val="000000" w:themeColor="text1"/>
              </w:rPr>
              <w:t>%</w:t>
            </w:r>
          </w:p>
        </w:tc>
        <w:tc>
          <w:tcPr>
            <w:tcW w:w="1799" w:type="dxa"/>
            <w:tcBorders>
              <w:top w:val="nil"/>
              <w:left w:val="nil"/>
              <w:bottom w:val="nil"/>
              <w:right w:val="nil"/>
            </w:tcBorders>
            <w:shd w:val="clear" w:color="auto" w:fill="auto"/>
            <w:noWrap/>
            <w:vAlign w:val="center"/>
            <w:hideMark/>
          </w:tcPr>
          <w:p w14:paraId="24B63285" w14:textId="28306568" w:rsidR="00CA67ED" w:rsidRPr="007C37B0" w:rsidRDefault="001F79EF" w:rsidP="00D24B1E">
            <w:pPr>
              <w:jc w:val="center"/>
              <w:rPr>
                <w:color w:val="000000" w:themeColor="text1"/>
              </w:rPr>
            </w:pPr>
            <w:r w:rsidRPr="007C37B0">
              <w:rPr>
                <w:color w:val="000000" w:themeColor="text1"/>
              </w:rPr>
              <w:t>6</w:t>
            </w:r>
            <w:r w:rsidR="000D4F2B" w:rsidRPr="007C37B0">
              <w:rPr>
                <w:color w:val="000000" w:themeColor="text1"/>
              </w:rPr>
              <w:t>1</w:t>
            </w:r>
            <w:r w:rsidR="00CA67ED" w:rsidRPr="007C37B0">
              <w:rPr>
                <w:color w:val="000000" w:themeColor="text1"/>
              </w:rPr>
              <w:t>%</w:t>
            </w:r>
          </w:p>
        </w:tc>
        <w:tc>
          <w:tcPr>
            <w:tcW w:w="1638" w:type="dxa"/>
            <w:tcBorders>
              <w:top w:val="nil"/>
              <w:left w:val="nil"/>
              <w:bottom w:val="nil"/>
              <w:right w:val="nil"/>
            </w:tcBorders>
            <w:shd w:val="clear" w:color="auto" w:fill="auto"/>
            <w:noWrap/>
            <w:vAlign w:val="center"/>
            <w:hideMark/>
          </w:tcPr>
          <w:p w14:paraId="7CBCE8C9" w14:textId="3BA6678A" w:rsidR="00CA67ED" w:rsidRPr="007C37B0" w:rsidRDefault="001F79EF" w:rsidP="00D24B1E">
            <w:pPr>
              <w:jc w:val="center"/>
              <w:rPr>
                <w:color w:val="000000" w:themeColor="text1"/>
              </w:rPr>
            </w:pPr>
            <w:r w:rsidRPr="007C37B0">
              <w:rPr>
                <w:color w:val="000000" w:themeColor="text1"/>
              </w:rPr>
              <w:t>2</w:t>
            </w:r>
            <w:r w:rsidR="00CA67ED" w:rsidRPr="007C37B0">
              <w:rPr>
                <w:color w:val="000000" w:themeColor="text1"/>
              </w:rPr>
              <w:t>%</w:t>
            </w:r>
          </w:p>
        </w:tc>
      </w:tr>
      <w:tr w:rsidR="00FB6512" w:rsidRPr="007C37B0" w14:paraId="088A0DBA" w14:textId="77777777" w:rsidTr="000D4F2B">
        <w:trPr>
          <w:trHeight w:val="300"/>
        </w:trPr>
        <w:tc>
          <w:tcPr>
            <w:tcW w:w="3260" w:type="dxa"/>
            <w:tcBorders>
              <w:top w:val="nil"/>
              <w:left w:val="nil"/>
              <w:bottom w:val="single" w:sz="4" w:space="0" w:color="auto"/>
              <w:right w:val="nil"/>
            </w:tcBorders>
            <w:shd w:val="clear" w:color="auto" w:fill="auto"/>
            <w:noWrap/>
            <w:vAlign w:val="center"/>
            <w:hideMark/>
          </w:tcPr>
          <w:p w14:paraId="606C8205" w14:textId="41EC61B9" w:rsidR="00CA67ED" w:rsidRPr="007C37B0" w:rsidRDefault="00BF724A" w:rsidP="00D24B1E">
            <w:pPr>
              <w:rPr>
                <w:color w:val="000000" w:themeColor="text1"/>
              </w:rPr>
            </w:pPr>
            <w:r w:rsidRPr="007C37B0">
              <w:rPr>
                <w:color w:val="000000" w:themeColor="text1"/>
              </w:rPr>
              <w:t>institutional submitter</w:t>
            </w:r>
          </w:p>
        </w:tc>
        <w:tc>
          <w:tcPr>
            <w:tcW w:w="659" w:type="dxa"/>
            <w:tcBorders>
              <w:top w:val="nil"/>
              <w:left w:val="nil"/>
              <w:bottom w:val="single" w:sz="4" w:space="0" w:color="auto"/>
              <w:right w:val="nil"/>
            </w:tcBorders>
            <w:shd w:val="clear" w:color="auto" w:fill="auto"/>
            <w:noWrap/>
            <w:vAlign w:val="center"/>
            <w:hideMark/>
          </w:tcPr>
          <w:p w14:paraId="3DC4ECFB" w14:textId="7D5ABB49" w:rsidR="00CA67ED" w:rsidRPr="007C37B0" w:rsidRDefault="00E014F0" w:rsidP="00DD2B16">
            <w:pPr>
              <w:jc w:val="center"/>
              <w:rPr>
                <w:color w:val="000000" w:themeColor="text1"/>
              </w:rPr>
            </w:pPr>
            <w:r w:rsidRPr="007C37B0">
              <w:rPr>
                <w:color w:val="000000" w:themeColor="text1"/>
              </w:rPr>
              <w:t>No</w:t>
            </w:r>
          </w:p>
        </w:tc>
        <w:tc>
          <w:tcPr>
            <w:tcW w:w="1781" w:type="dxa"/>
            <w:tcBorders>
              <w:top w:val="nil"/>
              <w:left w:val="nil"/>
              <w:bottom w:val="single" w:sz="4" w:space="0" w:color="auto"/>
              <w:right w:val="nil"/>
            </w:tcBorders>
            <w:shd w:val="clear" w:color="auto" w:fill="auto"/>
            <w:noWrap/>
            <w:vAlign w:val="center"/>
            <w:hideMark/>
          </w:tcPr>
          <w:p w14:paraId="46C439FE" w14:textId="00F9BAAF" w:rsidR="00CA67ED" w:rsidRPr="007C37B0" w:rsidRDefault="001F79EF" w:rsidP="00D24B1E">
            <w:pPr>
              <w:jc w:val="center"/>
              <w:rPr>
                <w:color w:val="000000" w:themeColor="text1"/>
              </w:rPr>
            </w:pPr>
            <w:r w:rsidRPr="007C37B0">
              <w:rPr>
                <w:color w:val="000000" w:themeColor="text1"/>
              </w:rPr>
              <w:t>6</w:t>
            </w:r>
            <w:r w:rsidR="00CA67ED" w:rsidRPr="007C37B0">
              <w:rPr>
                <w:color w:val="000000" w:themeColor="text1"/>
              </w:rPr>
              <w:t>9%</w:t>
            </w:r>
          </w:p>
        </w:tc>
        <w:tc>
          <w:tcPr>
            <w:tcW w:w="1799" w:type="dxa"/>
            <w:tcBorders>
              <w:top w:val="nil"/>
              <w:left w:val="nil"/>
              <w:bottom w:val="single" w:sz="4" w:space="0" w:color="auto"/>
              <w:right w:val="nil"/>
            </w:tcBorders>
            <w:shd w:val="clear" w:color="auto" w:fill="auto"/>
            <w:noWrap/>
            <w:vAlign w:val="center"/>
            <w:hideMark/>
          </w:tcPr>
          <w:p w14:paraId="70F192D2" w14:textId="15295EDE" w:rsidR="00CA67ED" w:rsidRPr="007C37B0" w:rsidRDefault="001F79EF" w:rsidP="00D24B1E">
            <w:pPr>
              <w:jc w:val="center"/>
              <w:rPr>
                <w:color w:val="000000" w:themeColor="text1"/>
              </w:rPr>
            </w:pPr>
            <w:r w:rsidRPr="007C37B0">
              <w:rPr>
                <w:color w:val="000000" w:themeColor="text1"/>
              </w:rPr>
              <w:t>2</w:t>
            </w:r>
            <w:r w:rsidR="00CA67ED" w:rsidRPr="007C37B0">
              <w:rPr>
                <w:color w:val="000000" w:themeColor="text1"/>
              </w:rPr>
              <w:t>7%</w:t>
            </w:r>
          </w:p>
        </w:tc>
        <w:tc>
          <w:tcPr>
            <w:tcW w:w="1638" w:type="dxa"/>
            <w:tcBorders>
              <w:top w:val="nil"/>
              <w:left w:val="nil"/>
              <w:bottom w:val="single" w:sz="4" w:space="0" w:color="auto"/>
              <w:right w:val="nil"/>
            </w:tcBorders>
            <w:shd w:val="clear" w:color="auto" w:fill="auto"/>
            <w:noWrap/>
            <w:vAlign w:val="center"/>
            <w:hideMark/>
          </w:tcPr>
          <w:p w14:paraId="7E9A826A" w14:textId="6C81A5DC" w:rsidR="00CA67ED" w:rsidRPr="007C37B0" w:rsidRDefault="001F79EF" w:rsidP="00D24B1E">
            <w:pPr>
              <w:jc w:val="center"/>
              <w:rPr>
                <w:color w:val="000000" w:themeColor="text1"/>
              </w:rPr>
            </w:pPr>
            <w:r w:rsidRPr="007C37B0">
              <w:rPr>
                <w:color w:val="000000" w:themeColor="text1"/>
              </w:rPr>
              <w:t>5</w:t>
            </w:r>
            <w:r w:rsidR="00CA67ED" w:rsidRPr="007C37B0">
              <w:rPr>
                <w:color w:val="000000" w:themeColor="text1"/>
              </w:rPr>
              <w:t>%</w:t>
            </w:r>
          </w:p>
        </w:tc>
      </w:tr>
      <w:tr w:rsidR="00FB6512" w:rsidRPr="007C37B0" w14:paraId="09B7381E" w14:textId="77777777" w:rsidTr="001F79EF">
        <w:trPr>
          <w:trHeight w:val="320"/>
        </w:trPr>
        <w:tc>
          <w:tcPr>
            <w:tcW w:w="3260" w:type="dxa"/>
            <w:tcBorders>
              <w:top w:val="nil"/>
              <w:left w:val="nil"/>
              <w:right w:val="nil"/>
            </w:tcBorders>
            <w:shd w:val="clear" w:color="auto" w:fill="auto"/>
            <w:vAlign w:val="center"/>
          </w:tcPr>
          <w:p w14:paraId="759E9F40" w14:textId="39C10768" w:rsidR="00E014F0" w:rsidRPr="007C37B0" w:rsidRDefault="00E014F0" w:rsidP="00D24B1E">
            <w:pPr>
              <w:rPr>
                <w:color w:val="000000" w:themeColor="text1"/>
              </w:rPr>
            </w:pPr>
            <w:r w:rsidRPr="007C37B0">
              <w:rPr>
                <w:color w:val="000000" w:themeColor="text1"/>
              </w:rPr>
              <w:t xml:space="preserve">Shareholder complaint </w:t>
            </w:r>
          </w:p>
        </w:tc>
        <w:tc>
          <w:tcPr>
            <w:tcW w:w="659" w:type="dxa"/>
            <w:tcBorders>
              <w:top w:val="nil"/>
              <w:left w:val="nil"/>
              <w:right w:val="nil"/>
            </w:tcBorders>
            <w:shd w:val="clear" w:color="auto" w:fill="auto"/>
            <w:noWrap/>
            <w:vAlign w:val="center"/>
          </w:tcPr>
          <w:p w14:paraId="615049BE" w14:textId="77A43A77" w:rsidR="00E014F0" w:rsidRPr="007C37B0" w:rsidRDefault="00E014F0" w:rsidP="00DD2B16">
            <w:pPr>
              <w:jc w:val="center"/>
              <w:rPr>
                <w:color w:val="000000" w:themeColor="text1"/>
              </w:rPr>
            </w:pPr>
            <w:r w:rsidRPr="007C37B0">
              <w:rPr>
                <w:color w:val="000000" w:themeColor="text1"/>
              </w:rPr>
              <w:t>Yes</w:t>
            </w:r>
          </w:p>
        </w:tc>
        <w:tc>
          <w:tcPr>
            <w:tcW w:w="1781" w:type="dxa"/>
            <w:tcBorders>
              <w:top w:val="nil"/>
              <w:left w:val="nil"/>
              <w:right w:val="nil"/>
            </w:tcBorders>
            <w:shd w:val="clear" w:color="auto" w:fill="auto"/>
            <w:noWrap/>
            <w:vAlign w:val="center"/>
          </w:tcPr>
          <w:p w14:paraId="6029E2A7" w14:textId="4F2E3816" w:rsidR="00E014F0" w:rsidRPr="007C37B0" w:rsidRDefault="001F79EF" w:rsidP="00D24B1E">
            <w:pPr>
              <w:jc w:val="center"/>
              <w:rPr>
                <w:color w:val="000000" w:themeColor="text1"/>
              </w:rPr>
            </w:pPr>
            <w:r w:rsidRPr="007C37B0">
              <w:rPr>
                <w:color w:val="000000" w:themeColor="text1"/>
              </w:rPr>
              <w:t>13%</w:t>
            </w:r>
          </w:p>
        </w:tc>
        <w:tc>
          <w:tcPr>
            <w:tcW w:w="1799" w:type="dxa"/>
            <w:tcBorders>
              <w:top w:val="nil"/>
              <w:left w:val="nil"/>
              <w:right w:val="nil"/>
            </w:tcBorders>
            <w:shd w:val="clear" w:color="auto" w:fill="auto"/>
            <w:noWrap/>
            <w:vAlign w:val="center"/>
          </w:tcPr>
          <w:p w14:paraId="41E8F856" w14:textId="00FAA48F" w:rsidR="00E014F0" w:rsidRPr="007C37B0" w:rsidRDefault="001F79EF" w:rsidP="00D24B1E">
            <w:pPr>
              <w:jc w:val="center"/>
              <w:rPr>
                <w:color w:val="000000" w:themeColor="text1"/>
              </w:rPr>
            </w:pPr>
            <w:r w:rsidRPr="007C37B0">
              <w:rPr>
                <w:color w:val="000000" w:themeColor="text1"/>
              </w:rPr>
              <w:t>74%</w:t>
            </w:r>
          </w:p>
        </w:tc>
        <w:tc>
          <w:tcPr>
            <w:tcW w:w="1638" w:type="dxa"/>
            <w:tcBorders>
              <w:top w:val="nil"/>
              <w:left w:val="nil"/>
              <w:right w:val="nil"/>
            </w:tcBorders>
            <w:shd w:val="clear" w:color="auto" w:fill="auto"/>
            <w:noWrap/>
            <w:vAlign w:val="center"/>
          </w:tcPr>
          <w:p w14:paraId="218BC2A7" w14:textId="7D5D8F7F" w:rsidR="00E014F0" w:rsidRPr="007C37B0" w:rsidRDefault="001F79EF" w:rsidP="00D24B1E">
            <w:pPr>
              <w:jc w:val="center"/>
              <w:rPr>
                <w:color w:val="000000" w:themeColor="text1"/>
              </w:rPr>
            </w:pPr>
            <w:r w:rsidRPr="007C37B0">
              <w:rPr>
                <w:color w:val="000000" w:themeColor="text1"/>
              </w:rPr>
              <w:t>13%</w:t>
            </w:r>
          </w:p>
        </w:tc>
      </w:tr>
      <w:tr w:rsidR="00FB6512" w:rsidRPr="007C37B0" w14:paraId="2BDF108B" w14:textId="77777777" w:rsidTr="001F79EF">
        <w:trPr>
          <w:trHeight w:val="320"/>
        </w:trPr>
        <w:tc>
          <w:tcPr>
            <w:tcW w:w="3260" w:type="dxa"/>
            <w:tcBorders>
              <w:top w:val="nil"/>
              <w:left w:val="nil"/>
              <w:bottom w:val="single" w:sz="4" w:space="0" w:color="auto"/>
              <w:right w:val="nil"/>
            </w:tcBorders>
            <w:shd w:val="clear" w:color="auto" w:fill="auto"/>
            <w:vAlign w:val="center"/>
          </w:tcPr>
          <w:p w14:paraId="50614495" w14:textId="41454238" w:rsidR="00E014F0" w:rsidRPr="007C37B0" w:rsidRDefault="00BF724A" w:rsidP="00D24B1E">
            <w:pPr>
              <w:rPr>
                <w:color w:val="000000" w:themeColor="text1"/>
              </w:rPr>
            </w:pPr>
            <w:r w:rsidRPr="007C37B0">
              <w:rPr>
                <w:color w:val="000000" w:themeColor="text1"/>
              </w:rPr>
              <w:t>nonfinancial type</w:t>
            </w:r>
          </w:p>
        </w:tc>
        <w:tc>
          <w:tcPr>
            <w:tcW w:w="659" w:type="dxa"/>
            <w:tcBorders>
              <w:top w:val="nil"/>
              <w:left w:val="nil"/>
              <w:bottom w:val="single" w:sz="4" w:space="0" w:color="auto"/>
              <w:right w:val="nil"/>
            </w:tcBorders>
            <w:shd w:val="clear" w:color="auto" w:fill="auto"/>
            <w:noWrap/>
            <w:vAlign w:val="center"/>
          </w:tcPr>
          <w:p w14:paraId="3E90E9C3" w14:textId="59B70405" w:rsidR="00E014F0" w:rsidRPr="007C37B0" w:rsidRDefault="00E014F0" w:rsidP="00DD2B16">
            <w:pPr>
              <w:jc w:val="center"/>
              <w:rPr>
                <w:color w:val="000000" w:themeColor="text1"/>
              </w:rPr>
            </w:pPr>
            <w:r w:rsidRPr="007C37B0">
              <w:rPr>
                <w:color w:val="000000" w:themeColor="text1"/>
              </w:rPr>
              <w:t>No</w:t>
            </w:r>
          </w:p>
        </w:tc>
        <w:tc>
          <w:tcPr>
            <w:tcW w:w="1781" w:type="dxa"/>
            <w:tcBorders>
              <w:top w:val="nil"/>
              <w:left w:val="nil"/>
              <w:bottom w:val="single" w:sz="4" w:space="0" w:color="auto"/>
              <w:right w:val="nil"/>
            </w:tcBorders>
            <w:shd w:val="clear" w:color="auto" w:fill="auto"/>
            <w:noWrap/>
            <w:vAlign w:val="center"/>
          </w:tcPr>
          <w:p w14:paraId="5864AB51" w14:textId="3333D010" w:rsidR="00E014F0" w:rsidRPr="007C37B0" w:rsidRDefault="001F79EF" w:rsidP="00D24B1E">
            <w:pPr>
              <w:jc w:val="center"/>
              <w:rPr>
                <w:color w:val="000000" w:themeColor="text1"/>
              </w:rPr>
            </w:pPr>
            <w:r w:rsidRPr="007C37B0">
              <w:rPr>
                <w:color w:val="000000" w:themeColor="text1"/>
              </w:rPr>
              <w:t>78%</w:t>
            </w:r>
          </w:p>
        </w:tc>
        <w:tc>
          <w:tcPr>
            <w:tcW w:w="1799" w:type="dxa"/>
            <w:tcBorders>
              <w:top w:val="nil"/>
              <w:left w:val="nil"/>
              <w:bottom w:val="single" w:sz="4" w:space="0" w:color="auto"/>
              <w:right w:val="nil"/>
            </w:tcBorders>
            <w:shd w:val="clear" w:color="auto" w:fill="auto"/>
            <w:noWrap/>
            <w:vAlign w:val="center"/>
          </w:tcPr>
          <w:p w14:paraId="290D1539" w14:textId="639B5EE7" w:rsidR="00E014F0" w:rsidRPr="007C37B0" w:rsidRDefault="001F79EF" w:rsidP="00D24B1E">
            <w:pPr>
              <w:jc w:val="center"/>
              <w:rPr>
                <w:color w:val="000000" w:themeColor="text1"/>
              </w:rPr>
            </w:pPr>
            <w:r w:rsidRPr="007C37B0">
              <w:rPr>
                <w:color w:val="000000" w:themeColor="text1"/>
              </w:rPr>
              <w:t>22%</w:t>
            </w:r>
          </w:p>
        </w:tc>
        <w:tc>
          <w:tcPr>
            <w:tcW w:w="1638" w:type="dxa"/>
            <w:tcBorders>
              <w:top w:val="nil"/>
              <w:left w:val="nil"/>
              <w:bottom w:val="single" w:sz="4" w:space="0" w:color="auto"/>
              <w:right w:val="nil"/>
            </w:tcBorders>
            <w:shd w:val="clear" w:color="auto" w:fill="auto"/>
            <w:noWrap/>
            <w:vAlign w:val="center"/>
          </w:tcPr>
          <w:p w14:paraId="75F3FA87" w14:textId="10FB8A0D" w:rsidR="00E014F0" w:rsidRPr="007C37B0" w:rsidRDefault="001F79EF" w:rsidP="00D24B1E">
            <w:pPr>
              <w:jc w:val="center"/>
              <w:rPr>
                <w:color w:val="000000" w:themeColor="text1"/>
              </w:rPr>
            </w:pPr>
            <w:r w:rsidRPr="007C37B0">
              <w:rPr>
                <w:color w:val="000000" w:themeColor="text1"/>
              </w:rPr>
              <w:t>1%</w:t>
            </w:r>
          </w:p>
        </w:tc>
      </w:tr>
      <w:tr w:rsidR="00FB6512" w:rsidRPr="007C37B0" w14:paraId="03F670E0" w14:textId="77777777" w:rsidTr="001F79EF">
        <w:trPr>
          <w:trHeight w:val="320"/>
        </w:trPr>
        <w:tc>
          <w:tcPr>
            <w:tcW w:w="3260" w:type="dxa"/>
            <w:vMerge w:val="restart"/>
            <w:tcBorders>
              <w:top w:val="single" w:sz="4" w:space="0" w:color="auto"/>
              <w:left w:val="nil"/>
              <w:right w:val="nil"/>
            </w:tcBorders>
            <w:shd w:val="clear" w:color="auto" w:fill="auto"/>
            <w:vAlign w:val="center"/>
            <w:hideMark/>
          </w:tcPr>
          <w:p w14:paraId="54419B82" w14:textId="25CBA584" w:rsidR="00CA67ED" w:rsidRPr="007C37B0" w:rsidRDefault="005E6DC9" w:rsidP="00D24B1E">
            <w:pPr>
              <w:rPr>
                <w:color w:val="000000" w:themeColor="text1"/>
                <w:lang w:val="en-US"/>
              </w:rPr>
            </w:pPr>
            <w:r w:rsidRPr="007C37B0">
              <w:rPr>
                <w:color w:val="000000" w:themeColor="text1"/>
                <w:lang w:val="en-US"/>
              </w:rPr>
              <w:t>Shareholder complaint</w:t>
            </w:r>
            <w:r w:rsidR="00CF7E7B" w:rsidRPr="007C37B0">
              <w:rPr>
                <w:color w:val="000000" w:themeColor="text1"/>
                <w:lang w:val="en-US"/>
              </w:rPr>
              <w:t xml:space="preserve"> </w:t>
            </w:r>
            <w:r w:rsidR="00FB6512" w:rsidRPr="007C37B0">
              <w:rPr>
                <w:color w:val="000000" w:themeColor="text1"/>
                <w:lang w:val="en-US"/>
              </w:rPr>
              <w:t xml:space="preserve">topic </w:t>
            </w:r>
            <w:r w:rsidR="00E014F0" w:rsidRPr="007C37B0">
              <w:rPr>
                <w:color w:val="000000" w:themeColor="text1"/>
                <w:lang w:val="en-US"/>
              </w:rPr>
              <w:t>media attention</w:t>
            </w:r>
            <w:r w:rsidRPr="007C37B0">
              <w:rPr>
                <w:color w:val="000000" w:themeColor="text1"/>
                <w:lang w:val="en-US"/>
              </w:rPr>
              <w:t xml:space="preserve"> </w:t>
            </w:r>
          </w:p>
        </w:tc>
        <w:tc>
          <w:tcPr>
            <w:tcW w:w="659" w:type="dxa"/>
            <w:tcBorders>
              <w:top w:val="single" w:sz="4" w:space="0" w:color="auto"/>
              <w:left w:val="nil"/>
              <w:bottom w:val="nil"/>
              <w:right w:val="nil"/>
            </w:tcBorders>
            <w:shd w:val="clear" w:color="auto" w:fill="auto"/>
            <w:noWrap/>
            <w:vAlign w:val="center"/>
            <w:hideMark/>
          </w:tcPr>
          <w:p w14:paraId="73F7BC7D" w14:textId="0B8CAB3F" w:rsidR="00CA67ED" w:rsidRPr="007C37B0" w:rsidRDefault="00E014F0" w:rsidP="00DD2B16">
            <w:pPr>
              <w:jc w:val="center"/>
              <w:rPr>
                <w:color w:val="000000" w:themeColor="text1"/>
              </w:rPr>
            </w:pPr>
            <w:r w:rsidRPr="007C37B0">
              <w:rPr>
                <w:color w:val="000000" w:themeColor="text1"/>
              </w:rPr>
              <w:t>High</w:t>
            </w:r>
          </w:p>
        </w:tc>
        <w:tc>
          <w:tcPr>
            <w:tcW w:w="1781" w:type="dxa"/>
            <w:tcBorders>
              <w:top w:val="single" w:sz="4" w:space="0" w:color="auto"/>
              <w:left w:val="nil"/>
              <w:bottom w:val="nil"/>
              <w:right w:val="nil"/>
            </w:tcBorders>
            <w:shd w:val="clear" w:color="auto" w:fill="auto"/>
            <w:noWrap/>
            <w:vAlign w:val="center"/>
            <w:hideMark/>
          </w:tcPr>
          <w:p w14:paraId="020707B1" w14:textId="4C2CE389" w:rsidR="00CA67ED" w:rsidRPr="007C37B0" w:rsidRDefault="001F79EF" w:rsidP="00D24B1E">
            <w:pPr>
              <w:jc w:val="center"/>
              <w:rPr>
                <w:color w:val="000000" w:themeColor="text1"/>
              </w:rPr>
            </w:pPr>
            <w:r w:rsidRPr="007C37B0">
              <w:rPr>
                <w:color w:val="000000" w:themeColor="text1"/>
              </w:rPr>
              <w:t>1</w:t>
            </w:r>
            <w:r w:rsidR="00CA67ED" w:rsidRPr="007C37B0">
              <w:rPr>
                <w:color w:val="000000" w:themeColor="text1"/>
              </w:rPr>
              <w:t>%</w:t>
            </w:r>
          </w:p>
        </w:tc>
        <w:tc>
          <w:tcPr>
            <w:tcW w:w="1799" w:type="dxa"/>
            <w:tcBorders>
              <w:top w:val="single" w:sz="4" w:space="0" w:color="auto"/>
              <w:left w:val="nil"/>
              <w:bottom w:val="nil"/>
              <w:right w:val="nil"/>
            </w:tcBorders>
            <w:shd w:val="clear" w:color="auto" w:fill="auto"/>
            <w:noWrap/>
            <w:vAlign w:val="center"/>
            <w:hideMark/>
          </w:tcPr>
          <w:p w14:paraId="62BEC393" w14:textId="44F86F11" w:rsidR="00CA67ED" w:rsidRPr="007C37B0" w:rsidRDefault="001F79EF" w:rsidP="00D24B1E">
            <w:pPr>
              <w:jc w:val="center"/>
              <w:rPr>
                <w:color w:val="000000" w:themeColor="text1"/>
              </w:rPr>
            </w:pPr>
            <w:r w:rsidRPr="007C37B0">
              <w:rPr>
                <w:color w:val="000000" w:themeColor="text1"/>
              </w:rPr>
              <w:t>96</w:t>
            </w:r>
            <w:r w:rsidR="00CA67ED" w:rsidRPr="007C37B0">
              <w:rPr>
                <w:color w:val="000000" w:themeColor="text1"/>
              </w:rPr>
              <w:t>%</w:t>
            </w:r>
          </w:p>
        </w:tc>
        <w:tc>
          <w:tcPr>
            <w:tcW w:w="1638" w:type="dxa"/>
            <w:tcBorders>
              <w:top w:val="single" w:sz="4" w:space="0" w:color="auto"/>
              <w:left w:val="nil"/>
              <w:bottom w:val="nil"/>
              <w:right w:val="nil"/>
            </w:tcBorders>
            <w:shd w:val="clear" w:color="auto" w:fill="auto"/>
            <w:noWrap/>
            <w:vAlign w:val="center"/>
            <w:hideMark/>
          </w:tcPr>
          <w:p w14:paraId="4B61DA09" w14:textId="37E73646" w:rsidR="00CA67ED" w:rsidRPr="007C37B0" w:rsidRDefault="001F79EF" w:rsidP="00D24B1E">
            <w:pPr>
              <w:jc w:val="center"/>
              <w:rPr>
                <w:color w:val="000000" w:themeColor="text1"/>
              </w:rPr>
            </w:pPr>
            <w:r w:rsidRPr="007C37B0">
              <w:rPr>
                <w:color w:val="000000" w:themeColor="text1"/>
              </w:rPr>
              <w:t>3</w:t>
            </w:r>
            <w:r w:rsidR="00CA67ED" w:rsidRPr="007C37B0">
              <w:rPr>
                <w:color w:val="000000" w:themeColor="text1"/>
              </w:rPr>
              <w:t>%</w:t>
            </w:r>
          </w:p>
        </w:tc>
      </w:tr>
      <w:tr w:rsidR="00FB6512" w:rsidRPr="007C37B0" w14:paraId="0295EA20" w14:textId="77777777" w:rsidTr="000D4F2B">
        <w:trPr>
          <w:trHeight w:val="300"/>
        </w:trPr>
        <w:tc>
          <w:tcPr>
            <w:tcW w:w="3260" w:type="dxa"/>
            <w:vMerge/>
            <w:tcBorders>
              <w:left w:val="nil"/>
              <w:bottom w:val="single" w:sz="4" w:space="0" w:color="auto"/>
              <w:right w:val="nil"/>
            </w:tcBorders>
            <w:shd w:val="clear" w:color="auto" w:fill="auto"/>
            <w:noWrap/>
            <w:vAlign w:val="center"/>
            <w:hideMark/>
          </w:tcPr>
          <w:p w14:paraId="2055008B" w14:textId="77777777" w:rsidR="00CA67ED" w:rsidRPr="007C37B0" w:rsidRDefault="00CA67ED" w:rsidP="00D24B1E">
            <w:pPr>
              <w:rPr>
                <w:color w:val="000000" w:themeColor="text1"/>
              </w:rPr>
            </w:pPr>
          </w:p>
        </w:tc>
        <w:tc>
          <w:tcPr>
            <w:tcW w:w="659" w:type="dxa"/>
            <w:tcBorders>
              <w:top w:val="nil"/>
              <w:left w:val="nil"/>
              <w:bottom w:val="single" w:sz="4" w:space="0" w:color="auto"/>
              <w:right w:val="nil"/>
            </w:tcBorders>
            <w:shd w:val="clear" w:color="auto" w:fill="auto"/>
            <w:noWrap/>
            <w:vAlign w:val="center"/>
            <w:hideMark/>
          </w:tcPr>
          <w:p w14:paraId="78028CB0" w14:textId="36547156" w:rsidR="00CA67ED" w:rsidRPr="007C37B0" w:rsidRDefault="00E014F0" w:rsidP="00DD2B16">
            <w:pPr>
              <w:jc w:val="center"/>
              <w:rPr>
                <w:color w:val="000000" w:themeColor="text1"/>
              </w:rPr>
            </w:pPr>
            <w:r w:rsidRPr="007C37B0">
              <w:rPr>
                <w:color w:val="000000" w:themeColor="text1"/>
              </w:rPr>
              <w:t>Low</w:t>
            </w:r>
          </w:p>
        </w:tc>
        <w:tc>
          <w:tcPr>
            <w:tcW w:w="1781" w:type="dxa"/>
            <w:tcBorders>
              <w:top w:val="nil"/>
              <w:left w:val="nil"/>
              <w:bottom w:val="single" w:sz="4" w:space="0" w:color="auto"/>
              <w:right w:val="nil"/>
            </w:tcBorders>
            <w:shd w:val="clear" w:color="auto" w:fill="auto"/>
            <w:noWrap/>
            <w:vAlign w:val="center"/>
            <w:hideMark/>
          </w:tcPr>
          <w:p w14:paraId="14DC44FC" w14:textId="3B8AB3C4" w:rsidR="00CA67ED" w:rsidRPr="007C37B0" w:rsidRDefault="001F79EF" w:rsidP="00D24B1E">
            <w:pPr>
              <w:jc w:val="center"/>
              <w:rPr>
                <w:color w:val="000000" w:themeColor="text1"/>
              </w:rPr>
            </w:pPr>
            <w:r w:rsidRPr="007C37B0">
              <w:rPr>
                <w:color w:val="000000" w:themeColor="text1"/>
              </w:rPr>
              <w:t>7</w:t>
            </w:r>
            <w:r w:rsidR="00CA67ED" w:rsidRPr="007C37B0">
              <w:rPr>
                <w:color w:val="000000" w:themeColor="text1"/>
              </w:rPr>
              <w:t>2%</w:t>
            </w:r>
          </w:p>
        </w:tc>
        <w:tc>
          <w:tcPr>
            <w:tcW w:w="1799" w:type="dxa"/>
            <w:tcBorders>
              <w:top w:val="nil"/>
              <w:left w:val="nil"/>
              <w:bottom w:val="single" w:sz="4" w:space="0" w:color="auto"/>
              <w:right w:val="nil"/>
            </w:tcBorders>
            <w:shd w:val="clear" w:color="auto" w:fill="auto"/>
            <w:noWrap/>
            <w:vAlign w:val="center"/>
            <w:hideMark/>
          </w:tcPr>
          <w:p w14:paraId="614F3390" w14:textId="36365A8B" w:rsidR="00CA67ED" w:rsidRPr="007C37B0" w:rsidRDefault="001F79EF" w:rsidP="00D24B1E">
            <w:pPr>
              <w:jc w:val="center"/>
              <w:rPr>
                <w:color w:val="000000" w:themeColor="text1"/>
              </w:rPr>
            </w:pPr>
            <w:r w:rsidRPr="007C37B0">
              <w:rPr>
                <w:color w:val="000000" w:themeColor="text1"/>
              </w:rPr>
              <w:t>2</w:t>
            </w:r>
            <w:r w:rsidR="00CA67ED" w:rsidRPr="007C37B0">
              <w:rPr>
                <w:color w:val="000000" w:themeColor="text1"/>
              </w:rPr>
              <w:t>8%</w:t>
            </w:r>
          </w:p>
        </w:tc>
        <w:tc>
          <w:tcPr>
            <w:tcW w:w="1638" w:type="dxa"/>
            <w:tcBorders>
              <w:top w:val="nil"/>
              <w:left w:val="nil"/>
              <w:bottom w:val="single" w:sz="4" w:space="0" w:color="auto"/>
              <w:right w:val="nil"/>
            </w:tcBorders>
            <w:shd w:val="clear" w:color="auto" w:fill="auto"/>
            <w:noWrap/>
            <w:vAlign w:val="center"/>
            <w:hideMark/>
          </w:tcPr>
          <w:p w14:paraId="367A081C" w14:textId="77777777" w:rsidR="00CA67ED" w:rsidRPr="007C37B0" w:rsidRDefault="00CA67ED" w:rsidP="00D24B1E">
            <w:pPr>
              <w:jc w:val="center"/>
              <w:rPr>
                <w:color w:val="000000" w:themeColor="text1"/>
              </w:rPr>
            </w:pPr>
            <w:r w:rsidRPr="007C37B0">
              <w:rPr>
                <w:color w:val="000000" w:themeColor="text1"/>
              </w:rPr>
              <w:t>0%</w:t>
            </w:r>
          </w:p>
        </w:tc>
      </w:tr>
    </w:tbl>
    <w:p w14:paraId="24C9F205" w14:textId="77777777" w:rsidR="00CA67ED" w:rsidRPr="007C37B0" w:rsidRDefault="00CA67ED" w:rsidP="00D24B1E">
      <w:pPr>
        <w:rPr>
          <w:b/>
          <w:i/>
          <w:iCs/>
          <w:caps/>
          <w:color w:val="000000" w:themeColor="text1"/>
          <w:u w:color="000000"/>
        </w:rPr>
      </w:pPr>
      <w:r w:rsidRPr="007C37B0">
        <w:rPr>
          <w:color w:val="000000" w:themeColor="text1"/>
          <w:u w:color="000000"/>
        </w:rPr>
        <w:br w:type="page"/>
      </w:r>
    </w:p>
    <w:p w14:paraId="15DC8120" w14:textId="04D7031C" w:rsidR="00244E9F" w:rsidRPr="007C37B0" w:rsidRDefault="00244E9F">
      <w:pPr>
        <w:rPr>
          <w:color w:val="000000" w:themeColor="text1"/>
          <w:lang w:val="en-US"/>
        </w:rPr>
      </w:pPr>
    </w:p>
    <w:p w14:paraId="4DD19BC7" w14:textId="4DF4D76A" w:rsidR="007E5DE7" w:rsidRPr="007C37B0" w:rsidRDefault="00437B5F" w:rsidP="0096388F">
      <w:pPr>
        <w:widowControl w:val="0"/>
        <w:autoSpaceDE w:val="0"/>
        <w:autoSpaceDN w:val="0"/>
        <w:adjustRightInd w:val="0"/>
        <w:spacing w:line="480" w:lineRule="auto"/>
        <w:jc w:val="center"/>
        <w:rPr>
          <w:b/>
          <w:color w:val="000000" w:themeColor="text1"/>
        </w:rPr>
      </w:pPr>
      <w:r w:rsidRPr="007C37B0">
        <w:rPr>
          <w:b/>
          <w:color w:val="000000" w:themeColor="text1"/>
        </w:rPr>
        <w:t>REFERENCES</w:t>
      </w:r>
    </w:p>
    <w:p w14:paraId="2E0514D8" w14:textId="77777777" w:rsidR="00064E0E" w:rsidRPr="007C37B0" w:rsidRDefault="00064E0E" w:rsidP="00064E0E">
      <w:pPr>
        <w:pStyle w:val="NormalWeb"/>
        <w:spacing w:before="0" w:beforeAutospacing="0" w:after="0" w:afterAutospacing="0"/>
        <w:ind w:left="480" w:hanging="480"/>
        <w:contextualSpacing/>
        <w:rPr>
          <w:noProof/>
          <w:color w:val="000000" w:themeColor="text1"/>
          <w:spacing w:val="-4"/>
        </w:rPr>
      </w:pPr>
      <w:r w:rsidRPr="007C37B0">
        <w:rPr>
          <w:noProof/>
          <w:color w:val="000000" w:themeColor="text1"/>
          <w:spacing w:val="-4"/>
        </w:rPr>
        <w:t xml:space="preserve">Agle, Bradley R., Ronald K. Mitchell, and Jeffrey A. Sonnenfeld (1999), “Who Matters to CEOs? An Investigation of Stakeholder Attributes and Salience, Corpate Performance, and CEO Values,” </w:t>
      </w:r>
      <w:r w:rsidRPr="007C37B0">
        <w:rPr>
          <w:i/>
          <w:noProof/>
          <w:color w:val="000000" w:themeColor="text1"/>
          <w:spacing w:val="-4"/>
        </w:rPr>
        <w:t>Academy of Management Journal</w:t>
      </w:r>
      <w:r w:rsidRPr="007C37B0">
        <w:rPr>
          <w:noProof/>
          <w:color w:val="000000" w:themeColor="text1"/>
          <w:spacing w:val="-4"/>
        </w:rPr>
        <w:t>, 42 (5), 507</w:t>
      </w:r>
      <w:r w:rsidRPr="007C37B0">
        <w:rPr>
          <w:noProof/>
          <w:color w:val="000000" w:themeColor="text1"/>
          <w:lang w:val="en-US"/>
        </w:rPr>
        <w:t>–</w:t>
      </w:r>
      <w:r w:rsidRPr="007C37B0">
        <w:rPr>
          <w:noProof/>
          <w:color w:val="000000" w:themeColor="text1"/>
          <w:spacing w:val="-4"/>
        </w:rPr>
        <w:t>525.</w:t>
      </w:r>
    </w:p>
    <w:p w14:paraId="13FD7258" w14:textId="77777777" w:rsidR="00064E0E" w:rsidRPr="007C37B0" w:rsidRDefault="00064E0E" w:rsidP="00064E0E">
      <w:pPr>
        <w:pStyle w:val="NormalWeb"/>
        <w:spacing w:before="0" w:beforeAutospacing="0" w:after="0" w:afterAutospacing="0"/>
        <w:ind w:left="480" w:hanging="480"/>
        <w:contextualSpacing/>
        <w:rPr>
          <w:noProof/>
          <w:color w:val="000000" w:themeColor="text1"/>
          <w:spacing w:val="-4"/>
        </w:rPr>
      </w:pPr>
      <w:r w:rsidRPr="007C37B0">
        <w:rPr>
          <w:noProof/>
          <w:color w:val="000000" w:themeColor="text1"/>
          <w:spacing w:val="-4"/>
        </w:rPr>
        <w:t xml:space="preserve">Ayres, Lioness (2012), "Semi-Structured Interview," In Lisa M. Given (Ed.), </w:t>
      </w:r>
      <w:r w:rsidRPr="007C37B0">
        <w:rPr>
          <w:i/>
          <w:noProof/>
          <w:color w:val="000000" w:themeColor="text1"/>
          <w:spacing w:val="-4"/>
        </w:rPr>
        <w:t xml:space="preserve">The SAGE Encyclopedia of Qualitative Research Methods </w:t>
      </w:r>
      <w:r w:rsidRPr="007C37B0">
        <w:rPr>
          <w:noProof/>
          <w:color w:val="000000" w:themeColor="text1"/>
          <w:spacing w:val="-4"/>
        </w:rPr>
        <w:t xml:space="preserve">(pp. 811), Thousand Oaks, CA: SAGE Publications, Inc. </w:t>
      </w:r>
    </w:p>
    <w:p w14:paraId="7D186591" w14:textId="77777777" w:rsidR="00064E0E" w:rsidRPr="007C37B0" w:rsidRDefault="00064E0E" w:rsidP="00064E0E">
      <w:pPr>
        <w:pStyle w:val="NormalWeb"/>
        <w:spacing w:afterLines="80" w:after="192"/>
        <w:ind w:left="480" w:hanging="480"/>
        <w:contextualSpacing/>
        <w:rPr>
          <w:i/>
          <w:color w:val="000000" w:themeColor="text1"/>
          <w:lang w:val="en-US"/>
        </w:rPr>
      </w:pPr>
      <w:r w:rsidRPr="007C37B0">
        <w:rPr>
          <w:color w:val="000000" w:themeColor="text1"/>
          <w:lang w:val="en-US"/>
        </w:rPr>
        <w:t xml:space="preserve">Bauer, Rob, Frank Moers, and Michael </w:t>
      </w:r>
      <w:proofErr w:type="spellStart"/>
      <w:r w:rsidRPr="007C37B0">
        <w:rPr>
          <w:color w:val="000000" w:themeColor="text1"/>
          <w:lang w:val="en-US"/>
        </w:rPr>
        <w:t>Viehs</w:t>
      </w:r>
      <w:proofErr w:type="spellEnd"/>
      <w:r w:rsidRPr="007C37B0">
        <w:rPr>
          <w:color w:val="000000" w:themeColor="text1"/>
          <w:lang w:val="en-US"/>
        </w:rPr>
        <w:t xml:space="preserve"> (2015), “Who Withdraws Shareholder Proposals and Does it Matter? An Analysis of Sponsor Identity and Pay Practices,”</w:t>
      </w:r>
      <w:r w:rsidRPr="007C37B0">
        <w:rPr>
          <w:i/>
          <w:color w:val="000000" w:themeColor="text1"/>
          <w:lang w:val="en-US"/>
        </w:rPr>
        <w:t xml:space="preserve"> Corporate Governance: An International Review</w:t>
      </w:r>
      <w:r w:rsidRPr="007C37B0">
        <w:rPr>
          <w:color w:val="000000" w:themeColor="text1"/>
          <w:lang w:val="en-US"/>
        </w:rPr>
        <w:t>, 23 (6), 472</w:t>
      </w:r>
      <w:r w:rsidRPr="007C37B0">
        <w:rPr>
          <w:noProof/>
          <w:color w:val="000000" w:themeColor="text1"/>
          <w:lang w:val="en-US"/>
        </w:rPr>
        <w:t>–</w:t>
      </w:r>
      <w:r w:rsidRPr="007C37B0">
        <w:rPr>
          <w:color w:val="000000" w:themeColor="text1"/>
          <w:lang w:val="en-US"/>
        </w:rPr>
        <w:t>488.</w:t>
      </w:r>
    </w:p>
    <w:p w14:paraId="2BFD7672" w14:textId="77777777" w:rsidR="00064E0E" w:rsidRPr="007C37B0" w:rsidRDefault="00064E0E" w:rsidP="00064E0E">
      <w:pPr>
        <w:pStyle w:val="NormalWeb"/>
        <w:ind w:left="482" w:hanging="482"/>
        <w:contextualSpacing/>
        <w:rPr>
          <w:noProof/>
          <w:color w:val="000000" w:themeColor="text1"/>
          <w:lang w:val="en-US"/>
        </w:rPr>
      </w:pPr>
      <w:r w:rsidRPr="007C37B0">
        <w:rPr>
          <w:noProof/>
          <w:color w:val="000000" w:themeColor="text1"/>
          <w:lang w:val="en-US"/>
        </w:rPr>
        <w:t xml:space="preserve">Becht, Marco, Julian Franks, Colin Mayer, Stefano Rossi (2010), “Returns to Shareholder Activism: Evidence from a Clinical Study of the Hermes UK Focus Fund,” </w:t>
      </w:r>
      <w:r w:rsidRPr="007C37B0">
        <w:rPr>
          <w:i/>
          <w:noProof/>
          <w:color w:val="000000" w:themeColor="text1"/>
          <w:lang w:val="en-US"/>
        </w:rPr>
        <w:t>Review of Financial Studies</w:t>
      </w:r>
      <w:r w:rsidRPr="007C37B0">
        <w:rPr>
          <w:noProof/>
          <w:color w:val="000000" w:themeColor="text1"/>
          <w:lang w:val="en-US"/>
        </w:rPr>
        <w:t>, 23(3), 3093–3129.</w:t>
      </w:r>
    </w:p>
    <w:p w14:paraId="35B5B62D" w14:textId="77777777" w:rsidR="00064E0E" w:rsidRPr="007C37B0" w:rsidRDefault="00064E0E" w:rsidP="00064E0E">
      <w:pPr>
        <w:pStyle w:val="NormalWeb"/>
        <w:spacing w:afterLines="80" w:after="192"/>
        <w:ind w:left="480" w:hanging="480"/>
        <w:contextualSpacing/>
        <w:rPr>
          <w:color w:val="000000" w:themeColor="text1"/>
          <w:lang w:val="en-US"/>
        </w:rPr>
      </w:pPr>
      <w:r w:rsidRPr="007C37B0">
        <w:rPr>
          <w:color w:val="000000" w:themeColor="text1"/>
          <w:lang w:val="en-US"/>
        </w:rPr>
        <w:t xml:space="preserve">Bendig, David, Daniel Willmann, Steffen Strese, and Malte Brettel (2018), “Share Repurchases and Myopia: Implications on the Stock and Consumer Markets,” </w:t>
      </w:r>
      <w:r w:rsidRPr="007C37B0">
        <w:rPr>
          <w:i/>
          <w:iCs/>
          <w:color w:val="000000" w:themeColor="text1"/>
          <w:lang w:val="en-US"/>
        </w:rPr>
        <w:t>Journal of Marketing,</w:t>
      </w:r>
      <w:r w:rsidRPr="007C37B0">
        <w:rPr>
          <w:color w:val="000000" w:themeColor="text1"/>
          <w:lang w:val="en-US"/>
        </w:rPr>
        <w:t xml:space="preserve"> 82(2), 19</w:t>
      </w:r>
      <w:r w:rsidRPr="007C37B0">
        <w:rPr>
          <w:noProof/>
          <w:color w:val="000000" w:themeColor="text1"/>
          <w:lang w:val="en-US"/>
        </w:rPr>
        <w:t>–</w:t>
      </w:r>
      <w:r w:rsidRPr="007C37B0">
        <w:rPr>
          <w:color w:val="000000" w:themeColor="text1"/>
          <w:lang w:val="en-US"/>
        </w:rPr>
        <w:t>41.</w:t>
      </w:r>
    </w:p>
    <w:p w14:paraId="171AB01F" w14:textId="77777777" w:rsidR="00064E0E" w:rsidRPr="007C37B0" w:rsidRDefault="00064E0E" w:rsidP="00064E0E">
      <w:pPr>
        <w:pStyle w:val="NormalWeb"/>
        <w:spacing w:afterLines="80" w:after="192"/>
        <w:ind w:left="480" w:hanging="480"/>
        <w:contextualSpacing/>
        <w:rPr>
          <w:color w:val="000000" w:themeColor="text1"/>
          <w:lang w:val="en-US"/>
        </w:rPr>
      </w:pPr>
      <w:r w:rsidRPr="007C37B0">
        <w:rPr>
          <w:color w:val="000000" w:themeColor="text1"/>
          <w:lang w:val="en-US"/>
        </w:rPr>
        <w:t xml:space="preserve">Cao, </w:t>
      </w:r>
      <w:proofErr w:type="spellStart"/>
      <w:r w:rsidRPr="007C37B0">
        <w:rPr>
          <w:color w:val="000000" w:themeColor="text1"/>
          <w:lang w:val="en-US"/>
        </w:rPr>
        <w:t>Zixia</w:t>
      </w:r>
      <w:proofErr w:type="spellEnd"/>
      <w:r w:rsidRPr="007C37B0">
        <w:rPr>
          <w:color w:val="000000" w:themeColor="text1"/>
          <w:lang w:val="en-US"/>
        </w:rPr>
        <w:t xml:space="preserve">, and Alina Sorescu (2013), “Wedded Bliss or Tainted Love? Stock Market Reactions to the Introduction of Cobranded Products,” </w:t>
      </w:r>
      <w:r w:rsidRPr="007C37B0">
        <w:rPr>
          <w:i/>
          <w:iCs/>
          <w:color w:val="000000" w:themeColor="text1"/>
          <w:lang w:val="en-US"/>
        </w:rPr>
        <w:t>Marketing Science,</w:t>
      </w:r>
      <w:r w:rsidRPr="007C37B0">
        <w:rPr>
          <w:color w:val="000000" w:themeColor="text1"/>
          <w:lang w:val="en-US"/>
        </w:rPr>
        <w:t xml:space="preserve"> 32(6), 939</w:t>
      </w:r>
      <w:r w:rsidRPr="007C37B0">
        <w:rPr>
          <w:noProof/>
          <w:color w:val="000000" w:themeColor="text1"/>
          <w:lang w:val="en-US"/>
        </w:rPr>
        <w:t>–</w:t>
      </w:r>
      <w:r w:rsidRPr="007C37B0">
        <w:rPr>
          <w:color w:val="000000" w:themeColor="text1"/>
          <w:lang w:val="en-US"/>
        </w:rPr>
        <w:t>959.</w:t>
      </w:r>
    </w:p>
    <w:p w14:paraId="75E34B95" w14:textId="77777777" w:rsidR="00064E0E" w:rsidRPr="007C37B0" w:rsidRDefault="00064E0E" w:rsidP="00064E0E">
      <w:pPr>
        <w:pStyle w:val="NormalWeb"/>
        <w:spacing w:afterLines="80" w:after="192"/>
        <w:ind w:left="480" w:hanging="480"/>
        <w:contextualSpacing/>
        <w:rPr>
          <w:noProof/>
          <w:color w:val="000000" w:themeColor="text1"/>
          <w:lang w:val="en-US"/>
        </w:rPr>
      </w:pPr>
      <w:r w:rsidRPr="007C37B0">
        <w:rPr>
          <w:noProof/>
          <w:color w:val="000000" w:themeColor="text1"/>
          <w:lang w:val="en-US"/>
        </w:rPr>
        <w:t xml:space="preserve">Chidambaran, N. K., and Tracie Woidtke (1999), “The Role of Negotiations in Corporate Governance: Evidence from Withdrawn Shareholder-Initiated Proposals,” </w:t>
      </w:r>
      <w:r w:rsidRPr="007C37B0">
        <w:rPr>
          <w:i/>
          <w:noProof/>
          <w:color w:val="000000" w:themeColor="text1"/>
          <w:lang w:val="en-US"/>
        </w:rPr>
        <w:t>Fordham University Working Paper</w:t>
      </w:r>
      <w:r w:rsidRPr="007C37B0">
        <w:rPr>
          <w:noProof/>
          <w:color w:val="000000" w:themeColor="text1"/>
          <w:lang w:val="en-US"/>
        </w:rPr>
        <w:t>.</w:t>
      </w:r>
    </w:p>
    <w:p w14:paraId="2BD7876B" w14:textId="45CD9719" w:rsidR="00064E0E" w:rsidRPr="007C37B0" w:rsidRDefault="00064E0E" w:rsidP="00064E0E">
      <w:pPr>
        <w:pStyle w:val="NormalWeb"/>
        <w:spacing w:afterLines="80" w:after="192"/>
        <w:ind w:left="480" w:hanging="480"/>
        <w:contextualSpacing/>
        <w:rPr>
          <w:color w:val="000000" w:themeColor="text1"/>
          <w:lang w:val="en-US"/>
        </w:rPr>
      </w:pPr>
      <w:r w:rsidRPr="007C37B0">
        <w:rPr>
          <w:color w:val="000000" w:themeColor="text1"/>
          <w:lang w:val="en-US"/>
        </w:rPr>
        <w:t xml:space="preserve">Dinner, Isaac M., Harald J. </w:t>
      </w:r>
      <w:r w:rsidR="00FB6512">
        <w:rPr>
          <w:color w:val="000000" w:themeColor="text1"/>
          <w:lang w:val="en-US"/>
        </w:rPr>
        <w:t>v</w:t>
      </w:r>
      <w:r w:rsidRPr="007C37B0">
        <w:rPr>
          <w:color w:val="000000" w:themeColor="text1"/>
          <w:lang w:val="en-US"/>
        </w:rPr>
        <w:t xml:space="preserve">an Heerde, and Scott A. </w:t>
      </w:r>
      <w:proofErr w:type="spellStart"/>
      <w:r w:rsidRPr="007C37B0">
        <w:rPr>
          <w:color w:val="000000" w:themeColor="text1"/>
          <w:lang w:val="en-US"/>
        </w:rPr>
        <w:t>Neslin</w:t>
      </w:r>
      <w:proofErr w:type="spellEnd"/>
      <w:r w:rsidRPr="007C37B0">
        <w:rPr>
          <w:color w:val="000000" w:themeColor="text1"/>
          <w:lang w:val="en-US"/>
        </w:rPr>
        <w:t xml:space="preserve"> (2014), “Driving Online and Offline Sales: The Cross-Channel Effects of Traditional, Online Display, and Paid Search Advertising,” </w:t>
      </w:r>
      <w:r w:rsidRPr="007C37B0">
        <w:rPr>
          <w:i/>
          <w:iCs/>
          <w:color w:val="000000" w:themeColor="text1"/>
          <w:lang w:val="en-US"/>
        </w:rPr>
        <w:t>Journal of Marketing Research,</w:t>
      </w:r>
      <w:r w:rsidRPr="007C37B0">
        <w:rPr>
          <w:color w:val="000000" w:themeColor="text1"/>
          <w:lang w:val="en-US"/>
        </w:rPr>
        <w:t xml:space="preserve"> 51(5), 527</w:t>
      </w:r>
      <w:r w:rsidRPr="007C37B0">
        <w:rPr>
          <w:noProof/>
          <w:color w:val="000000" w:themeColor="text1"/>
          <w:lang w:val="en-US"/>
        </w:rPr>
        <w:t>–</w:t>
      </w:r>
      <w:r w:rsidRPr="007C37B0">
        <w:rPr>
          <w:color w:val="000000" w:themeColor="text1"/>
          <w:lang w:val="en-US"/>
        </w:rPr>
        <w:t>545.</w:t>
      </w:r>
    </w:p>
    <w:p w14:paraId="0672EA1E" w14:textId="77777777" w:rsidR="00064E0E" w:rsidRPr="007C37B0" w:rsidRDefault="00064E0E" w:rsidP="00064E0E">
      <w:pPr>
        <w:pStyle w:val="NormalWeb"/>
        <w:spacing w:afterLines="80" w:after="192"/>
        <w:ind w:left="480" w:hanging="480"/>
        <w:contextualSpacing/>
        <w:rPr>
          <w:noProof/>
          <w:color w:val="000000" w:themeColor="text1"/>
          <w:lang w:val="en-US"/>
        </w:rPr>
      </w:pPr>
      <w:r w:rsidRPr="007C37B0">
        <w:rPr>
          <w:color w:val="000000" w:themeColor="text1"/>
          <w:lang w:val="en-US"/>
        </w:rPr>
        <w:t xml:space="preserve">Fang, Lily H.(2005), “Investment Bank Reputation and the Price and Quality of Underwriting Services,” </w:t>
      </w:r>
      <w:r w:rsidRPr="007C37B0">
        <w:rPr>
          <w:i/>
          <w:iCs/>
          <w:color w:val="000000" w:themeColor="text1"/>
          <w:lang w:val="en-US"/>
        </w:rPr>
        <w:t>Journal of Finance,</w:t>
      </w:r>
      <w:r w:rsidRPr="007C37B0">
        <w:rPr>
          <w:color w:val="000000" w:themeColor="text1"/>
          <w:lang w:val="en-US"/>
        </w:rPr>
        <w:t xml:space="preserve"> 60(6), 2729</w:t>
      </w:r>
      <w:r w:rsidRPr="007C37B0">
        <w:rPr>
          <w:noProof/>
          <w:color w:val="000000" w:themeColor="text1"/>
          <w:lang w:val="en-US"/>
        </w:rPr>
        <w:t>–</w:t>
      </w:r>
      <w:r w:rsidRPr="007C37B0">
        <w:rPr>
          <w:color w:val="000000" w:themeColor="text1"/>
          <w:lang w:val="en-US"/>
        </w:rPr>
        <w:t>2761.</w:t>
      </w:r>
    </w:p>
    <w:p w14:paraId="018C3700" w14:textId="77777777" w:rsidR="00064E0E" w:rsidRPr="007C37B0" w:rsidRDefault="00064E0E" w:rsidP="00064E0E">
      <w:pPr>
        <w:pStyle w:val="NormalWeb"/>
        <w:spacing w:afterLines="80" w:after="192"/>
        <w:ind w:left="480" w:hanging="480"/>
        <w:contextualSpacing/>
        <w:rPr>
          <w:noProof/>
          <w:color w:val="000000" w:themeColor="text1"/>
          <w:lang w:val="en-US"/>
        </w:rPr>
      </w:pPr>
      <w:r w:rsidRPr="007C37B0">
        <w:rPr>
          <w:noProof/>
          <w:color w:val="000000" w:themeColor="text1"/>
          <w:lang w:val="en-US"/>
        </w:rPr>
        <w:t xml:space="preserve">Gillan, Stuart L., and Laura T. Starks (2007), “The Evolution of Shareholder Activism in the United States,” </w:t>
      </w:r>
      <w:r w:rsidRPr="007C37B0">
        <w:rPr>
          <w:i/>
          <w:iCs/>
          <w:noProof/>
          <w:color w:val="000000" w:themeColor="text1"/>
          <w:lang w:val="en-US"/>
        </w:rPr>
        <w:t>Journal of Applied Corporate Finance</w:t>
      </w:r>
      <w:r w:rsidRPr="007C37B0">
        <w:rPr>
          <w:noProof/>
          <w:color w:val="000000" w:themeColor="text1"/>
          <w:lang w:val="en-US"/>
        </w:rPr>
        <w:t>, 19(1), 55–73.</w:t>
      </w:r>
    </w:p>
    <w:p w14:paraId="7B26B404" w14:textId="77777777" w:rsidR="00064E0E" w:rsidRPr="007C37B0" w:rsidRDefault="00064E0E" w:rsidP="00064E0E">
      <w:pPr>
        <w:pStyle w:val="NormalWeb"/>
        <w:spacing w:afterLines="80" w:after="192"/>
        <w:ind w:left="480" w:hanging="480"/>
        <w:contextualSpacing/>
        <w:rPr>
          <w:color w:val="000000" w:themeColor="text1"/>
          <w:lang w:val="en-US"/>
        </w:rPr>
      </w:pPr>
      <w:r w:rsidRPr="007C37B0">
        <w:rPr>
          <w:color w:val="000000" w:themeColor="text1"/>
          <w:lang w:val="en-US"/>
        </w:rPr>
        <w:t xml:space="preserve">Groening, Christopher, Vikas Mittal, and Yan “Anthea” Zhang (2016), “Cross-Validation of Customer and Employee Signals and Firm Valuation,” </w:t>
      </w:r>
      <w:r w:rsidRPr="007C37B0">
        <w:rPr>
          <w:i/>
          <w:iCs/>
          <w:color w:val="000000" w:themeColor="text1"/>
          <w:lang w:val="en-US"/>
        </w:rPr>
        <w:t>Journal of Marketing Research,</w:t>
      </w:r>
      <w:r w:rsidRPr="007C37B0">
        <w:rPr>
          <w:color w:val="000000" w:themeColor="text1"/>
          <w:lang w:val="en-US"/>
        </w:rPr>
        <w:t xml:space="preserve"> 53 (1), 61</w:t>
      </w:r>
      <w:r w:rsidRPr="007C37B0">
        <w:rPr>
          <w:noProof/>
          <w:color w:val="000000" w:themeColor="text1"/>
          <w:lang w:val="en-US"/>
        </w:rPr>
        <w:t>–</w:t>
      </w:r>
      <w:r w:rsidRPr="007C37B0">
        <w:rPr>
          <w:color w:val="000000" w:themeColor="text1"/>
          <w:lang w:val="en-US"/>
        </w:rPr>
        <w:t>76.</w:t>
      </w:r>
    </w:p>
    <w:p w14:paraId="16D5066D" w14:textId="77777777" w:rsidR="00064E0E" w:rsidRPr="007C37B0" w:rsidRDefault="00064E0E" w:rsidP="00064E0E">
      <w:pPr>
        <w:pStyle w:val="NormalWeb"/>
        <w:spacing w:afterLines="80" w:after="192"/>
        <w:ind w:left="480" w:hanging="480"/>
        <w:contextualSpacing/>
        <w:rPr>
          <w:color w:val="000000" w:themeColor="text1"/>
          <w:lang w:val="en-US"/>
        </w:rPr>
      </w:pPr>
      <w:r w:rsidRPr="007C37B0">
        <w:rPr>
          <w:color w:val="000000" w:themeColor="text1"/>
          <w:lang w:val="en-US"/>
        </w:rPr>
        <w:t xml:space="preserve">Guest, Greg, Arwen Bunce, and Laura Johnson (2006), “How Many Interviews are Enough? An Experiment with Data Saturation and Variability,” </w:t>
      </w:r>
      <w:r w:rsidRPr="007C37B0">
        <w:rPr>
          <w:i/>
          <w:color w:val="000000" w:themeColor="text1"/>
          <w:lang w:val="en-US"/>
        </w:rPr>
        <w:t>Field Methods</w:t>
      </w:r>
      <w:r w:rsidRPr="007C37B0">
        <w:rPr>
          <w:color w:val="000000" w:themeColor="text1"/>
          <w:lang w:val="en-US"/>
        </w:rPr>
        <w:t>, 18 (1), 59</w:t>
      </w:r>
      <w:r w:rsidRPr="007C37B0">
        <w:rPr>
          <w:noProof/>
          <w:color w:val="000000" w:themeColor="text1"/>
          <w:lang w:val="en-US"/>
        </w:rPr>
        <w:t>–</w:t>
      </w:r>
      <w:r w:rsidRPr="007C37B0">
        <w:rPr>
          <w:color w:val="000000" w:themeColor="text1"/>
          <w:lang w:val="en-US"/>
        </w:rPr>
        <w:t>82.</w:t>
      </w:r>
    </w:p>
    <w:p w14:paraId="0564441D" w14:textId="77777777" w:rsidR="00064E0E" w:rsidRPr="007C37B0" w:rsidRDefault="00064E0E" w:rsidP="00064E0E">
      <w:pPr>
        <w:pStyle w:val="NormalWeb"/>
        <w:spacing w:before="0" w:beforeAutospacing="0" w:after="0" w:afterAutospacing="0"/>
        <w:ind w:left="480" w:hanging="480"/>
        <w:contextualSpacing/>
        <w:rPr>
          <w:color w:val="000000" w:themeColor="text1"/>
        </w:rPr>
      </w:pPr>
      <w:proofErr w:type="spellStart"/>
      <w:r w:rsidRPr="007C37B0">
        <w:rPr>
          <w:rFonts w:eastAsia="Times New Roman"/>
          <w:color w:val="000000" w:themeColor="text1"/>
          <w:shd w:val="clear" w:color="auto" w:fill="FFFFFF"/>
        </w:rPr>
        <w:t>Kähr</w:t>
      </w:r>
      <w:proofErr w:type="spellEnd"/>
      <w:r w:rsidRPr="007C37B0">
        <w:rPr>
          <w:rFonts w:eastAsia="Times New Roman"/>
          <w:color w:val="000000" w:themeColor="text1"/>
          <w:shd w:val="clear" w:color="auto" w:fill="FFFFFF"/>
        </w:rPr>
        <w:t xml:space="preserve">, Andrea, Bettina </w:t>
      </w:r>
      <w:proofErr w:type="spellStart"/>
      <w:r w:rsidRPr="007C37B0">
        <w:rPr>
          <w:rFonts w:eastAsia="Times New Roman"/>
          <w:color w:val="000000" w:themeColor="text1"/>
          <w:shd w:val="clear" w:color="auto" w:fill="FFFFFF"/>
        </w:rPr>
        <w:t>Nyffenegger</w:t>
      </w:r>
      <w:proofErr w:type="spellEnd"/>
      <w:r w:rsidRPr="007C37B0">
        <w:rPr>
          <w:rFonts w:eastAsia="Times New Roman"/>
          <w:color w:val="000000" w:themeColor="text1"/>
          <w:shd w:val="clear" w:color="auto" w:fill="FFFFFF"/>
        </w:rPr>
        <w:t xml:space="preserve">, Harley </w:t>
      </w:r>
      <w:proofErr w:type="spellStart"/>
      <w:r w:rsidRPr="007C37B0">
        <w:rPr>
          <w:rFonts w:eastAsia="Times New Roman"/>
          <w:color w:val="000000" w:themeColor="text1"/>
          <w:shd w:val="clear" w:color="auto" w:fill="FFFFFF"/>
        </w:rPr>
        <w:t>Krohmer</w:t>
      </w:r>
      <w:proofErr w:type="spellEnd"/>
      <w:r w:rsidRPr="007C37B0">
        <w:rPr>
          <w:rFonts w:eastAsia="Times New Roman"/>
          <w:color w:val="000000" w:themeColor="text1"/>
          <w:shd w:val="clear" w:color="auto" w:fill="FFFFFF"/>
        </w:rPr>
        <w:t>, and Wayne D. Hoyer (2016), “When Hostile Consumers Wreak Havoc on your Brand: The Phenomenon of Consumer Brand Sabotage,” </w:t>
      </w:r>
      <w:r w:rsidRPr="007C37B0">
        <w:rPr>
          <w:rFonts w:eastAsia="Times New Roman"/>
          <w:i/>
          <w:iCs/>
          <w:color w:val="000000" w:themeColor="text1"/>
          <w:shd w:val="clear" w:color="auto" w:fill="FFFFFF"/>
        </w:rPr>
        <w:t>Journal of Marketing</w:t>
      </w:r>
      <w:r w:rsidRPr="007C37B0">
        <w:rPr>
          <w:rFonts w:eastAsia="Times New Roman"/>
          <w:iCs/>
          <w:color w:val="000000" w:themeColor="text1"/>
          <w:shd w:val="clear" w:color="auto" w:fill="FFFFFF"/>
        </w:rPr>
        <w:t>,</w:t>
      </w:r>
      <w:r w:rsidRPr="007C37B0">
        <w:rPr>
          <w:rFonts w:eastAsia="Times New Roman"/>
          <w:color w:val="000000" w:themeColor="text1"/>
          <w:shd w:val="clear" w:color="auto" w:fill="FFFFFF"/>
        </w:rPr>
        <w:t> 80 (3), 25</w:t>
      </w:r>
      <w:r w:rsidRPr="007C37B0">
        <w:rPr>
          <w:noProof/>
          <w:color w:val="000000" w:themeColor="text1"/>
          <w:spacing w:val="-6"/>
        </w:rPr>
        <w:t>–</w:t>
      </w:r>
      <w:r w:rsidRPr="007C37B0">
        <w:rPr>
          <w:rFonts w:eastAsia="Times New Roman"/>
          <w:color w:val="000000" w:themeColor="text1"/>
          <w:shd w:val="clear" w:color="auto" w:fill="FFFFFF"/>
        </w:rPr>
        <w:t>41.</w:t>
      </w:r>
    </w:p>
    <w:p w14:paraId="7295CF12" w14:textId="77777777" w:rsidR="00064E0E" w:rsidRPr="007C37B0" w:rsidRDefault="00064E0E" w:rsidP="00064E0E">
      <w:pPr>
        <w:pStyle w:val="NormalWeb"/>
        <w:spacing w:before="0" w:beforeAutospacing="0" w:after="0" w:afterAutospacing="0"/>
        <w:ind w:left="480" w:hanging="480"/>
        <w:contextualSpacing/>
        <w:rPr>
          <w:rFonts w:eastAsia="Times New Roman"/>
          <w:color w:val="000000" w:themeColor="text1"/>
        </w:rPr>
      </w:pPr>
      <w:r w:rsidRPr="007C37B0">
        <w:rPr>
          <w:rFonts w:eastAsia="Times New Roman"/>
          <w:color w:val="000000" w:themeColor="text1"/>
          <w:shd w:val="clear" w:color="auto" w:fill="FFFFFF"/>
        </w:rPr>
        <w:t>Kashmiri, Saim, and Vijay Mahajan (2017), “Values that Shape Marketing Decisions: Influence of Chief Executive Officers’ Political Ideologies on Innovation Propensity, Shareholder Value, and Risk,” </w:t>
      </w:r>
      <w:r w:rsidRPr="007C37B0">
        <w:rPr>
          <w:rFonts w:eastAsia="Times New Roman"/>
          <w:i/>
          <w:iCs/>
          <w:color w:val="000000" w:themeColor="text1"/>
          <w:shd w:val="clear" w:color="auto" w:fill="FFFFFF"/>
        </w:rPr>
        <w:t>Journal of Marketing Research</w:t>
      </w:r>
      <w:r w:rsidRPr="007C37B0">
        <w:rPr>
          <w:rFonts w:eastAsia="Times New Roman"/>
          <w:iCs/>
          <w:color w:val="000000" w:themeColor="text1"/>
          <w:shd w:val="clear" w:color="auto" w:fill="FFFFFF"/>
        </w:rPr>
        <w:t>,</w:t>
      </w:r>
      <w:r w:rsidRPr="007C37B0">
        <w:rPr>
          <w:rFonts w:eastAsia="Times New Roman"/>
          <w:color w:val="000000" w:themeColor="text1"/>
          <w:shd w:val="clear" w:color="auto" w:fill="FFFFFF"/>
        </w:rPr>
        <w:t> 54 (2), 260</w:t>
      </w:r>
      <w:r w:rsidRPr="007C37B0">
        <w:rPr>
          <w:noProof/>
          <w:color w:val="000000" w:themeColor="text1"/>
          <w:spacing w:val="-6"/>
        </w:rPr>
        <w:t>–</w:t>
      </w:r>
      <w:r w:rsidRPr="007C37B0">
        <w:rPr>
          <w:rFonts w:eastAsia="Times New Roman"/>
          <w:color w:val="000000" w:themeColor="text1"/>
          <w:shd w:val="clear" w:color="auto" w:fill="FFFFFF"/>
        </w:rPr>
        <w:t>278.</w:t>
      </w:r>
    </w:p>
    <w:p w14:paraId="42B0AA54" w14:textId="77777777" w:rsidR="00064E0E" w:rsidRPr="007C37B0" w:rsidRDefault="00064E0E" w:rsidP="00064E0E">
      <w:pPr>
        <w:pStyle w:val="NormalWeb"/>
        <w:spacing w:afterLines="80" w:after="192"/>
        <w:ind w:left="480" w:hanging="480"/>
        <w:contextualSpacing/>
        <w:rPr>
          <w:color w:val="000000" w:themeColor="text1"/>
          <w:lang w:val="en-US"/>
        </w:rPr>
      </w:pPr>
      <w:proofErr w:type="spellStart"/>
      <w:r w:rsidRPr="007C37B0">
        <w:rPr>
          <w:color w:val="000000" w:themeColor="text1"/>
          <w:lang w:val="en-US"/>
        </w:rPr>
        <w:t>Krinsky</w:t>
      </w:r>
      <w:proofErr w:type="spellEnd"/>
      <w:r w:rsidRPr="007C37B0">
        <w:rPr>
          <w:color w:val="000000" w:themeColor="text1"/>
          <w:lang w:val="en-US"/>
        </w:rPr>
        <w:t xml:space="preserve">, Itzhak, and A. Leslie Robb (1986), “On Approximating the Statistical Properties of Elasticities,” </w:t>
      </w:r>
      <w:r w:rsidRPr="007C37B0">
        <w:rPr>
          <w:i/>
          <w:iCs/>
          <w:color w:val="000000" w:themeColor="text1"/>
          <w:lang w:val="en-US"/>
        </w:rPr>
        <w:t>Review of Economics and Statistics,</w:t>
      </w:r>
      <w:r w:rsidRPr="007C37B0">
        <w:rPr>
          <w:color w:val="000000" w:themeColor="text1"/>
          <w:lang w:val="en-US"/>
        </w:rPr>
        <w:t xml:space="preserve"> 68(4), 715</w:t>
      </w:r>
      <w:r w:rsidRPr="007C37B0">
        <w:rPr>
          <w:noProof/>
          <w:color w:val="000000" w:themeColor="text1"/>
          <w:lang w:val="en-US"/>
        </w:rPr>
        <w:t>–</w:t>
      </w:r>
      <w:r w:rsidRPr="007C37B0">
        <w:rPr>
          <w:color w:val="000000" w:themeColor="text1"/>
          <w:lang w:val="en-US"/>
        </w:rPr>
        <w:t>719.</w:t>
      </w:r>
    </w:p>
    <w:p w14:paraId="0E832C5D" w14:textId="77777777" w:rsidR="00064E0E" w:rsidRPr="007C37B0" w:rsidRDefault="00064E0E" w:rsidP="00064E0E">
      <w:pPr>
        <w:pStyle w:val="NormalWeb"/>
        <w:spacing w:afterLines="80" w:after="192"/>
        <w:ind w:left="480" w:hanging="480"/>
        <w:contextualSpacing/>
        <w:rPr>
          <w:noProof/>
          <w:color w:val="000000" w:themeColor="text1"/>
        </w:rPr>
      </w:pPr>
      <w:r w:rsidRPr="007C37B0">
        <w:rPr>
          <w:noProof/>
          <w:color w:val="000000" w:themeColor="text1"/>
          <w:lang w:val="en-US"/>
        </w:rPr>
        <w:t xml:space="preserve">Kurt, Didem, and John Hulland (2013), “Aggressive Marketing Strategy following Equity Offerings and Firm Value: The Role of Relative Strategic Flexibility,” </w:t>
      </w:r>
      <w:r w:rsidRPr="007C37B0">
        <w:rPr>
          <w:i/>
          <w:noProof/>
          <w:color w:val="000000" w:themeColor="text1"/>
          <w:lang w:val="en-US"/>
        </w:rPr>
        <w:t>Journal of Marketing</w:t>
      </w:r>
      <w:r w:rsidRPr="007C37B0">
        <w:rPr>
          <w:noProof/>
          <w:color w:val="000000" w:themeColor="text1"/>
          <w:lang w:val="en-US"/>
        </w:rPr>
        <w:t>, 77(5), 57–74.</w:t>
      </w:r>
    </w:p>
    <w:p w14:paraId="5949A913" w14:textId="77777777" w:rsidR="00064E0E" w:rsidRPr="007C37B0" w:rsidRDefault="00064E0E" w:rsidP="00064E0E">
      <w:pPr>
        <w:pStyle w:val="NormalWeb"/>
        <w:spacing w:before="0" w:beforeAutospacing="0" w:after="0" w:afterAutospacing="0"/>
        <w:ind w:left="480" w:hanging="480"/>
        <w:contextualSpacing/>
        <w:rPr>
          <w:rFonts w:eastAsia="Times New Roman"/>
          <w:color w:val="000000" w:themeColor="text1"/>
        </w:rPr>
      </w:pPr>
      <w:r w:rsidRPr="007C37B0">
        <w:rPr>
          <w:rFonts w:eastAsia="Times New Roman"/>
          <w:color w:val="000000" w:themeColor="text1"/>
          <w:shd w:val="clear" w:color="auto" w:fill="FFFFFF"/>
        </w:rPr>
        <w:lastRenderedPageBreak/>
        <w:t>Liu, Yan, and Venkatesh Shankar (2015), “The Dynamic Impact of Product-Harm Crises on Brand Preference and Advertising Effectiveness: An Empirical Analysis of the Automobile Industry,” </w:t>
      </w:r>
      <w:r w:rsidRPr="007C37B0">
        <w:rPr>
          <w:rFonts w:eastAsia="Times New Roman"/>
          <w:i/>
          <w:iCs/>
          <w:color w:val="000000" w:themeColor="text1"/>
          <w:shd w:val="clear" w:color="auto" w:fill="FFFFFF"/>
        </w:rPr>
        <w:t>Management Science</w:t>
      </w:r>
      <w:r w:rsidRPr="007C37B0">
        <w:rPr>
          <w:rFonts w:eastAsia="Times New Roman"/>
          <w:iCs/>
          <w:color w:val="000000" w:themeColor="text1"/>
          <w:shd w:val="clear" w:color="auto" w:fill="FFFFFF"/>
        </w:rPr>
        <w:t>,</w:t>
      </w:r>
      <w:r w:rsidRPr="007C37B0">
        <w:rPr>
          <w:rFonts w:eastAsia="Times New Roman"/>
          <w:color w:val="000000" w:themeColor="text1"/>
          <w:shd w:val="clear" w:color="auto" w:fill="FFFFFF"/>
        </w:rPr>
        <w:t> 61 (10), 2514</w:t>
      </w:r>
      <w:r w:rsidRPr="007C37B0">
        <w:rPr>
          <w:noProof/>
          <w:color w:val="000000" w:themeColor="text1"/>
          <w:spacing w:val="-6"/>
        </w:rPr>
        <w:t>–</w:t>
      </w:r>
      <w:r w:rsidRPr="007C37B0">
        <w:rPr>
          <w:rFonts w:eastAsia="Times New Roman"/>
          <w:color w:val="000000" w:themeColor="text1"/>
          <w:shd w:val="clear" w:color="auto" w:fill="FFFFFF"/>
        </w:rPr>
        <w:t>2535.</w:t>
      </w:r>
    </w:p>
    <w:p w14:paraId="79E82E11" w14:textId="77777777" w:rsidR="00064E0E" w:rsidRPr="007C37B0" w:rsidRDefault="00064E0E" w:rsidP="00064E0E">
      <w:pPr>
        <w:pStyle w:val="NormalWeb"/>
        <w:spacing w:afterLines="80" w:after="192"/>
        <w:ind w:left="480" w:hanging="480"/>
        <w:contextualSpacing/>
        <w:rPr>
          <w:color w:val="000000" w:themeColor="text1"/>
          <w:lang w:val="en-US"/>
        </w:rPr>
      </w:pPr>
      <w:r w:rsidRPr="007C37B0">
        <w:rPr>
          <w:color w:val="000000" w:themeColor="text1"/>
          <w:lang w:val="en-US"/>
        </w:rPr>
        <w:t xml:space="preserve">Morgan, Neil A., Eugene W. Anderson, and Vikas Mittal (2005), “Understanding Firms' Customer Satisfaction Information Usage,” </w:t>
      </w:r>
      <w:r w:rsidRPr="007C37B0">
        <w:rPr>
          <w:i/>
          <w:color w:val="000000" w:themeColor="text1"/>
          <w:lang w:val="en-US"/>
        </w:rPr>
        <w:t>Journal of Marketing</w:t>
      </w:r>
      <w:r w:rsidRPr="007C37B0">
        <w:rPr>
          <w:color w:val="000000" w:themeColor="text1"/>
          <w:lang w:val="en-US"/>
        </w:rPr>
        <w:t>, 69 (3), 131</w:t>
      </w:r>
      <w:r w:rsidRPr="007C37B0">
        <w:rPr>
          <w:noProof/>
          <w:color w:val="000000" w:themeColor="text1"/>
          <w:lang w:val="en-US"/>
        </w:rPr>
        <w:t>–</w:t>
      </w:r>
      <w:r w:rsidRPr="007C37B0">
        <w:rPr>
          <w:color w:val="000000" w:themeColor="text1"/>
          <w:lang w:val="en-US"/>
        </w:rPr>
        <w:t>151.</w:t>
      </w:r>
    </w:p>
    <w:p w14:paraId="5B3C3F28" w14:textId="77777777" w:rsidR="00064E0E" w:rsidRPr="007C37B0" w:rsidRDefault="00064E0E" w:rsidP="00064E0E">
      <w:pPr>
        <w:pStyle w:val="NormalWeb"/>
        <w:spacing w:afterLines="80" w:after="192"/>
        <w:ind w:left="480" w:hanging="480"/>
        <w:contextualSpacing/>
        <w:rPr>
          <w:color w:val="000000" w:themeColor="text1"/>
          <w:lang w:val="en-US"/>
        </w:rPr>
      </w:pPr>
      <w:r w:rsidRPr="007C37B0">
        <w:rPr>
          <w:color w:val="000000" w:themeColor="text1"/>
          <w:lang w:val="en-US"/>
        </w:rPr>
        <w:t xml:space="preserve">Roberts, Peter W., and Grahame R. Dowling (2002), “Corporate Reputation and Sustained Superior Financial Performance,” </w:t>
      </w:r>
      <w:r w:rsidRPr="007C37B0">
        <w:rPr>
          <w:i/>
          <w:iCs/>
          <w:color w:val="000000" w:themeColor="text1"/>
          <w:lang w:val="en-US"/>
        </w:rPr>
        <w:t>Strategic Management Journal,</w:t>
      </w:r>
      <w:r w:rsidRPr="007C37B0">
        <w:rPr>
          <w:color w:val="000000" w:themeColor="text1"/>
          <w:lang w:val="en-US"/>
        </w:rPr>
        <w:t xml:space="preserve"> 23(12), 1077</w:t>
      </w:r>
      <w:r w:rsidRPr="007C37B0">
        <w:rPr>
          <w:noProof/>
          <w:color w:val="000000" w:themeColor="text1"/>
          <w:lang w:val="en-US"/>
        </w:rPr>
        <w:t>–</w:t>
      </w:r>
      <w:r w:rsidRPr="007C37B0">
        <w:rPr>
          <w:color w:val="000000" w:themeColor="text1"/>
          <w:lang w:val="en-US"/>
        </w:rPr>
        <w:t>1093.</w:t>
      </w:r>
    </w:p>
    <w:p w14:paraId="314FBA79" w14:textId="77777777" w:rsidR="00064E0E" w:rsidRPr="007C37B0" w:rsidRDefault="00064E0E" w:rsidP="00064E0E">
      <w:pPr>
        <w:pStyle w:val="NormalWeb"/>
        <w:spacing w:before="0" w:beforeAutospacing="0" w:after="0" w:afterAutospacing="0"/>
        <w:ind w:left="480" w:hanging="480"/>
        <w:contextualSpacing/>
        <w:rPr>
          <w:noProof/>
          <w:color w:val="000000" w:themeColor="text1"/>
          <w:spacing w:val="-4"/>
        </w:rPr>
      </w:pPr>
      <w:r w:rsidRPr="007C37B0">
        <w:rPr>
          <w:color w:val="000000" w:themeColor="text1"/>
          <w:spacing w:val="-4"/>
        </w:rPr>
        <w:t xml:space="preserve">Srinivasan, Raji, Gary L. Lilien, and Shrihari Sridhar (2011), “Should Firms Spend More on Research and Development and Advertising During Recessions?” </w:t>
      </w:r>
      <w:r w:rsidRPr="007C37B0">
        <w:rPr>
          <w:i/>
          <w:iCs/>
          <w:color w:val="000000" w:themeColor="text1"/>
          <w:spacing w:val="-4"/>
        </w:rPr>
        <w:t>Journal of Marketing</w:t>
      </w:r>
      <w:r w:rsidRPr="007C37B0">
        <w:rPr>
          <w:color w:val="000000" w:themeColor="text1"/>
          <w:spacing w:val="-4"/>
        </w:rPr>
        <w:t>, 75 (3), 49</w:t>
      </w:r>
      <w:r w:rsidRPr="007C37B0">
        <w:rPr>
          <w:noProof/>
          <w:color w:val="000000" w:themeColor="text1"/>
          <w:spacing w:val="-6"/>
        </w:rPr>
        <w:t>–</w:t>
      </w:r>
      <w:r w:rsidRPr="007C37B0">
        <w:rPr>
          <w:color w:val="000000" w:themeColor="text1"/>
          <w:spacing w:val="-4"/>
        </w:rPr>
        <w:t>65.</w:t>
      </w:r>
    </w:p>
    <w:p w14:paraId="36DF913A" w14:textId="2AA567D5" w:rsidR="00CB41C0" w:rsidRPr="007C37B0" w:rsidRDefault="00064E0E" w:rsidP="00064E0E">
      <w:pPr>
        <w:pStyle w:val="NormalWeb"/>
        <w:spacing w:afterLines="80" w:after="192"/>
        <w:ind w:left="480" w:hanging="480"/>
        <w:contextualSpacing/>
        <w:rPr>
          <w:color w:val="000000" w:themeColor="text1"/>
          <w:lang w:val="en-US"/>
        </w:rPr>
      </w:pPr>
      <w:proofErr w:type="spellStart"/>
      <w:r w:rsidRPr="007C37B0">
        <w:rPr>
          <w:color w:val="000000" w:themeColor="text1"/>
          <w:lang w:val="en-US"/>
        </w:rPr>
        <w:t>Xiong</w:t>
      </w:r>
      <w:proofErr w:type="spellEnd"/>
      <w:r w:rsidRPr="007C37B0">
        <w:rPr>
          <w:color w:val="000000" w:themeColor="text1"/>
          <w:lang w:val="en-US"/>
        </w:rPr>
        <w:t xml:space="preserve">, Guiyang, and Sundar Bharadwaj (2011), “Social Capital of Young Technology Firms and their IPO Values: The Complementary Role of Relevant Absorptive Capacity,” </w:t>
      </w:r>
      <w:r w:rsidRPr="007C37B0">
        <w:rPr>
          <w:i/>
          <w:color w:val="000000" w:themeColor="text1"/>
          <w:lang w:val="en-US"/>
        </w:rPr>
        <w:t>Journal of Marketing</w:t>
      </w:r>
      <w:r w:rsidRPr="007C37B0">
        <w:rPr>
          <w:color w:val="000000" w:themeColor="text1"/>
          <w:lang w:val="en-US"/>
        </w:rPr>
        <w:t>, 75 (6), 87</w:t>
      </w:r>
      <w:r w:rsidRPr="007C37B0">
        <w:rPr>
          <w:noProof/>
          <w:color w:val="000000" w:themeColor="text1"/>
          <w:lang w:val="en-US"/>
        </w:rPr>
        <w:t>–</w:t>
      </w:r>
      <w:r w:rsidRPr="007C37B0">
        <w:rPr>
          <w:color w:val="000000" w:themeColor="text1"/>
          <w:lang w:val="en-US"/>
        </w:rPr>
        <w:t>104.</w:t>
      </w:r>
    </w:p>
    <w:sectPr w:rsidR="00CB41C0" w:rsidRPr="007C37B0" w:rsidSect="005B0EDE">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F145A" w14:textId="77777777" w:rsidR="00F549A7" w:rsidRDefault="00F549A7" w:rsidP="0066559E">
      <w:r>
        <w:separator/>
      </w:r>
    </w:p>
  </w:endnote>
  <w:endnote w:type="continuationSeparator" w:id="0">
    <w:p w14:paraId="62B5C5CE" w14:textId="77777777" w:rsidR="00F549A7" w:rsidRDefault="00F549A7" w:rsidP="0066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6C8DE" w14:textId="77777777" w:rsidR="00F549A7" w:rsidRDefault="00F549A7" w:rsidP="0066559E">
      <w:r>
        <w:separator/>
      </w:r>
    </w:p>
  </w:footnote>
  <w:footnote w:type="continuationSeparator" w:id="0">
    <w:p w14:paraId="29EB36A1" w14:textId="77777777" w:rsidR="00F549A7" w:rsidRDefault="00F549A7" w:rsidP="0066559E">
      <w:r>
        <w:continuationSeparator/>
      </w:r>
    </w:p>
  </w:footnote>
  <w:footnote w:id="1">
    <w:p w14:paraId="3E0BFF21" w14:textId="7C9535FA" w:rsidR="000C3E57" w:rsidRPr="00913B1C" w:rsidRDefault="000C3E57">
      <w:pPr>
        <w:pStyle w:val="FootnoteText"/>
        <w:rPr>
          <w:rFonts w:ascii="Times New Roman" w:hAnsi="Times New Roman"/>
          <w:lang w:val="en-US"/>
        </w:rPr>
      </w:pPr>
      <w:r w:rsidRPr="00913B1C">
        <w:rPr>
          <w:rStyle w:val="FootnoteReference"/>
          <w:rFonts w:ascii="Times New Roman" w:hAnsi="Times New Roman"/>
        </w:rPr>
        <w:footnoteRef/>
      </w:r>
      <w:r w:rsidRPr="00913B1C">
        <w:rPr>
          <w:rFonts w:ascii="Times New Roman" w:hAnsi="Times New Roman"/>
          <w:lang w:val="en-US"/>
        </w:rPr>
        <w:t xml:space="preserve"> If managers wish to use current levels as provided directly in the income statement instead</w:t>
      </w:r>
      <w:r>
        <w:rPr>
          <w:rFonts w:ascii="Times New Roman" w:hAnsi="Times New Roman"/>
          <w:lang w:val="en-US"/>
        </w:rPr>
        <w:t xml:space="preserve"> of unexpected scale-adjusted advertising investments</w:t>
      </w:r>
      <w:r w:rsidRPr="00913B1C">
        <w:rPr>
          <w:rFonts w:ascii="Times New Roman" w:hAnsi="Times New Roman"/>
          <w:lang w:val="en-US"/>
        </w:rPr>
        <w:t xml:space="preserve">, we provide the following </w:t>
      </w:r>
      <w:r>
        <w:rPr>
          <w:rFonts w:ascii="Times New Roman" w:hAnsi="Times New Roman"/>
          <w:lang w:val="en-US"/>
        </w:rPr>
        <w:t xml:space="preserve">derived </w:t>
      </w:r>
      <w:r w:rsidRPr="00913B1C">
        <w:rPr>
          <w:rFonts w:ascii="Times New Roman" w:hAnsi="Times New Roman"/>
          <w:lang w:val="en-US"/>
        </w:rPr>
        <w:t xml:space="preserve">coefficient estimates using this measure of advertising:  </w:t>
      </w:r>
      <m:oMath>
        <m:r>
          <m:rPr>
            <m:sty m:val="p"/>
          </m:rPr>
          <w:rPr>
            <w:rFonts w:ascii="Cambria Math" w:eastAsia="Times New Roman" w:hAnsi="Cambria Math"/>
            <w:lang w:val="en-US"/>
          </w:rPr>
          <m:t xml:space="preserve">TQ´= </m:t>
        </m:r>
        <m:f>
          <m:fPr>
            <m:ctrlPr>
              <w:rPr>
                <w:rFonts w:ascii="Cambria Math" w:eastAsia="Times New Roman" w:hAnsi="Cambria Math"/>
              </w:rPr>
            </m:ctrlPr>
          </m:fPr>
          <m:num>
            <m:r>
              <m:rPr>
                <m:sty m:val="p"/>
              </m:rPr>
              <w:rPr>
                <w:rFonts w:ascii="Cambria Math" w:eastAsia="Times New Roman" w:hAnsi="Cambria Math"/>
                <w:lang w:val="en-US"/>
              </w:rPr>
              <m:t>dTQ</m:t>
            </m:r>
          </m:num>
          <m:den>
            <m:r>
              <m:rPr>
                <m:sty m:val="p"/>
              </m:rPr>
              <w:rPr>
                <w:rFonts w:ascii="Cambria Math" w:eastAsia="Times New Roman" w:hAnsi="Cambria Math"/>
                <w:lang w:val="en-US"/>
              </w:rPr>
              <m:t>dADV</m:t>
            </m:r>
          </m:den>
        </m:f>
        <m:r>
          <m:rPr>
            <m:sty m:val="p"/>
          </m:rPr>
          <w:rPr>
            <w:rFonts w:ascii="Cambria Math" w:eastAsia="Times New Roman" w:hAnsi="Cambria Math"/>
            <w:lang w:val="en-US"/>
          </w:rPr>
          <m:t>=ADV+</m:t>
        </m:r>
        <m:r>
          <m:rPr>
            <m:sty m:val="p"/>
          </m:rPr>
          <w:rPr>
            <w:rFonts w:ascii="Cambria Math" w:eastAsia="Times New Roman" w:hAnsi="Cambria Math"/>
          </w:rPr>
          <w:sym w:font="Symbol" w:char="F062"/>
        </m:r>
        <m:r>
          <m:rPr>
            <m:sty m:val="p"/>
          </m:rPr>
          <w:rPr>
            <w:rFonts w:ascii="Cambria Math" w:eastAsia="Times New Roman" w:hAnsi="Cambria Math"/>
            <w:lang w:val="en-US"/>
          </w:rPr>
          <m:t>*SHC=ADV+.053*SHC</m:t>
        </m:r>
      </m:oMath>
      <w:r w:rsidRPr="00913B1C">
        <w:rPr>
          <w:rFonts w:ascii="Times New Roman" w:eastAsia="Times New Roman" w:hAnsi="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C29C" w14:textId="77777777" w:rsidR="000C3E57" w:rsidRDefault="000C3E57" w:rsidP="00910B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CAF3ED" w14:textId="77777777" w:rsidR="000C3E57" w:rsidRDefault="000C3E57" w:rsidP="00910B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40495" w14:textId="77777777" w:rsidR="000C3E57" w:rsidRPr="00910B2A" w:rsidRDefault="000C3E57" w:rsidP="00910B2A">
    <w:pPr>
      <w:pStyle w:val="Header"/>
      <w:framePr w:wrap="around" w:vAnchor="text" w:hAnchor="margin" w:xAlign="right" w:y="1"/>
      <w:rPr>
        <w:rStyle w:val="PageNumber"/>
      </w:rPr>
    </w:pPr>
    <w:r w:rsidRPr="00910B2A">
      <w:rPr>
        <w:rStyle w:val="PageNumber"/>
      </w:rPr>
      <w:fldChar w:fldCharType="begin"/>
    </w:r>
    <w:r w:rsidRPr="00910B2A">
      <w:rPr>
        <w:rStyle w:val="PageNumber"/>
      </w:rPr>
      <w:instrText xml:space="preserve">PAGE  </w:instrText>
    </w:r>
    <w:r w:rsidRPr="00910B2A">
      <w:rPr>
        <w:rStyle w:val="PageNumber"/>
      </w:rPr>
      <w:fldChar w:fldCharType="separate"/>
    </w:r>
    <w:r>
      <w:rPr>
        <w:rStyle w:val="PageNumber"/>
        <w:noProof/>
      </w:rPr>
      <w:t>17</w:t>
    </w:r>
    <w:r w:rsidRPr="00910B2A">
      <w:rPr>
        <w:rStyle w:val="PageNumber"/>
      </w:rPr>
      <w:fldChar w:fldCharType="end"/>
    </w:r>
  </w:p>
  <w:p w14:paraId="60F30A03" w14:textId="77777777" w:rsidR="000C3E57" w:rsidRDefault="000C3E57" w:rsidP="00910B2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54ED"/>
    <w:multiLevelType w:val="hybridMultilevel"/>
    <w:tmpl w:val="9E7A5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325C0B"/>
    <w:multiLevelType w:val="hybridMultilevel"/>
    <w:tmpl w:val="12861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8937B0"/>
    <w:multiLevelType w:val="hybridMultilevel"/>
    <w:tmpl w:val="5966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93168"/>
    <w:multiLevelType w:val="hybridMultilevel"/>
    <w:tmpl w:val="7AD00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8D3652"/>
    <w:multiLevelType w:val="hybridMultilevel"/>
    <w:tmpl w:val="13363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B2508A"/>
    <w:multiLevelType w:val="hybridMultilevel"/>
    <w:tmpl w:val="0C0EB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AA1C70"/>
    <w:multiLevelType w:val="hybridMultilevel"/>
    <w:tmpl w:val="595E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F1D5C"/>
    <w:multiLevelType w:val="hybridMultilevel"/>
    <w:tmpl w:val="99E6B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3E64BB"/>
    <w:multiLevelType w:val="hybridMultilevel"/>
    <w:tmpl w:val="6B6C7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9001CE"/>
    <w:multiLevelType w:val="hybridMultilevel"/>
    <w:tmpl w:val="D9923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9230DE"/>
    <w:multiLevelType w:val="hybridMultilevel"/>
    <w:tmpl w:val="30F6C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3"/>
  </w:num>
  <w:num w:numId="5">
    <w:abstractNumId w:val="4"/>
  </w:num>
  <w:num w:numId="6">
    <w:abstractNumId w:val="2"/>
  </w:num>
  <w:num w:numId="7">
    <w:abstractNumId w:val="1"/>
  </w:num>
  <w:num w:numId="8">
    <w:abstractNumId w:val="8"/>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0C0"/>
    <w:rsid w:val="00002A61"/>
    <w:rsid w:val="00002F9F"/>
    <w:rsid w:val="00005188"/>
    <w:rsid w:val="00007400"/>
    <w:rsid w:val="000123DA"/>
    <w:rsid w:val="00013489"/>
    <w:rsid w:val="00015480"/>
    <w:rsid w:val="0002735D"/>
    <w:rsid w:val="00030AB5"/>
    <w:rsid w:val="0003111A"/>
    <w:rsid w:val="00031450"/>
    <w:rsid w:val="00036B4D"/>
    <w:rsid w:val="000379B7"/>
    <w:rsid w:val="00037B73"/>
    <w:rsid w:val="00041B60"/>
    <w:rsid w:val="00054266"/>
    <w:rsid w:val="000552C5"/>
    <w:rsid w:val="00055B9D"/>
    <w:rsid w:val="00056A19"/>
    <w:rsid w:val="00062B43"/>
    <w:rsid w:val="00064E0E"/>
    <w:rsid w:val="00066D05"/>
    <w:rsid w:val="00071F25"/>
    <w:rsid w:val="00075FB9"/>
    <w:rsid w:val="000779F3"/>
    <w:rsid w:val="00080BF3"/>
    <w:rsid w:val="00087841"/>
    <w:rsid w:val="00090DBC"/>
    <w:rsid w:val="0009239A"/>
    <w:rsid w:val="00094630"/>
    <w:rsid w:val="0009701C"/>
    <w:rsid w:val="000A0E39"/>
    <w:rsid w:val="000A2163"/>
    <w:rsid w:val="000A442E"/>
    <w:rsid w:val="000A4505"/>
    <w:rsid w:val="000A51D9"/>
    <w:rsid w:val="000A6078"/>
    <w:rsid w:val="000A746A"/>
    <w:rsid w:val="000A7B9D"/>
    <w:rsid w:val="000A7DD5"/>
    <w:rsid w:val="000B236E"/>
    <w:rsid w:val="000B2DA5"/>
    <w:rsid w:val="000B794A"/>
    <w:rsid w:val="000C2404"/>
    <w:rsid w:val="000C28C9"/>
    <w:rsid w:val="000C3E57"/>
    <w:rsid w:val="000C4732"/>
    <w:rsid w:val="000D1A1C"/>
    <w:rsid w:val="000D1A44"/>
    <w:rsid w:val="000D1E76"/>
    <w:rsid w:val="000D1ECF"/>
    <w:rsid w:val="000D4F2B"/>
    <w:rsid w:val="000D78E9"/>
    <w:rsid w:val="000E5BFE"/>
    <w:rsid w:val="00101F70"/>
    <w:rsid w:val="001052AE"/>
    <w:rsid w:val="00105EA6"/>
    <w:rsid w:val="00106420"/>
    <w:rsid w:val="0010655C"/>
    <w:rsid w:val="00126D0A"/>
    <w:rsid w:val="00126F3D"/>
    <w:rsid w:val="00127889"/>
    <w:rsid w:val="00130CB1"/>
    <w:rsid w:val="00134B5A"/>
    <w:rsid w:val="0014248E"/>
    <w:rsid w:val="0014296C"/>
    <w:rsid w:val="00155EFD"/>
    <w:rsid w:val="00161792"/>
    <w:rsid w:val="00163857"/>
    <w:rsid w:val="00163BE4"/>
    <w:rsid w:val="00166520"/>
    <w:rsid w:val="00174226"/>
    <w:rsid w:val="00175BCC"/>
    <w:rsid w:val="00181812"/>
    <w:rsid w:val="00187C48"/>
    <w:rsid w:val="00190BB1"/>
    <w:rsid w:val="001A7540"/>
    <w:rsid w:val="001B33E5"/>
    <w:rsid w:val="001B5455"/>
    <w:rsid w:val="001C0614"/>
    <w:rsid w:val="001C0B1B"/>
    <w:rsid w:val="001C2E9E"/>
    <w:rsid w:val="001C665A"/>
    <w:rsid w:val="001D1480"/>
    <w:rsid w:val="001D254B"/>
    <w:rsid w:val="001D3603"/>
    <w:rsid w:val="001E4237"/>
    <w:rsid w:val="001F2BF8"/>
    <w:rsid w:val="001F35E5"/>
    <w:rsid w:val="001F3A7C"/>
    <w:rsid w:val="001F79EF"/>
    <w:rsid w:val="00200C66"/>
    <w:rsid w:val="00220334"/>
    <w:rsid w:val="00221D44"/>
    <w:rsid w:val="00223BB1"/>
    <w:rsid w:val="00224536"/>
    <w:rsid w:val="002257C6"/>
    <w:rsid w:val="00234F22"/>
    <w:rsid w:val="002364AB"/>
    <w:rsid w:val="0024057B"/>
    <w:rsid w:val="002435AB"/>
    <w:rsid w:val="002439E4"/>
    <w:rsid w:val="00244E9F"/>
    <w:rsid w:val="00251F53"/>
    <w:rsid w:val="00254C08"/>
    <w:rsid w:val="002557E3"/>
    <w:rsid w:val="002566AA"/>
    <w:rsid w:val="00257AE4"/>
    <w:rsid w:val="0026203E"/>
    <w:rsid w:val="0026631A"/>
    <w:rsid w:val="00280093"/>
    <w:rsid w:val="00280757"/>
    <w:rsid w:val="0028093D"/>
    <w:rsid w:val="00281EF6"/>
    <w:rsid w:val="00283055"/>
    <w:rsid w:val="00290C5F"/>
    <w:rsid w:val="00293697"/>
    <w:rsid w:val="00293D3F"/>
    <w:rsid w:val="002A26F8"/>
    <w:rsid w:val="002A27E6"/>
    <w:rsid w:val="002A44AB"/>
    <w:rsid w:val="002A7726"/>
    <w:rsid w:val="002B0B39"/>
    <w:rsid w:val="002B2994"/>
    <w:rsid w:val="002B4EE1"/>
    <w:rsid w:val="002C24D2"/>
    <w:rsid w:val="002D5BD7"/>
    <w:rsid w:val="002D6C62"/>
    <w:rsid w:val="002E249B"/>
    <w:rsid w:val="002F00EB"/>
    <w:rsid w:val="002F54F4"/>
    <w:rsid w:val="00300BDF"/>
    <w:rsid w:val="00302607"/>
    <w:rsid w:val="00303267"/>
    <w:rsid w:val="003033CC"/>
    <w:rsid w:val="00305393"/>
    <w:rsid w:val="00305CE2"/>
    <w:rsid w:val="003062D4"/>
    <w:rsid w:val="00314BCE"/>
    <w:rsid w:val="003173BC"/>
    <w:rsid w:val="00317D0D"/>
    <w:rsid w:val="0032176E"/>
    <w:rsid w:val="00326710"/>
    <w:rsid w:val="00326BDF"/>
    <w:rsid w:val="00327645"/>
    <w:rsid w:val="00330176"/>
    <w:rsid w:val="003307D1"/>
    <w:rsid w:val="0033604D"/>
    <w:rsid w:val="003459D7"/>
    <w:rsid w:val="0034631C"/>
    <w:rsid w:val="00347790"/>
    <w:rsid w:val="00356865"/>
    <w:rsid w:val="0035785A"/>
    <w:rsid w:val="00364886"/>
    <w:rsid w:val="00370220"/>
    <w:rsid w:val="0037389C"/>
    <w:rsid w:val="00374705"/>
    <w:rsid w:val="00381992"/>
    <w:rsid w:val="00384CD1"/>
    <w:rsid w:val="003912C0"/>
    <w:rsid w:val="00391BA4"/>
    <w:rsid w:val="00393488"/>
    <w:rsid w:val="00393BF3"/>
    <w:rsid w:val="00395A1C"/>
    <w:rsid w:val="00396874"/>
    <w:rsid w:val="003A0D1F"/>
    <w:rsid w:val="003A298E"/>
    <w:rsid w:val="003A3166"/>
    <w:rsid w:val="003A424B"/>
    <w:rsid w:val="003A7C4D"/>
    <w:rsid w:val="003B69FB"/>
    <w:rsid w:val="003B7355"/>
    <w:rsid w:val="003C0D42"/>
    <w:rsid w:val="003C1816"/>
    <w:rsid w:val="003D0F24"/>
    <w:rsid w:val="003D1E77"/>
    <w:rsid w:val="003D62A7"/>
    <w:rsid w:val="003E369E"/>
    <w:rsid w:val="003E3C1F"/>
    <w:rsid w:val="003F71BF"/>
    <w:rsid w:val="00403260"/>
    <w:rsid w:val="0040491B"/>
    <w:rsid w:val="00405920"/>
    <w:rsid w:val="00411F6F"/>
    <w:rsid w:val="004156B1"/>
    <w:rsid w:val="00416D0A"/>
    <w:rsid w:val="004327F5"/>
    <w:rsid w:val="0043502A"/>
    <w:rsid w:val="00437869"/>
    <w:rsid w:val="00437B5F"/>
    <w:rsid w:val="00440398"/>
    <w:rsid w:val="0045204F"/>
    <w:rsid w:val="004529C7"/>
    <w:rsid w:val="0046188F"/>
    <w:rsid w:val="00462ED9"/>
    <w:rsid w:val="00472324"/>
    <w:rsid w:val="00483B72"/>
    <w:rsid w:val="00483D1F"/>
    <w:rsid w:val="004840F0"/>
    <w:rsid w:val="00486277"/>
    <w:rsid w:val="004877A8"/>
    <w:rsid w:val="004904A4"/>
    <w:rsid w:val="004912B5"/>
    <w:rsid w:val="00495737"/>
    <w:rsid w:val="004A54BF"/>
    <w:rsid w:val="004A75E3"/>
    <w:rsid w:val="004A7E5F"/>
    <w:rsid w:val="004B0B5A"/>
    <w:rsid w:val="004B104E"/>
    <w:rsid w:val="004B5C45"/>
    <w:rsid w:val="004C64DC"/>
    <w:rsid w:val="004D0CA8"/>
    <w:rsid w:val="004D1487"/>
    <w:rsid w:val="004D1978"/>
    <w:rsid w:val="004E1D8F"/>
    <w:rsid w:val="004E1F78"/>
    <w:rsid w:val="004E76AA"/>
    <w:rsid w:val="004F15D0"/>
    <w:rsid w:val="004F641A"/>
    <w:rsid w:val="004F6556"/>
    <w:rsid w:val="004F6C1E"/>
    <w:rsid w:val="0050383D"/>
    <w:rsid w:val="00505C78"/>
    <w:rsid w:val="005065B1"/>
    <w:rsid w:val="005074F9"/>
    <w:rsid w:val="00507D27"/>
    <w:rsid w:val="00512FE4"/>
    <w:rsid w:val="00520665"/>
    <w:rsid w:val="00525124"/>
    <w:rsid w:val="005307E5"/>
    <w:rsid w:val="00530D77"/>
    <w:rsid w:val="005334A4"/>
    <w:rsid w:val="005433E1"/>
    <w:rsid w:val="005441DC"/>
    <w:rsid w:val="00545DFD"/>
    <w:rsid w:val="0055113C"/>
    <w:rsid w:val="005525DC"/>
    <w:rsid w:val="00555BC1"/>
    <w:rsid w:val="00556F78"/>
    <w:rsid w:val="00557B07"/>
    <w:rsid w:val="00561723"/>
    <w:rsid w:val="00563BD8"/>
    <w:rsid w:val="00564C00"/>
    <w:rsid w:val="005650C0"/>
    <w:rsid w:val="005669C8"/>
    <w:rsid w:val="00567929"/>
    <w:rsid w:val="005779F7"/>
    <w:rsid w:val="005814E6"/>
    <w:rsid w:val="00584E3B"/>
    <w:rsid w:val="00590648"/>
    <w:rsid w:val="00591FCD"/>
    <w:rsid w:val="00593F9E"/>
    <w:rsid w:val="00594F8F"/>
    <w:rsid w:val="00597CA2"/>
    <w:rsid w:val="005A0003"/>
    <w:rsid w:val="005A0328"/>
    <w:rsid w:val="005A1AA9"/>
    <w:rsid w:val="005A2EE1"/>
    <w:rsid w:val="005A3332"/>
    <w:rsid w:val="005A338A"/>
    <w:rsid w:val="005A4ED0"/>
    <w:rsid w:val="005A6560"/>
    <w:rsid w:val="005A6AC1"/>
    <w:rsid w:val="005B0EDE"/>
    <w:rsid w:val="005B10D4"/>
    <w:rsid w:val="005B7A63"/>
    <w:rsid w:val="005C67B5"/>
    <w:rsid w:val="005C79F6"/>
    <w:rsid w:val="005D7685"/>
    <w:rsid w:val="005E1A9B"/>
    <w:rsid w:val="005E6AB2"/>
    <w:rsid w:val="005E6DC9"/>
    <w:rsid w:val="005F052F"/>
    <w:rsid w:val="005F3FDB"/>
    <w:rsid w:val="005F5027"/>
    <w:rsid w:val="005F7C3D"/>
    <w:rsid w:val="005F7C44"/>
    <w:rsid w:val="00602A4D"/>
    <w:rsid w:val="00602F5C"/>
    <w:rsid w:val="006110AD"/>
    <w:rsid w:val="00611F77"/>
    <w:rsid w:val="00612178"/>
    <w:rsid w:val="00613C00"/>
    <w:rsid w:val="00614B1C"/>
    <w:rsid w:val="00615F3B"/>
    <w:rsid w:val="006203C5"/>
    <w:rsid w:val="00623783"/>
    <w:rsid w:val="00626710"/>
    <w:rsid w:val="00632568"/>
    <w:rsid w:val="00633F31"/>
    <w:rsid w:val="00637B92"/>
    <w:rsid w:val="006405E8"/>
    <w:rsid w:val="00643608"/>
    <w:rsid w:val="00650FD4"/>
    <w:rsid w:val="0065225C"/>
    <w:rsid w:val="006531AB"/>
    <w:rsid w:val="006577BD"/>
    <w:rsid w:val="00661F8D"/>
    <w:rsid w:val="006633DF"/>
    <w:rsid w:val="006635C9"/>
    <w:rsid w:val="0066559E"/>
    <w:rsid w:val="00671E64"/>
    <w:rsid w:val="00675304"/>
    <w:rsid w:val="00675C85"/>
    <w:rsid w:val="006760B7"/>
    <w:rsid w:val="006920EE"/>
    <w:rsid w:val="00692FE4"/>
    <w:rsid w:val="00695B2A"/>
    <w:rsid w:val="006B24FC"/>
    <w:rsid w:val="006B2C4A"/>
    <w:rsid w:val="006B34A4"/>
    <w:rsid w:val="006B549F"/>
    <w:rsid w:val="006C0138"/>
    <w:rsid w:val="006C2C67"/>
    <w:rsid w:val="006C54DE"/>
    <w:rsid w:val="006D28FA"/>
    <w:rsid w:val="006D433A"/>
    <w:rsid w:val="006D6B20"/>
    <w:rsid w:val="006E2181"/>
    <w:rsid w:val="006E3F56"/>
    <w:rsid w:val="006E4019"/>
    <w:rsid w:val="006E446F"/>
    <w:rsid w:val="006E6562"/>
    <w:rsid w:val="006F7A69"/>
    <w:rsid w:val="00704400"/>
    <w:rsid w:val="00705A8C"/>
    <w:rsid w:val="007151F0"/>
    <w:rsid w:val="00715770"/>
    <w:rsid w:val="00717AF1"/>
    <w:rsid w:val="00720979"/>
    <w:rsid w:val="0072503B"/>
    <w:rsid w:val="00730A16"/>
    <w:rsid w:val="00730B2B"/>
    <w:rsid w:val="00735092"/>
    <w:rsid w:val="00740064"/>
    <w:rsid w:val="007405AF"/>
    <w:rsid w:val="007511F3"/>
    <w:rsid w:val="00751F7B"/>
    <w:rsid w:val="00760DC8"/>
    <w:rsid w:val="00765DA3"/>
    <w:rsid w:val="007704E5"/>
    <w:rsid w:val="00773C69"/>
    <w:rsid w:val="00781CCC"/>
    <w:rsid w:val="00784E5F"/>
    <w:rsid w:val="00793F29"/>
    <w:rsid w:val="0079455C"/>
    <w:rsid w:val="007A32EC"/>
    <w:rsid w:val="007A6324"/>
    <w:rsid w:val="007A7695"/>
    <w:rsid w:val="007A7DCC"/>
    <w:rsid w:val="007B045E"/>
    <w:rsid w:val="007B3E6E"/>
    <w:rsid w:val="007C0780"/>
    <w:rsid w:val="007C1E3D"/>
    <w:rsid w:val="007C232B"/>
    <w:rsid w:val="007C294A"/>
    <w:rsid w:val="007C3142"/>
    <w:rsid w:val="007C37B0"/>
    <w:rsid w:val="007C504F"/>
    <w:rsid w:val="007C6A2F"/>
    <w:rsid w:val="007D4CC4"/>
    <w:rsid w:val="007D6154"/>
    <w:rsid w:val="007D6E12"/>
    <w:rsid w:val="007E0C55"/>
    <w:rsid w:val="007E3467"/>
    <w:rsid w:val="007E5DE7"/>
    <w:rsid w:val="007F0874"/>
    <w:rsid w:val="007F5F62"/>
    <w:rsid w:val="007F5FA3"/>
    <w:rsid w:val="00805819"/>
    <w:rsid w:val="0080683F"/>
    <w:rsid w:val="00807BDD"/>
    <w:rsid w:val="00810586"/>
    <w:rsid w:val="00814FD9"/>
    <w:rsid w:val="0081574B"/>
    <w:rsid w:val="00816321"/>
    <w:rsid w:val="00822125"/>
    <w:rsid w:val="00826DB1"/>
    <w:rsid w:val="00827718"/>
    <w:rsid w:val="00840A1C"/>
    <w:rsid w:val="0084379E"/>
    <w:rsid w:val="0084436A"/>
    <w:rsid w:val="008452F5"/>
    <w:rsid w:val="008476EF"/>
    <w:rsid w:val="008526D7"/>
    <w:rsid w:val="008617AF"/>
    <w:rsid w:val="00861D40"/>
    <w:rsid w:val="00864CBC"/>
    <w:rsid w:val="00867CE2"/>
    <w:rsid w:val="008707C7"/>
    <w:rsid w:val="00872369"/>
    <w:rsid w:val="008816E8"/>
    <w:rsid w:val="0088213C"/>
    <w:rsid w:val="008822FF"/>
    <w:rsid w:val="0088466B"/>
    <w:rsid w:val="00885628"/>
    <w:rsid w:val="00885B45"/>
    <w:rsid w:val="00886C78"/>
    <w:rsid w:val="008873DE"/>
    <w:rsid w:val="008964A7"/>
    <w:rsid w:val="008A0874"/>
    <w:rsid w:val="008A1198"/>
    <w:rsid w:val="008A27B8"/>
    <w:rsid w:val="008A722A"/>
    <w:rsid w:val="008B5081"/>
    <w:rsid w:val="008D376F"/>
    <w:rsid w:val="008D38AC"/>
    <w:rsid w:val="008D4EF7"/>
    <w:rsid w:val="008E48D1"/>
    <w:rsid w:val="008F12C1"/>
    <w:rsid w:val="008F2724"/>
    <w:rsid w:val="008F4839"/>
    <w:rsid w:val="008F5173"/>
    <w:rsid w:val="00900306"/>
    <w:rsid w:val="00903202"/>
    <w:rsid w:val="00906C1D"/>
    <w:rsid w:val="00910B2A"/>
    <w:rsid w:val="00913B1C"/>
    <w:rsid w:val="00915426"/>
    <w:rsid w:val="00915CB3"/>
    <w:rsid w:val="00920023"/>
    <w:rsid w:val="00922083"/>
    <w:rsid w:val="00931041"/>
    <w:rsid w:val="00943D6B"/>
    <w:rsid w:val="0094427E"/>
    <w:rsid w:val="009453DC"/>
    <w:rsid w:val="00954AB6"/>
    <w:rsid w:val="0096388F"/>
    <w:rsid w:val="00967A7E"/>
    <w:rsid w:val="009732BB"/>
    <w:rsid w:val="00975787"/>
    <w:rsid w:val="009768A6"/>
    <w:rsid w:val="00980A47"/>
    <w:rsid w:val="00981F69"/>
    <w:rsid w:val="009846A1"/>
    <w:rsid w:val="009848D2"/>
    <w:rsid w:val="00985553"/>
    <w:rsid w:val="00985AF6"/>
    <w:rsid w:val="00985E0E"/>
    <w:rsid w:val="00994E2D"/>
    <w:rsid w:val="0099531D"/>
    <w:rsid w:val="009A56A9"/>
    <w:rsid w:val="009A7092"/>
    <w:rsid w:val="009C2212"/>
    <w:rsid w:val="009D1667"/>
    <w:rsid w:val="009D2A78"/>
    <w:rsid w:val="009D7F32"/>
    <w:rsid w:val="009E045E"/>
    <w:rsid w:val="009E2E65"/>
    <w:rsid w:val="009E6486"/>
    <w:rsid w:val="009F6A0F"/>
    <w:rsid w:val="00A05911"/>
    <w:rsid w:val="00A065FF"/>
    <w:rsid w:val="00A1064A"/>
    <w:rsid w:val="00A1567B"/>
    <w:rsid w:val="00A439EB"/>
    <w:rsid w:val="00A43D02"/>
    <w:rsid w:val="00A44162"/>
    <w:rsid w:val="00A47F31"/>
    <w:rsid w:val="00A50D80"/>
    <w:rsid w:val="00A5250A"/>
    <w:rsid w:val="00A52B39"/>
    <w:rsid w:val="00A540DC"/>
    <w:rsid w:val="00A63ADA"/>
    <w:rsid w:val="00A64378"/>
    <w:rsid w:val="00A64BAD"/>
    <w:rsid w:val="00A70BF4"/>
    <w:rsid w:val="00A716B5"/>
    <w:rsid w:val="00A759E6"/>
    <w:rsid w:val="00A76F68"/>
    <w:rsid w:val="00A9575F"/>
    <w:rsid w:val="00A95BC7"/>
    <w:rsid w:val="00AA2869"/>
    <w:rsid w:val="00AA5345"/>
    <w:rsid w:val="00AA712E"/>
    <w:rsid w:val="00AA7428"/>
    <w:rsid w:val="00AB106C"/>
    <w:rsid w:val="00AB1DFA"/>
    <w:rsid w:val="00AB319D"/>
    <w:rsid w:val="00AB6DEC"/>
    <w:rsid w:val="00AC0B1A"/>
    <w:rsid w:val="00AC25E2"/>
    <w:rsid w:val="00AC39E2"/>
    <w:rsid w:val="00AC424A"/>
    <w:rsid w:val="00AC5171"/>
    <w:rsid w:val="00AC6E76"/>
    <w:rsid w:val="00AD107B"/>
    <w:rsid w:val="00AD1F4E"/>
    <w:rsid w:val="00AD5FDE"/>
    <w:rsid w:val="00AD7918"/>
    <w:rsid w:val="00AE061A"/>
    <w:rsid w:val="00AE279F"/>
    <w:rsid w:val="00AE6AF0"/>
    <w:rsid w:val="00AF10E7"/>
    <w:rsid w:val="00AF2255"/>
    <w:rsid w:val="00AF2C83"/>
    <w:rsid w:val="00AF385B"/>
    <w:rsid w:val="00AF4830"/>
    <w:rsid w:val="00AF6DF1"/>
    <w:rsid w:val="00B03015"/>
    <w:rsid w:val="00B10907"/>
    <w:rsid w:val="00B2625A"/>
    <w:rsid w:val="00B336C4"/>
    <w:rsid w:val="00B378CD"/>
    <w:rsid w:val="00B41416"/>
    <w:rsid w:val="00B42AD2"/>
    <w:rsid w:val="00B537F6"/>
    <w:rsid w:val="00B55334"/>
    <w:rsid w:val="00B553CD"/>
    <w:rsid w:val="00B602BA"/>
    <w:rsid w:val="00B62D85"/>
    <w:rsid w:val="00B63D8F"/>
    <w:rsid w:val="00B65ABE"/>
    <w:rsid w:val="00B66541"/>
    <w:rsid w:val="00B71C26"/>
    <w:rsid w:val="00B73D28"/>
    <w:rsid w:val="00B76E91"/>
    <w:rsid w:val="00B77149"/>
    <w:rsid w:val="00B77394"/>
    <w:rsid w:val="00B77BB8"/>
    <w:rsid w:val="00B806F2"/>
    <w:rsid w:val="00B80934"/>
    <w:rsid w:val="00B80AF8"/>
    <w:rsid w:val="00B8232F"/>
    <w:rsid w:val="00B826C2"/>
    <w:rsid w:val="00B8478B"/>
    <w:rsid w:val="00B9794F"/>
    <w:rsid w:val="00BA1328"/>
    <w:rsid w:val="00BA26BE"/>
    <w:rsid w:val="00BA2C33"/>
    <w:rsid w:val="00BA5542"/>
    <w:rsid w:val="00BA62F6"/>
    <w:rsid w:val="00BB33CD"/>
    <w:rsid w:val="00BB5C42"/>
    <w:rsid w:val="00BC4887"/>
    <w:rsid w:val="00BC5646"/>
    <w:rsid w:val="00BC6302"/>
    <w:rsid w:val="00BD0034"/>
    <w:rsid w:val="00BD00F9"/>
    <w:rsid w:val="00BD2BC3"/>
    <w:rsid w:val="00BD68E6"/>
    <w:rsid w:val="00BD6BB8"/>
    <w:rsid w:val="00BD6E20"/>
    <w:rsid w:val="00BE1064"/>
    <w:rsid w:val="00BE16F3"/>
    <w:rsid w:val="00BE1756"/>
    <w:rsid w:val="00BE31D9"/>
    <w:rsid w:val="00BE4629"/>
    <w:rsid w:val="00BE57B8"/>
    <w:rsid w:val="00BE5CA6"/>
    <w:rsid w:val="00BE63DB"/>
    <w:rsid w:val="00BE6465"/>
    <w:rsid w:val="00BF120F"/>
    <w:rsid w:val="00BF4494"/>
    <w:rsid w:val="00BF4BCB"/>
    <w:rsid w:val="00BF724A"/>
    <w:rsid w:val="00C026E1"/>
    <w:rsid w:val="00C10F0C"/>
    <w:rsid w:val="00C123D9"/>
    <w:rsid w:val="00C14B04"/>
    <w:rsid w:val="00C14F9E"/>
    <w:rsid w:val="00C162AB"/>
    <w:rsid w:val="00C16842"/>
    <w:rsid w:val="00C211B7"/>
    <w:rsid w:val="00C2390D"/>
    <w:rsid w:val="00C2526E"/>
    <w:rsid w:val="00C259E7"/>
    <w:rsid w:val="00C30145"/>
    <w:rsid w:val="00C330EC"/>
    <w:rsid w:val="00C33C6D"/>
    <w:rsid w:val="00C36581"/>
    <w:rsid w:val="00C4296C"/>
    <w:rsid w:val="00C4599B"/>
    <w:rsid w:val="00C45FB9"/>
    <w:rsid w:val="00C469E1"/>
    <w:rsid w:val="00C50911"/>
    <w:rsid w:val="00C50C2F"/>
    <w:rsid w:val="00C646AC"/>
    <w:rsid w:val="00C73E1E"/>
    <w:rsid w:val="00C765ED"/>
    <w:rsid w:val="00C76DAD"/>
    <w:rsid w:val="00C8216B"/>
    <w:rsid w:val="00C83D49"/>
    <w:rsid w:val="00C87470"/>
    <w:rsid w:val="00C93BBE"/>
    <w:rsid w:val="00CA33E2"/>
    <w:rsid w:val="00CA67ED"/>
    <w:rsid w:val="00CB0C3D"/>
    <w:rsid w:val="00CB0C9B"/>
    <w:rsid w:val="00CB137C"/>
    <w:rsid w:val="00CB41C0"/>
    <w:rsid w:val="00CC4671"/>
    <w:rsid w:val="00CC650A"/>
    <w:rsid w:val="00CC7329"/>
    <w:rsid w:val="00CE2FF7"/>
    <w:rsid w:val="00CE417E"/>
    <w:rsid w:val="00CE73B6"/>
    <w:rsid w:val="00CF66C4"/>
    <w:rsid w:val="00CF737B"/>
    <w:rsid w:val="00CF7E7B"/>
    <w:rsid w:val="00D0174A"/>
    <w:rsid w:val="00D043A6"/>
    <w:rsid w:val="00D135AA"/>
    <w:rsid w:val="00D13C86"/>
    <w:rsid w:val="00D14B18"/>
    <w:rsid w:val="00D16F0D"/>
    <w:rsid w:val="00D16F9B"/>
    <w:rsid w:val="00D170F5"/>
    <w:rsid w:val="00D20F43"/>
    <w:rsid w:val="00D24743"/>
    <w:rsid w:val="00D24B1E"/>
    <w:rsid w:val="00D24C8C"/>
    <w:rsid w:val="00D26636"/>
    <w:rsid w:val="00D27C10"/>
    <w:rsid w:val="00D40030"/>
    <w:rsid w:val="00D413E8"/>
    <w:rsid w:val="00D46D1E"/>
    <w:rsid w:val="00D470B7"/>
    <w:rsid w:val="00D553E6"/>
    <w:rsid w:val="00D55414"/>
    <w:rsid w:val="00D5678C"/>
    <w:rsid w:val="00D56D22"/>
    <w:rsid w:val="00D57525"/>
    <w:rsid w:val="00D61C6D"/>
    <w:rsid w:val="00D67230"/>
    <w:rsid w:val="00D7133C"/>
    <w:rsid w:val="00D75393"/>
    <w:rsid w:val="00D753B3"/>
    <w:rsid w:val="00D77AF9"/>
    <w:rsid w:val="00D86DAF"/>
    <w:rsid w:val="00D95649"/>
    <w:rsid w:val="00DA447E"/>
    <w:rsid w:val="00DA6BB6"/>
    <w:rsid w:val="00DB235B"/>
    <w:rsid w:val="00DB2B78"/>
    <w:rsid w:val="00DB4DE0"/>
    <w:rsid w:val="00DB5A4C"/>
    <w:rsid w:val="00DC65B8"/>
    <w:rsid w:val="00DC7B2A"/>
    <w:rsid w:val="00DD0342"/>
    <w:rsid w:val="00DD232E"/>
    <w:rsid w:val="00DD250C"/>
    <w:rsid w:val="00DD2B16"/>
    <w:rsid w:val="00DD4D49"/>
    <w:rsid w:val="00DD60C1"/>
    <w:rsid w:val="00DF32AC"/>
    <w:rsid w:val="00DF5181"/>
    <w:rsid w:val="00E014F0"/>
    <w:rsid w:val="00E0242B"/>
    <w:rsid w:val="00E03F54"/>
    <w:rsid w:val="00E058DB"/>
    <w:rsid w:val="00E20659"/>
    <w:rsid w:val="00E20A20"/>
    <w:rsid w:val="00E23449"/>
    <w:rsid w:val="00E23B76"/>
    <w:rsid w:val="00E31CED"/>
    <w:rsid w:val="00E341E7"/>
    <w:rsid w:val="00E344F2"/>
    <w:rsid w:val="00E416B5"/>
    <w:rsid w:val="00E41BDB"/>
    <w:rsid w:val="00E51016"/>
    <w:rsid w:val="00E520A3"/>
    <w:rsid w:val="00E53E05"/>
    <w:rsid w:val="00E575FD"/>
    <w:rsid w:val="00E62E2B"/>
    <w:rsid w:val="00E633DD"/>
    <w:rsid w:val="00E64171"/>
    <w:rsid w:val="00E66838"/>
    <w:rsid w:val="00E77803"/>
    <w:rsid w:val="00E80E2F"/>
    <w:rsid w:val="00E830E8"/>
    <w:rsid w:val="00E84D69"/>
    <w:rsid w:val="00E864C6"/>
    <w:rsid w:val="00E87BE6"/>
    <w:rsid w:val="00E96715"/>
    <w:rsid w:val="00E97292"/>
    <w:rsid w:val="00E97BDE"/>
    <w:rsid w:val="00EA095C"/>
    <w:rsid w:val="00EA3989"/>
    <w:rsid w:val="00EA3A92"/>
    <w:rsid w:val="00EA5E65"/>
    <w:rsid w:val="00EB5F05"/>
    <w:rsid w:val="00EC1C74"/>
    <w:rsid w:val="00EC6EB2"/>
    <w:rsid w:val="00ED1D9A"/>
    <w:rsid w:val="00ED253C"/>
    <w:rsid w:val="00ED3C0F"/>
    <w:rsid w:val="00ED63CC"/>
    <w:rsid w:val="00EE1177"/>
    <w:rsid w:val="00EE324D"/>
    <w:rsid w:val="00EF11C0"/>
    <w:rsid w:val="00EF6F40"/>
    <w:rsid w:val="00F00B81"/>
    <w:rsid w:val="00F00D3F"/>
    <w:rsid w:val="00F0342B"/>
    <w:rsid w:val="00F04662"/>
    <w:rsid w:val="00F052E1"/>
    <w:rsid w:val="00F12031"/>
    <w:rsid w:val="00F147B6"/>
    <w:rsid w:val="00F15E67"/>
    <w:rsid w:val="00F1629A"/>
    <w:rsid w:val="00F21FE4"/>
    <w:rsid w:val="00F26495"/>
    <w:rsid w:val="00F336E5"/>
    <w:rsid w:val="00F3392E"/>
    <w:rsid w:val="00F36E17"/>
    <w:rsid w:val="00F37F8F"/>
    <w:rsid w:val="00F40114"/>
    <w:rsid w:val="00F40941"/>
    <w:rsid w:val="00F44BEF"/>
    <w:rsid w:val="00F471C1"/>
    <w:rsid w:val="00F549A7"/>
    <w:rsid w:val="00F5559A"/>
    <w:rsid w:val="00F56DCC"/>
    <w:rsid w:val="00F60069"/>
    <w:rsid w:val="00F6081F"/>
    <w:rsid w:val="00F67AE0"/>
    <w:rsid w:val="00F70F97"/>
    <w:rsid w:val="00F75752"/>
    <w:rsid w:val="00F77866"/>
    <w:rsid w:val="00F91012"/>
    <w:rsid w:val="00F91B81"/>
    <w:rsid w:val="00F94F60"/>
    <w:rsid w:val="00F967C0"/>
    <w:rsid w:val="00FA076E"/>
    <w:rsid w:val="00FA311E"/>
    <w:rsid w:val="00FA68A5"/>
    <w:rsid w:val="00FA7767"/>
    <w:rsid w:val="00FA79CE"/>
    <w:rsid w:val="00FB41B1"/>
    <w:rsid w:val="00FB5CC6"/>
    <w:rsid w:val="00FB6512"/>
    <w:rsid w:val="00FC2DE7"/>
    <w:rsid w:val="00FC32CB"/>
    <w:rsid w:val="00FC513F"/>
    <w:rsid w:val="00FD481A"/>
    <w:rsid w:val="00FD7293"/>
    <w:rsid w:val="00FE5884"/>
    <w:rsid w:val="00FF12A4"/>
    <w:rsid w:val="00FF4536"/>
    <w:rsid w:val="00FF4F9D"/>
    <w:rsid w:val="00FF50CA"/>
    <w:rsid w:val="00FF5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7F8376"/>
  <w14:defaultImageDpi w14:val="300"/>
  <w15:docId w15:val="{1E3F6ECC-4EDD-8240-A921-FF23A1E9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5ED"/>
    <w:rPr>
      <w:rFonts w:ascii="Times New Roman" w:eastAsia="Times New Roman" w:hAnsi="Times New Roman" w:cs="Times New Roman"/>
      <w:lang w:val="de-DE"/>
    </w:rPr>
  </w:style>
  <w:style w:type="paragraph" w:styleId="Heading1">
    <w:name w:val="heading 1"/>
    <w:basedOn w:val="Normal"/>
    <w:next w:val="Normal"/>
    <w:link w:val="Heading1Char"/>
    <w:uiPriority w:val="9"/>
    <w:qFormat/>
    <w:rsid w:val="004B5C45"/>
    <w:pPr>
      <w:jc w:val="center"/>
      <w:outlineLvl w:val="0"/>
    </w:pPr>
    <w:rPr>
      <w:b/>
      <w:cap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0342B"/>
    <w:pPr>
      <w:pBdr>
        <w:top w:val="nil"/>
        <w:left w:val="nil"/>
        <w:bottom w:val="nil"/>
        <w:right w:val="nil"/>
        <w:between w:val="nil"/>
        <w:bar w:val="nil"/>
      </w:pBdr>
      <w:spacing w:line="480" w:lineRule="auto"/>
    </w:pPr>
    <w:rPr>
      <w:rFonts w:ascii="Times New Roman" w:eastAsia="Arial Unicode MS" w:hAnsi="Arial Unicode MS" w:cs="Arial Unicode MS"/>
      <w:color w:val="000000"/>
      <w:bdr w:val="nil"/>
      <w:lang w:val="de-DE"/>
    </w:rPr>
  </w:style>
  <w:style w:type="paragraph" w:customStyle="1" w:styleId="SWHeading2">
    <w:name w:val="SW_Heading 2"/>
    <w:basedOn w:val="Normal"/>
    <w:qFormat/>
    <w:rsid w:val="00F0342B"/>
    <w:pPr>
      <w:spacing w:line="480" w:lineRule="auto"/>
    </w:pPr>
    <w:rPr>
      <w:rFonts w:eastAsiaTheme="minorHAnsi"/>
      <w:b/>
      <w:i/>
      <w:lang w:val="en-GB"/>
    </w:rPr>
  </w:style>
  <w:style w:type="paragraph" w:customStyle="1" w:styleId="SWHeading1">
    <w:name w:val="SW_Heading 1"/>
    <w:basedOn w:val="Normal"/>
    <w:qFormat/>
    <w:rsid w:val="009D1667"/>
    <w:pPr>
      <w:spacing w:line="480" w:lineRule="auto"/>
      <w:jc w:val="center"/>
    </w:pPr>
    <w:rPr>
      <w:rFonts w:eastAsiaTheme="minorHAnsi"/>
      <w:b/>
    </w:rPr>
  </w:style>
  <w:style w:type="paragraph" w:styleId="CommentText">
    <w:name w:val="annotation text"/>
    <w:basedOn w:val="Normal"/>
    <w:link w:val="CommentTextChar"/>
    <w:uiPriority w:val="99"/>
    <w:unhideWhenUsed/>
    <w:rsid w:val="00411F6F"/>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rsid w:val="00411F6F"/>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411F6F"/>
    <w:rPr>
      <w:sz w:val="18"/>
      <w:szCs w:val="18"/>
    </w:rPr>
  </w:style>
  <w:style w:type="paragraph" w:customStyle="1" w:styleId="Default">
    <w:name w:val="Default"/>
    <w:rsid w:val="00411F6F"/>
    <w:pPr>
      <w:pBdr>
        <w:top w:val="nil"/>
        <w:left w:val="nil"/>
        <w:bottom w:val="nil"/>
        <w:right w:val="nil"/>
        <w:between w:val="nil"/>
        <w:bar w:val="nil"/>
      </w:pBdr>
    </w:pPr>
    <w:rPr>
      <w:rFonts w:ascii="Helvetica" w:eastAsia="Helvetica" w:hAnsi="Helvetica" w:cs="Helvetica"/>
      <w:color w:val="000000"/>
      <w:sz w:val="22"/>
      <w:szCs w:val="22"/>
      <w:bdr w:val="nil"/>
    </w:rPr>
  </w:style>
  <w:style w:type="table" w:styleId="TableGrid">
    <w:name w:val="Table Grid"/>
    <w:basedOn w:val="TableNormal"/>
    <w:uiPriority w:val="39"/>
    <w:rsid w:val="00411F6F"/>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1F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F6F"/>
    <w:rPr>
      <w:rFonts w:ascii="Lucida Grande" w:hAnsi="Lucida Grande" w:cs="Lucida Grande"/>
      <w:sz w:val="18"/>
      <w:szCs w:val="18"/>
    </w:rPr>
  </w:style>
  <w:style w:type="paragraph" w:styleId="NoSpacing">
    <w:name w:val="No Spacing"/>
    <w:basedOn w:val="Normal"/>
    <w:uiPriority w:val="1"/>
    <w:qFormat/>
    <w:rsid w:val="00735092"/>
    <w:pPr>
      <w:pBdr>
        <w:top w:val="nil"/>
        <w:left w:val="nil"/>
        <w:bottom w:val="nil"/>
        <w:right w:val="nil"/>
        <w:between w:val="nil"/>
        <w:bar w:val="nil"/>
      </w:pBdr>
      <w:spacing w:line="480" w:lineRule="auto"/>
    </w:pPr>
    <w:rPr>
      <w:color w:val="000000"/>
      <w:u w:color="000000"/>
      <w:bdr w:val="nil"/>
    </w:rPr>
  </w:style>
  <w:style w:type="paragraph" w:styleId="ListParagraph">
    <w:name w:val="List Paragraph"/>
    <w:basedOn w:val="Normal"/>
    <w:uiPriority w:val="34"/>
    <w:qFormat/>
    <w:rsid w:val="00BD6E20"/>
    <w:pPr>
      <w:ind w:left="720"/>
      <w:contextualSpacing/>
    </w:pPr>
    <w:rPr>
      <w:rFonts w:eastAsiaTheme="minorHAnsi"/>
      <w:lang w:val="en-GB"/>
    </w:rPr>
  </w:style>
  <w:style w:type="paragraph" w:styleId="NormalWeb">
    <w:name w:val="Normal (Web)"/>
    <w:basedOn w:val="Normal"/>
    <w:uiPriority w:val="99"/>
    <w:unhideWhenUsed/>
    <w:rsid w:val="00981F69"/>
    <w:pPr>
      <w:spacing w:before="100" w:beforeAutospacing="1" w:after="100" w:afterAutospacing="1"/>
    </w:pPr>
    <w:rPr>
      <w:rFonts w:eastAsiaTheme="minorHAnsi"/>
      <w:lang w:val="en-GB" w:eastAsia="en-GB"/>
    </w:rPr>
  </w:style>
  <w:style w:type="paragraph" w:styleId="CommentSubject">
    <w:name w:val="annotation subject"/>
    <w:basedOn w:val="CommentText"/>
    <w:next w:val="CommentText"/>
    <w:link w:val="CommentSubjectChar"/>
    <w:uiPriority w:val="99"/>
    <w:semiHidden/>
    <w:unhideWhenUsed/>
    <w:rsid w:val="0040592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
      <w:bCs/>
      <w:sz w:val="20"/>
      <w:szCs w:val="20"/>
      <w:bdr w:val="none" w:sz="0" w:space="0" w:color="auto"/>
    </w:rPr>
  </w:style>
  <w:style w:type="character" w:customStyle="1" w:styleId="CommentSubjectChar">
    <w:name w:val="Comment Subject Char"/>
    <w:basedOn w:val="CommentTextChar"/>
    <w:link w:val="CommentSubject"/>
    <w:uiPriority w:val="99"/>
    <w:semiHidden/>
    <w:rsid w:val="00405920"/>
    <w:rPr>
      <w:rFonts w:ascii="Times New Roman" w:eastAsia="Arial Unicode MS" w:hAnsi="Times New Roman" w:cs="Times New Roman"/>
      <w:b/>
      <w:bCs/>
      <w:sz w:val="20"/>
      <w:szCs w:val="20"/>
      <w:bdr w:val="nil"/>
    </w:rPr>
  </w:style>
  <w:style w:type="character" w:styleId="FootnoteReference">
    <w:name w:val="footnote reference"/>
    <w:basedOn w:val="DefaultParagraphFont"/>
    <w:uiPriority w:val="99"/>
    <w:semiHidden/>
    <w:rsid w:val="0066559E"/>
    <w:rPr>
      <w:rFonts w:cs="Times New Roman"/>
      <w:vertAlign w:val="superscript"/>
    </w:rPr>
  </w:style>
  <w:style w:type="paragraph" w:styleId="FootnoteText">
    <w:name w:val="footnote text"/>
    <w:basedOn w:val="Normal"/>
    <w:link w:val="FootnoteTextChar"/>
    <w:uiPriority w:val="99"/>
    <w:semiHidden/>
    <w:rsid w:val="0066559E"/>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66559E"/>
    <w:rPr>
      <w:rFonts w:ascii="Calibri" w:eastAsia="Calibri" w:hAnsi="Calibri" w:cs="Times New Roman"/>
      <w:sz w:val="20"/>
      <w:szCs w:val="20"/>
    </w:rPr>
  </w:style>
  <w:style w:type="paragraph" w:styleId="Header">
    <w:name w:val="header"/>
    <w:basedOn w:val="Normal"/>
    <w:link w:val="HeaderChar"/>
    <w:uiPriority w:val="99"/>
    <w:unhideWhenUsed/>
    <w:rsid w:val="00AB319D"/>
    <w:pPr>
      <w:tabs>
        <w:tab w:val="center" w:pos="4320"/>
        <w:tab w:val="right" w:pos="8640"/>
      </w:tabs>
    </w:pPr>
  </w:style>
  <w:style w:type="character" w:customStyle="1" w:styleId="HeaderChar">
    <w:name w:val="Header Char"/>
    <w:basedOn w:val="DefaultParagraphFont"/>
    <w:link w:val="Header"/>
    <w:uiPriority w:val="99"/>
    <w:rsid w:val="00AB319D"/>
  </w:style>
  <w:style w:type="character" w:styleId="PageNumber">
    <w:name w:val="page number"/>
    <w:basedOn w:val="DefaultParagraphFont"/>
    <w:uiPriority w:val="99"/>
    <w:semiHidden/>
    <w:unhideWhenUsed/>
    <w:rsid w:val="00AB319D"/>
  </w:style>
  <w:style w:type="paragraph" w:styleId="Footer">
    <w:name w:val="footer"/>
    <w:basedOn w:val="Normal"/>
    <w:link w:val="FooterChar"/>
    <w:uiPriority w:val="99"/>
    <w:unhideWhenUsed/>
    <w:rsid w:val="00AB319D"/>
    <w:pPr>
      <w:tabs>
        <w:tab w:val="center" w:pos="4320"/>
        <w:tab w:val="right" w:pos="8640"/>
      </w:tabs>
    </w:pPr>
  </w:style>
  <w:style w:type="character" w:customStyle="1" w:styleId="FooterChar">
    <w:name w:val="Footer Char"/>
    <w:basedOn w:val="DefaultParagraphFont"/>
    <w:link w:val="Footer"/>
    <w:uiPriority w:val="99"/>
    <w:rsid w:val="00AB319D"/>
  </w:style>
  <w:style w:type="paragraph" w:styleId="Revision">
    <w:name w:val="Revision"/>
    <w:hidden/>
    <w:uiPriority w:val="99"/>
    <w:semiHidden/>
    <w:rsid w:val="00087841"/>
  </w:style>
  <w:style w:type="character" w:styleId="PlaceholderText">
    <w:name w:val="Placeholder Text"/>
    <w:basedOn w:val="DefaultParagraphFont"/>
    <w:uiPriority w:val="99"/>
    <w:semiHidden/>
    <w:rsid w:val="003A7C4D"/>
    <w:rPr>
      <w:color w:val="808080"/>
    </w:rPr>
  </w:style>
  <w:style w:type="character" w:customStyle="1" w:styleId="apple-converted-space">
    <w:name w:val="apple-converted-space"/>
    <w:basedOn w:val="DefaultParagraphFont"/>
    <w:rsid w:val="008F5173"/>
  </w:style>
  <w:style w:type="paragraph" w:customStyle="1" w:styleId="m4170173290077184176xswheading1">
    <w:name w:val="m_4170173290077184176x_swheading1"/>
    <w:basedOn w:val="Normal"/>
    <w:rsid w:val="0014248E"/>
    <w:pPr>
      <w:spacing w:before="100" w:beforeAutospacing="1" w:after="100" w:afterAutospacing="1"/>
    </w:pPr>
    <w:rPr>
      <w:rFonts w:eastAsiaTheme="minorHAnsi"/>
      <w:lang w:val="en-US"/>
    </w:rPr>
  </w:style>
  <w:style w:type="paragraph" w:customStyle="1" w:styleId="m4170173290077184176xmsonospacing">
    <w:name w:val="m_4170173290077184176x_msonospacing"/>
    <w:basedOn w:val="Normal"/>
    <w:rsid w:val="0014248E"/>
    <w:pPr>
      <w:spacing w:before="100" w:beforeAutospacing="1" w:after="100" w:afterAutospacing="1"/>
    </w:pPr>
    <w:rPr>
      <w:rFonts w:eastAsiaTheme="minorHAnsi"/>
      <w:lang w:val="en-US"/>
    </w:rPr>
  </w:style>
  <w:style w:type="character" w:customStyle="1" w:styleId="m4170173290077184176xmsocommentreference">
    <w:name w:val="m_4170173290077184176x_msocommentreference"/>
    <w:basedOn w:val="DefaultParagraphFont"/>
    <w:rsid w:val="0014248E"/>
  </w:style>
  <w:style w:type="character" w:customStyle="1" w:styleId="Heading1Char">
    <w:name w:val="Heading 1 Char"/>
    <w:basedOn w:val="DefaultParagraphFont"/>
    <w:link w:val="Heading1"/>
    <w:uiPriority w:val="9"/>
    <w:rsid w:val="004B5C45"/>
    <w:rPr>
      <w:rFonts w:ascii="Times New Roman" w:eastAsia="Times New Roman" w:hAnsi="Times New Roman" w:cs="Times New Roman"/>
      <w:b/>
      <w:caps/>
    </w:rPr>
  </w:style>
  <w:style w:type="paragraph" w:customStyle="1" w:styleId="Doi">
    <w:name w:val="Doi"/>
    <w:basedOn w:val="Normal"/>
    <w:qFormat/>
    <w:rsid w:val="00224536"/>
    <w:pPr>
      <w:spacing w:line="360" w:lineRule="auto"/>
    </w:pPr>
    <w:rPr>
      <w:rFonts w:eastAsia="Calibri"/>
      <w:color w:val="FF0000"/>
      <w:lang w:val="en-US"/>
    </w:rPr>
  </w:style>
  <w:style w:type="paragraph" w:customStyle="1" w:styleId="AT">
    <w:name w:val="AT"/>
    <w:autoRedefine/>
    <w:rsid w:val="00224536"/>
    <w:pPr>
      <w:spacing w:line="360" w:lineRule="auto"/>
    </w:pPr>
    <w:rPr>
      <w:rFonts w:ascii="Times New Roman" w:eastAsia="Calibri" w:hAnsi="Times New Roman" w:cs="Times New Roman"/>
      <w:color w:val="4BACC6"/>
    </w:rPr>
  </w:style>
  <w:style w:type="paragraph" w:customStyle="1" w:styleId="AU">
    <w:name w:val="AU"/>
    <w:autoRedefine/>
    <w:rsid w:val="00224536"/>
    <w:pPr>
      <w:spacing w:line="360" w:lineRule="auto"/>
    </w:pPr>
    <w:rPr>
      <w:rFonts w:ascii="Times New Roman" w:eastAsia="Calibri" w:hAnsi="Times New Roman" w:cs="Times New Roman"/>
      <w:color w:val="00B050"/>
    </w:rPr>
  </w:style>
  <w:style w:type="paragraph" w:customStyle="1" w:styleId="Lrh">
    <w:name w:val="Lrh"/>
    <w:basedOn w:val="Doi"/>
    <w:qFormat/>
    <w:rsid w:val="00224536"/>
    <w:rPr>
      <w:i/>
    </w:rPr>
  </w:style>
  <w:style w:type="paragraph" w:customStyle="1" w:styleId="Rrh">
    <w:name w:val="Rrh"/>
    <w:basedOn w:val="Lrh"/>
    <w:qFormat/>
    <w:rsid w:val="0022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3823">
      <w:bodyDiv w:val="1"/>
      <w:marLeft w:val="0"/>
      <w:marRight w:val="0"/>
      <w:marTop w:val="0"/>
      <w:marBottom w:val="0"/>
      <w:divBdr>
        <w:top w:val="none" w:sz="0" w:space="0" w:color="auto"/>
        <w:left w:val="none" w:sz="0" w:space="0" w:color="auto"/>
        <w:bottom w:val="none" w:sz="0" w:space="0" w:color="auto"/>
        <w:right w:val="none" w:sz="0" w:space="0" w:color="auto"/>
      </w:divBdr>
    </w:div>
    <w:div w:id="86509348">
      <w:bodyDiv w:val="1"/>
      <w:marLeft w:val="0"/>
      <w:marRight w:val="0"/>
      <w:marTop w:val="0"/>
      <w:marBottom w:val="0"/>
      <w:divBdr>
        <w:top w:val="none" w:sz="0" w:space="0" w:color="auto"/>
        <w:left w:val="none" w:sz="0" w:space="0" w:color="auto"/>
        <w:bottom w:val="none" w:sz="0" w:space="0" w:color="auto"/>
        <w:right w:val="none" w:sz="0" w:space="0" w:color="auto"/>
      </w:divBdr>
    </w:div>
    <w:div w:id="135878291">
      <w:bodyDiv w:val="1"/>
      <w:marLeft w:val="0"/>
      <w:marRight w:val="0"/>
      <w:marTop w:val="0"/>
      <w:marBottom w:val="0"/>
      <w:divBdr>
        <w:top w:val="none" w:sz="0" w:space="0" w:color="auto"/>
        <w:left w:val="none" w:sz="0" w:space="0" w:color="auto"/>
        <w:bottom w:val="none" w:sz="0" w:space="0" w:color="auto"/>
        <w:right w:val="none" w:sz="0" w:space="0" w:color="auto"/>
      </w:divBdr>
    </w:div>
    <w:div w:id="285938509">
      <w:bodyDiv w:val="1"/>
      <w:marLeft w:val="0"/>
      <w:marRight w:val="0"/>
      <w:marTop w:val="0"/>
      <w:marBottom w:val="0"/>
      <w:divBdr>
        <w:top w:val="none" w:sz="0" w:space="0" w:color="auto"/>
        <w:left w:val="none" w:sz="0" w:space="0" w:color="auto"/>
        <w:bottom w:val="none" w:sz="0" w:space="0" w:color="auto"/>
        <w:right w:val="none" w:sz="0" w:space="0" w:color="auto"/>
      </w:divBdr>
    </w:div>
    <w:div w:id="596139932">
      <w:bodyDiv w:val="1"/>
      <w:marLeft w:val="0"/>
      <w:marRight w:val="0"/>
      <w:marTop w:val="0"/>
      <w:marBottom w:val="0"/>
      <w:divBdr>
        <w:top w:val="none" w:sz="0" w:space="0" w:color="auto"/>
        <w:left w:val="none" w:sz="0" w:space="0" w:color="auto"/>
        <w:bottom w:val="none" w:sz="0" w:space="0" w:color="auto"/>
        <w:right w:val="none" w:sz="0" w:space="0" w:color="auto"/>
      </w:divBdr>
    </w:div>
    <w:div w:id="639842466">
      <w:bodyDiv w:val="1"/>
      <w:marLeft w:val="0"/>
      <w:marRight w:val="0"/>
      <w:marTop w:val="0"/>
      <w:marBottom w:val="0"/>
      <w:divBdr>
        <w:top w:val="none" w:sz="0" w:space="0" w:color="auto"/>
        <w:left w:val="none" w:sz="0" w:space="0" w:color="auto"/>
        <w:bottom w:val="none" w:sz="0" w:space="0" w:color="auto"/>
        <w:right w:val="none" w:sz="0" w:space="0" w:color="auto"/>
      </w:divBdr>
      <w:divsChild>
        <w:div w:id="1947302935">
          <w:marLeft w:val="0"/>
          <w:marRight w:val="0"/>
          <w:marTop w:val="0"/>
          <w:marBottom w:val="0"/>
          <w:divBdr>
            <w:top w:val="none" w:sz="0" w:space="0" w:color="auto"/>
            <w:left w:val="none" w:sz="0" w:space="0" w:color="auto"/>
            <w:bottom w:val="none" w:sz="0" w:space="0" w:color="auto"/>
            <w:right w:val="none" w:sz="0" w:space="0" w:color="auto"/>
          </w:divBdr>
          <w:divsChild>
            <w:div w:id="1365715817">
              <w:marLeft w:val="0"/>
              <w:marRight w:val="0"/>
              <w:marTop w:val="0"/>
              <w:marBottom w:val="0"/>
              <w:divBdr>
                <w:top w:val="none" w:sz="0" w:space="0" w:color="auto"/>
                <w:left w:val="none" w:sz="0" w:space="0" w:color="auto"/>
                <w:bottom w:val="none" w:sz="0" w:space="0" w:color="auto"/>
                <w:right w:val="none" w:sz="0" w:space="0" w:color="auto"/>
              </w:divBdr>
              <w:divsChild>
                <w:div w:id="1965771103">
                  <w:marLeft w:val="0"/>
                  <w:marRight w:val="0"/>
                  <w:marTop w:val="0"/>
                  <w:marBottom w:val="0"/>
                  <w:divBdr>
                    <w:top w:val="none" w:sz="0" w:space="0" w:color="auto"/>
                    <w:left w:val="none" w:sz="0" w:space="0" w:color="auto"/>
                    <w:bottom w:val="none" w:sz="0" w:space="0" w:color="auto"/>
                    <w:right w:val="none" w:sz="0" w:space="0" w:color="auto"/>
                  </w:divBdr>
                  <w:divsChild>
                    <w:div w:id="2080250403">
                      <w:marLeft w:val="0"/>
                      <w:marRight w:val="0"/>
                      <w:marTop w:val="0"/>
                      <w:marBottom w:val="0"/>
                      <w:divBdr>
                        <w:top w:val="none" w:sz="0" w:space="0" w:color="auto"/>
                        <w:left w:val="none" w:sz="0" w:space="0" w:color="auto"/>
                        <w:bottom w:val="none" w:sz="0" w:space="0" w:color="auto"/>
                        <w:right w:val="none" w:sz="0" w:space="0" w:color="auto"/>
                      </w:divBdr>
                    </w:div>
                    <w:div w:id="13082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56168">
      <w:bodyDiv w:val="1"/>
      <w:marLeft w:val="0"/>
      <w:marRight w:val="0"/>
      <w:marTop w:val="0"/>
      <w:marBottom w:val="0"/>
      <w:divBdr>
        <w:top w:val="none" w:sz="0" w:space="0" w:color="auto"/>
        <w:left w:val="none" w:sz="0" w:space="0" w:color="auto"/>
        <w:bottom w:val="none" w:sz="0" w:space="0" w:color="auto"/>
        <w:right w:val="none" w:sz="0" w:space="0" w:color="auto"/>
      </w:divBdr>
      <w:divsChild>
        <w:div w:id="1151170998">
          <w:marLeft w:val="0"/>
          <w:marRight w:val="0"/>
          <w:marTop w:val="0"/>
          <w:marBottom w:val="75"/>
          <w:divBdr>
            <w:top w:val="none" w:sz="0" w:space="0" w:color="auto"/>
            <w:left w:val="none" w:sz="0" w:space="0" w:color="auto"/>
            <w:bottom w:val="none" w:sz="0" w:space="0" w:color="auto"/>
            <w:right w:val="none" w:sz="0" w:space="0" w:color="auto"/>
          </w:divBdr>
        </w:div>
        <w:div w:id="1903444704">
          <w:marLeft w:val="0"/>
          <w:marRight w:val="0"/>
          <w:marTop w:val="0"/>
          <w:marBottom w:val="75"/>
          <w:divBdr>
            <w:top w:val="none" w:sz="0" w:space="0" w:color="auto"/>
            <w:left w:val="none" w:sz="0" w:space="0" w:color="auto"/>
            <w:bottom w:val="none" w:sz="0" w:space="0" w:color="auto"/>
            <w:right w:val="none" w:sz="0" w:space="0" w:color="auto"/>
          </w:divBdr>
        </w:div>
        <w:div w:id="716047254">
          <w:marLeft w:val="0"/>
          <w:marRight w:val="0"/>
          <w:marTop w:val="0"/>
          <w:marBottom w:val="75"/>
          <w:divBdr>
            <w:top w:val="none" w:sz="0" w:space="0" w:color="auto"/>
            <w:left w:val="none" w:sz="0" w:space="0" w:color="auto"/>
            <w:bottom w:val="none" w:sz="0" w:space="0" w:color="auto"/>
            <w:right w:val="none" w:sz="0" w:space="0" w:color="auto"/>
          </w:divBdr>
        </w:div>
        <w:div w:id="512112408">
          <w:marLeft w:val="0"/>
          <w:marRight w:val="0"/>
          <w:marTop w:val="0"/>
          <w:marBottom w:val="75"/>
          <w:divBdr>
            <w:top w:val="none" w:sz="0" w:space="0" w:color="auto"/>
            <w:left w:val="none" w:sz="0" w:space="0" w:color="auto"/>
            <w:bottom w:val="none" w:sz="0" w:space="0" w:color="auto"/>
            <w:right w:val="none" w:sz="0" w:space="0" w:color="auto"/>
          </w:divBdr>
        </w:div>
      </w:divsChild>
    </w:div>
    <w:div w:id="874083103">
      <w:bodyDiv w:val="1"/>
      <w:marLeft w:val="0"/>
      <w:marRight w:val="0"/>
      <w:marTop w:val="0"/>
      <w:marBottom w:val="0"/>
      <w:divBdr>
        <w:top w:val="none" w:sz="0" w:space="0" w:color="auto"/>
        <w:left w:val="none" w:sz="0" w:space="0" w:color="auto"/>
        <w:bottom w:val="none" w:sz="0" w:space="0" w:color="auto"/>
        <w:right w:val="none" w:sz="0" w:space="0" w:color="auto"/>
      </w:divBdr>
    </w:div>
    <w:div w:id="1004212137">
      <w:bodyDiv w:val="1"/>
      <w:marLeft w:val="0"/>
      <w:marRight w:val="0"/>
      <w:marTop w:val="0"/>
      <w:marBottom w:val="0"/>
      <w:divBdr>
        <w:top w:val="none" w:sz="0" w:space="0" w:color="auto"/>
        <w:left w:val="none" w:sz="0" w:space="0" w:color="auto"/>
        <w:bottom w:val="none" w:sz="0" w:space="0" w:color="auto"/>
        <w:right w:val="none" w:sz="0" w:space="0" w:color="auto"/>
      </w:divBdr>
      <w:divsChild>
        <w:div w:id="677512474">
          <w:marLeft w:val="0"/>
          <w:marRight w:val="0"/>
          <w:marTop w:val="0"/>
          <w:marBottom w:val="0"/>
          <w:divBdr>
            <w:top w:val="none" w:sz="0" w:space="0" w:color="auto"/>
            <w:left w:val="none" w:sz="0" w:space="0" w:color="auto"/>
            <w:bottom w:val="none" w:sz="0" w:space="0" w:color="auto"/>
            <w:right w:val="none" w:sz="0" w:space="0" w:color="auto"/>
          </w:divBdr>
          <w:divsChild>
            <w:div w:id="479427634">
              <w:marLeft w:val="0"/>
              <w:marRight w:val="0"/>
              <w:marTop w:val="0"/>
              <w:marBottom w:val="0"/>
              <w:divBdr>
                <w:top w:val="none" w:sz="0" w:space="0" w:color="auto"/>
                <w:left w:val="none" w:sz="0" w:space="0" w:color="auto"/>
                <w:bottom w:val="none" w:sz="0" w:space="0" w:color="auto"/>
                <w:right w:val="none" w:sz="0" w:space="0" w:color="auto"/>
              </w:divBdr>
              <w:divsChild>
                <w:div w:id="7685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99389">
      <w:bodyDiv w:val="1"/>
      <w:marLeft w:val="0"/>
      <w:marRight w:val="0"/>
      <w:marTop w:val="0"/>
      <w:marBottom w:val="0"/>
      <w:divBdr>
        <w:top w:val="none" w:sz="0" w:space="0" w:color="auto"/>
        <w:left w:val="none" w:sz="0" w:space="0" w:color="auto"/>
        <w:bottom w:val="none" w:sz="0" w:space="0" w:color="auto"/>
        <w:right w:val="none" w:sz="0" w:space="0" w:color="auto"/>
      </w:divBdr>
    </w:div>
    <w:div w:id="1223251736">
      <w:bodyDiv w:val="1"/>
      <w:marLeft w:val="0"/>
      <w:marRight w:val="0"/>
      <w:marTop w:val="0"/>
      <w:marBottom w:val="0"/>
      <w:divBdr>
        <w:top w:val="none" w:sz="0" w:space="0" w:color="auto"/>
        <w:left w:val="none" w:sz="0" w:space="0" w:color="auto"/>
        <w:bottom w:val="none" w:sz="0" w:space="0" w:color="auto"/>
        <w:right w:val="none" w:sz="0" w:space="0" w:color="auto"/>
      </w:divBdr>
    </w:div>
    <w:div w:id="1432704651">
      <w:bodyDiv w:val="1"/>
      <w:marLeft w:val="0"/>
      <w:marRight w:val="0"/>
      <w:marTop w:val="0"/>
      <w:marBottom w:val="0"/>
      <w:divBdr>
        <w:top w:val="none" w:sz="0" w:space="0" w:color="auto"/>
        <w:left w:val="none" w:sz="0" w:space="0" w:color="auto"/>
        <w:bottom w:val="none" w:sz="0" w:space="0" w:color="auto"/>
        <w:right w:val="none" w:sz="0" w:space="0" w:color="auto"/>
      </w:divBdr>
    </w:div>
    <w:div w:id="1442066132">
      <w:bodyDiv w:val="1"/>
      <w:marLeft w:val="0"/>
      <w:marRight w:val="0"/>
      <w:marTop w:val="0"/>
      <w:marBottom w:val="0"/>
      <w:divBdr>
        <w:top w:val="none" w:sz="0" w:space="0" w:color="auto"/>
        <w:left w:val="none" w:sz="0" w:space="0" w:color="auto"/>
        <w:bottom w:val="none" w:sz="0" w:space="0" w:color="auto"/>
        <w:right w:val="none" w:sz="0" w:space="0" w:color="auto"/>
      </w:divBdr>
    </w:div>
    <w:div w:id="1514419443">
      <w:bodyDiv w:val="1"/>
      <w:marLeft w:val="0"/>
      <w:marRight w:val="0"/>
      <w:marTop w:val="0"/>
      <w:marBottom w:val="0"/>
      <w:divBdr>
        <w:top w:val="none" w:sz="0" w:space="0" w:color="auto"/>
        <w:left w:val="none" w:sz="0" w:space="0" w:color="auto"/>
        <w:bottom w:val="none" w:sz="0" w:space="0" w:color="auto"/>
        <w:right w:val="none" w:sz="0" w:space="0" w:color="auto"/>
      </w:divBdr>
    </w:div>
    <w:div w:id="1558473360">
      <w:bodyDiv w:val="1"/>
      <w:marLeft w:val="0"/>
      <w:marRight w:val="0"/>
      <w:marTop w:val="0"/>
      <w:marBottom w:val="0"/>
      <w:divBdr>
        <w:top w:val="none" w:sz="0" w:space="0" w:color="auto"/>
        <w:left w:val="none" w:sz="0" w:space="0" w:color="auto"/>
        <w:bottom w:val="none" w:sz="0" w:space="0" w:color="auto"/>
        <w:right w:val="none" w:sz="0" w:space="0" w:color="auto"/>
      </w:divBdr>
      <w:divsChild>
        <w:div w:id="250699835">
          <w:marLeft w:val="0"/>
          <w:marRight w:val="0"/>
          <w:marTop w:val="0"/>
          <w:marBottom w:val="0"/>
          <w:divBdr>
            <w:top w:val="none" w:sz="0" w:space="0" w:color="auto"/>
            <w:left w:val="none" w:sz="0" w:space="0" w:color="auto"/>
            <w:bottom w:val="none" w:sz="0" w:space="0" w:color="auto"/>
            <w:right w:val="none" w:sz="0" w:space="0" w:color="auto"/>
          </w:divBdr>
          <w:divsChild>
            <w:div w:id="491601841">
              <w:marLeft w:val="0"/>
              <w:marRight w:val="0"/>
              <w:marTop w:val="0"/>
              <w:marBottom w:val="0"/>
              <w:divBdr>
                <w:top w:val="none" w:sz="0" w:space="0" w:color="auto"/>
                <w:left w:val="none" w:sz="0" w:space="0" w:color="auto"/>
                <w:bottom w:val="none" w:sz="0" w:space="0" w:color="auto"/>
                <w:right w:val="none" w:sz="0" w:space="0" w:color="auto"/>
              </w:divBdr>
              <w:divsChild>
                <w:div w:id="20104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96379">
      <w:bodyDiv w:val="1"/>
      <w:marLeft w:val="0"/>
      <w:marRight w:val="0"/>
      <w:marTop w:val="0"/>
      <w:marBottom w:val="0"/>
      <w:divBdr>
        <w:top w:val="none" w:sz="0" w:space="0" w:color="auto"/>
        <w:left w:val="none" w:sz="0" w:space="0" w:color="auto"/>
        <w:bottom w:val="none" w:sz="0" w:space="0" w:color="auto"/>
        <w:right w:val="none" w:sz="0" w:space="0" w:color="auto"/>
      </w:divBdr>
    </w:div>
    <w:div w:id="2110081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D83C5-7E92-448A-98D4-97E191E2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7899</Words>
  <Characters>45029</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Wies</dc:creator>
  <cp:lastModifiedBy>Michelle Kritselis</cp:lastModifiedBy>
  <cp:revision>2</cp:revision>
  <cp:lastPrinted>2019-03-11T01:45:00Z</cp:lastPrinted>
  <dcterms:created xsi:type="dcterms:W3CDTF">2019-04-12T16:07:00Z</dcterms:created>
  <dcterms:modified xsi:type="dcterms:W3CDTF">2019-04-12T16:07:00Z</dcterms:modified>
</cp:coreProperties>
</file>