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F7" w:rsidRPr="00172CF7" w:rsidRDefault="00172CF7" w:rsidP="00172CF7">
      <w:pPr>
        <w:keepNext/>
        <w:keepLines/>
        <w:pageBreakBefore/>
        <w:spacing w:before="360" w:after="0" w:line="480" w:lineRule="auto"/>
        <w:ind w:firstLine="720"/>
        <w:jc w:val="both"/>
        <w:outlineLvl w:val="0"/>
        <w:rPr>
          <w:rFonts w:eastAsia="MS Gothic" w:cs="Calibri"/>
          <w:noProof/>
          <w:color w:val="000000"/>
          <w:sz w:val="18"/>
          <w:szCs w:val="20"/>
          <w:lang w:val="en-US"/>
        </w:rPr>
      </w:pPr>
      <w:bookmarkStart w:id="0" w:name="_Hlk532728986"/>
      <w:bookmarkStart w:id="1" w:name="_GoBack"/>
      <w:bookmarkEnd w:id="1"/>
      <w:r w:rsidRPr="00172CF7">
        <w:rPr>
          <w:rFonts w:eastAsia="MS Gothic" w:cs="Calibri"/>
          <w:noProof/>
          <w:color w:val="000000"/>
          <w:sz w:val="18"/>
          <w:szCs w:val="20"/>
          <w:lang w:val="en-US"/>
        </w:rPr>
        <w:t>Supplementary material</w:t>
      </w:r>
    </w:p>
    <w:tbl>
      <w:tblPr>
        <w:tblStyle w:val="Grigliatab21"/>
        <w:tblpPr w:leftFromText="141" w:rightFromText="141" w:vertAnchor="text" w:horzAnchor="margin" w:tblpXSpec="center" w:tblpY="449"/>
        <w:tblW w:w="0" w:type="auto"/>
        <w:tblLook w:val="04A0" w:firstRow="1" w:lastRow="0" w:firstColumn="1" w:lastColumn="0" w:noHBand="0" w:noVBand="1"/>
      </w:tblPr>
      <w:tblGrid>
        <w:gridCol w:w="1124"/>
        <w:gridCol w:w="862"/>
        <w:gridCol w:w="922"/>
        <w:gridCol w:w="862"/>
        <w:gridCol w:w="922"/>
        <w:gridCol w:w="862"/>
        <w:gridCol w:w="922"/>
        <w:gridCol w:w="862"/>
        <w:gridCol w:w="922"/>
        <w:gridCol w:w="862"/>
        <w:gridCol w:w="922"/>
      </w:tblGrid>
      <w:tr w:rsidR="00C62611" w:rsidRPr="00172CF7" w:rsidTr="00C6261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tcBorders>
          </w:tcPr>
          <w:p w:rsidR="00172CF7" w:rsidRPr="00172CF7" w:rsidRDefault="00172CF7" w:rsidP="00C62611">
            <w:pPr>
              <w:spacing w:after="200"/>
              <w:ind w:firstLine="720"/>
              <w:rPr>
                <w:rFonts w:asciiTheme="minorHAnsi" w:hAnsiTheme="minorHAnsi" w:cs="Calibri"/>
                <w:i/>
                <w:iCs/>
                <w:color w:val="000000"/>
                <w:sz w:val="18"/>
                <w:lang w:val="en-US" w:eastAsia="it-IT"/>
              </w:rPr>
            </w:pPr>
          </w:p>
          <w:p w:rsidR="00172CF7" w:rsidRPr="00172CF7" w:rsidRDefault="00172CF7" w:rsidP="00C62611">
            <w:pPr>
              <w:spacing w:after="200"/>
              <w:rPr>
                <w:rFonts w:asciiTheme="minorHAnsi" w:hAnsiTheme="minorHAnsi" w:cs="Calibri"/>
                <w:i/>
                <w:iCs/>
                <w:color w:val="000000"/>
                <w:sz w:val="18"/>
                <w:u w:val="single"/>
                <w:lang w:val="en-US" w:eastAsia="it-IT"/>
              </w:rPr>
            </w:pPr>
            <w:r w:rsidRPr="00172CF7">
              <w:rPr>
                <w:rFonts w:asciiTheme="minorHAnsi" w:hAnsiTheme="minorHAnsi" w:cs="Calibri"/>
                <w:i/>
                <w:iCs/>
                <w:color w:val="000000"/>
                <w:sz w:val="18"/>
                <w:u w:val="single"/>
                <w:lang w:val="en-US" w:eastAsia="it-IT"/>
              </w:rPr>
              <w:t>M-phantom</w:t>
            </w:r>
          </w:p>
          <w:p w:rsidR="00172CF7" w:rsidRPr="00172CF7" w:rsidRDefault="00172CF7" w:rsidP="00C62611">
            <w:pPr>
              <w:spacing w:after="200"/>
              <w:ind w:firstLine="720"/>
              <w:rPr>
                <w:rFonts w:asciiTheme="minorHAnsi" w:hAnsiTheme="minorHAnsi" w:cs="Calibri"/>
                <w:i/>
                <w:iCs/>
                <w:color w:val="000000"/>
                <w:sz w:val="18"/>
                <w:lang w:val="en-US" w:eastAsia="it-IT"/>
              </w:rPr>
            </w:pPr>
          </w:p>
        </w:tc>
        <w:tc>
          <w:tcPr>
            <w:tcW w:w="0" w:type="auto"/>
            <w:gridSpan w:val="2"/>
            <w:tcBorders>
              <w:top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all nodules (N=30)</w:t>
            </w:r>
          </w:p>
        </w:tc>
        <w:tc>
          <w:tcPr>
            <w:tcW w:w="0" w:type="auto"/>
            <w:gridSpan w:val="2"/>
            <w:tcBorders>
              <w:top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solid nodules (N=19)</w:t>
            </w:r>
          </w:p>
        </w:tc>
        <w:tc>
          <w:tcPr>
            <w:tcW w:w="0" w:type="auto"/>
            <w:gridSpan w:val="2"/>
            <w:tcBorders>
              <w:top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PSN (N=3)</w:t>
            </w:r>
          </w:p>
        </w:tc>
        <w:tc>
          <w:tcPr>
            <w:tcW w:w="0" w:type="auto"/>
            <w:gridSpan w:val="2"/>
            <w:tcBorders>
              <w:top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NSN (N=8)</w:t>
            </w:r>
          </w:p>
        </w:tc>
        <w:tc>
          <w:tcPr>
            <w:tcW w:w="0" w:type="auto"/>
            <w:gridSpan w:val="2"/>
            <w:tcBorders>
              <w:top w:val="single" w:sz="4" w:space="0" w:color="auto"/>
              <w:right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PSN+NSN (N=11)</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CT protocol</w:t>
            </w:r>
          </w:p>
        </w:tc>
        <w:tc>
          <w:tcPr>
            <w:tcW w:w="0" w:type="auto"/>
            <w:vAlign w:val="center"/>
            <w:hideMark/>
          </w:tcPr>
          <w:p w:rsidR="00172CF7" w:rsidRPr="00172CF7" w:rsidRDefault="00172CF7" w:rsidP="00C62611">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0" w:type="auto"/>
            <w:vAlign w:val="center"/>
            <w:hideMark/>
          </w:tcPr>
          <w:p w:rsidR="00172CF7" w:rsidRPr="00172CF7" w:rsidRDefault="00172CF7" w:rsidP="00C62611">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c>
          <w:tcPr>
            <w:tcW w:w="0" w:type="auto"/>
            <w:vAlign w:val="center"/>
          </w:tcPr>
          <w:p w:rsidR="00172CF7" w:rsidRPr="00172CF7" w:rsidRDefault="00172CF7" w:rsidP="00C62611">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0" w:type="auto"/>
            <w:vAlign w:val="center"/>
          </w:tcPr>
          <w:p w:rsidR="00172CF7" w:rsidRPr="00172CF7" w:rsidRDefault="00172CF7" w:rsidP="00C62611">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c>
          <w:tcPr>
            <w:tcW w:w="0" w:type="auto"/>
            <w:vAlign w:val="center"/>
          </w:tcPr>
          <w:p w:rsidR="00172CF7" w:rsidRPr="00172CF7" w:rsidRDefault="00172CF7" w:rsidP="00C62611">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0" w:type="auto"/>
            <w:vAlign w:val="center"/>
          </w:tcPr>
          <w:p w:rsidR="00172CF7" w:rsidRPr="00172CF7" w:rsidRDefault="00172CF7" w:rsidP="00C62611">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c>
          <w:tcPr>
            <w:tcW w:w="0" w:type="auto"/>
            <w:vAlign w:val="center"/>
          </w:tcPr>
          <w:p w:rsidR="00172CF7" w:rsidRPr="00172CF7" w:rsidRDefault="00172CF7" w:rsidP="00C62611">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0" w:type="auto"/>
            <w:vAlign w:val="center"/>
          </w:tcPr>
          <w:p w:rsidR="00172CF7" w:rsidRPr="00172CF7" w:rsidRDefault="00172CF7" w:rsidP="00C62611">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c>
          <w:tcPr>
            <w:tcW w:w="0" w:type="auto"/>
            <w:vAlign w:val="center"/>
          </w:tcPr>
          <w:p w:rsidR="00172CF7" w:rsidRPr="00172CF7" w:rsidRDefault="00172CF7" w:rsidP="00C62611">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0" w:type="auto"/>
            <w:tcBorders>
              <w:right w:val="single" w:sz="4" w:space="0" w:color="auto"/>
            </w:tcBorders>
            <w:vAlign w:val="center"/>
          </w:tcPr>
          <w:p w:rsidR="00172CF7" w:rsidRPr="00172CF7" w:rsidRDefault="00172CF7" w:rsidP="00C62611">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r>
      <w:tr w:rsidR="00172CF7" w:rsidRPr="00172CF7" w:rsidTr="00C62611">
        <w:trPr>
          <w:trHeight w:val="57"/>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Standard CT</w:t>
            </w:r>
          </w:p>
        </w:tc>
        <w:tc>
          <w:tcPr>
            <w:tcW w:w="0" w:type="auto"/>
            <w:vAlign w:val="center"/>
            <w:hideMark/>
          </w:tcPr>
          <w:p w:rsidR="00172CF7" w:rsidRPr="00172CF7" w:rsidRDefault="00C62611"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Pr>
                <w:rFonts w:asciiTheme="minorHAnsi" w:hAnsiTheme="minorHAnsi" w:cs="Calibri"/>
                <w:i/>
                <w:iCs/>
                <w:color w:val="000000"/>
                <w:sz w:val="18"/>
                <w:lang w:val="en-US" w:eastAsia="it-IT"/>
              </w:rPr>
              <w:t>r</w:t>
            </w:r>
            <w:r w:rsidR="00172CF7" w:rsidRPr="00172CF7">
              <w:rPr>
                <w:rFonts w:asciiTheme="minorHAnsi" w:hAnsiTheme="minorHAnsi" w:cs="Calibri"/>
                <w:i/>
                <w:iCs/>
                <w:color w:val="000000"/>
                <w:sz w:val="18"/>
                <w:lang w:val="en-US" w:eastAsia="it-IT"/>
              </w:rPr>
              <w:t>ef</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LDCT</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r>
      <w:tr w:rsidR="00172CF7" w:rsidRPr="00172CF7" w:rsidTr="00C62611">
        <w:trPr>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1.2</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96.7</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96.6</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87.5</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85.7</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1.3</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96.7</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93.1</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c>
          <w:tcPr>
            <w:tcW w:w="0" w:type="auto"/>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80</w:t>
            </w:r>
          </w:p>
        </w:tc>
      </w:tr>
      <w:tr w:rsidR="00172CF7" w:rsidRPr="00172CF7" w:rsidTr="00C62611">
        <w:trPr>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1.4</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1.5</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r>
      <w:tr w:rsidR="00172CF7" w:rsidRPr="00172CF7" w:rsidTr="00C62611">
        <w:trPr>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2.2</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86.7</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88.5</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94.7</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63,6</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71,4</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2.3</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88.9</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94.7</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62.5</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72,7</w:t>
            </w:r>
          </w:p>
        </w:tc>
        <w:tc>
          <w:tcPr>
            <w:tcW w:w="0" w:type="auto"/>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r>
      <w:tr w:rsidR="00172CF7" w:rsidRPr="00172CF7" w:rsidTr="00C62611">
        <w:trPr>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2.4</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62.5</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72,7</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2.5</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96.7</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87.5</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r>
      <w:tr w:rsidR="00172CF7" w:rsidRPr="00172CF7" w:rsidTr="00C62611">
        <w:trPr>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3.2</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86.7</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80.8</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84.2</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63,6</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71,4</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3.3</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86.7</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76.9</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84.2</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63,6</w:t>
            </w:r>
          </w:p>
        </w:tc>
        <w:tc>
          <w:tcPr>
            <w:tcW w:w="0" w:type="auto"/>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57,1</w:t>
            </w:r>
          </w:p>
        </w:tc>
      </w:tr>
      <w:tr w:rsidR="00172CF7" w:rsidRPr="00172CF7" w:rsidTr="00C62611">
        <w:trPr>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3.4</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96.7</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75.9</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84.2</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87.5</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42.9</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60</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3.5</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96.7</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89.7</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84.2</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87.5</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c>
          <w:tcPr>
            <w:tcW w:w="0" w:type="auto"/>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r>
      <w:tr w:rsidR="00172CF7" w:rsidRPr="00172CF7" w:rsidTr="00C62611">
        <w:trPr>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4.2</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80</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70.8</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94.7</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88.9</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33.3</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37.5</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54,5</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16,7</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lastRenderedPageBreak/>
              <w:t>ULDCT 4.3</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76.7</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73.9</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89.5</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88.2</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33.3</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37.5</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33.3</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54,5</w:t>
            </w:r>
          </w:p>
        </w:tc>
        <w:tc>
          <w:tcPr>
            <w:tcW w:w="0" w:type="auto"/>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33,3</w:t>
            </w:r>
          </w:p>
        </w:tc>
      </w:tr>
      <w:tr w:rsidR="00172CF7" w:rsidRPr="00172CF7" w:rsidTr="00C62611">
        <w:trPr>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4.4</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70.4</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94.7</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33.3</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81,8</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44,4</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4.5</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74.1</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89.5</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88.2</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87.5</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42.9</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c>
          <w:tcPr>
            <w:tcW w:w="0" w:type="auto"/>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r>
      <w:tr w:rsidR="00172CF7" w:rsidRPr="00172CF7" w:rsidTr="00C62611">
        <w:trPr>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5.2</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76</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94.7</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88.9</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25</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63,6</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42,9</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5.3</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0" w:type="auto"/>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84</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94.7</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88.9</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63,6</w:t>
            </w:r>
          </w:p>
        </w:tc>
        <w:tc>
          <w:tcPr>
            <w:tcW w:w="0" w:type="auto"/>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71,4</w:t>
            </w:r>
          </w:p>
        </w:tc>
      </w:tr>
      <w:tr w:rsidR="00172CF7" w:rsidRPr="00172CF7" w:rsidTr="00C62611">
        <w:trPr>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5.4</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w:t>
            </w:r>
          </w:p>
        </w:tc>
        <w:tc>
          <w:tcPr>
            <w:tcW w:w="0" w:type="auto"/>
            <w:vAlign w:val="center"/>
            <w:hideMark/>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81.5</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94.7</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88.9</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0" w:type="auto"/>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81,8</w:t>
            </w:r>
          </w:p>
        </w:tc>
        <w:tc>
          <w:tcPr>
            <w:tcW w:w="0" w:type="auto"/>
            <w:tcBorders>
              <w:right w:val="single" w:sz="4" w:space="0" w:color="auto"/>
            </w:tcBorders>
            <w:vAlign w:val="center"/>
          </w:tcPr>
          <w:p w:rsidR="00172CF7" w:rsidRPr="00172CF7" w:rsidRDefault="00172CF7" w:rsidP="00C6261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r>
      <w:tr w:rsidR="00C62611" w:rsidRPr="00172CF7" w:rsidTr="00C626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5.5</w:t>
            </w:r>
          </w:p>
        </w:tc>
        <w:tc>
          <w:tcPr>
            <w:tcW w:w="0" w:type="auto"/>
            <w:tcBorders>
              <w:bottom w:val="single" w:sz="4" w:space="0" w:color="auto"/>
            </w:tcBorders>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0" w:type="auto"/>
            <w:tcBorders>
              <w:bottom w:val="single" w:sz="4" w:space="0" w:color="auto"/>
            </w:tcBorders>
            <w:vAlign w:val="center"/>
            <w:hideMark/>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92</w:t>
            </w:r>
          </w:p>
        </w:tc>
        <w:tc>
          <w:tcPr>
            <w:tcW w:w="0" w:type="auto"/>
            <w:tcBorders>
              <w:bottom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84.2</w:t>
            </w:r>
          </w:p>
        </w:tc>
        <w:tc>
          <w:tcPr>
            <w:tcW w:w="0" w:type="auto"/>
            <w:tcBorders>
              <w:bottom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93.8</w:t>
            </w:r>
          </w:p>
        </w:tc>
        <w:tc>
          <w:tcPr>
            <w:tcW w:w="0" w:type="auto"/>
            <w:tcBorders>
              <w:bottom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tcBorders>
              <w:bottom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0" w:type="auto"/>
            <w:tcBorders>
              <w:bottom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c>
          <w:tcPr>
            <w:tcW w:w="0" w:type="auto"/>
            <w:tcBorders>
              <w:bottom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0" w:type="auto"/>
            <w:tcBorders>
              <w:bottom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81,8</w:t>
            </w:r>
          </w:p>
        </w:tc>
        <w:tc>
          <w:tcPr>
            <w:tcW w:w="0" w:type="auto"/>
            <w:tcBorders>
              <w:bottom w:val="single" w:sz="4" w:space="0" w:color="auto"/>
              <w:right w:val="single" w:sz="4" w:space="0" w:color="auto"/>
            </w:tcBorders>
            <w:vAlign w:val="center"/>
          </w:tcPr>
          <w:p w:rsidR="00172CF7" w:rsidRPr="00172CF7" w:rsidRDefault="00172CF7" w:rsidP="00C62611">
            <w:pPr>
              <w:keepNext/>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88,9</w:t>
            </w:r>
          </w:p>
        </w:tc>
      </w:tr>
    </w:tbl>
    <w:p w:rsidR="00C62611" w:rsidRDefault="00C62611" w:rsidP="00172CF7">
      <w:pPr>
        <w:spacing w:after="200" w:line="240" w:lineRule="auto"/>
        <w:jc w:val="both"/>
        <w:rPr>
          <w:rFonts w:eastAsia="MS Mincho" w:cs="Calibri"/>
          <w:i/>
          <w:iCs/>
          <w:sz w:val="18"/>
          <w:szCs w:val="20"/>
          <w:lang w:val="en-US" w:eastAsia="it-IT"/>
        </w:rPr>
      </w:pPr>
    </w:p>
    <w:p w:rsidR="00C62611" w:rsidRDefault="00C62611" w:rsidP="00172CF7">
      <w:pPr>
        <w:spacing w:after="200" w:line="240" w:lineRule="auto"/>
        <w:jc w:val="both"/>
        <w:rPr>
          <w:rFonts w:eastAsia="MS Mincho" w:cs="Calibri"/>
          <w:i/>
          <w:iCs/>
          <w:sz w:val="18"/>
          <w:szCs w:val="20"/>
          <w:lang w:val="en-US" w:eastAsia="it-IT"/>
        </w:rPr>
      </w:pPr>
    </w:p>
    <w:p w:rsidR="00C62611" w:rsidRDefault="00C62611" w:rsidP="00172CF7">
      <w:pPr>
        <w:spacing w:after="200" w:line="240" w:lineRule="auto"/>
        <w:jc w:val="both"/>
        <w:rPr>
          <w:rFonts w:eastAsia="MS Mincho" w:cs="Calibri"/>
          <w:i/>
          <w:iCs/>
          <w:sz w:val="18"/>
          <w:szCs w:val="20"/>
          <w:lang w:val="en-US" w:eastAsia="it-IT"/>
        </w:rPr>
      </w:pPr>
    </w:p>
    <w:p w:rsidR="00C62611" w:rsidRDefault="00C62611" w:rsidP="00172CF7">
      <w:pPr>
        <w:spacing w:after="200" w:line="240" w:lineRule="auto"/>
        <w:jc w:val="both"/>
        <w:rPr>
          <w:rFonts w:eastAsia="MS Mincho" w:cs="Calibri"/>
          <w:i/>
          <w:iCs/>
          <w:sz w:val="18"/>
          <w:szCs w:val="20"/>
          <w:lang w:val="en-US" w:eastAsia="it-IT"/>
        </w:rPr>
      </w:pPr>
    </w:p>
    <w:p w:rsidR="00C62611" w:rsidRDefault="00C62611" w:rsidP="00172CF7">
      <w:pPr>
        <w:spacing w:after="200" w:line="240" w:lineRule="auto"/>
        <w:jc w:val="both"/>
        <w:rPr>
          <w:rFonts w:eastAsia="MS Mincho" w:cs="Calibri"/>
          <w:i/>
          <w:iCs/>
          <w:sz w:val="18"/>
          <w:szCs w:val="20"/>
          <w:lang w:val="en-US" w:eastAsia="it-IT"/>
        </w:rPr>
      </w:pPr>
    </w:p>
    <w:p w:rsidR="00C62611" w:rsidRDefault="00C62611" w:rsidP="00172CF7">
      <w:pPr>
        <w:spacing w:after="200" w:line="240" w:lineRule="auto"/>
        <w:jc w:val="both"/>
        <w:rPr>
          <w:rFonts w:eastAsia="MS Mincho" w:cs="Calibri"/>
          <w:i/>
          <w:iCs/>
          <w:sz w:val="18"/>
          <w:szCs w:val="20"/>
          <w:lang w:val="en-US" w:eastAsia="it-IT"/>
        </w:rPr>
      </w:pPr>
    </w:p>
    <w:p w:rsidR="00C62611" w:rsidRDefault="00C62611" w:rsidP="00172CF7">
      <w:pPr>
        <w:spacing w:after="200" w:line="240" w:lineRule="auto"/>
        <w:jc w:val="both"/>
        <w:rPr>
          <w:rFonts w:eastAsia="MS Mincho" w:cs="Calibri"/>
          <w:i/>
          <w:iCs/>
          <w:sz w:val="18"/>
          <w:szCs w:val="20"/>
          <w:lang w:val="en-US" w:eastAsia="it-IT"/>
        </w:rPr>
      </w:pPr>
    </w:p>
    <w:p w:rsidR="00C62611" w:rsidRDefault="00C62611" w:rsidP="00172CF7">
      <w:pPr>
        <w:spacing w:after="200" w:line="240" w:lineRule="auto"/>
        <w:jc w:val="both"/>
        <w:rPr>
          <w:rFonts w:eastAsia="MS Mincho" w:cs="Calibri"/>
          <w:i/>
          <w:iCs/>
          <w:sz w:val="18"/>
          <w:szCs w:val="20"/>
          <w:lang w:val="en-US" w:eastAsia="it-IT"/>
        </w:rPr>
      </w:pPr>
    </w:p>
    <w:p w:rsidR="00C62611" w:rsidRDefault="00C62611" w:rsidP="00172CF7">
      <w:pPr>
        <w:spacing w:after="200" w:line="240" w:lineRule="auto"/>
        <w:jc w:val="both"/>
        <w:rPr>
          <w:rFonts w:eastAsia="MS Mincho" w:cs="Calibri"/>
          <w:i/>
          <w:iCs/>
          <w:sz w:val="18"/>
          <w:szCs w:val="20"/>
          <w:lang w:val="en-US" w:eastAsia="it-IT"/>
        </w:rPr>
      </w:pPr>
    </w:p>
    <w:p w:rsidR="00172CF7" w:rsidRPr="00172CF7" w:rsidRDefault="00172CF7" w:rsidP="00172CF7">
      <w:pPr>
        <w:spacing w:after="200" w:line="240" w:lineRule="auto"/>
        <w:jc w:val="both"/>
        <w:rPr>
          <w:rFonts w:eastAsia="MS Mincho" w:cs="Calibri"/>
          <w:i/>
          <w:iCs/>
          <w:sz w:val="18"/>
          <w:szCs w:val="20"/>
          <w:lang w:val="en-US" w:eastAsia="it-IT"/>
        </w:rPr>
      </w:pPr>
      <w:r w:rsidRPr="00172CF7">
        <w:rPr>
          <w:rFonts w:eastAsia="MS Mincho" w:cs="Calibri"/>
          <w:i/>
          <w:iCs/>
          <w:sz w:val="18"/>
          <w:szCs w:val="20"/>
          <w:lang w:val="en-US" w:eastAsia="it-IT"/>
        </w:rPr>
        <w:t xml:space="preserve">Supplementary table </w:t>
      </w:r>
      <w:r w:rsidRPr="00172CF7">
        <w:rPr>
          <w:rFonts w:eastAsia="MS Mincho" w:cs="Calibri"/>
          <w:i/>
          <w:iCs/>
          <w:sz w:val="18"/>
          <w:szCs w:val="20"/>
          <w:lang w:val="en-US" w:eastAsia="it-IT"/>
        </w:rPr>
        <w:fldChar w:fldCharType="begin"/>
      </w:r>
      <w:r w:rsidRPr="00172CF7">
        <w:rPr>
          <w:rFonts w:eastAsia="MS Mincho" w:cs="Calibri"/>
          <w:i/>
          <w:iCs/>
          <w:sz w:val="18"/>
          <w:szCs w:val="20"/>
          <w:lang w:val="en-US" w:eastAsia="it-IT"/>
        </w:rPr>
        <w:instrText xml:space="preserve"> SEQ Supplementary_table \* ARABIC </w:instrText>
      </w:r>
      <w:r w:rsidRPr="00172CF7">
        <w:rPr>
          <w:rFonts w:eastAsia="MS Mincho" w:cs="Calibri"/>
          <w:i/>
          <w:iCs/>
          <w:sz w:val="18"/>
          <w:szCs w:val="20"/>
          <w:lang w:val="en-US" w:eastAsia="it-IT"/>
        </w:rPr>
        <w:fldChar w:fldCharType="separate"/>
      </w:r>
      <w:r w:rsidRPr="00172CF7">
        <w:rPr>
          <w:rFonts w:eastAsia="MS Mincho" w:cs="Calibri"/>
          <w:i/>
          <w:iCs/>
          <w:noProof/>
          <w:sz w:val="18"/>
          <w:szCs w:val="20"/>
          <w:lang w:val="en-US" w:eastAsia="it-IT"/>
        </w:rPr>
        <w:t>1</w:t>
      </w:r>
      <w:r w:rsidRPr="00172CF7">
        <w:rPr>
          <w:rFonts w:eastAsia="MS Mincho" w:cs="Calibri"/>
          <w:i/>
          <w:iCs/>
          <w:sz w:val="18"/>
          <w:szCs w:val="20"/>
          <w:lang w:val="en-US" w:eastAsia="it-IT"/>
        </w:rPr>
        <w:fldChar w:fldCharType="end"/>
      </w:r>
      <w:r w:rsidRPr="00172CF7">
        <w:rPr>
          <w:rFonts w:eastAsia="MS Mincho" w:cs="Calibri"/>
          <w:i/>
          <w:iCs/>
          <w:sz w:val="18"/>
          <w:szCs w:val="20"/>
          <w:lang w:val="en-US" w:eastAsia="it-IT"/>
        </w:rPr>
        <w:t>. Percentages of detectable (SENS; qualitative scores: 1, 2 and 3) and measurable (MEAS; qualitative scores: 2 and 3) nodules on M-phantom. ULDCT datasets are listed in the first column: the first number representing the scanning protocols and the second number the strength of the applied iterative reconstruction. Results are initially reported for the whole nodule dataset, then results are divided by nodule type, namely solid nodules, part-solid nodules, non-solid nodules and sub-solid nodules [PSN: part-solid nodules; NSN: non-solid nodules].</w:t>
      </w:r>
    </w:p>
    <w:p w:rsidR="00172CF7" w:rsidRPr="00172CF7" w:rsidRDefault="00172CF7" w:rsidP="00172CF7">
      <w:pPr>
        <w:rPr>
          <w:rFonts w:eastAsia="MS Mincho" w:cs="Calibri"/>
          <w:sz w:val="18"/>
          <w:szCs w:val="20"/>
          <w:lang w:val="en-US"/>
        </w:rPr>
      </w:pPr>
      <w:r w:rsidRPr="00172CF7">
        <w:rPr>
          <w:rFonts w:eastAsia="MS Mincho" w:cs="Calibri"/>
          <w:sz w:val="18"/>
          <w:szCs w:val="20"/>
          <w:lang w:val="en-US"/>
        </w:rPr>
        <w:br w:type="page"/>
      </w:r>
    </w:p>
    <w:p w:rsidR="00172CF7" w:rsidRPr="00172CF7" w:rsidRDefault="00172CF7" w:rsidP="00172CF7">
      <w:pPr>
        <w:spacing w:after="0" w:line="240" w:lineRule="auto"/>
        <w:ind w:firstLine="720"/>
        <w:jc w:val="both"/>
        <w:rPr>
          <w:rFonts w:eastAsia="MS Mincho" w:cs="Calibri"/>
          <w:sz w:val="18"/>
          <w:szCs w:val="20"/>
          <w:lang w:val="en-US"/>
        </w:rPr>
      </w:pPr>
    </w:p>
    <w:p w:rsidR="00172CF7" w:rsidRPr="00172CF7" w:rsidRDefault="00172CF7" w:rsidP="00172CF7">
      <w:pPr>
        <w:spacing w:after="0" w:line="240" w:lineRule="auto"/>
        <w:ind w:firstLine="720"/>
        <w:jc w:val="both"/>
        <w:rPr>
          <w:rFonts w:eastAsia="MS Mincho" w:cs="Calibri"/>
          <w:sz w:val="18"/>
          <w:szCs w:val="20"/>
          <w:lang w:val="en-US"/>
        </w:rPr>
      </w:pPr>
    </w:p>
    <w:tbl>
      <w:tblPr>
        <w:tblStyle w:val="Grigliatab21"/>
        <w:tblW w:w="12415" w:type="dxa"/>
        <w:jc w:val="center"/>
        <w:tblLayout w:type="fixed"/>
        <w:tblLook w:val="04A0" w:firstRow="1" w:lastRow="0" w:firstColumn="1" w:lastColumn="0" w:noHBand="0" w:noVBand="1"/>
      </w:tblPr>
      <w:tblGrid>
        <w:gridCol w:w="1247"/>
        <w:gridCol w:w="1356"/>
        <w:gridCol w:w="1436"/>
        <w:gridCol w:w="1356"/>
        <w:gridCol w:w="1436"/>
        <w:gridCol w:w="1356"/>
        <w:gridCol w:w="1436"/>
        <w:gridCol w:w="1356"/>
        <w:gridCol w:w="1436"/>
      </w:tblGrid>
      <w:tr w:rsidR="00172CF7" w:rsidRPr="00172CF7" w:rsidTr="00C6261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top w:val="single" w:sz="4" w:space="0" w:color="auto"/>
              <w:left w:val="single" w:sz="4" w:space="0" w:color="auto"/>
            </w:tcBorders>
          </w:tcPr>
          <w:p w:rsidR="00172CF7" w:rsidRPr="00172CF7" w:rsidRDefault="00172CF7" w:rsidP="00C62611">
            <w:pPr>
              <w:spacing w:after="200"/>
              <w:rPr>
                <w:rFonts w:asciiTheme="minorHAnsi" w:hAnsiTheme="minorHAnsi" w:cs="Calibri"/>
                <w:i/>
                <w:iCs/>
                <w:color w:val="000000"/>
                <w:sz w:val="18"/>
                <w:lang w:val="en-US" w:eastAsia="it-IT"/>
              </w:rPr>
            </w:pPr>
            <w:r w:rsidRPr="00172CF7">
              <w:rPr>
                <w:rFonts w:asciiTheme="minorHAnsi" w:hAnsiTheme="minorHAnsi" w:cs="Calibri"/>
                <w:i/>
                <w:iCs/>
                <w:color w:val="000000"/>
                <w:sz w:val="18"/>
                <w:u w:val="single"/>
                <w:lang w:val="en-US" w:eastAsia="it-IT"/>
              </w:rPr>
              <w:t>M-phantom</w:t>
            </w:r>
          </w:p>
        </w:tc>
        <w:tc>
          <w:tcPr>
            <w:tcW w:w="2792" w:type="dxa"/>
            <w:gridSpan w:val="2"/>
            <w:tcBorders>
              <w:top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solid nodules ≥4 mm (N=15)</w:t>
            </w:r>
          </w:p>
        </w:tc>
        <w:tc>
          <w:tcPr>
            <w:tcW w:w="2792" w:type="dxa"/>
            <w:gridSpan w:val="2"/>
            <w:tcBorders>
              <w:top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PSN ≥4 mm (N=3)</w:t>
            </w:r>
          </w:p>
        </w:tc>
        <w:tc>
          <w:tcPr>
            <w:tcW w:w="2792" w:type="dxa"/>
            <w:gridSpan w:val="2"/>
            <w:tcBorders>
              <w:top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NSN ≥4 mm (N=8)</w:t>
            </w:r>
          </w:p>
        </w:tc>
        <w:tc>
          <w:tcPr>
            <w:tcW w:w="2792" w:type="dxa"/>
            <w:gridSpan w:val="2"/>
            <w:tcBorders>
              <w:top w:val="single" w:sz="4" w:space="0" w:color="auto"/>
              <w:right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PSN+NSN ≥4 mm (N=11)</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CT protocol</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Standard CT</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LDCT</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1.2</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87.5</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85.7</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1.3</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80</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1.4</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1.5</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2.2</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63,6</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71,4</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2.3</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62.5</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72,7</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2.4</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62.5</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72,7</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2.5</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87.5</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3.2</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63,6</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71,4</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3.3</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63,6</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57,1</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3.4</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87.5</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42.9</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60</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3.5</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87.5</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4.2</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33.3</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37.5</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54,5</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16,7</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4.3</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33.3</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37.5</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33.3</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54,5</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33,3</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4.4</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81,8</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44,4</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4.5</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87.5</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42.9</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90,9</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5.2</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25</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63,6</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42,9</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lastRenderedPageBreak/>
              <w:t>ULDCT 5.3</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43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356" w:type="dxa"/>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63,6</w:t>
            </w:r>
          </w:p>
        </w:tc>
        <w:tc>
          <w:tcPr>
            <w:tcW w:w="1436" w:type="dxa"/>
            <w:tcBorders>
              <w:right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71,4</w:t>
            </w:r>
          </w:p>
        </w:tc>
      </w:tr>
      <w:tr w:rsidR="00172CF7" w:rsidRPr="00172CF7" w:rsidTr="00121033">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5.4</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c>
          <w:tcPr>
            <w:tcW w:w="143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356" w:type="dxa"/>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81,8</w:t>
            </w:r>
          </w:p>
        </w:tc>
        <w:tc>
          <w:tcPr>
            <w:tcW w:w="1436" w:type="dxa"/>
            <w:tcBorders>
              <w:right w:val="single" w:sz="4" w:space="0" w:color="auto"/>
            </w:tcBorders>
            <w:vAlign w:val="center"/>
          </w:tcPr>
          <w:p w:rsidR="00172CF7" w:rsidRPr="00172CF7" w:rsidRDefault="00172CF7" w:rsidP="00121033">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r>
      <w:tr w:rsidR="00172CF7" w:rsidRPr="00172CF7" w:rsidTr="001210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bottom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5.5</w:t>
            </w:r>
          </w:p>
        </w:tc>
        <w:tc>
          <w:tcPr>
            <w:tcW w:w="1356" w:type="dxa"/>
            <w:tcBorders>
              <w:bottom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tcBorders>
              <w:bottom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tcBorders>
              <w:bottom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436" w:type="dxa"/>
            <w:tcBorders>
              <w:bottom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356" w:type="dxa"/>
            <w:tcBorders>
              <w:bottom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c>
          <w:tcPr>
            <w:tcW w:w="1436" w:type="dxa"/>
            <w:tcBorders>
              <w:bottom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1356" w:type="dxa"/>
            <w:tcBorders>
              <w:bottom w:val="single" w:sz="4" w:space="0" w:color="auto"/>
            </w:tcBorders>
            <w:vAlign w:val="center"/>
          </w:tcPr>
          <w:p w:rsidR="00172CF7" w:rsidRPr="00172CF7" w:rsidRDefault="00172CF7" w:rsidP="00121033">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81,8</w:t>
            </w:r>
          </w:p>
        </w:tc>
        <w:tc>
          <w:tcPr>
            <w:tcW w:w="1436" w:type="dxa"/>
            <w:tcBorders>
              <w:bottom w:val="single" w:sz="4" w:space="0" w:color="auto"/>
              <w:right w:val="single" w:sz="4" w:space="0" w:color="auto"/>
            </w:tcBorders>
            <w:vAlign w:val="center"/>
          </w:tcPr>
          <w:p w:rsidR="00172CF7" w:rsidRPr="00172CF7" w:rsidRDefault="00172CF7" w:rsidP="00121033">
            <w:pPr>
              <w:keepNext/>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88,9</w:t>
            </w:r>
          </w:p>
        </w:tc>
      </w:tr>
    </w:tbl>
    <w:p w:rsidR="00172CF7" w:rsidRPr="00172CF7" w:rsidRDefault="00172CF7" w:rsidP="00172CF7">
      <w:pPr>
        <w:spacing w:after="200" w:line="240" w:lineRule="auto"/>
        <w:jc w:val="both"/>
        <w:rPr>
          <w:rFonts w:eastAsia="MS Mincho" w:cs="Calibri"/>
          <w:i/>
          <w:iCs/>
          <w:sz w:val="18"/>
          <w:szCs w:val="20"/>
          <w:lang w:val="en-US" w:eastAsia="it-IT"/>
        </w:rPr>
      </w:pPr>
      <w:r w:rsidRPr="00172CF7">
        <w:rPr>
          <w:rFonts w:eastAsia="MS Mincho" w:cs="Calibri"/>
          <w:i/>
          <w:iCs/>
          <w:sz w:val="18"/>
          <w:szCs w:val="20"/>
          <w:lang w:val="en-US" w:eastAsia="it-IT"/>
        </w:rPr>
        <w:t xml:space="preserve">Supplementary table </w:t>
      </w:r>
      <w:r w:rsidRPr="00172CF7">
        <w:rPr>
          <w:rFonts w:eastAsia="MS Mincho" w:cs="Calibri"/>
          <w:i/>
          <w:iCs/>
          <w:sz w:val="18"/>
          <w:szCs w:val="20"/>
          <w:lang w:val="en-US" w:eastAsia="it-IT"/>
        </w:rPr>
        <w:fldChar w:fldCharType="begin"/>
      </w:r>
      <w:r w:rsidRPr="00172CF7">
        <w:rPr>
          <w:rFonts w:eastAsia="MS Mincho" w:cs="Calibri"/>
          <w:i/>
          <w:iCs/>
          <w:sz w:val="18"/>
          <w:szCs w:val="20"/>
          <w:lang w:val="en-US" w:eastAsia="it-IT"/>
        </w:rPr>
        <w:instrText xml:space="preserve"> SEQ Supplementary_table \* ARABIC </w:instrText>
      </w:r>
      <w:r w:rsidRPr="00172CF7">
        <w:rPr>
          <w:rFonts w:eastAsia="MS Mincho" w:cs="Calibri"/>
          <w:i/>
          <w:iCs/>
          <w:sz w:val="18"/>
          <w:szCs w:val="20"/>
          <w:lang w:val="en-US" w:eastAsia="it-IT"/>
        </w:rPr>
        <w:fldChar w:fldCharType="separate"/>
      </w:r>
      <w:r w:rsidRPr="00172CF7">
        <w:rPr>
          <w:rFonts w:eastAsia="MS Mincho" w:cs="Calibri"/>
          <w:i/>
          <w:iCs/>
          <w:noProof/>
          <w:sz w:val="18"/>
          <w:szCs w:val="20"/>
          <w:lang w:val="en-US" w:eastAsia="it-IT"/>
        </w:rPr>
        <w:t>2</w:t>
      </w:r>
      <w:r w:rsidRPr="00172CF7">
        <w:rPr>
          <w:rFonts w:eastAsia="MS Mincho" w:cs="Calibri"/>
          <w:i/>
          <w:iCs/>
          <w:sz w:val="18"/>
          <w:szCs w:val="20"/>
          <w:lang w:val="en-US" w:eastAsia="it-IT"/>
        </w:rPr>
        <w:fldChar w:fldCharType="end"/>
      </w:r>
      <w:r w:rsidRPr="00172CF7">
        <w:rPr>
          <w:rFonts w:eastAsia="MS Mincho" w:cs="Calibri"/>
          <w:i/>
          <w:iCs/>
          <w:sz w:val="18"/>
          <w:szCs w:val="20"/>
          <w:lang w:val="en-US" w:eastAsia="it-IT"/>
        </w:rPr>
        <w:t>. Percentages of detectable (SENS; qualitative scores: 1, 2 and 3) and measurable (MEAS; qualitative scores: 2 and 3) nodules (≥4 mm) on M-phantom. ULDCT datasets are listed in the first column: the first number representing the scanning protocols and the second number the strength of the applied iterative reconstruction. Results are stratified by nodule type, namely solid nodules, part-solid nodules, non-solid nodules and sub-solid nodules [PSN: part-solid nodules; NSN: non-solid nodules].</w:t>
      </w:r>
    </w:p>
    <w:p w:rsidR="00172CF7" w:rsidRPr="00172CF7" w:rsidRDefault="00172CF7" w:rsidP="00172CF7">
      <w:pPr>
        <w:spacing w:after="0" w:line="240" w:lineRule="auto"/>
        <w:ind w:firstLine="720"/>
        <w:jc w:val="both"/>
        <w:rPr>
          <w:rFonts w:eastAsia="MS Mincho" w:cs="Calibri"/>
          <w:sz w:val="18"/>
          <w:szCs w:val="20"/>
          <w:lang w:val="en-US"/>
        </w:rPr>
      </w:pPr>
    </w:p>
    <w:p w:rsidR="00172CF7" w:rsidRPr="00172CF7" w:rsidRDefault="00172CF7" w:rsidP="00172CF7">
      <w:pPr>
        <w:rPr>
          <w:rFonts w:eastAsia="MS Mincho" w:cs="Calibri"/>
          <w:sz w:val="18"/>
          <w:szCs w:val="20"/>
          <w:lang w:val="en-US"/>
        </w:rPr>
      </w:pPr>
      <w:r w:rsidRPr="00172CF7">
        <w:rPr>
          <w:rFonts w:eastAsia="MS Mincho" w:cs="Calibri"/>
          <w:sz w:val="18"/>
          <w:szCs w:val="20"/>
          <w:lang w:val="en-US"/>
        </w:rPr>
        <w:br w:type="page"/>
      </w:r>
    </w:p>
    <w:p w:rsidR="00172CF7" w:rsidRPr="00172CF7" w:rsidRDefault="00172CF7" w:rsidP="00172CF7">
      <w:pPr>
        <w:spacing w:after="0" w:line="240" w:lineRule="auto"/>
        <w:ind w:firstLine="720"/>
        <w:jc w:val="both"/>
        <w:rPr>
          <w:rFonts w:eastAsia="MS Mincho" w:cs="Calibri"/>
          <w:sz w:val="18"/>
          <w:szCs w:val="20"/>
          <w:lang w:val="en-US"/>
        </w:rPr>
      </w:pPr>
    </w:p>
    <w:p w:rsidR="00172CF7" w:rsidRPr="00172CF7" w:rsidRDefault="00172CF7" w:rsidP="00172CF7">
      <w:pPr>
        <w:spacing w:after="0" w:line="240" w:lineRule="auto"/>
        <w:ind w:firstLine="720"/>
        <w:jc w:val="both"/>
        <w:rPr>
          <w:rFonts w:eastAsia="MS Mincho" w:cs="Calibri"/>
          <w:sz w:val="18"/>
          <w:szCs w:val="20"/>
          <w:lang w:val="en-US"/>
        </w:rPr>
      </w:pPr>
    </w:p>
    <w:tbl>
      <w:tblPr>
        <w:tblStyle w:val="Grigliatab21"/>
        <w:tblW w:w="15207" w:type="dxa"/>
        <w:jc w:val="center"/>
        <w:tblLayout w:type="fixed"/>
        <w:tblLook w:val="04A0" w:firstRow="1" w:lastRow="0" w:firstColumn="1" w:lastColumn="0" w:noHBand="0" w:noVBand="1"/>
      </w:tblPr>
      <w:tblGrid>
        <w:gridCol w:w="1527"/>
        <w:gridCol w:w="1661"/>
        <w:gridCol w:w="1759"/>
        <w:gridCol w:w="1661"/>
        <w:gridCol w:w="1759"/>
        <w:gridCol w:w="1661"/>
        <w:gridCol w:w="1759"/>
        <w:gridCol w:w="1661"/>
        <w:gridCol w:w="1759"/>
      </w:tblGrid>
      <w:tr w:rsidR="00172CF7" w:rsidRPr="00172CF7" w:rsidTr="00C6261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left w:val="single" w:sz="4" w:space="0" w:color="auto"/>
            </w:tcBorders>
          </w:tcPr>
          <w:p w:rsidR="00172CF7" w:rsidRPr="00172CF7" w:rsidRDefault="00172CF7" w:rsidP="00C62611">
            <w:pPr>
              <w:spacing w:after="200"/>
              <w:rPr>
                <w:rFonts w:asciiTheme="minorHAnsi" w:hAnsiTheme="minorHAnsi" w:cs="Calibri"/>
                <w:i/>
                <w:iCs/>
                <w:color w:val="000000"/>
                <w:sz w:val="18"/>
                <w:lang w:val="en-US" w:eastAsia="it-IT"/>
              </w:rPr>
            </w:pPr>
            <w:r w:rsidRPr="00172CF7">
              <w:rPr>
                <w:rFonts w:asciiTheme="minorHAnsi" w:hAnsiTheme="minorHAnsi" w:cs="Calibri"/>
                <w:i/>
                <w:iCs/>
                <w:color w:val="000000"/>
                <w:sz w:val="18"/>
                <w:u w:val="single"/>
                <w:lang w:val="en-US" w:eastAsia="it-IT"/>
              </w:rPr>
              <w:t>M-phantom</w:t>
            </w:r>
          </w:p>
        </w:tc>
        <w:tc>
          <w:tcPr>
            <w:tcW w:w="3420" w:type="dxa"/>
            <w:gridSpan w:val="2"/>
            <w:tcBorders>
              <w:top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solid nodules ≥6 mm (N=11)</w:t>
            </w:r>
          </w:p>
        </w:tc>
        <w:tc>
          <w:tcPr>
            <w:tcW w:w="3420" w:type="dxa"/>
            <w:gridSpan w:val="2"/>
            <w:tcBorders>
              <w:top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PSN ≥6 mm (N=2)</w:t>
            </w:r>
          </w:p>
        </w:tc>
        <w:tc>
          <w:tcPr>
            <w:tcW w:w="3420" w:type="dxa"/>
            <w:gridSpan w:val="2"/>
            <w:tcBorders>
              <w:top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NSN ≥6 mm (N=6)</w:t>
            </w:r>
          </w:p>
        </w:tc>
        <w:tc>
          <w:tcPr>
            <w:tcW w:w="3420" w:type="dxa"/>
            <w:gridSpan w:val="2"/>
            <w:tcBorders>
              <w:top w:val="single" w:sz="4" w:space="0" w:color="auto"/>
              <w:right w:val="single" w:sz="4" w:space="0" w:color="auto"/>
            </w:tcBorders>
            <w:vAlign w:val="center"/>
          </w:tcPr>
          <w:p w:rsidR="00172CF7" w:rsidRPr="008216AF" w:rsidRDefault="00172CF7" w:rsidP="008216AF">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
                <w:iCs/>
                <w:sz w:val="18"/>
                <w:lang w:val="en-US" w:eastAsia="it-IT"/>
              </w:rPr>
            </w:pPr>
            <w:r w:rsidRPr="008216AF">
              <w:rPr>
                <w:rFonts w:asciiTheme="minorHAnsi" w:hAnsiTheme="minorHAnsi" w:cs="Calibri"/>
                <w:i/>
                <w:iCs/>
                <w:sz w:val="18"/>
                <w:lang w:val="en-US" w:eastAsia="it-IT"/>
              </w:rPr>
              <w:t>PSN+NSN ≥6mm (N=11)</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CT protocol</w:t>
            </w:r>
          </w:p>
        </w:tc>
        <w:tc>
          <w:tcPr>
            <w:tcW w:w="1661" w:type="dxa"/>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1759" w:type="dxa"/>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c>
          <w:tcPr>
            <w:tcW w:w="1661" w:type="dxa"/>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1759" w:type="dxa"/>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c>
          <w:tcPr>
            <w:tcW w:w="1661" w:type="dxa"/>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1759" w:type="dxa"/>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c>
          <w:tcPr>
            <w:tcW w:w="1661" w:type="dxa"/>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SENS (%)</w:t>
            </w:r>
          </w:p>
        </w:tc>
        <w:tc>
          <w:tcPr>
            <w:tcW w:w="1759" w:type="dxa"/>
            <w:tcBorders>
              <w:right w:val="single" w:sz="4" w:space="0" w:color="auto"/>
            </w:tcBorders>
            <w:vAlign w:val="center"/>
          </w:tcPr>
          <w:p w:rsidR="00172CF7" w:rsidRPr="00172CF7" w:rsidRDefault="00172CF7" w:rsidP="00C62611">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MEAS (%)</w:t>
            </w:r>
          </w:p>
        </w:tc>
      </w:tr>
      <w:tr w:rsidR="00172CF7" w:rsidRPr="00172CF7" w:rsidTr="00A60859">
        <w:trPr>
          <w:trHeight w:val="225"/>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Standard CT</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ref.</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ref.</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ref.</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LDCT</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c>
          <w:tcPr>
            <w:tcW w:w="1759" w:type="dxa"/>
            <w:tcBorders>
              <w:right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1.2</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87,5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1.3</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87,5</w:t>
            </w:r>
          </w:p>
        </w:tc>
        <w:tc>
          <w:tcPr>
            <w:tcW w:w="1759" w:type="dxa"/>
            <w:tcBorders>
              <w:right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85,7</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1.4</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1.5</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c>
          <w:tcPr>
            <w:tcW w:w="1759" w:type="dxa"/>
            <w:tcBorders>
              <w:right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2.2</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75</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66,7</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2.3</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87,5</w:t>
            </w:r>
          </w:p>
        </w:tc>
        <w:tc>
          <w:tcPr>
            <w:tcW w:w="1759" w:type="dxa"/>
            <w:tcBorders>
              <w:right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71,4</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2.4</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2.5</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c>
          <w:tcPr>
            <w:tcW w:w="1759" w:type="dxa"/>
            <w:tcBorders>
              <w:right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87,5</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3.2</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75</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66,7</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3.3</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75</w:t>
            </w:r>
          </w:p>
        </w:tc>
        <w:tc>
          <w:tcPr>
            <w:tcW w:w="1759" w:type="dxa"/>
            <w:tcBorders>
              <w:right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50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3.4</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62,5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3.5</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c>
          <w:tcPr>
            <w:tcW w:w="1759" w:type="dxa"/>
            <w:tcBorders>
              <w:right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4.2</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62,5</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20</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4.3</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33,3</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62,5</w:t>
            </w:r>
          </w:p>
        </w:tc>
        <w:tc>
          <w:tcPr>
            <w:tcW w:w="1759" w:type="dxa"/>
            <w:tcBorders>
              <w:right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40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4.4</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75</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66,7</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4.5</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83,3</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87,5</w:t>
            </w:r>
          </w:p>
        </w:tc>
        <w:tc>
          <w:tcPr>
            <w:tcW w:w="1759" w:type="dxa"/>
            <w:tcBorders>
              <w:right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71,4</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5.2</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25</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75</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33,3</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lastRenderedPageBreak/>
              <w:t>ULDCT 5.3</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759"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50</w:t>
            </w:r>
          </w:p>
        </w:tc>
        <w:tc>
          <w:tcPr>
            <w:tcW w:w="1661" w:type="dxa"/>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75</w:t>
            </w:r>
          </w:p>
        </w:tc>
        <w:tc>
          <w:tcPr>
            <w:tcW w:w="1759" w:type="dxa"/>
            <w:tcBorders>
              <w:right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66,7</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5.4</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759"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75</w:t>
            </w:r>
          </w:p>
        </w:tc>
        <w:tc>
          <w:tcPr>
            <w:tcW w:w="1661" w:type="dxa"/>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75</w:t>
            </w:r>
          </w:p>
        </w:tc>
        <w:tc>
          <w:tcPr>
            <w:tcW w:w="1759" w:type="dxa"/>
            <w:tcBorders>
              <w:right w:val="single" w:sz="4" w:space="0" w:color="auto"/>
            </w:tcBorders>
            <w:vAlign w:val="center"/>
          </w:tcPr>
          <w:p w:rsidR="00172CF7" w:rsidRPr="00172CF7" w:rsidRDefault="00172CF7" w:rsidP="00C260DD">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83,3</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27" w:type="dxa"/>
            <w:tcBorders>
              <w:left w:val="single" w:sz="4" w:space="0" w:color="auto"/>
              <w:bottom w:val="single" w:sz="4" w:space="0" w:color="auto"/>
            </w:tcBorders>
            <w:hideMark/>
          </w:tcPr>
          <w:p w:rsidR="00172CF7" w:rsidRPr="00172CF7" w:rsidRDefault="00172CF7" w:rsidP="00C62611">
            <w:pPr>
              <w:spacing w:after="200"/>
              <w:jc w:val="both"/>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ULDCT 5.5</w:t>
            </w:r>
          </w:p>
        </w:tc>
        <w:tc>
          <w:tcPr>
            <w:tcW w:w="1661" w:type="dxa"/>
            <w:tcBorders>
              <w:bottom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tcBorders>
              <w:bottom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tcBorders>
              <w:bottom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759" w:type="dxa"/>
            <w:tcBorders>
              <w:bottom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100</w:t>
            </w:r>
          </w:p>
        </w:tc>
        <w:tc>
          <w:tcPr>
            <w:tcW w:w="1661" w:type="dxa"/>
            <w:tcBorders>
              <w:bottom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66,7</w:t>
            </w:r>
          </w:p>
        </w:tc>
        <w:tc>
          <w:tcPr>
            <w:tcW w:w="1759" w:type="dxa"/>
            <w:tcBorders>
              <w:bottom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lang w:val="en-US" w:eastAsia="it-IT"/>
              </w:rPr>
            </w:pPr>
            <w:r w:rsidRPr="00172CF7">
              <w:rPr>
                <w:rFonts w:asciiTheme="minorHAnsi" w:hAnsiTheme="minorHAnsi" w:cs="Calibri"/>
                <w:i/>
                <w:iCs/>
                <w:color w:val="000000"/>
                <w:sz w:val="18"/>
                <w:lang w:val="en-US" w:eastAsia="it-IT"/>
              </w:rPr>
              <w:t>10</w:t>
            </w:r>
            <w:r w:rsidR="00C260DD">
              <w:rPr>
                <w:rFonts w:asciiTheme="minorHAnsi" w:hAnsiTheme="minorHAnsi" w:cs="Calibri"/>
                <w:i/>
                <w:iCs/>
                <w:color w:val="000000"/>
                <w:sz w:val="18"/>
                <w:lang w:val="en-US" w:eastAsia="it-IT"/>
              </w:rPr>
              <w:t>0</w:t>
            </w:r>
          </w:p>
        </w:tc>
        <w:tc>
          <w:tcPr>
            <w:tcW w:w="1661" w:type="dxa"/>
            <w:tcBorders>
              <w:bottom w:val="single" w:sz="4" w:space="0" w:color="auto"/>
            </w:tcBorders>
            <w:vAlign w:val="center"/>
          </w:tcPr>
          <w:p w:rsidR="00172CF7" w:rsidRPr="00172CF7" w:rsidRDefault="00172CF7" w:rsidP="00C260DD">
            <w:pPr>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75</w:t>
            </w:r>
          </w:p>
        </w:tc>
        <w:tc>
          <w:tcPr>
            <w:tcW w:w="1759" w:type="dxa"/>
            <w:tcBorders>
              <w:bottom w:val="single" w:sz="4" w:space="0" w:color="auto"/>
              <w:right w:val="single" w:sz="4" w:space="0" w:color="auto"/>
            </w:tcBorders>
            <w:vAlign w:val="center"/>
          </w:tcPr>
          <w:p w:rsidR="00172CF7" w:rsidRPr="00172CF7" w:rsidRDefault="00172CF7" w:rsidP="00C260DD">
            <w:pPr>
              <w:keepNext/>
              <w:spacing w:after="2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
                <w:iCs/>
                <w:color w:val="000000"/>
                <w:sz w:val="18"/>
                <w:highlight w:val="yellow"/>
                <w:lang w:val="en-US" w:eastAsia="it-IT"/>
              </w:rPr>
            </w:pPr>
            <w:r w:rsidRPr="00172CF7">
              <w:rPr>
                <w:rFonts w:asciiTheme="minorHAnsi" w:hAnsiTheme="minorHAnsi" w:cs="Calibri"/>
                <w:i/>
                <w:iCs/>
                <w:color w:val="000000"/>
                <w:sz w:val="18"/>
                <w:lang w:val="en-US" w:eastAsia="it-IT"/>
              </w:rPr>
              <w:t>100</w:t>
            </w:r>
          </w:p>
        </w:tc>
      </w:tr>
    </w:tbl>
    <w:p w:rsidR="00172CF7" w:rsidRPr="00172CF7" w:rsidRDefault="00172CF7" w:rsidP="00172CF7">
      <w:pPr>
        <w:spacing w:after="200" w:line="240" w:lineRule="auto"/>
        <w:jc w:val="both"/>
        <w:rPr>
          <w:rFonts w:eastAsia="MS Mincho" w:cs="Calibri"/>
          <w:i/>
          <w:iCs/>
          <w:color w:val="1F497D"/>
          <w:sz w:val="18"/>
          <w:szCs w:val="20"/>
          <w:lang w:val="en-US" w:eastAsia="it-IT"/>
        </w:rPr>
      </w:pPr>
      <w:r w:rsidRPr="00172CF7">
        <w:rPr>
          <w:rFonts w:eastAsia="MS Mincho" w:cs="Calibri"/>
          <w:i/>
          <w:iCs/>
          <w:sz w:val="18"/>
          <w:szCs w:val="20"/>
          <w:lang w:val="en-US" w:eastAsia="it-IT"/>
        </w:rPr>
        <w:t xml:space="preserve">Supplementary table </w:t>
      </w:r>
      <w:r w:rsidRPr="00172CF7">
        <w:rPr>
          <w:rFonts w:eastAsia="MS Mincho" w:cs="Calibri"/>
          <w:i/>
          <w:iCs/>
          <w:sz w:val="18"/>
          <w:szCs w:val="20"/>
          <w:lang w:val="en-US" w:eastAsia="it-IT"/>
        </w:rPr>
        <w:fldChar w:fldCharType="begin"/>
      </w:r>
      <w:r w:rsidRPr="00172CF7">
        <w:rPr>
          <w:rFonts w:eastAsia="MS Mincho" w:cs="Calibri"/>
          <w:i/>
          <w:iCs/>
          <w:sz w:val="18"/>
          <w:szCs w:val="20"/>
          <w:lang w:val="en-US" w:eastAsia="it-IT"/>
        </w:rPr>
        <w:instrText xml:space="preserve"> SEQ Supplementary_table \* ARABIC </w:instrText>
      </w:r>
      <w:r w:rsidRPr="00172CF7">
        <w:rPr>
          <w:rFonts w:eastAsia="MS Mincho" w:cs="Calibri"/>
          <w:i/>
          <w:iCs/>
          <w:sz w:val="18"/>
          <w:szCs w:val="20"/>
          <w:lang w:val="en-US" w:eastAsia="it-IT"/>
        </w:rPr>
        <w:fldChar w:fldCharType="separate"/>
      </w:r>
      <w:r w:rsidRPr="00172CF7">
        <w:rPr>
          <w:rFonts w:eastAsia="MS Mincho" w:cs="Calibri"/>
          <w:i/>
          <w:iCs/>
          <w:noProof/>
          <w:sz w:val="18"/>
          <w:szCs w:val="20"/>
          <w:lang w:val="en-US" w:eastAsia="it-IT"/>
        </w:rPr>
        <w:t>3</w:t>
      </w:r>
      <w:r w:rsidRPr="00172CF7">
        <w:rPr>
          <w:rFonts w:eastAsia="MS Mincho" w:cs="Calibri"/>
          <w:i/>
          <w:iCs/>
          <w:sz w:val="18"/>
          <w:szCs w:val="20"/>
          <w:lang w:val="en-US" w:eastAsia="it-IT"/>
        </w:rPr>
        <w:fldChar w:fldCharType="end"/>
      </w:r>
      <w:r w:rsidRPr="00172CF7">
        <w:rPr>
          <w:rFonts w:eastAsia="MS Mincho" w:cs="Calibri"/>
          <w:i/>
          <w:iCs/>
          <w:sz w:val="18"/>
          <w:szCs w:val="20"/>
          <w:lang w:val="en-US" w:eastAsia="it-IT"/>
        </w:rPr>
        <w:t>. Percentages of detectable (SENS; qualitative scores: 1, 2 and 3) and measurable (MEAS; qualitative scores: 2 and 3) nodules (≥3 mm) on M-phantom. ULDCT datasets are listed in the first column: the first number representing the scanning protocols and the second number the strength of the applied iterative reconstruction. Results are stratified divided by nodule type, namely solid nodules, part-solid nodules, non-solid nodules and sub-solid nodules [PSN: part-solid nodules; NSN: non-solid nodules].</w:t>
      </w:r>
    </w:p>
    <w:p w:rsidR="00172CF7" w:rsidRPr="00172CF7" w:rsidRDefault="00172CF7" w:rsidP="00172CF7">
      <w:pPr>
        <w:spacing w:after="0" w:line="240" w:lineRule="auto"/>
        <w:ind w:firstLine="720"/>
        <w:jc w:val="both"/>
        <w:rPr>
          <w:rFonts w:eastAsia="MS Mincho" w:cs="Calibri"/>
          <w:sz w:val="18"/>
          <w:szCs w:val="20"/>
          <w:lang w:val="en-US"/>
        </w:rPr>
      </w:pPr>
    </w:p>
    <w:p w:rsidR="00172CF7" w:rsidRPr="00172CF7" w:rsidRDefault="00172CF7" w:rsidP="00172CF7">
      <w:pPr>
        <w:rPr>
          <w:rFonts w:eastAsia="MS Mincho" w:cs="Calibri"/>
          <w:sz w:val="18"/>
          <w:szCs w:val="20"/>
          <w:lang w:val="en-US"/>
        </w:rPr>
      </w:pPr>
      <w:r w:rsidRPr="00172CF7">
        <w:rPr>
          <w:rFonts w:eastAsia="MS Mincho" w:cs="Calibri"/>
          <w:sz w:val="18"/>
          <w:szCs w:val="20"/>
          <w:lang w:val="en-US"/>
        </w:rPr>
        <w:br w:type="page"/>
      </w:r>
    </w:p>
    <w:p w:rsidR="00172CF7" w:rsidRPr="00172CF7" w:rsidRDefault="00172CF7" w:rsidP="00172CF7">
      <w:pPr>
        <w:rPr>
          <w:lang w:val="en-GB"/>
        </w:rPr>
      </w:pPr>
    </w:p>
    <w:p w:rsidR="00172CF7" w:rsidRDefault="00172CF7">
      <w:pPr>
        <w:rPr>
          <w:rFonts w:eastAsia="MS Mincho" w:cs="Calibri"/>
          <w:sz w:val="18"/>
          <w:szCs w:val="20"/>
          <w:lang w:val="en-US"/>
        </w:rPr>
      </w:pPr>
    </w:p>
    <w:p w:rsidR="00172CF7" w:rsidRPr="00172CF7" w:rsidRDefault="00172CF7" w:rsidP="00172CF7">
      <w:pPr>
        <w:spacing w:after="0" w:line="240" w:lineRule="auto"/>
        <w:ind w:firstLine="720"/>
        <w:jc w:val="both"/>
        <w:rPr>
          <w:rFonts w:eastAsia="MS Mincho" w:cs="Calibri"/>
          <w:sz w:val="18"/>
          <w:szCs w:val="20"/>
          <w:lang w:val="en-US"/>
        </w:rPr>
      </w:pPr>
    </w:p>
    <w:p w:rsidR="00172CF7" w:rsidRPr="00172CF7" w:rsidRDefault="00172CF7" w:rsidP="00172CF7">
      <w:pPr>
        <w:spacing w:after="0" w:line="240" w:lineRule="auto"/>
        <w:ind w:firstLine="720"/>
        <w:jc w:val="both"/>
        <w:rPr>
          <w:rFonts w:eastAsia="MS Mincho" w:cs="Calibri"/>
          <w:sz w:val="18"/>
          <w:szCs w:val="20"/>
          <w:lang w:val="en-US"/>
        </w:rPr>
      </w:pPr>
    </w:p>
    <w:tbl>
      <w:tblPr>
        <w:tblStyle w:val="Tabellagriglia2-colore41"/>
        <w:tblW w:w="15207" w:type="dxa"/>
        <w:jc w:val="center"/>
        <w:tblLayout w:type="fixed"/>
        <w:tblLook w:val="04A0" w:firstRow="1" w:lastRow="0" w:firstColumn="1" w:lastColumn="0" w:noHBand="0" w:noVBand="1"/>
      </w:tblPr>
      <w:tblGrid>
        <w:gridCol w:w="1247"/>
        <w:gridCol w:w="1356"/>
        <w:gridCol w:w="1436"/>
        <w:gridCol w:w="1356"/>
        <w:gridCol w:w="1436"/>
        <w:gridCol w:w="1356"/>
        <w:gridCol w:w="1436"/>
        <w:gridCol w:w="1356"/>
        <w:gridCol w:w="1436"/>
        <w:gridCol w:w="1356"/>
        <w:gridCol w:w="1436"/>
      </w:tblGrid>
      <w:tr w:rsidR="00172CF7" w:rsidRPr="00172CF7" w:rsidTr="00C6261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top w:val="single" w:sz="4" w:space="0" w:color="auto"/>
              <w:left w:val="single" w:sz="4" w:space="0" w:color="auto"/>
            </w:tcBorders>
          </w:tcPr>
          <w:p w:rsidR="00172CF7" w:rsidRPr="00172CF7" w:rsidRDefault="00172CF7" w:rsidP="00172CF7">
            <w:pPr>
              <w:jc w:val="both"/>
              <w:rPr>
                <w:rFonts w:cs="Calibri"/>
                <w:color w:val="000000"/>
                <w:sz w:val="18"/>
                <w:szCs w:val="20"/>
                <w:lang w:val="en-US"/>
              </w:rPr>
            </w:pPr>
            <w:bookmarkStart w:id="2" w:name="_Hlk532727943"/>
            <w:r w:rsidRPr="00172CF7">
              <w:rPr>
                <w:rFonts w:cs="Calibri"/>
                <w:color w:val="000000"/>
                <w:sz w:val="18"/>
                <w:szCs w:val="20"/>
                <w:u w:val="single"/>
                <w:lang w:val="en-US"/>
              </w:rPr>
              <w:t>L-phantom</w:t>
            </w:r>
          </w:p>
        </w:tc>
        <w:tc>
          <w:tcPr>
            <w:tcW w:w="2792" w:type="dxa"/>
            <w:gridSpan w:val="2"/>
            <w:tcBorders>
              <w:top w:val="single" w:sz="4" w:space="0" w:color="auto"/>
            </w:tcBorders>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all nodules (N=30)</w:t>
            </w:r>
          </w:p>
        </w:tc>
        <w:tc>
          <w:tcPr>
            <w:tcW w:w="2792" w:type="dxa"/>
            <w:gridSpan w:val="2"/>
            <w:tcBorders>
              <w:top w:val="single" w:sz="4" w:space="0" w:color="auto"/>
            </w:tcBorders>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solid nodules (N=19)</w:t>
            </w:r>
          </w:p>
        </w:tc>
        <w:tc>
          <w:tcPr>
            <w:tcW w:w="2792" w:type="dxa"/>
            <w:gridSpan w:val="2"/>
            <w:tcBorders>
              <w:top w:val="single" w:sz="4" w:space="0" w:color="auto"/>
            </w:tcBorders>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PSN (N=3)</w:t>
            </w:r>
          </w:p>
        </w:tc>
        <w:tc>
          <w:tcPr>
            <w:tcW w:w="2792" w:type="dxa"/>
            <w:gridSpan w:val="2"/>
            <w:tcBorders>
              <w:top w:val="single" w:sz="4" w:space="0" w:color="auto"/>
            </w:tcBorders>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NSN (N=8)</w:t>
            </w:r>
          </w:p>
        </w:tc>
        <w:tc>
          <w:tcPr>
            <w:tcW w:w="2792" w:type="dxa"/>
            <w:gridSpan w:val="2"/>
            <w:tcBorders>
              <w:top w:val="single" w:sz="4" w:space="0" w:color="auto"/>
              <w:right w:val="single" w:sz="4" w:space="0" w:color="auto"/>
            </w:tcBorders>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PSN+NSN (N=11)</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CT protocol</w:t>
            </w:r>
          </w:p>
        </w:tc>
        <w:tc>
          <w:tcPr>
            <w:tcW w:w="1356" w:type="dxa"/>
            <w:hideMark/>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hideMark/>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c>
          <w:tcPr>
            <w:tcW w:w="1356" w:type="dxa"/>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c>
          <w:tcPr>
            <w:tcW w:w="1356" w:type="dxa"/>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c>
          <w:tcPr>
            <w:tcW w:w="1356" w:type="dxa"/>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c>
          <w:tcPr>
            <w:tcW w:w="1356" w:type="dxa"/>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tcBorders>
              <w:right w:val="single" w:sz="4" w:space="0" w:color="auto"/>
            </w:tcBorders>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Standard CT</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ref.</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ref.</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ref.</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ref.</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LDCT</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1.2</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96,7</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75,9</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94,7</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87,5</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28,6</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40</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96,7</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89,7</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87,5</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57,1</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c>
          <w:tcPr>
            <w:tcW w:w="1436" w:type="dxa"/>
            <w:tcBorders>
              <w:right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1.4</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93,3</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75</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81,8</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1.5</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96,7</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87,5</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2.2</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96,7</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75,9</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89,5</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87,5</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42,9</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89,5</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62,5</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63,6</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2.4</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89,5</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87,5</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2.5</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93,3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89,5</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3.2</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84</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94,7</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88,9</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75</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63,6</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71,4</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93,3</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94,7</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88,9</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87,5</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42,9</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c>
          <w:tcPr>
            <w:tcW w:w="1436" w:type="dxa"/>
            <w:tcBorders>
              <w:right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3.4</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76,7</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78,9</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75</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72,7</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3.5</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96,7</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72,4</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94,7</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54,5</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4.2</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76,7</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89,5</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33,3</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37,5</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36,4</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84,2</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33,3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37,5</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54,5</w:t>
            </w:r>
          </w:p>
        </w:tc>
        <w:tc>
          <w:tcPr>
            <w:tcW w:w="1436" w:type="dxa"/>
            <w:tcBorders>
              <w:right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66,7</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4.4</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70,4</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84,2</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33,3</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62,5</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40</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72,7</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37,5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4.5</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86,7</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73,1</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94,7</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33,3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62,5</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72,7</w:t>
            </w:r>
          </w:p>
        </w:tc>
        <w:tc>
          <w:tcPr>
            <w:tcW w:w="1436" w:type="dxa"/>
            <w:tcBorders>
              <w:right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5.2</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76,2</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94,7</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66,7</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12,5</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0</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27,3</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33,3</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76,7</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69,6</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94,7</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37,5</w:t>
            </w:r>
          </w:p>
        </w:tc>
        <w:tc>
          <w:tcPr>
            <w:tcW w:w="143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45,5</w:t>
            </w:r>
          </w:p>
        </w:tc>
        <w:tc>
          <w:tcPr>
            <w:tcW w:w="1436" w:type="dxa"/>
            <w:tcBorders>
              <w:right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20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5.4</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76,2</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78,9</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33,3</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37,5</w:t>
            </w:r>
          </w:p>
        </w:tc>
        <w:tc>
          <w:tcPr>
            <w:tcW w:w="143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54,5</w:t>
            </w:r>
          </w:p>
        </w:tc>
        <w:tc>
          <w:tcPr>
            <w:tcW w:w="1436" w:type="dxa"/>
            <w:tcBorders>
              <w:right w:val="single" w:sz="4" w:space="0" w:color="auto"/>
            </w:tcBorders>
            <w:vAlign w:val="center"/>
          </w:tcPr>
          <w:p w:rsidR="00172CF7" w:rsidRPr="00172CF7" w:rsidRDefault="00172CF7" w:rsidP="004F79B3">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16,7</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bottom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5.5</w:t>
            </w:r>
          </w:p>
        </w:tc>
        <w:tc>
          <w:tcPr>
            <w:tcW w:w="1356" w:type="dxa"/>
            <w:tcBorders>
              <w:bottom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70</w:t>
            </w:r>
          </w:p>
        </w:tc>
        <w:tc>
          <w:tcPr>
            <w:tcW w:w="1436" w:type="dxa"/>
            <w:tcBorders>
              <w:bottom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81</w:t>
            </w:r>
          </w:p>
        </w:tc>
        <w:tc>
          <w:tcPr>
            <w:tcW w:w="1356" w:type="dxa"/>
            <w:tcBorders>
              <w:bottom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78,9</w:t>
            </w:r>
          </w:p>
        </w:tc>
        <w:tc>
          <w:tcPr>
            <w:tcW w:w="1436" w:type="dxa"/>
            <w:tcBorders>
              <w:bottom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tcBorders>
              <w:bottom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tcBorders>
              <w:bottom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33,3</w:t>
            </w:r>
          </w:p>
        </w:tc>
        <w:tc>
          <w:tcPr>
            <w:tcW w:w="1356" w:type="dxa"/>
            <w:tcBorders>
              <w:bottom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37,5</w:t>
            </w:r>
          </w:p>
        </w:tc>
        <w:tc>
          <w:tcPr>
            <w:tcW w:w="1436" w:type="dxa"/>
            <w:tcBorders>
              <w:bottom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33,3</w:t>
            </w:r>
          </w:p>
        </w:tc>
        <w:tc>
          <w:tcPr>
            <w:tcW w:w="1356" w:type="dxa"/>
            <w:tcBorders>
              <w:bottom w:val="single" w:sz="4" w:space="0" w:color="auto"/>
            </w:tcBorders>
            <w:vAlign w:val="center"/>
          </w:tcPr>
          <w:p w:rsidR="00172CF7" w:rsidRPr="00172CF7" w:rsidRDefault="00172CF7" w:rsidP="004F79B3">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54,5</w:t>
            </w:r>
          </w:p>
        </w:tc>
        <w:tc>
          <w:tcPr>
            <w:tcW w:w="1436" w:type="dxa"/>
            <w:tcBorders>
              <w:bottom w:val="single" w:sz="4" w:space="0" w:color="auto"/>
              <w:right w:val="single" w:sz="4" w:space="0" w:color="auto"/>
            </w:tcBorders>
            <w:vAlign w:val="center"/>
          </w:tcPr>
          <w:p w:rsidR="00172CF7" w:rsidRPr="00172CF7" w:rsidRDefault="00172CF7" w:rsidP="004F79B3">
            <w:pPr>
              <w:keepNext/>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33,3</w:t>
            </w:r>
          </w:p>
        </w:tc>
      </w:tr>
    </w:tbl>
    <w:p w:rsidR="00172CF7" w:rsidRPr="00172CF7" w:rsidRDefault="00172CF7" w:rsidP="00172CF7">
      <w:pPr>
        <w:spacing w:after="200" w:line="240" w:lineRule="auto"/>
        <w:jc w:val="both"/>
        <w:rPr>
          <w:rFonts w:eastAsia="MS Mincho" w:cs="Calibri"/>
          <w:i/>
          <w:iCs/>
          <w:sz w:val="18"/>
          <w:szCs w:val="20"/>
          <w:lang w:val="en-US" w:eastAsia="it-IT"/>
        </w:rPr>
      </w:pPr>
      <w:r w:rsidRPr="00172CF7">
        <w:rPr>
          <w:rFonts w:eastAsia="MS Mincho" w:cs="Calibri"/>
          <w:i/>
          <w:iCs/>
          <w:sz w:val="18"/>
          <w:szCs w:val="20"/>
          <w:lang w:val="en-US" w:eastAsia="it-IT"/>
        </w:rPr>
        <w:t xml:space="preserve">Supplementary table </w:t>
      </w:r>
      <w:r w:rsidRPr="00172CF7">
        <w:rPr>
          <w:rFonts w:eastAsia="MS Mincho" w:cs="Calibri"/>
          <w:i/>
          <w:iCs/>
          <w:sz w:val="18"/>
          <w:szCs w:val="20"/>
          <w:lang w:val="en-US" w:eastAsia="it-IT"/>
        </w:rPr>
        <w:fldChar w:fldCharType="begin"/>
      </w:r>
      <w:r w:rsidRPr="00172CF7">
        <w:rPr>
          <w:rFonts w:eastAsia="MS Mincho" w:cs="Calibri"/>
          <w:i/>
          <w:iCs/>
          <w:sz w:val="18"/>
          <w:szCs w:val="20"/>
          <w:lang w:val="en-US" w:eastAsia="it-IT"/>
        </w:rPr>
        <w:instrText xml:space="preserve"> SEQ Supplementary_table \* ARABIC </w:instrText>
      </w:r>
      <w:r w:rsidRPr="00172CF7">
        <w:rPr>
          <w:rFonts w:eastAsia="MS Mincho" w:cs="Calibri"/>
          <w:i/>
          <w:iCs/>
          <w:sz w:val="18"/>
          <w:szCs w:val="20"/>
          <w:lang w:val="en-US" w:eastAsia="it-IT"/>
        </w:rPr>
        <w:fldChar w:fldCharType="separate"/>
      </w:r>
      <w:r w:rsidRPr="00172CF7">
        <w:rPr>
          <w:rFonts w:eastAsia="MS Mincho" w:cs="Calibri"/>
          <w:i/>
          <w:iCs/>
          <w:noProof/>
          <w:sz w:val="18"/>
          <w:szCs w:val="20"/>
          <w:lang w:val="en-US" w:eastAsia="it-IT"/>
        </w:rPr>
        <w:t>4</w:t>
      </w:r>
      <w:r w:rsidRPr="00172CF7">
        <w:rPr>
          <w:rFonts w:eastAsia="MS Mincho" w:cs="Calibri"/>
          <w:i/>
          <w:iCs/>
          <w:sz w:val="18"/>
          <w:szCs w:val="20"/>
          <w:lang w:val="en-US" w:eastAsia="it-IT"/>
        </w:rPr>
        <w:fldChar w:fldCharType="end"/>
      </w:r>
      <w:r w:rsidRPr="00172CF7">
        <w:rPr>
          <w:rFonts w:eastAsia="MS Mincho" w:cs="Calibri"/>
          <w:i/>
          <w:iCs/>
          <w:sz w:val="18"/>
          <w:szCs w:val="20"/>
          <w:lang w:val="en-US" w:eastAsia="it-IT"/>
        </w:rPr>
        <w:t>. Percentages of detectable (SENS; qualitative scores: 1, 2 and 3) and measurable (MEAS; qualitative scores: 2 and 3) nodules on L-phantom. ULDCT datasets are listed in the first column: the first number representing the scanning protocols and the second number the strength of the applied iterative reconstruction. Results are initially reported for the whole nodule dataset, then results are divided by nodule type, namely solid nodules, part-solid nodules, non-solid nodules and sub-solid nodules [PSN: part-solid nodules; NSN: non-solid nodules].</w:t>
      </w:r>
    </w:p>
    <w:p w:rsidR="00172CF7" w:rsidRPr="00172CF7" w:rsidRDefault="00172CF7">
      <w:pPr>
        <w:rPr>
          <w:rFonts w:eastAsia="MS Mincho" w:cs="Calibri"/>
          <w:i/>
          <w:iCs/>
          <w:color w:val="1F497D"/>
          <w:sz w:val="18"/>
          <w:szCs w:val="20"/>
          <w:lang w:val="en-US" w:eastAsia="it-IT"/>
        </w:rPr>
      </w:pPr>
      <w:r w:rsidRPr="00172CF7">
        <w:rPr>
          <w:rFonts w:eastAsia="MS Mincho" w:cs="Calibri"/>
          <w:i/>
          <w:iCs/>
          <w:color w:val="1F497D"/>
          <w:sz w:val="18"/>
          <w:szCs w:val="20"/>
          <w:lang w:val="en-US" w:eastAsia="it-IT"/>
        </w:rPr>
        <w:br w:type="page"/>
      </w:r>
    </w:p>
    <w:p w:rsidR="00172CF7" w:rsidRPr="00172CF7" w:rsidRDefault="00172CF7" w:rsidP="00172CF7">
      <w:pPr>
        <w:spacing w:after="0" w:line="240" w:lineRule="auto"/>
        <w:ind w:firstLine="720"/>
        <w:jc w:val="both"/>
        <w:rPr>
          <w:rFonts w:eastAsia="MS Mincho" w:cs="Calibri"/>
          <w:sz w:val="18"/>
          <w:szCs w:val="20"/>
          <w:lang w:val="en-US"/>
        </w:rPr>
      </w:pPr>
    </w:p>
    <w:p w:rsidR="00172CF7" w:rsidRPr="00172CF7" w:rsidRDefault="00172CF7" w:rsidP="00172CF7">
      <w:pPr>
        <w:spacing w:after="0" w:line="240" w:lineRule="auto"/>
        <w:ind w:firstLine="720"/>
        <w:jc w:val="both"/>
        <w:rPr>
          <w:rFonts w:eastAsia="MS Mincho" w:cs="Calibri"/>
          <w:sz w:val="18"/>
          <w:szCs w:val="20"/>
          <w:lang w:val="en-US"/>
        </w:rPr>
      </w:pPr>
    </w:p>
    <w:tbl>
      <w:tblPr>
        <w:tblStyle w:val="Tabellagriglia2-colore41"/>
        <w:tblW w:w="12415" w:type="dxa"/>
        <w:jc w:val="center"/>
        <w:tblLayout w:type="fixed"/>
        <w:tblLook w:val="04A0" w:firstRow="1" w:lastRow="0" w:firstColumn="1" w:lastColumn="0" w:noHBand="0" w:noVBand="1"/>
      </w:tblPr>
      <w:tblGrid>
        <w:gridCol w:w="1247"/>
        <w:gridCol w:w="1356"/>
        <w:gridCol w:w="1436"/>
        <w:gridCol w:w="1356"/>
        <w:gridCol w:w="1436"/>
        <w:gridCol w:w="1356"/>
        <w:gridCol w:w="1436"/>
        <w:gridCol w:w="1356"/>
        <w:gridCol w:w="1436"/>
      </w:tblGrid>
      <w:tr w:rsidR="00172CF7" w:rsidRPr="00172CF7" w:rsidTr="00C6261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top w:val="single" w:sz="4" w:space="0" w:color="auto"/>
              <w:left w:val="single" w:sz="4" w:space="0" w:color="auto"/>
            </w:tcBorders>
          </w:tcPr>
          <w:p w:rsidR="00172CF7" w:rsidRPr="00172CF7" w:rsidRDefault="00172CF7" w:rsidP="00172CF7">
            <w:pPr>
              <w:jc w:val="both"/>
              <w:rPr>
                <w:rFonts w:cs="Calibri"/>
                <w:color w:val="000000"/>
                <w:sz w:val="18"/>
                <w:szCs w:val="20"/>
                <w:lang w:val="en-US"/>
              </w:rPr>
            </w:pPr>
            <w:r w:rsidRPr="00172CF7">
              <w:rPr>
                <w:rFonts w:cs="Calibri"/>
                <w:color w:val="000000"/>
                <w:sz w:val="18"/>
                <w:szCs w:val="20"/>
                <w:u w:val="single"/>
                <w:lang w:val="en-US"/>
              </w:rPr>
              <w:t>L-phantom</w:t>
            </w:r>
          </w:p>
        </w:tc>
        <w:tc>
          <w:tcPr>
            <w:tcW w:w="2792" w:type="dxa"/>
            <w:gridSpan w:val="2"/>
            <w:tcBorders>
              <w:top w:val="single" w:sz="4" w:space="0" w:color="auto"/>
            </w:tcBorders>
            <w:vAlign w:val="center"/>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solid nodules ≥4 mm (N=15)</w:t>
            </w:r>
          </w:p>
        </w:tc>
        <w:tc>
          <w:tcPr>
            <w:tcW w:w="2792" w:type="dxa"/>
            <w:gridSpan w:val="2"/>
            <w:tcBorders>
              <w:top w:val="single" w:sz="4" w:space="0" w:color="auto"/>
            </w:tcBorders>
            <w:vAlign w:val="center"/>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PSN ≥4 mm (N=3)</w:t>
            </w:r>
          </w:p>
        </w:tc>
        <w:tc>
          <w:tcPr>
            <w:tcW w:w="2792" w:type="dxa"/>
            <w:gridSpan w:val="2"/>
            <w:tcBorders>
              <w:top w:val="single" w:sz="4" w:space="0" w:color="auto"/>
            </w:tcBorders>
            <w:vAlign w:val="center"/>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NSN ≥4 mm (N=8)</w:t>
            </w:r>
          </w:p>
        </w:tc>
        <w:tc>
          <w:tcPr>
            <w:tcW w:w="2792" w:type="dxa"/>
            <w:gridSpan w:val="2"/>
            <w:tcBorders>
              <w:top w:val="single" w:sz="4" w:space="0" w:color="auto"/>
              <w:right w:val="single" w:sz="4" w:space="0" w:color="auto"/>
            </w:tcBorders>
            <w:vAlign w:val="center"/>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PSN+NSN ≥4 mm (N=11)</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CT protocol</w:t>
            </w:r>
          </w:p>
        </w:tc>
        <w:tc>
          <w:tcPr>
            <w:tcW w:w="135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c>
          <w:tcPr>
            <w:tcW w:w="135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c>
          <w:tcPr>
            <w:tcW w:w="135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c>
          <w:tcPr>
            <w:tcW w:w="135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tcBorders>
              <w:right w:val="single" w:sz="4" w:space="0" w:color="auto"/>
            </w:tcBorders>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Standard CT</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ref.</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ref.</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LDCT</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1.2</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28,6</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40</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1.3</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57,1</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c>
          <w:tcPr>
            <w:tcW w:w="1436" w:type="dxa"/>
            <w:tcBorders>
              <w:right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1.4</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75</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81,8</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1.5</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87,5</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2.2</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42,9</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2.3</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62,5</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63,6</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2.4</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2.5</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3.2</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63,6</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71,4</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3.3</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42,9</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90,9</w:t>
            </w:r>
          </w:p>
        </w:tc>
        <w:tc>
          <w:tcPr>
            <w:tcW w:w="1436" w:type="dxa"/>
            <w:tcBorders>
              <w:right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3.4</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72,7</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3.5</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66,7</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50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54,5</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4.2</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33,3</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37,5</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66,7</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36,4</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4.3</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33,3</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37,5</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54,5</w:t>
            </w:r>
          </w:p>
        </w:tc>
        <w:tc>
          <w:tcPr>
            <w:tcW w:w="1436" w:type="dxa"/>
            <w:tcBorders>
              <w:right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66,7</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4.4</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33,3</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62,5</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40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72,7</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37,5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4.5</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33,3</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62,5</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60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72,7</w:t>
            </w:r>
          </w:p>
        </w:tc>
        <w:tc>
          <w:tcPr>
            <w:tcW w:w="1436" w:type="dxa"/>
            <w:tcBorders>
              <w:right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5.2</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66,7</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12,5</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27,3</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33,3</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5.3</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66,7</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37,5</w:t>
            </w:r>
          </w:p>
        </w:tc>
        <w:tc>
          <w:tcPr>
            <w:tcW w:w="143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0</w:t>
            </w:r>
          </w:p>
        </w:tc>
        <w:tc>
          <w:tcPr>
            <w:tcW w:w="1356" w:type="dxa"/>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45,5</w:t>
            </w:r>
          </w:p>
        </w:tc>
        <w:tc>
          <w:tcPr>
            <w:tcW w:w="1436" w:type="dxa"/>
            <w:tcBorders>
              <w:right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20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5.4</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33,3</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37,5</w:t>
            </w:r>
          </w:p>
        </w:tc>
        <w:tc>
          <w:tcPr>
            <w:tcW w:w="143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0</w:t>
            </w:r>
          </w:p>
        </w:tc>
        <w:tc>
          <w:tcPr>
            <w:tcW w:w="1356" w:type="dxa"/>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54,5</w:t>
            </w:r>
          </w:p>
        </w:tc>
        <w:tc>
          <w:tcPr>
            <w:tcW w:w="1436" w:type="dxa"/>
            <w:tcBorders>
              <w:right w:val="single" w:sz="4" w:space="0" w:color="auto"/>
            </w:tcBorders>
            <w:vAlign w:val="center"/>
          </w:tcPr>
          <w:p w:rsidR="00172CF7" w:rsidRPr="00172CF7" w:rsidRDefault="00172CF7" w:rsidP="00175964">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16,7</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bottom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5.5</w:t>
            </w:r>
          </w:p>
        </w:tc>
        <w:tc>
          <w:tcPr>
            <w:tcW w:w="1356" w:type="dxa"/>
            <w:tcBorders>
              <w:bottom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bottom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tcBorders>
              <w:bottom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tcBorders>
              <w:bottom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33,3</w:t>
            </w:r>
          </w:p>
        </w:tc>
        <w:tc>
          <w:tcPr>
            <w:tcW w:w="1356" w:type="dxa"/>
            <w:tcBorders>
              <w:bottom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37,5</w:t>
            </w:r>
          </w:p>
        </w:tc>
        <w:tc>
          <w:tcPr>
            <w:tcW w:w="1436" w:type="dxa"/>
            <w:tcBorders>
              <w:bottom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33,3</w:t>
            </w:r>
          </w:p>
        </w:tc>
        <w:tc>
          <w:tcPr>
            <w:tcW w:w="1356" w:type="dxa"/>
            <w:tcBorders>
              <w:bottom w:val="single" w:sz="4" w:space="0" w:color="auto"/>
            </w:tcBorders>
            <w:vAlign w:val="center"/>
          </w:tcPr>
          <w:p w:rsidR="00172CF7" w:rsidRPr="00172CF7" w:rsidRDefault="00172CF7" w:rsidP="00175964">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54,5</w:t>
            </w:r>
          </w:p>
        </w:tc>
        <w:tc>
          <w:tcPr>
            <w:tcW w:w="1436" w:type="dxa"/>
            <w:tcBorders>
              <w:bottom w:val="single" w:sz="4" w:space="0" w:color="auto"/>
              <w:right w:val="single" w:sz="4" w:space="0" w:color="auto"/>
            </w:tcBorders>
            <w:vAlign w:val="center"/>
          </w:tcPr>
          <w:p w:rsidR="00172CF7" w:rsidRPr="00172CF7" w:rsidRDefault="00172CF7" w:rsidP="00175964">
            <w:pPr>
              <w:keepNext/>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33,3</w:t>
            </w:r>
          </w:p>
        </w:tc>
      </w:tr>
    </w:tbl>
    <w:p w:rsidR="00172CF7" w:rsidRPr="00172CF7" w:rsidRDefault="00172CF7" w:rsidP="00172CF7">
      <w:pPr>
        <w:spacing w:after="200" w:line="240" w:lineRule="auto"/>
        <w:jc w:val="both"/>
        <w:rPr>
          <w:rFonts w:eastAsia="MS Mincho" w:cs="Calibri"/>
          <w:i/>
          <w:iCs/>
          <w:sz w:val="18"/>
          <w:szCs w:val="20"/>
          <w:lang w:val="en-US" w:eastAsia="it-IT"/>
        </w:rPr>
      </w:pPr>
      <w:r w:rsidRPr="00172CF7">
        <w:rPr>
          <w:rFonts w:eastAsia="MS Mincho" w:cs="Calibri"/>
          <w:i/>
          <w:iCs/>
          <w:sz w:val="18"/>
          <w:szCs w:val="20"/>
          <w:lang w:val="en-US" w:eastAsia="it-IT"/>
        </w:rPr>
        <w:t xml:space="preserve">Supplementary table </w:t>
      </w:r>
      <w:r w:rsidRPr="00172CF7">
        <w:rPr>
          <w:rFonts w:eastAsia="MS Mincho" w:cs="Calibri"/>
          <w:i/>
          <w:iCs/>
          <w:sz w:val="18"/>
          <w:szCs w:val="20"/>
          <w:lang w:val="en-US" w:eastAsia="it-IT"/>
        </w:rPr>
        <w:fldChar w:fldCharType="begin"/>
      </w:r>
      <w:r w:rsidRPr="00172CF7">
        <w:rPr>
          <w:rFonts w:eastAsia="MS Mincho" w:cs="Calibri"/>
          <w:i/>
          <w:iCs/>
          <w:sz w:val="18"/>
          <w:szCs w:val="20"/>
          <w:lang w:val="en-US" w:eastAsia="it-IT"/>
        </w:rPr>
        <w:instrText xml:space="preserve"> SEQ Supplementary_table \* ARABIC </w:instrText>
      </w:r>
      <w:r w:rsidRPr="00172CF7">
        <w:rPr>
          <w:rFonts w:eastAsia="MS Mincho" w:cs="Calibri"/>
          <w:i/>
          <w:iCs/>
          <w:sz w:val="18"/>
          <w:szCs w:val="20"/>
          <w:lang w:val="en-US" w:eastAsia="it-IT"/>
        </w:rPr>
        <w:fldChar w:fldCharType="separate"/>
      </w:r>
      <w:r w:rsidRPr="00172CF7">
        <w:rPr>
          <w:rFonts w:eastAsia="MS Mincho" w:cs="Calibri"/>
          <w:i/>
          <w:iCs/>
          <w:noProof/>
          <w:sz w:val="18"/>
          <w:szCs w:val="20"/>
          <w:lang w:val="en-US" w:eastAsia="it-IT"/>
        </w:rPr>
        <w:t>5</w:t>
      </w:r>
      <w:r w:rsidRPr="00172CF7">
        <w:rPr>
          <w:rFonts w:eastAsia="MS Mincho" w:cs="Calibri"/>
          <w:i/>
          <w:iCs/>
          <w:sz w:val="18"/>
          <w:szCs w:val="20"/>
          <w:lang w:val="en-US" w:eastAsia="it-IT"/>
        </w:rPr>
        <w:fldChar w:fldCharType="end"/>
      </w:r>
      <w:r w:rsidRPr="00172CF7">
        <w:rPr>
          <w:rFonts w:eastAsia="MS Mincho" w:cs="Calibri"/>
          <w:i/>
          <w:iCs/>
          <w:sz w:val="18"/>
          <w:szCs w:val="20"/>
          <w:lang w:val="en-US" w:eastAsia="it-IT"/>
        </w:rPr>
        <w:t xml:space="preserve">. Supplementary table </w:t>
      </w:r>
      <w:r w:rsidRPr="00172CF7">
        <w:rPr>
          <w:rFonts w:eastAsia="MS Mincho" w:cs="Calibri"/>
          <w:i/>
          <w:iCs/>
          <w:sz w:val="18"/>
          <w:szCs w:val="20"/>
          <w:lang w:val="en-US" w:eastAsia="it-IT"/>
        </w:rPr>
        <w:fldChar w:fldCharType="begin"/>
      </w:r>
      <w:r w:rsidRPr="00172CF7">
        <w:rPr>
          <w:rFonts w:eastAsia="MS Mincho" w:cs="Calibri"/>
          <w:i/>
          <w:iCs/>
          <w:sz w:val="18"/>
          <w:szCs w:val="20"/>
          <w:lang w:val="en-US" w:eastAsia="it-IT"/>
        </w:rPr>
        <w:instrText xml:space="preserve"> SEQ Supplementary_table \* ARABIC </w:instrText>
      </w:r>
      <w:r w:rsidRPr="00172CF7">
        <w:rPr>
          <w:rFonts w:eastAsia="MS Mincho" w:cs="Calibri"/>
          <w:i/>
          <w:iCs/>
          <w:sz w:val="18"/>
          <w:szCs w:val="20"/>
          <w:lang w:val="en-US" w:eastAsia="it-IT"/>
        </w:rPr>
        <w:fldChar w:fldCharType="separate"/>
      </w:r>
      <w:r w:rsidRPr="00172CF7">
        <w:rPr>
          <w:rFonts w:eastAsia="MS Mincho" w:cs="Calibri"/>
          <w:i/>
          <w:iCs/>
          <w:noProof/>
          <w:sz w:val="18"/>
          <w:szCs w:val="20"/>
          <w:lang w:val="en-US" w:eastAsia="it-IT"/>
        </w:rPr>
        <w:t>6</w:t>
      </w:r>
      <w:r w:rsidRPr="00172CF7">
        <w:rPr>
          <w:rFonts w:eastAsia="MS Mincho" w:cs="Calibri"/>
          <w:i/>
          <w:iCs/>
          <w:sz w:val="18"/>
          <w:szCs w:val="20"/>
          <w:lang w:val="en-US" w:eastAsia="it-IT"/>
        </w:rPr>
        <w:fldChar w:fldCharType="end"/>
      </w:r>
      <w:r w:rsidRPr="00172CF7">
        <w:rPr>
          <w:rFonts w:eastAsia="MS Mincho" w:cs="Calibri"/>
          <w:i/>
          <w:iCs/>
          <w:sz w:val="18"/>
          <w:szCs w:val="20"/>
          <w:lang w:val="en-US" w:eastAsia="it-IT"/>
        </w:rPr>
        <w:t>. Percentages of detectable (SENS; qualitative scores: 1, 2 and 3) and measurable (MEAS; qualitative scores: 2 and 3) nodules (≥4 mm) on L-phantom. ULDCT datasets are listed in the first column: the first number representing the scanning protocols and the second number the strength of the applied iterative reconstruction. Results are stratified by nodule type, namely solid nodules, part-solid nodules, non-solid nodules and sub-solid nodules [PSN: part-solid nodules; NSN: non-solid nodules].</w:t>
      </w:r>
    </w:p>
    <w:p w:rsidR="00172CF7" w:rsidRPr="00172CF7" w:rsidRDefault="00172CF7">
      <w:pPr>
        <w:rPr>
          <w:rFonts w:eastAsia="MS Mincho" w:cs="Calibri"/>
          <w:i/>
          <w:iCs/>
          <w:color w:val="1F497D"/>
          <w:sz w:val="18"/>
          <w:szCs w:val="20"/>
          <w:lang w:val="en-US" w:eastAsia="it-IT"/>
        </w:rPr>
      </w:pPr>
      <w:r w:rsidRPr="00172CF7">
        <w:rPr>
          <w:rFonts w:eastAsia="MS Mincho" w:cs="Calibri"/>
          <w:i/>
          <w:iCs/>
          <w:color w:val="1F497D"/>
          <w:sz w:val="18"/>
          <w:szCs w:val="20"/>
          <w:lang w:val="en-US" w:eastAsia="it-IT"/>
        </w:rPr>
        <w:br w:type="page"/>
      </w:r>
    </w:p>
    <w:p w:rsidR="00172CF7" w:rsidRPr="00172CF7" w:rsidRDefault="00172CF7" w:rsidP="00172CF7">
      <w:pPr>
        <w:spacing w:after="200" w:line="240" w:lineRule="auto"/>
        <w:ind w:firstLine="720"/>
        <w:jc w:val="both"/>
        <w:rPr>
          <w:rFonts w:eastAsia="MS Mincho" w:cs="Calibri"/>
          <w:i/>
          <w:iCs/>
          <w:color w:val="1F497D"/>
          <w:sz w:val="18"/>
          <w:szCs w:val="20"/>
          <w:lang w:val="en-US" w:eastAsia="it-IT"/>
        </w:rPr>
      </w:pPr>
    </w:p>
    <w:p w:rsidR="00172CF7" w:rsidRPr="00172CF7" w:rsidRDefault="00172CF7" w:rsidP="00172CF7">
      <w:pPr>
        <w:spacing w:after="0" w:line="240" w:lineRule="auto"/>
        <w:ind w:firstLine="720"/>
        <w:jc w:val="both"/>
        <w:rPr>
          <w:rFonts w:eastAsia="MS Mincho" w:cs="Calibri"/>
          <w:sz w:val="18"/>
          <w:szCs w:val="20"/>
          <w:lang w:val="en-US"/>
        </w:rPr>
      </w:pPr>
    </w:p>
    <w:tbl>
      <w:tblPr>
        <w:tblStyle w:val="Tabellagriglia2-colore41"/>
        <w:tblW w:w="12415" w:type="dxa"/>
        <w:jc w:val="center"/>
        <w:tblLayout w:type="fixed"/>
        <w:tblLook w:val="04A0" w:firstRow="1" w:lastRow="0" w:firstColumn="1" w:lastColumn="0" w:noHBand="0" w:noVBand="1"/>
      </w:tblPr>
      <w:tblGrid>
        <w:gridCol w:w="1247"/>
        <w:gridCol w:w="1356"/>
        <w:gridCol w:w="1436"/>
        <w:gridCol w:w="1356"/>
        <w:gridCol w:w="1436"/>
        <w:gridCol w:w="1356"/>
        <w:gridCol w:w="1436"/>
        <w:gridCol w:w="1356"/>
        <w:gridCol w:w="1436"/>
      </w:tblGrid>
      <w:tr w:rsidR="00172CF7" w:rsidRPr="00172CF7" w:rsidTr="00C6261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top w:val="single" w:sz="4" w:space="0" w:color="auto"/>
              <w:left w:val="single" w:sz="4" w:space="0" w:color="auto"/>
            </w:tcBorders>
          </w:tcPr>
          <w:p w:rsidR="00172CF7" w:rsidRPr="00172CF7" w:rsidRDefault="00172CF7" w:rsidP="00172CF7">
            <w:pPr>
              <w:jc w:val="both"/>
              <w:rPr>
                <w:rFonts w:cs="Calibri"/>
                <w:color w:val="000000"/>
                <w:sz w:val="18"/>
                <w:szCs w:val="20"/>
                <w:u w:val="single"/>
                <w:lang w:val="en-US"/>
              </w:rPr>
            </w:pPr>
            <w:r w:rsidRPr="00172CF7">
              <w:rPr>
                <w:rFonts w:cs="Calibri"/>
                <w:color w:val="000000"/>
                <w:sz w:val="18"/>
                <w:szCs w:val="20"/>
                <w:u w:val="single"/>
                <w:lang w:val="en-US"/>
              </w:rPr>
              <w:t>L-phantom</w:t>
            </w:r>
          </w:p>
        </w:tc>
        <w:tc>
          <w:tcPr>
            <w:tcW w:w="2792" w:type="dxa"/>
            <w:gridSpan w:val="2"/>
            <w:tcBorders>
              <w:top w:val="single" w:sz="4" w:space="0" w:color="auto"/>
            </w:tcBorders>
            <w:vAlign w:val="center"/>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solid nodules ≥6 mm (N=11)</w:t>
            </w:r>
          </w:p>
        </w:tc>
        <w:tc>
          <w:tcPr>
            <w:tcW w:w="2792" w:type="dxa"/>
            <w:gridSpan w:val="2"/>
            <w:tcBorders>
              <w:top w:val="single" w:sz="4" w:space="0" w:color="auto"/>
            </w:tcBorders>
            <w:vAlign w:val="center"/>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PSN ≥6 mm (N=2)</w:t>
            </w:r>
          </w:p>
        </w:tc>
        <w:tc>
          <w:tcPr>
            <w:tcW w:w="2792" w:type="dxa"/>
            <w:gridSpan w:val="2"/>
            <w:tcBorders>
              <w:top w:val="single" w:sz="4" w:space="0" w:color="auto"/>
            </w:tcBorders>
            <w:vAlign w:val="center"/>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NSN ≥6 mm (N=6)</w:t>
            </w:r>
          </w:p>
        </w:tc>
        <w:tc>
          <w:tcPr>
            <w:tcW w:w="2792" w:type="dxa"/>
            <w:gridSpan w:val="2"/>
            <w:tcBorders>
              <w:top w:val="single" w:sz="4" w:space="0" w:color="auto"/>
              <w:right w:val="single" w:sz="4" w:space="0" w:color="auto"/>
            </w:tcBorders>
            <w:vAlign w:val="center"/>
          </w:tcPr>
          <w:p w:rsidR="00172CF7" w:rsidRPr="00172CF7" w:rsidRDefault="00172CF7" w:rsidP="008216AF">
            <w:pPr>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sz w:val="18"/>
                <w:szCs w:val="20"/>
                <w:lang w:val="en-US"/>
              </w:rPr>
              <w:t>PSN+NSN ≥6mm (N=11)</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CT protocol</w:t>
            </w:r>
          </w:p>
        </w:tc>
        <w:tc>
          <w:tcPr>
            <w:tcW w:w="135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c>
          <w:tcPr>
            <w:tcW w:w="135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c>
          <w:tcPr>
            <w:tcW w:w="135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c>
          <w:tcPr>
            <w:tcW w:w="1356" w:type="dxa"/>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SENS (%)</w:t>
            </w:r>
          </w:p>
        </w:tc>
        <w:tc>
          <w:tcPr>
            <w:tcW w:w="1436" w:type="dxa"/>
            <w:tcBorders>
              <w:right w:val="single" w:sz="4" w:space="0" w:color="auto"/>
            </w:tcBorders>
            <w:vAlign w:val="center"/>
          </w:tcPr>
          <w:p w:rsidR="00172CF7" w:rsidRPr="00172CF7" w:rsidRDefault="00172CF7" w:rsidP="00172CF7">
            <w:pPr>
              <w:jc w:val="center"/>
              <w:cnfStyle w:val="000000100000" w:firstRow="0" w:lastRow="0" w:firstColumn="0" w:lastColumn="0" w:oddVBand="0" w:evenVBand="0" w:oddHBand="1" w:evenHBand="0" w:firstRowFirstColumn="0" w:firstRowLastColumn="0" w:lastRowFirstColumn="0" w:lastRowLastColumn="0"/>
              <w:rPr>
                <w:rFonts w:cs="Calibri"/>
                <w:i/>
                <w:color w:val="000000"/>
                <w:sz w:val="18"/>
                <w:szCs w:val="20"/>
                <w:lang w:val="en-US"/>
              </w:rPr>
            </w:pPr>
            <w:r w:rsidRPr="00172CF7">
              <w:rPr>
                <w:rFonts w:cs="Calibri"/>
                <w:i/>
                <w:color w:val="000000"/>
                <w:sz w:val="18"/>
                <w:szCs w:val="20"/>
                <w:lang w:val="en-US"/>
              </w:rPr>
              <w:t>MEAS (%)</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Standard CT</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ref.</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ref.</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ref.</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LDCT</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1.2</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40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42,9</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1.3</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c>
          <w:tcPr>
            <w:tcW w:w="1436" w:type="dxa"/>
            <w:tcBorders>
              <w:right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71,4</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1.4</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66,7</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1.5</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83,3</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2.2</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57,1</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2.3</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66,7</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62,5</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2.4</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2.5</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3.2</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66,7</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66,7</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3.3</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83,3</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87,5</w:t>
            </w:r>
          </w:p>
        </w:tc>
        <w:tc>
          <w:tcPr>
            <w:tcW w:w="1436" w:type="dxa"/>
            <w:tcBorders>
              <w:right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57,1</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3.4</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66,7</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62,5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3.5</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66,7</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right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62,5</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4.2</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66,7</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4.3</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62,5</w:t>
            </w:r>
          </w:p>
        </w:tc>
        <w:tc>
          <w:tcPr>
            <w:tcW w:w="1436" w:type="dxa"/>
            <w:tcBorders>
              <w:right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80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4.4</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66,7</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4.5</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66,7</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75</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75</w:t>
            </w:r>
          </w:p>
        </w:tc>
        <w:tc>
          <w:tcPr>
            <w:tcW w:w="1436" w:type="dxa"/>
            <w:tcBorders>
              <w:right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66,7</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5.2</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16,7</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37,5</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33,3</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5.3</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c>
          <w:tcPr>
            <w:tcW w:w="143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0</w:t>
            </w:r>
          </w:p>
        </w:tc>
        <w:tc>
          <w:tcPr>
            <w:tcW w:w="1356" w:type="dxa"/>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62,5</w:t>
            </w:r>
          </w:p>
        </w:tc>
        <w:tc>
          <w:tcPr>
            <w:tcW w:w="1436" w:type="dxa"/>
            <w:tcBorders>
              <w:right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20</w:t>
            </w:r>
          </w:p>
        </w:tc>
      </w:tr>
      <w:tr w:rsidR="00172CF7" w:rsidRPr="00172CF7" w:rsidTr="00C62611">
        <w:trPr>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5.4</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50</w:t>
            </w:r>
          </w:p>
        </w:tc>
        <w:tc>
          <w:tcPr>
            <w:tcW w:w="143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0</w:t>
            </w:r>
          </w:p>
        </w:tc>
        <w:tc>
          <w:tcPr>
            <w:tcW w:w="1356" w:type="dxa"/>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62,5</w:t>
            </w:r>
          </w:p>
        </w:tc>
        <w:tc>
          <w:tcPr>
            <w:tcW w:w="1436" w:type="dxa"/>
            <w:tcBorders>
              <w:right w:val="single" w:sz="4" w:space="0" w:color="auto"/>
            </w:tcBorders>
            <w:vAlign w:val="center"/>
          </w:tcPr>
          <w:p w:rsidR="00172CF7" w:rsidRPr="00172CF7" w:rsidRDefault="00172CF7" w:rsidP="00AB24AA">
            <w:pPr>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20</w:t>
            </w:r>
          </w:p>
        </w:tc>
      </w:tr>
      <w:tr w:rsidR="00172CF7" w:rsidRPr="00172CF7" w:rsidTr="00C626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7" w:type="dxa"/>
            <w:tcBorders>
              <w:left w:val="single" w:sz="4" w:space="0" w:color="auto"/>
              <w:bottom w:val="single" w:sz="4" w:space="0" w:color="auto"/>
            </w:tcBorders>
            <w:hideMark/>
          </w:tcPr>
          <w:p w:rsidR="00172CF7" w:rsidRPr="00172CF7" w:rsidRDefault="00172CF7" w:rsidP="00172CF7">
            <w:pPr>
              <w:jc w:val="both"/>
              <w:rPr>
                <w:rFonts w:cs="Calibri"/>
                <w:color w:val="000000"/>
                <w:sz w:val="18"/>
                <w:szCs w:val="20"/>
                <w:lang w:val="en-US"/>
              </w:rPr>
            </w:pPr>
            <w:r w:rsidRPr="00172CF7">
              <w:rPr>
                <w:rFonts w:cs="Calibri"/>
                <w:color w:val="000000"/>
                <w:sz w:val="18"/>
                <w:szCs w:val="20"/>
                <w:lang w:val="en-US"/>
              </w:rPr>
              <w:t>ULDCT 5.5</w:t>
            </w:r>
          </w:p>
        </w:tc>
        <w:tc>
          <w:tcPr>
            <w:tcW w:w="1356" w:type="dxa"/>
            <w:tcBorders>
              <w:bottom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436" w:type="dxa"/>
            <w:tcBorders>
              <w:bottom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100</w:t>
            </w:r>
          </w:p>
        </w:tc>
        <w:tc>
          <w:tcPr>
            <w:tcW w:w="1356" w:type="dxa"/>
            <w:tcBorders>
              <w:bottom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100</w:t>
            </w:r>
          </w:p>
        </w:tc>
        <w:tc>
          <w:tcPr>
            <w:tcW w:w="1436" w:type="dxa"/>
            <w:tcBorders>
              <w:bottom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eastAsia="Times New Roman" w:cs="Calibri"/>
                <w:color w:val="000000"/>
                <w:sz w:val="18"/>
                <w:szCs w:val="20"/>
                <w:lang w:val="en-US"/>
              </w:rPr>
              <w:t>50</w:t>
            </w:r>
          </w:p>
        </w:tc>
        <w:tc>
          <w:tcPr>
            <w:tcW w:w="1356" w:type="dxa"/>
            <w:tcBorders>
              <w:bottom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50</w:t>
            </w:r>
          </w:p>
        </w:tc>
        <w:tc>
          <w:tcPr>
            <w:tcW w:w="1436" w:type="dxa"/>
            <w:tcBorders>
              <w:bottom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18"/>
                <w:szCs w:val="20"/>
                <w:lang w:val="en-US"/>
              </w:rPr>
            </w:pPr>
            <w:r w:rsidRPr="00172CF7">
              <w:rPr>
                <w:rFonts w:cs="Calibri"/>
                <w:color w:val="000000"/>
                <w:sz w:val="18"/>
                <w:szCs w:val="20"/>
                <w:lang w:val="en-US"/>
              </w:rPr>
              <w:t>33,3</w:t>
            </w:r>
          </w:p>
        </w:tc>
        <w:tc>
          <w:tcPr>
            <w:tcW w:w="1356" w:type="dxa"/>
            <w:tcBorders>
              <w:bottom w:val="single" w:sz="4" w:space="0" w:color="auto"/>
            </w:tcBorders>
            <w:vAlign w:val="center"/>
          </w:tcPr>
          <w:p w:rsidR="00172CF7" w:rsidRPr="00172CF7" w:rsidRDefault="00172CF7" w:rsidP="00AB24AA">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62,5</w:t>
            </w:r>
          </w:p>
        </w:tc>
        <w:tc>
          <w:tcPr>
            <w:tcW w:w="1436" w:type="dxa"/>
            <w:tcBorders>
              <w:bottom w:val="single" w:sz="4" w:space="0" w:color="auto"/>
              <w:right w:val="single" w:sz="4" w:space="0" w:color="auto"/>
            </w:tcBorders>
            <w:vAlign w:val="center"/>
          </w:tcPr>
          <w:p w:rsidR="00172CF7" w:rsidRPr="00172CF7" w:rsidRDefault="00172CF7" w:rsidP="00AB24AA">
            <w:pPr>
              <w:keepNext/>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20"/>
                <w:lang w:val="en-US"/>
              </w:rPr>
            </w:pPr>
            <w:r w:rsidRPr="00172CF7">
              <w:rPr>
                <w:rFonts w:cs="Calibri"/>
                <w:color w:val="000000"/>
                <w:sz w:val="18"/>
                <w:szCs w:val="20"/>
                <w:lang w:val="en-US"/>
              </w:rPr>
              <w:t>40</w:t>
            </w:r>
          </w:p>
        </w:tc>
      </w:tr>
    </w:tbl>
    <w:bookmarkEnd w:id="0"/>
    <w:bookmarkEnd w:id="2"/>
    <w:p w:rsidR="00172CF7" w:rsidRPr="00172CF7" w:rsidRDefault="00172CF7" w:rsidP="00172CF7">
      <w:pPr>
        <w:spacing w:after="200" w:line="240" w:lineRule="auto"/>
        <w:jc w:val="both"/>
        <w:rPr>
          <w:rFonts w:eastAsia="MS Mincho" w:cs="Calibri"/>
          <w:i/>
          <w:iCs/>
          <w:sz w:val="18"/>
          <w:szCs w:val="20"/>
          <w:lang w:val="en-US" w:eastAsia="it-IT"/>
        </w:rPr>
      </w:pPr>
      <w:r w:rsidRPr="00172CF7">
        <w:rPr>
          <w:rFonts w:eastAsia="MS Mincho" w:cs="Calibri"/>
          <w:i/>
          <w:iCs/>
          <w:sz w:val="18"/>
          <w:szCs w:val="20"/>
          <w:lang w:val="en-US" w:eastAsia="it-IT"/>
        </w:rPr>
        <w:t xml:space="preserve">Supplementary table </w:t>
      </w:r>
      <w:r>
        <w:rPr>
          <w:rFonts w:eastAsia="MS Mincho" w:cs="Calibri"/>
          <w:i/>
          <w:iCs/>
          <w:sz w:val="18"/>
          <w:szCs w:val="20"/>
          <w:lang w:val="en-US" w:eastAsia="it-IT"/>
        </w:rPr>
        <w:t>6</w:t>
      </w:r>
      <w:r w:rsidRPr="00172CF7">
        <w:rPr>
          <w:rFonts w:eastAsia="MS Mincho" w:cs="Calibri"/>
          <w:i/>
          <w:iCs/>
          <w:sz w:val="18"/>
          <w:szCs w:val="20"/>
          <w:lang w:val="en-US" w:eastAsia="it-IT"/>
        </w:rPr>
        <w:t>. Percentages of detectable (SENS; qualitative scores: 1, 2 and 3) and measurable (MEAS; qualitative scores: 2 and 3) nodules (≥6 mm) on L-phantom. ULDCT datasets are listed in the first column: the first number representing the scanning protocols and the second number the strength of the applied iterative reconstruction. Results are stratified by nodule type, namely solid nodules, part-solid nodules, non-solid nodules and sub-solid nodules [PSN: part-solid nodules; NSN: non-solid nodules].</w:t>
      </w:r>
    </w:p>
    <w:p w:rsidR="00172CF7" w:rsidRPr="00172CF7" w:rsidRDefault="00172CF7" w:rsidP="00172CF7">
      <w:pPr>
        <w:spacing w:after="200" w:line="240" w:lineRule="auto"/>
        <w:ind w:firstLine="720"/>
        <w:jc w:val="both"/>
        <w:rPr>
          <w:rFonts w:eastAsia="MS Mincho" w:cs="Calibri"/>
          <w:i/>
          <w:iCs/>
          <w:color w:val="1F497D"/>
          <w:sz w:val="18"/>
          <w:szCs w:val="20"/>
          <w:lang w:val="en-US" w:eastAsia="it-IT"/>
        </w:rPr>
      </w:pPr>
    </w:p>
    <w:p w:rsidR="007B1A28" w:rsidRPr="00172CF7" w:rsidRDefault="007B1A28">
      <w:pPr>
        <w:rPr>
          <w:sz w:val="18"/>
          <w:szCs w:val="20"/>
          <w:lang w:val="en-GB"/>
        </w:rPr>
      </w:pPr>
    </w:p>
    <w:sectPr w:rsidR="007B1A28" w:rsidRPr="00172CF7" w:rsidSect="00172CF7">
      <w:footerReference w:type="even" r:id="rId8"/>
      <w:footerReference w:type="default" r:id="rId9"/>
      <w:type w:val="nextColumn"/>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27" w:rsidRDefault="00223027">
      <w:pPr>
        <w:spacing w:after="0" w:line="240" w:lineRule="auto"/>
      </w:pPr>
      <w:r>
        <w:separator/>
      </w:r>
    </w:p>
  </w:endnote>
  <w:endnote w:type="continuationSeparator" w:id="0">
    <w:p w:rsidR="00223027" w:rsidRDefault="0022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11" w:rsidRDefault="00C62611" w:rsidP="00C62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2611" w:rsidRDefault="00C62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11" w:rsidRDefault="00C62611" w:rsidP="00C62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D14">
      <w:rPr>
        <w:rStyle w:val="PageNumber"/>
        <w:noProof/>
      </w:rPr>
      <w:t>1</w:t>
    </w:r>
    <w:r>
      <w:rPr>
        <w:rStyle w:val="PageNumber"/>
      </w:rPr>
      <w:fldChar w:fldCharType="end"/>
    </w:r>
  </w:p>
  <w:p w:rsidR="00C62611" w:rsidRDefault="00C6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27" w:rsidRDefault="00223027">
      <w:pPr>
        <w:spacing w:after="0" w:line="240" w:lineRule="auto"/>
      </w:pPr>
      <w:r>
        <w:separator/>
      </w:r>
    </w:p>
  </w:footnote>
  <w:footnote w:type="continuationSeparator" w:id="0">
    <w:p w:rsidR="00223027" w:rsidRDefault="00223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B89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72959"/>
    <w:multiLevelType w:val="hybridMultilevel"/>
    <w:tmpl w:val="7B04E21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9B3129"/>
    <w:multiLevelType w:val="hybridMultilevel"/>
    <w:tmpl w:val="62A007E6"/>
    <w:lvl w:ilvl="0" w:tplc="9236CA1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82EF1"/>
    <w:multiLevelType w:val="hybridMultilevel"/>
    <w:tmpl w:val="7B04E21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8F3143"/>
    <w:multiLevelType w:val="hybridMultilevel"/>
    <w:tmpl w:val="2E46851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3E3D6E"/>
    <w:multiLevelType w:val="hybridMultilevel"/>
    <w:tmpl w:val="D5885004"/>
    <w:lvl w:ilvl="0" w:tplc="9236CA1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7E1B41"/>
    <w:multiLevelType w:val="hybridMultilevel"/>
    <w:tmpl w:val="9F286D26"/>
    <w:lvl w:ilvl="0" w:tplc="3A24FB4A">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C13CA"/>
    <w:multiLevelType w:val="hybridMultilevel"/>
    <w:tmpl w:val="CCC66FC2"/>
    <w:lvl w:ilvl="0" w:tplc="E00CD632">
      <w:start w:val="1"/>
      <w:numFmt w:val="bullet"/>
      <w:lvlText w:val="•"/>
      <w:lvlJc w:val="left"/>
      <w:pPr>
        <w:tabs>
          <w:tab w:val="num" w:pos="720"/>
        </w:tabs>
        <w:ind w:left="720" w:hanging="360"/>
      </w:pPr>
      <w:rPr>
        <w:rFonts w:ascii="Arial" w:hAnsi="Arial" w:hint="default"/>
      </w:rPr>
    </w:lvl>
    <w:lvl w:ilvl="1" w:tplc="F962B524">
      <w:start w:val="1"/>
      <w:numFmt w:val="bullet"/>
      <w:lvlText w:val="•"/>
      <w:lvlJc w:val="left"/>
      <w:pPr>
        <w:tabs>
          <w:tab w:val="num" w:pos="1440"/>
        </w:tabs>
        <w:ind w:left="1440" w:hanging="360"/>
      </w:pPr>
      <w:rPr>
        <w:rFonts w:ascii="Arial" w:hAnsi="Arial" w:hint="default"/>
      </w:rPr>
    </w:lvl>
    <w:lvl w:ilvl="2" w:tplc="CE74DB3A" w:tentative="1">
      <w:start w:val="1"/>
      <w:numFmt w:val="bullet"/>
      <w:lvlText w:val="•"/>
      <w:lvlJc w:val="left"/>
      <w:pPr>
        <w:tabs>
          <w:tab w:val="num" w:pos="2160"/>
        </w:tabs>
        <w:ind w:left="2160" w:hanging="360"/>
      </w:pPr>
      <w:rPr>
        <w:rFonts w:ascii="Arial" w:hAnsi="Arial" w:hint="default"/>
      </w:rPr>
    </w:lvl>
    <w:lvl w:ilvl="3" w:tplc="C502537A" w:tentative="1">
      <w:start w:val="1"/>
      <w:numFmt w:val="bullet"/>
      <w:lvlText w:val="•"/>
      <w:lvlJc w:val="left"/>
      <w:pPr>
        <w:tabs>
          <w:tab w:val="num" w:pos="2880"/>
        </w:tabs>
        <w:ind w:left="2880" w:hanging="360"/>
      </w:pPr>
      <w:rPr>
        <w:rFonts w:ascii="Arial" w:hAnsi="Arial" w:hint="default"/>
      </w:rPr>
    </w:lvl>
    <w:lvl w:ilvl="4" w:tplc="EB6C3F68" w:tentative="1">
      <w:start w:val="1"/>
      <w:numFmt w:val="bullet"/>
      <w:lvlText w:val="•"/>
      <w:lvlJc w:val="left"/>
      <w:pPr>
        <w:tabs>
          <w:tab w:val="num" w:pos="3600"/>
        </w:tabs>
        <w:ind w:left="3600" w:hanging="360"/>
      </w:pPr>
      <w:rPr>
        <w:rFonts w:ascii="Arial" w:hAnsi="Arial" w:hint="default"/>
      </w:rPr>
    </w:lvl>
    <w:lvl w:ilvl="5" w:tplc="EC589ED4" w:tentative="1">
      <w:start w:val="1"/>
      <w:numFmt w:val="bullet"/>
      <w:lvlText w:val="•"/>
      <w:lvlJc w:val="left"/>
      <w:pPr>
        <w:tabs>
          <w:tab w:val="num" w:pos="4320"/>
        </w:tabs>
        <w:ind w:left="4320" w:hanging="360"/>
      </w:pPr>
      <w:rPr>
        <w:rFonts w:ascii="Arial" w:hAnsi="Arial" w:hint="default"/>
      </w:rPr>
    </w:lvl>
    <w:lvl w:ilvl="6" w:tplc="A64055F6" w:tentative="1">
      <w:start w:val="1"/>
      <w:numFmt w:val="bullet"/>
      <w:lvlText w:val="•"/>
      <w:lvlJc w:val="left"/>
      <w:pPr>
        <w:tabs>
          <w:tab w:val="num" w:pos="5040"/>
        </w:tabs>
        <w:ind w:left="5040" w:hanging="360"/>
      </w:pPr>
      <w:rPr>
        <w:rFonts w:ascii="Arial" w:hAnsi="Arial" w:hint="default"/>
      </w:rPr>
    </w:lvl>
    <w:lvl w:ilvl="7" w:tplc="3E40AC6E" w:tentative="1">
      <w:start w:val="1"/>
      <w:numFmt w:val="bullet"/>
      <w:lvlText w:val="•"/>
      <w:lvlJc w:val="left"/>
      <w:pPr>
        <w:tabs>
          <w:tab w:val="num" w:pos="5760"/>
        </w:tabs>
        <w:ind w:left="5760" w:hanging="360"/>
      </w:pPr>
      <w:rPr>
        <w:rFonts w:ascii="Arial" w:hAnsi="Arial" w:hint="default"/>
      </w:rPr>
    </w:lvl>
    <w:lvl w:ilvl="8" w:tplc="7F50BE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4E3051"/>
    <w:multiLevelType w:val="hybridMultilevel"/>
    <w:tmpl w:val="FE5E255A"/>
    <w:lvl w:ilvl="0" w:tplc="9236CA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D3E23"/>
    <w:multiLevelType w:val="hybridMultilevel"/>
    <w:tmpl w:val="7B4449AA"/>
    <w:lvl w:ilvl="0" w:tplc="14100EAE">
      <w:start w:val="2017"/>
      <w:numFmt w:val="bullet"/>
      <w:lvlText w:val=""/>
      <w:lvlJc w:val="left"/>
      <w:pPr>
        <w:ind w:left="720" w:hanging="360"/>
      </w:pPr>
      <w:rPr>
        <w:rFonts w:ascii="Wingdings" w:eastAsia="MS Mincho"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BC0557"/>
    <w:multiLevelType w:val="hybridMultilevel"/>
    <w:tmpl w:val="39D40B7E"/>
    <w:lvl w:ilvl="0" w:tplc="3A24FB4A">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1114F9"/>
    <w:multiLevelType w:val="hybridMultilevel"/>
    <w:tmpl w:val="D456798A"/>
    <w:lvl w:ilvl="0" w:tplc="04CE8AC2">
      <w:start w:val="1"/>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3"/>
  </w:num>
  <w:num w:numId="4">
    <w:abstractNumId w:val="1"/>
  </w:num>
  <w:num w:numId="5">
    <w:abstractNumId w:val="10"/>
  </w:num>
  <w:num w:numId="6">
    <w:abstractNumId w:val="6"/>
  </w:num>
  <w:num w:numId="7">
    <w:abstractNumId w:val="8"/>
  </w:num>
  <w:num w:numId="8">
    <w:abstractNumId w:val="7"/>
  </w:num>
  <w:num w:numId="9">
    <w:abstractNumId w:val="2"/>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F7"/>
    <w:rsid w:val="00121033"/>
    <w:rsid w:val="00172CF7"/>
    <w:rsid w:val="00175964"/>
    <w:rsid w:val="00223027"/>
    <w:rsid w:val="004F79B3"/>
    <w:rsid w:val="00637B15"/>
    <w:rsid w:val="007A325F"/>
    <w:rsid w:val="007B1A28"/>
    <w:rsid w:val="007B3A6C"/>
    <w:rsid w:val="008216AF"/>
    <w:rsid w:val="00960710"/>
    <w:rsid w:val="00A60859"/>
    <w:rsid w:val="00AB24AA"/>
    <w:rsid w:val="00C260DD"/>
    <w:rsid w:val="00C328A6"/>
    <w:rsid w:val="00C62611"/>
    <w:rsid w:val="00CE3A3F"/>
    <w:rsid w:val="00E063D1"/>
    <w:rsid w:val="00ED0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5DBA-6FD7-492C-ABBB-4B663A5C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2CF7"/>
    <w:pPr>
      <w:keepNext/>
      <w:keepLines/>
      <w:spacing w:before="240" w:after="0"/>
      <w:outlineLvl w:val="0"/>
    </w:pPr>
    <w:rPr>
      <w:rFonts w:ascii="Calibri" w:eastAsia="MS Gothic" w:hAnsi="Calibri" w:cs="Times New Roman"/>
      <w:noProof/>
      <w:color w:val="000000"/>
      <w:sz w:val="32"/>
      <w:szCs w:val="32"/>
      <w:lang w:val="en-GB"/>
    </w:rPr>
  </w:style>
  <w:style w:type="paragraph" w:styleId="Heading2">
    <w:name w:val="heading 2"/>
    <w:basedOn w:val="Normal"/>
    <w:next w:val="Normal"/>
    <w:link w:val="Heading2Char"/>
    <w:uiPriority w:val="9"/>
    <w:semiHidden/>
    <w:unhideWhenUsed/>
    <w:qFormat/>
    <w:rsid w:val="00172CF7"/>
    <w:pPr>
      <w:keepNext/>
      <w:keepLines/>
      <w:spacing w:before="40" w:after="0"/>
      <w:outlineLvl w:val="1"/>
    </w:pPr>
    <w:rPr>
      <w:rFonts w:ascii="Calibri" w:eastAsia="MS Gothic" w:hAnsi="Calibri" w:cs="Times New Roman"/>
      <w:color w:val="365F91"/>
      <w:sz w:val="26"/>
      <w:szCs w:val="26"/>
      <w:lang w:eastAsia="it-IT"/>
    </w:rPr>
  </w:style>
  <w:style w:type="paragraph" w:styleId="Heading3">
    <w:name w:val="heading 3"/>
    <w:basedOn w:val="Normal"/>
    <w:next w:val="Normal"/>
    <w:link w:val="Heading3Char"/>
    <w:uiPriority w:val="9"/>
    <w:semiHidden/>
    <w:unhideWhenUsed/>
    <w:qFormat/>
    <w:rsid w:val="00172CF7"/>
    <w:pPr>
      <w:keepNext/>
      <w:keepLines/>
      <w:spacing w:before="40" w:after="0"/>
      <w:outlineLvl w:val="2"/>
    </w:pPr>
    <w:rPr>
      <w:rFonts w:ascii="Calibri" w:eastAsia="MS Gothic" w:hAnsi="Calibri" w:cs="Calibri"/>
      <w:i/>
      <w:color w:val="000000"/>
      <w:u w:val="single"/>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1">
    <w:name w:val="Titolo 11"/>
    <w:basedOn w:val="Normal"/>
    <w:next w:val="Normal"/>
    <w:qFormat/>
    <w:rsid w:val="00172CF7"/>
    <w:pPr>
      <w:keepNext/>
      <w:keepLines/>
      <w:pageBreakBefore/>
      <w:spacing w:before="360" w:after="0" w:line="480" w:lineRule="auto"/>
      <w:ind w:firstLine="720"/>
      <w:jc w:val="both"/>
      <w:outlineLvl w:val="0"/>
    </w:pPr>
    <w:rPr>
      <w:rFonts w:ascii="Calibri" w:eastAsia="MS Gothic" w:hAnsi="Calibri" w:cs="Times New Roman"/>
      <w:noProof/>
      <w:color w:val="000000"/>
      <w:sz w:val="32"/>
      <w:szCs w:val="32"/>
      <w:lang w:val="en-GB"/>
    </w:rPr>
  </w:style>
  <w:style w:type="paragraph" w:customStyle="1" w:styleId="Titolo21">
    <w:name w:val="Titolo 21"/>
    <w:basedOn w:val="Normal"/>
    <w:next w:val="Normal"/>
    <w:uiPriority w:val="9"/>
    <w:unhideWhenUsed/>
    <w:qFormat/>
    <w:rsid w:val="00172CF7"/>
    <w:pPr>
      <w:keepNext/>
      <w:keepLines/>
      <w:spacing w:before="40" w:after="0" w:line="276" w:lineRule="auto"/>
      <w:ind w:firstLine="720"/>
      <w:jc w:val="both"/>
      <w:outlineLvl w:val="1"/>
    </w:pPr>
    <w:rPr>
      <w:rFonts w:ascii="Calibri" w:eastAsia="MS Gothic" w:hAnsi="Calibri" w:cs="Times New Roman"/>
      <w:color w:val="365F91"/>
      <w:sz w:val="26"/>
      <w:szCs w:val="26"/>
      <w:lang w:eastAsia="it-IT"/>
    </w:rPr>
  </w:style>
  <w:style w:type="paragraph" w:customStyle="1" w:styleId="Titolo31">
    <w:name w:val="Titolo 31"/>
    <w:basedOn w:val="Normal"/>
    <w:next w:val="Normal"/>
    <w:uiPriority w:val="9"/>
    <w:unhideWhenUsed/>
    <w:qFormat/>
    <w:rsid w:val="00172CF7"/>
    <w:pPr>
      <w:keepNext/>
      <w:keepLines/>
      <w:spacing w:before="120" w:after="0" w:line="480" w:lineRule="auto"/>
      <w:ind w:firstLine="720"/>
      <w:jc w:val="both"/>
      <w:outlineLvl w:val="2"/>
    </w:pPr>
    <w:rPr>
      <w:rFonts w:ascii="Calibri" w:eastAsia="MS Gothic" w:hAnsi="Calibri" w:cs="Calibri"/>
      <w:i/>
      <w:color w:val="000000"/>
      <w:szCs w:val="20"/>
      <w:u w:val="single"/>
      <w:lang w:val="en-GB" w:eastAsia="it-IT"/>
    </w:rPr>
  </w:style>
  <w:style w:type="numbering" w:customStyle="1" w:styleId="Nessunelenco1">
    <w:name w:val="Nessun elenco1"/>
    <w:next w:val="NoList"/>
    <w:uiPriority w:val="99"/>
    <w:semiHidden/>
    <w:unhideWhenUsed/>
    <w:rsid w:val="00172CF7"/>
  </w:style>
  <w:style w:type="character" w:customStyle="1" w:styleId="Heading1Char">
    <w:name w:val="Heading 1 Char"/>
    <w:basedOn w:val="DefaultParagraphFont"/>
    <w:link w:val="Heading1"/>
    <w:rsid w:val="00172CF7"/>
    <w:rPr>
      <w:rFonts w:ascii="Calibri" w:eastAsia="MS Gothic" w:hAnsi="Calibri" w:cs="Times New Roman"/>
      <w:noProof/>
      <w:color w:val="000000"/>
      <w:sz w:val="32"/>
      <w:szCs w:val="32"/>
      <w:lang w:val="en-GB"/>
    </w:rPr>
  </w:style>
  <w:style w:type="character" w:customStyle="1" w:styleId="Heading2Char">
    <w:name w:val="Heading 2 Char"/>
    <w:basedOn w:val="DefaultParagraphFont"/>
    <w:link w:val="Heading2"/>
    <w:uiPriority w:val="9"/>
    <w:rsid w:val="00172CF7"/>
    <w:rPr>
      <w:rFonts w:ascii="Calibri" w:eastAsia="MS Gothic" w:hAnsi="Calibri" w:cs="Times New Roman"/>
      <w:color w:val="365F91"/>
      <w:sz w:val="26"/>
      <w:szCs w:val="26"/>
      <w:lang w:val="it-IT" w:eastAsia="it-IT"/>
    </w:rPr>
  </w:style>
  <w:style w:type="character" w:customStyle="1" w:styleId="Heading3Char">
    <w:name w:val="Heading 3 Char"/>
    <w:basedOn w:val="DefaultParagraphFont"/>
    <w:link w:val="Heading3"/>
    <w:uiPriority w:val="9"/>
    <w:rsid w:val="00172CF7"/>
    <w:rPr>
      <w:rFonts w:ascii="Calibri" w:eastAsia="MS Gothic" w:hAnsi="Calibri" w:cs="Calibri"/>
      <w:i/>
      <w:color w:val="000000"/>
      <w:sz w:val="22"/>
      <w:u w:val="single"/>
      <w:lang w:val="en-GB" w:eastAsia="it-IT"/>
    </w:rPr>
  </w:style>
  <w:style w:type="paragraph" w:styleId="CommentText">
    <w:name w:val="annotation text"/>
    <w:basedOn w:val="Normal"/>
    <w:link w:val="CommentTextChar"/>
    <w:uiPriority w:val="99"/>
    <w:rsid w:val="00172CF7"/>
    <w:pPr>
      <w:spacing w:after="0" w:line="240" w:lineRule="auto"/>
      <w:ind w:firstLine="720"/>
      <w:jc w:val="both"/>
    </w:pPr>
    <w:rPr>
      <w:rFonts w:ascii="Times New Roman" w:eastAsia="MS Mincho" w:hAnsi="Times New Roman" w:cs="Times New Roman"/>
      <w:sz w:val="20"/>
      <w:szCs w:val="20"/>
      <w:lang w:val="de-DE"/>
    </w:rPr>
  </w:style>
  <w:style w:type="character" w:customStyle="1" w:styleId="CommentTextChar">
    <w:name w:val="Comment Text Char"/>
    <w:basedOn w:val="DefaultParagraphFont"/>
    <w:link w:val="CommentText"/>
    <w:uiPriority w:val="99"/>
    <w:rsid w:val="00172CF7"/>
    <w:rPr>
      <w:rFonts w:ascii="Times New Roman" w:eastAsia="MS Mincho" w:hAnsi="Times New Roman" w:cs="Times New Roman"/>
      <w:sz w:val="20"/>
      <w:szCs w:val="20"/>
      <w:lang w:val="de-DE"/>
    </w:rPr>
  </w:style>
  <w:style w:type="character" w:styleId="CommentReference">
    <w:name w:val="annotation reference"/>
    <w:uiPriority w:val="99"/>
    <w:rsid w:val="00172CF7"/>
    <w:rPr>
      <w:rFonts w:cs="Times New Roman"/>
      <w:sz w:val="18"/>
      <w:szCs w:val="18"/>
    </w:rPr>
  </w:style>
  <w:style w:type="paragraph" w:styleId="BalloonText">
    <w:name w:val="Balloon Text"/>
    <w:basedOn w:val="Normal"/>
    <w:link w:val="BalloonTextChar"/>
    <w:uiPriority w:val="99"/>
    <w:semiHidden/>
    <w:rsid w:val="00172CF7"/>
    <w:pPr>
      <w:spacing w:after="0" w:line="240" w:lineRule="auto"/>
      <w:ind w:firstLine="720"/>
      <w:jc w:val="both"/>
    </w:pPr>
    <w:rPr>
      <w:rFonts w:ascii="Tahoma" w:eastAsia="MS Mincho" w:hAnsi="Tahoma" w:cs="Tahoma"/>
      <w:sz w:val="16"/>
      <w:szCs w:val="16"/>
      <w:lang w:val="de-DE"/>
    </w:rPr>
  </w:style>
  <w:style w:type="character" w:customStyle="1" w:styleId="BalloonTextChar">
    <w:name w:val="Balloon Text Char"/>
    <w:basedOn w:val="DefaultParagraphFont"/>
    <w:link w:val="BalloonText"/>
    <w:uiPriority w:val="99"/>
    <w:semiHidden/>
    <w:rsid w:val="00172CF7"/>
    <w:rPr>
      <w:rFonts w:ascii="Tahoma" w:eastAsia="MS Mincho" w:hAnsi="Tahoma" w:cs="Tahoma"/>
      <w:sz w:val="16"/>
      <w:szCs w:val="16"/>
      <w:lang w:val="de-DE"/>
    </w:rPr>
  </w:style>
  <w:style w:type="table" w:styleId="TableGrid">
    <w:name w:val="Table Grid"/>
    <w:basedOn w:val="TableNormal"/>
    <w:uiPriority w:val="59"/>
    <w:rsid w:val="00172CF7"/>
    <w:pPr>
      <w:spacing w:after="0" w:line="240" w:lineRule="auto"/>
    </w:pPr>
    <w:rPr>
      <w:rFonts w:ascii="Times New Roman" w:eastAsia="MS Mincho"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qFormat/>
    <w:rsid w:val="00172CF7"/>
    <w:pPr>
      <w:spacing w:after="0" w:line="240" w:lineRule="auto"/>
    </w:pPr>
    <w:rPr>
      <w:rFonts w:ascii="Cambria" w:eastAsia="MS Mincho" w:hAnsi="Cambria" w:cs="Times New Roman"/>
      <w:sz w:val="24"/>
      <w:szCs w:val="24"/>
      <w:lang w:val="en-US" w:eastAsia="ja-JP"/>
    </w:rPr>
  </w:style>
  <w:style w:type="character" w:styleId="Hyperlink">
    <w:name w:val="Hyperlink"/>
    <w:rsid w:val="00172CF7"/>
    <w:rPr>
      <w:color w:val="0000FF"/>
      <w:u w:val="single"/>
    </w:rPr>
  </w:style>
  <w:style w:type="paragraph" w:styleId="Footer">
    <w:name w:val="footer"/>
    <w:basedOn w:val="Normal"/>
    <w:link w:val="FooterChar"/>
    <w:rsid w:val="00172CF7"/>
    <w:pPr>
      <w:tabs>
        <w:tab w:val="center" w:pos="4153"/>
        <w:tab w:val="right" w:pos="8306"/>
      </w:tabs>
      <w:spacing w:after="0" w:line="240" w:lineRule="auto"/>
      <w:ind w:firstLine="720"/>
      <w:jc w:val="both"/>
    </w:pPr>
    <w:rPr>
      <w:rFonts w:ascii="Times New Roman" w:eastAsia="MS Mincho" w:hAnsi="Times New Roman" w:cs="Times New Roman"/>
      <w:sz w:val="20"/>
      <w:szCs w:val="20"/>
      <w:lang w:val="de-DE"/>
    </w:rPr>
  </w:style>
  <w:style w:type="character" w:customStyle="1" w:styleId="FooterChar">
    <w:name w:val="Footer Char"/>
    <w:basedOn w:val="DefaultParagraphFont"/>
    <w:link w:val="Footer"/>
    <w:rsid w:val="00172CF7"/>
    <w:rPr>
      <w:rFonts w:ascii="Times New Roman" w:eastAsia="MS Mincho" w:hAnsi="Times New Roman" w:cs="Times New Roman"/>
      <w:sz w:val="20"/>
      <w:szCs w:val="20"/>
      <w:lang w:val="de-DE"/>
    </w:rPr>
  </w:style>
  <w:style w:type="character" w:styleId="PageNumber">
    <w:name w:val="page number"/>
    <w:basedOn w:val="DefaultParagraphFont"/>
    <w:rsid w:val="00172CF7"/>
  </w:style>
  <w:style w:type="paragraph" w:styleId="NoSpacing">
    <w:name w:val="No Spacing"/>
    <w:uiPriority w:val="99"/>
    <w:qFormat/>
    <w:rsid w:val="00172CF7"/>
    <w:pPr>
      <w:spacing w:after="0" w:line="240" w:lineRule="auto"/>
    </w:pPr>
    <w:rPr>
      <w:rFonts w:ascii="Cambria" w:eastAsia="MS Mincho" w:hAnsi="Cambria" w:cs="Times New Roman"/>
      <w:sz w:val="24"/>
      <w:szCs w:val="24"/>
      <w:lang w:val="en-US" w:eastAsia="ja-JP"/>
    </w:rPr>
  </w:style>
  <w:style w:type="paragraph" w:styleId="ListParagraph">
    <w:name w:val="List Paragraph"/>
    <w:basedOn w:val="Normal"/>
    <w:uiPriority w:val="34"/>
    <w:qFormat/>
    <w:rsid w:val="00172CF7"/>
    <w:pPr>
      <w:spacing w:after="0" w:line="240" w:lineRule="auto"/>
      <w:ind w:left="720" w:firstLine="720"/>
      <w:contextualSpacing/>
      <w:jc w:val="both"/>
    </w:pPr>
    <w:rPr>
      <w:rFonts w:ascii="Times New Roman" w:eastAsia="MS Mincho"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172CF7"/>
    <w:rPr>
      <w:b/>
      <w:bCs/>
    </w:rPr>
  </w:style>
  <w:style w:type="character" w:customStyle="1" w:styleId="CommentSubjectChar">
    <w:name w:val="Comment Subject Char"/>
    <w:basedOn w:val="CommentTextChar"/>
    <w:link w:val="CommentSubject"/>
    <w:uiPriority w:val="99"/>
    <w:semiHidden/>
    <w:rsid w:val="00172CF7"/>
    <w:rPr>
      <w:rFonts w:ascii="Times New Roman" w:eastAsia="MS Mincho" w:hAnsi="Times New Roman" w:cs="Times New Roman"/>
      <w:b/>
      <w:bCs/>
      <w:sz w:val="20"/>
      <w:szCs w:val="20"/>
      <w:lang w:val="de-DE"/>
    </w:rPr>
  </w:style>
  <w:style w:type="paragraph" w:customStyle="1" w:styleId="EndNoteBibliographyTitle">
    <w:name w:val="EndNote Bibliography Title"/>
    <w:basedOn w:val="Normal"/>
    <w:link w:val="EndNoteBibliographyTitleCarattere"/>
    <w:rsid w:val="00172CF7"/>
    <w:pPr>
      <w:spacing w:after="0" w:line="240" w:lineRule="auto"/>
      <w:ind w:firstLine="720"/>
      <w:jc w:val="center"/>
    </w:pPr>
    <w:rPr>
      <w:rFonts w:ascii="Times New Roman" w:eastAsia="MS Mincho" w:hAnsi="Times New Roman" w:cs="Times New Roman"/>
      <w:noProof/>
      <w:sz w:val="24"/>
      <w:szCs w:val="20"/>
      <w:lang w:val="de-DE"/>
    </w:rPr>
  </w:style>
  <w:style w:type="character" w:customStyle="1" w:styleId="EndNoteBibliographyTitleCarattere">
    <w:name w:val="EndNote Bibliography Title Carattere"/>
    <w:basedOn w:val="DefaultParagraphFont"/>
    <w:link w:val="EndNoteBibliographyTitle"/>
    <w:rsid w:val="00172CF7"/>
    <w:rPr>
      <w:rFonts w:ascii="Times New Roman" w:eastAsia="MS Mincho" w:hAnsi="Times New Roman" w:cs="Times New Roman"/>
      <w:noProof/>
      <w:sz w:val="24"/>
      <w:szCs w:val="20"/>
      <w:lang w:val="de-DE"/>
    </w:rPr>
  </w:style>
  <w:style w:type="paragraph" w:customStyle="1" w:styleId="EndNoteBibliography">
    <w:name w:val="EndNote Bibliography"/>
    <w:basedOn w:val="Normal"/>
    <w:link w:val="EndNoteBibliographyCarattere"/>
    <w:rsid w:val="00172CF7"/>
    <w:pPr>
      <w:spacing w:after="0" w:line="240" w:lineRule="auto"/>
      <w:ind w:firstLine="720"/>
      <w:jc w:val="both"/>
    </w:pPr>
    <w:rPr>
      <w:rFonts w:ascii="Times New Roman" w:eastAsia="MS Mincho" w:hAnsi="Times New Roman" w:cs="Times New Roman"/>
      <w:noProof/>
      <w:sz w:val="24"/>
      <w:szCs w:val="20"/>
      <w:lang w:val="de-DE"/>
    </w:rPr>
  </w:style>
  <w:style w:type="character" w:customStyle="1" w:styleId="EndNoteBibliographyCarattere">
    <w:name w:val="EndNote Bibliography Carattere"/>
    <w:basedOn w:val="DefaultParagraphFont"/>
    <w:link w:val="EndNoteBibliography"/>
    <w:rsid w:val="00172CF7"/>
    <w:rPr>
      <w:rFonts w:ascii="Times New Roman" w:eastAsia="MS Mincho" w:hAnsi="Times New Roman" w:cs="Times New Roman"/>
      <w:noProof/>
      <w:sz w:val="24"/>
      <w:szCs w:val="20"/>
      <w:lang w:val="de-DE"/>
    </w:rPr>
  </w:style>
  <w:style w:type="paragraph" w:customStyle="1" w:styleId="Didascalia1">
    <w:name w:val="Didascalia1"/>
    <w:basedOn w:val="Normal"/>
    <w:next w:val="Normal"/>
    <w:uiPriority w:val="35"/>
    <w:unhideWhenUsed/>
    <w:qFormat/>
    <w:rsid w:val="00172CF7"/>
    <w:pPr>
      <w:spacing w:after="200" w:line="240" w:lineRule="auto"/>
      <w:ind w:firstLine="720"/>
      <w:jc w:val="both"/>
    </w:pPr>
    <w:rPr>
      <w:rFonts w:eastAsia="MS Mincho"/>
      <w:i/>
      <w:iCs/>
      <w:color w:val="1F497D"/>
      <w:sz w:val="18"/>
      <w:szCs w:val="18"/>
      <w:lang w:eastAsia="it-IT"/>
    </w:rPr>
  </w:style>
  <w:style w:type="table" w:customStyle="1" w:styleId="Tabellagriglia2-colore41">
    <w:name w:val="Tabella griglia 2 - colore 41"/>
    <w:basedOn w:val="TableNormal"/>
    <w:uiPriority w:val="47"/>
    <w:rsid w:val="00172CF7"/>
    <w:pPr>
      <w:spacing w:after="0" w:line="240" w:lineRule="auto"/>
    </w:pPr>
    <w:rPr>
      <w:rFonts w:eastAsia="MS Mincho"/>
      <w:lang w:eastAsia="it-IT"/>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gliatab21">
    <w:name w:val="Griglia tab. 21"/>
    <w:basedOn w:val="TableNormal"/>
    <w:uiPriority w:val="47"/>
    <w:rsid w:val="00172CF7"/>
    <w:pPr>
      <w:spacing w:after="0" w:line="240" w:lineRule="auto"/>
    </w:pPr>
    <w:rPr>
      <w:rFonts w:ascii="Times New Roman" w:eastAsia="MS Mincho" w:hAnsi="Times New Roman" w:cs="Times New Roman"/>
      <w:sz w:val="20"/>
      <w:szCs w:val="20"/>
      <w:lang w:val="de-D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71"/>
    <w:semiHidden/>
    <w:rsid w:val="00172CF7"/>
    <w:pPr>
      <w:spacing w:after="0"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DefaultParagraphFont"/>
    <w:rsid w:val="00172CF7"/>
  </w:style>
  <w:style w:type="character" w:styleId="Emphasis">
    <w:name w:val="Emphasis"/>
    <w:basedOn w:val="DefaultParagraphFont"/>
    <w:uiPriority w:val="20"/>
    <w:qFormat/>
    <w:rsid w:val="00172CF7"/>
    <w:rPr>
      <w:i/>
      <w:iCs/>
    </w:rPr>
  </w:style>
  <w:style w:type="paragraph" w:styleId="Header">
    <w:name w:val="header"/>
    <w:basedOn w:val="Normal"/>
    <w:link w:val="HeaderChar"/>
    <w:unhideWhenUsed/>
    <w:rsid w:val="00172CF7"/>
    <w:pPr>
      <w:tabs>
        <w:tab w:val="center" w:pos="4819"/>
        <w:tab w:val="right" w:pos="9638"/>
      </w:tabs>
      <w:spacing w:after="0" w:line="240" w:lineRule="auto"/>
      <w:ind w:firstLine="720"/>
      <w:jc w:val="both"/>
    </w:pPr>
    <w:rPr>
      <w:rFonts w:ascii="Times New Roman" w:eastAsia="MS Mincho" w:hAnsi="Times New Roman" w:cs="Times New Roman"/>
      <w:sz w:val="20"/>
      <w:szCs w:val="20"/>
      <w:lang w:val="de-DE"/>
    </w:rPr>
  </w:style>
  <w:style w:type="character" w:customStyle="1" w:styleId="HeaderChar">
    <w:name w:val="Header Char"/>
    <w:basedOn w:val="DefaultParagraphFont"/>
    <w:link w:val="Header"/>
    <w:rsid w:val="00172CF7"/>
    <w:rPr>
      <w:rFonts w:ascii="Times New Roman" w:eastAsia="MS Mincho" w:hAnsi="Times New Roman" w:cs="Times New Roman"/>
      <w:sz w:val="20"/>
      <w:szCs w:val="20"/>
      <w:lang w:val="de-DE"/>
    </w:rPr>
  </w:style>
  <w:style w:type="character" w:customStyle="1" w:styleId="Menzione1">
    <w:name w:val="Menzione1"/>
    <w:basedOn w:val="DefaultParagraphFont"/>
    <w:uiPriority w:val="99"/>
    <w:semiHidden/>
    <w:unhideWhenUsed/>
    <w:rsid w:val="00172CF7"/>
    <w:rPr>
      <w:color w:val="2B579A"/>
      <w:shd w:val="clear" w:color="auto" w:fill="E6E6E6"/>
    </w:rPr>
  </w:style>
  <w:style w:type="character" w:customStyle="1" w:styleId="Menzione2">
    <w:name w:val="Menzione2"/>
    <w:basedOn w:val="DefaultParagraphFont"/>
    <w:uiPriority w:val="99"/>
    <w:semiHidden/>
    <w:unhideWhenUsed/>
    <w:rsid w:val="00172CF7"/>
    <w:rPr>
      <w:color w:val="2B579A"/>
      <w:shd w:val="clear" w:color="auto" w:fill="E6E6E6"/>
    </w:rPr>
  </w:style>
  <w:style w:type="character" w:customStyle="1" w:styleId="Mention">
    <w:name w:val="Mention"/>
    <w:basedOn w:val="DefaultParagraphFont"/>
    <w:uiPriority w:val="99"/>
    <w:semiHidden/>
    <w:unhideWhenUsed/>
    <w:rsid w:val="00172CF7"/>
    <w:rPr>
      <w:color w:val="2B579A"/>
      <w:shd w:val="clear" w:color="auto" w:fill="E6E6E6"/>
    </w:rPr>
  </w:style>
  <w:style w:type="character" w:customStyle="1" w:styleId="Menzionenonrisolta1">
    <w:name w:val="Menzione non risolta1"/>
    <w:basedOn w:val="DefaultParagraphFont"/>
    <w:uiPriority w:val="99"/>
    <w:semiHidden/>
    <w:unhideWhenUsed/>
    <w:rsid w:val="00172CF7"/>
    <w:rPr>
      <w:color w:val="605E5C"/>
      <w:shd w:val="clear" w:color="auto" w:fill="E1DFDD"/>
    </w:rPr>
  </w:style>
  <w:style w:type="paragraph" w:styleId="DocumentMap">
    <w:name w:val="Document Map"/>
    <w:basedOn w:val="Normal"/>
    <w:link w:val="DocumentMapChar"/>
    <w:semiHidden/>
    <w:unhideWhenUsed/>
    <w:rsid w:val="00172CF7"/>
    <w:pPr>
      <w:spacing w:after="0" w:line="240" w:lineRule="auto"/>
      <w:ind w:firstLine="720"/>
      <w:jc w:val="both"/>
    </w:pPr>
    <w:rPr>
      <w:rFonts w:ascii="Times New Roman" w:eastAsia="MS Mincho" w:hAnsi="Times New Roman" w:cs="Times New Roman"/>
      <w:sz w:val="20"/>
      <w:szCs w:val="20"/>
      <w:lang w:val="de-DE"/>
    </w:rPr>
  </w:style>
  <w:style w:type="character" w:customStyle="1" w:styleId="DocumentMapChar">
    <w:name w:val="Document Map Char"/>
    <w:basedOn w:val="DefaultParagraphFont"/>
    <w:link w:val="DocumentMap"/>
    <w:semiHidden/>
    <w:rsid w:val="00172CF7"/>
    <w:rPr>
      <w:rFonts w:ascii="Times New Roman" w:eastAsia="MS Mincho" w:hAnsi="Times New Roman" w:cs="Times New Roman"/>
      <w:sz w:val="20"/>
      <w:szCs w:val="20"/>
      <w:lang w:val="de-DE"/>
    </w:rPr>
  </w:style>
  <w:style w:type="paragraph" w:customStyle="1" w:styleId="Titolo1">
    <w:name w:val="Titolo1"/>
    <w:basedOn w:val="Normal"/>
    <w:next w:val="Normal"/>
    <w:qFormat/>
    <w:rsid w:val="00172CF7"/>
    <w:pPr>
      <w:spacing w:after="0" w:line="240" w:lineRule="auto"/>
      <w:contextualSpacing/>
      <w:jc w:val="both"/>
    </w:pPr>
    <w:rPr>
      <w:rFonts w:ascii="Calibri" w:eastAsia="MS Gothic" w:hAnsi="Calibri" w:cs="Times New Roman"/>
      <w:spacing w:val="-10"/>
      <w:kern w:val="28"/>
      <w:sz w:val="36"/>
      <w:szCs w:val="56"/>
      <w:lang w:val="de-DE"/>
    </w:rPr>
  </w:style>
  <w:style w:type="character" w:customStyle="1" w:styleId="TitleChar">
    <w:name w:val="Title Char"/>
    <w:basedOn w:val="DefaultParagraphFont"/>
    <w:link w:val="Title"/>
    <w:rsid w:val="00172CF7"/>
    <w:rPr>
      <w:rFonts w:ascii="Calibri" w:eastAsia="MS Gothic" w:hAnsi="Calibri" w:cs="Times New Roman"/>
      <w:spacing w:val="-10"/>
      <w:kern w:val="28"/>
      <w:sz w:val="36"/>
      <w:szCs w:val="56"/>
    </w:rPr>
  </w:style>
  <w:style w:type="character" w:customStyle="1" w:styleId="Menzionenonrisolta2">
    <w:name w:val="Menzione non risolta2"/>
    <w:basedOn w:val="DefaultParagraphFont"/>
    <w:rsid w:val="00172CF7"/>
    <w:rPr>
      <w:color w:val="605E5C"/>
      <w:shd w:val="clear" w:color="auto" w:fill="E1DFDD"/>
    </w:rPr>
  </w:style>
  <w:style w:type="paragraph" w:customStyle="1" w:styleId="Sottotitolo1">
    <w:name w:val="Sottotitolo1"/>
    <w:basedOn w:val="Normal"/>
    <w:next w:val="Normal"/>
    <w:qFormat/>
    <w:rsid w:val="00172CF7"/>
    <w:pPr>
      <w:numPr>
        <w:ilvl w:val="1"/>
      </w:numPr>
      <w:spacing w:line="240" w:lineRule="auto"/>
      <w:ind w:firstLine="720"/>
      <w:jc w:val="both"/>
    </w:pPr>
    <w:rPr>
      <w:rFonts w:eastAsia="MS Mincho"/>
      <w:color w:val="5A5A5A"/>
      <w:spacing w:val="15"/>
      <w:lang w:val="de-DE"/>
    </w:rPr>
  </w:style>
  <w:style w:type="character" w:customStyle="1" w:styleId="SubtitleChar">
    <w:name w:val="Subtitle Char"/>
    <w:basedOn w:val="DefaultParagraphFont"/>
    <w:link w:val="Subtitle"/>
    <w:rsid w:val="00172CF7"/>
    <w:rPr>
      <w:rFonts w:ascii="Cambria" w:eastAsia="MS Mincho" w:hAnsi="Cambria" w:cs="Times New Roman"/>
      <w:color w:val="5A5A5A"/>
      <w:spacing w:val="15"/>
      <w:sz w:val="22"/>
      <w:szCs w:val="22"/>
    </w:rPr>
  </w:style>
  <w:style w:type="table" w:customStyle="1" w:styleId="Tabellagriglia1chiara1">
    <w:name w:val="Tabella griglia 1 chiara1"/>
    <w:basedOn w:val="TableNormal"/>
    <w:next w:val="GridTable1Light"/>
    <w:uiPriority w:val="46"/>
    <w:rsid w:val="00172CF7"/>
    <w:pPr>
      <w:spacing w:after="0" w:line="240" w:lineRule="auto"/>
    </w:pPr>
    <w:rPr>
      <w:rFonts w:ascii="Times New Roman" w:eastAsia="MS Mincho" w:hAnsi="Times New Roman" w:cs="Times New Roman"/>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1">
    <w:name w:val="Griglia tabella1"/>
    <w:basedOn w:val="TableNormal"/>
    <w:next w:val="TableGrid"/>
    <w:uiPriority w:val="39"/>
    <w:rsid w:val="00172C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172C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3">
    <w:name w:val="Menzione non risolta3"/>
    <w:basedOn w:val="DefaultParagraphFont"/>
    <w:rsid w:val="00172CF7"/>
    <w:rPr>
      <w:color w:val="605E5C"/>
      <w:shd w:val="clear" w:color="auto" w:fill="E1DFDD"/>
    </w:rPr>
  </w:style>
  <w:style w:type="character" w:customStyle="1" w:styleId="Menzionenonrisolta4">
    <w:name w:val="Menzione non risolta4"/>
    <w:basedOn w:val="DefaultParagraphFont"/>
    <w:rsid w:val="00172CF7"/>
    <w:rPr>
      <w:color w:val="605E5C"/>
      <w:shd w:val="clear" w:color="auto" w:fill="E1DFDD"/>
    </w:rPr>
  </w:style>
  <w:style w:type="character" w:customStyle="1" w:styleId="UnresolvedMention">
    <w:name w:val="Unresolved Mention"/>
    <w:basedOn w:val="DefaultParagraphFont"/>
    <w:rsid w:val="00172CF7"/>
    <w:rPr>
      <w:color w:val="605E5C"/>
      <w:shd w:val="clear" w:color="auto" w:fill="E1DFDD"/>
    </w:rPr>
  </w:style>
  <w:style w:type="character" w:customStyle="1" w:styleId="Titolo1Carattere1">
    <w:name w:val="Titolo 1 Carattere1"/>
    <w:basedOn w:val="DefaultParagraphFont"/>
    <w:uiPriority w:val="9"/>
    <w:rsid w:val="00172CF7"/>
    <w:rPr>
      <w:rFonts w:asciiTheme="majorHAnsi" w:eastAsiaTheme="majorEastAsia" w:hAnsiTheme="majorHAnsi" w:cstheme="majorBidi"/>
      <w:color w:val="2F5496" w:themeColor="accent1" w:themeShade="BF"/>
      <w:sz w:val="32"/>
      <w:szCs w:val="32"/>
    </w:rPr>
  </w:style>
  <w:style w:type="character" w:customStyle="1" w:styleId="Titolo2Carattere1">
    <w:name w:val="Titolo 2 Carattere1"/>
    <w:basedOn w:val="DefaultParagraphFont"/>
    <w:uiPriority w:val="9"/>
    <w:semiHidden/>
    <w:rsid w:val="00172CF7"/>
    <w:rPr>
      <w:rFonts w:asciiTheme="majorHAnsi" w:eastAsiaTheme="majorEastAsia" w:hAnsiTheme="majorHAnsi" w:cstheme="majorBidi"/>
      <w:color w:val="2F5496" w:themeColor="accent1" w:themeShade="BF"/>
      <w:sz w:val="26"/>
      <w:szCs w:val="26"/>
    </w:rPr>
  </w:style>
  <w:style w:type="character" w:customStyle="1" w:styleId="Titolo3Carattere1">
    <w:name w:val="Titolo 3 Carattere1"/>
    <w:basedOn w:val="DefaultParagraphFont"/>
    <w:uiPriority w:val="9"/>
    <w:semiHidden/>
    <w:rsid w:val="00172CF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qFormat/>
    <w:rsid w:val="00172CF7"/>
    <w:pPr>
      <w:spacing w:after="0" w:line="240" w:lineRule="auto"/>
      <w:contextualSpacing/>
    </w:pPr>
    <w:rPr>
      <w:rFonts w:ascii="Calibri" w:eastAsia="MS Gothic" w:hAnsi="Calibri" w:cs="Times New Roman"/>
      <w:spacing w:val="-10"/>
      <w:kern w:val="28"/>
      <w:sz w:val="36"/>
      <w:szCs w:val="56"/>
    </w:rPr>
  </w:style>
  <w:style w:type="character" w:customStyle="1" w:styleId="TitoloCarattere1">
    <w:name w:val="Titolo Carattere1"/>
    <w:basedOn w:val="DefaultParagraphFont"/>
    <w:uiPriority w:val="10"/>
    <w:rsid w:val="00172C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172CF7"/>
    <w:pPr>
      <w:numPr>
        <w:ilvl w:val="1"/>
      </w:numPr>
    </w:pPr>
    <w:rPr>
      <w:rFonts w:ascii="Cambria" w:eastAsia="MS Mincho" w:hAnsi="Cambria" w:cs="Times New Roman"/>
      <w:color w:val="5A5A5A"/>
      <w:spacing w:val="15"/>
    </w:rPr>
  </w:style>
  <w:style w:type="character" w:customStyle="1" w:styleId="SottotitoloCarattere1">
    <w:name w:val="Sottotitolo Carattere1"/>
    <w:basedOn w:val="DefaultParagraphFont"/>
    <w:uiPriority w:val="11"/>
    <w:rsid w:val="00172CF7"/>
    <w:rPr>
      <w:rFonts w:eastAsiaTheme="minorEastAsia"/>
      <w:color w:val="5A5A5A" w:themeColor="text1" w:themeTint="A5"/>
      <w:spacing w:val="15"/>
    </w:rPr>
  </w:style>
  <w:style w:type="table" w:styleId="GridTable1Light">
    <w:name w:val="Grid Table 1 Light"/>
    <w:basedOn w:val="TableNormal"/>
    <w:uiPriority w:val="46"/>
    <w:rsid w:val="00172C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9EC5-43BB-4822-97E1-EF0675C2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1622</Words>
  <Characters>9248</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Milanese</dc:creator>
  <cp:keywords/>
  <dc:description/>
  <cp:lastModifiedBy>Deepak Kumar Pal</cp:lastModifiedBy>
  <cp:revision>2</cp:revision>
  <dcterms:created xsi:type="dcterms:W3CDTF">2019-04-10T06:31:00Z</dcterms:created>
  <dcterms:modified xsi:type="dcterms:W3CDTF">2019-04-10T06:31:00Z</dcterms:modified>
</cp:coreProperties>
</file>