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E9" w:rsidRDefault="003F58E9" w:rsidP="003F58E9">
      <w:pPr>
        <w:jc w:val="center"/>
        <w:outlineLvl w:val="0"/>
        <w:rPr>
          <w:b/>
        </w:rPr>
      </w:pPr>
      <w:r w:rsidRPr="007D5E27">
        <w:rPr>
          <w:b/>
        </w:rPr>
        <w:t>Appendix</w:t>
      </w:r>
    </w:p>
    <w:p w:rsidR="003F58E9" w:rsidRDefault="003F58E9" w:rsidP="003F58E9">
      <w:pPr>
        <w:jc w:val="center"/>
        <w:outlineLvl w:val="0"/>
        <w:rPr>
          <w:b/>
        </w:rPr>
      </w:pPr>
    </w:p>
    <w:p w:rsidR="003F58E9" w:rsidRPr="00871BE5" w:rsidRDefault="003F58E9" w:rsidP="003F58E9">
      <w:pPr>
        <w:outlineLvl w:val="0"/>
      </w:pPr>
      <w:r w:rsidRPr="00871BE5">
        <w:t xml:space="preserve">Appendix Table 1: </w:t>
      </w:r>
      <w:r>
        <w:t>Comparative Agendas Project coding and think tank white paper examples</w:t>
      </w:r>
    </w:p>
    <w:tbl>
      <w:tblPr>
        <w:tblW w:w="9810" w:type="dxa"/>
        <w:tblLayout w:type="fixed"/>
        <w:tblLook w:val="04A0" w:firstRow="1" w:lastRow="0" w:firstColumn="1" w:lastColumn="0" w:noHBand="0" w:noVBand="1"/>
      </w:tblPr>
      <w:tblGrid>
        <w:gridCol w:w="1982"/>
        <w:gridCol w:w="4768"/>
        <w:gridCol w:w="3060"/>
      </w:tblGrid>
      <w:tr w:rsidR="003F58E9" w:rsidRPr="00576B92" w:rsidTr="005D1AC0">
        <w:trPr>
          <w:trHeight w:val="76"/>
        </w:trPr>
        <w:tc>
          <w:tcPr>
            <w:tcW w:w="9810" w:type="dxa"/>
            <w:gridSpan w:val="3"/>
            <w:tcBorders>
              <w:top w:val="nil"/>
              <w:left w:val="nil"/>
              <w:bottom w:val="single" w:sz="4" w:space="0" w:color="auto"/>
              <w:right w:val="nil"/>
            </w:tcBorders>
            <w:shd w:val="clear" w:color="auto" w:fill="auto"/>
            <w:noWrap/>
            <w:vAlign w:val="bottom"/>
            <w:hideMark/>
          </w:tcPr>
          <w:p w:rsidR="003F58E9" w:rsidRPr="00576B92" w:rsidRDefault="003F58E9" w:rsidP="005D1AC0">
            <w:pPr>
              <w:rPr>
                <w:rFonts w:ascii="Times New Roman" w:eastAsia="Times New Roman" w:hAnsi="Times New Roman" w:cs="Times New Roman"/>
                <w:bCs/>
                <w:color w:val="000000"/>
              </w:rPr>
            </w:pPr>
          </w:p>
        </w:tc>
      </w:tr>
      <w:tr w:rsidR="003F58E9" w:rsidRPr="00576B92" w:rsidTr="005D1AC0">
        <w:trPr>
          <w:trHeight w:val="241"/>
        </w:trPr>
        <w:tc>
          <w:tcPr>
            <w:tcW w:w="1982" w:type="dxa"/>
            <w:tcBorders>
              <w:top w:val="single" w:sz="4" w:space="0" w:color="auto"/>
              <w:left w:val="nil"/>
              <w:bottom w:val="single" w:sz="4" w:space="0" w:color="auto"/>
              <w:right w:val="nil"/>
            </w:tcBorders>
            <w:shd w:val="clear" w:color="auto" w:fill="auto"/>
            <w:noWrap/>
            <w:vAlign w:val="bottom"/>
            <w:hideMark/>
          </w:tcPr>
          <w:p w:rsidR="003F58E9" w:rsidRPr="00576B92" w:rsidRDefault="003F58E9" w:rsidP="005D1AC0">
            <w:pPr>
              <w:rPr>
                <w:rFonts w:ascii="Times New Roman" w:eastAsia="Times New Roman" w:hAnsi="Times New Roman" w:cs="Times New Roman"/>
                <w:color w:val="000000"/>
              </w:rPr>
            </w:pPr>
            <w:r w:rsidRPr="00576B92">
              <w:rPr>
                <w:rFonts w:ascii="Times New Roman" w:eastAsia="Times New Roman" w:hAnsi="Times New Roman" w:cs="Times New Roman"/>
                <w:color w:val="000000"/>
              </w:rPr>
              <w:t>Major Topic Area</w:t>
            </w:r>
          </w:p>
        </w:tc>
        <w:tc>
          <w:tcPr>
            <w:tcW w:w="4768" w:type="dxa"/>
            <w:tcBorders>
              <w:top w:val="single" w:sz="4" w:space="0" w:color="auto"/>
              <w:left w:val="nil"/>
              <w:bottom w:val="single" w:sz="4" w:space="0" w:color="auto"/>
              <w:right w:val="nil"/>
            </w:tcBorders>
            <w:shd w:val="clear" w:color="auto" w:fill="auto"/>
            <w:noWrap/>
            <w:vAlign w:val="bottom"/>
            <w:hideMark/>
          </w:tcPr>
          <w:p w:rsidR="003F58E9" w:rsidRPr="00576B92" w:rsidRDefault="003F58E9" w:rsidP="005D1AC0">
            <w:pPr>
              <w:rPr>
                <w:rFonts w:ascii="Times New Roman" w:eastAsia="Times New Roman" w:hAnsi="Times New Roman" w:cs="Times New Roman"/>
                <w:color w:val="000000"/>
              </w:rPr>
            </w:pPr>
            <w:r w:rsidRPr="00576B92">
              <w:rPr>
                <w:rFonts w:ascii="Times New Roman" w:eastAsia="Times New Roman" w:hAnsi="Times New Roman" w:cs="Times New Roman"/>
                <w:color w:val="000000"/>
              </w:rPr>
              <w:t>Example</w:t>
            </w:r>
          </w:p>
        </w:tc>
        <w:tc>
          <w:tcPr>
            <w:tcW w:w="3060" w:type="dxa"/>
            <w:tcBorders>
              <w:top w:val="single" w:sz="4" w:space="0" w:color="auto"/>
              <w:left w:val="nil"/>
              <w:bottom w:val="single" w:sz="4" w:space="0" w:color="auto"/>
              <w:right w:val="nil"/>
            </w:tcBorders>
            <w:shd w:val="clear" w:color="auto" w:fill="auto"/>
            <w:noWrap/>
            <w:vAlign w:val="bottom"/>
            <w:hideMark/>
          </w:tcPr>
          <w:p w:rsidR="003F58E9" w:rsidRPr="00576B92" w:rsidRDefault="003F58E9" w:rsidP="005D1AC0">
            <w:pPr>
              <w:rPr>
                <w:rFonts w:ascii="Times New Roman" w:eastAsia="Times New Roman" w:hAnsi="Times New Roman" w:cs="Times New Roman"/>
                <w:color w:val="000000"/>
              </w:rPr>
            </w:pPr>
            <w:r w:rsidRPr="00576B92">
              <w:rPr>
                <w:rFonts w:ascii="Times New Roman" w:eastAsia="Times New Roman" w:hAnsi="Times New Roman" w:cs="Times New Roman"/>
                <w:color w:val="000000"/>
              </w:rPr>
              <w:t>Think Tank</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Agriculture</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 xml:space="preserve">"Food Safety: Background, Analysis and Recommendations" </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American Enterprise Institute</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Civil Rights</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"The Unintended Consequences of Section 5 of the Voting Rights Act"</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American Enterprise Institute</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Commerce</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"Is There a Way to Create a Transatlantic Securities Market?"</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American Enterprise Institute</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Defense</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"Afghanistan: Zero Troops Should Not Be an Option"</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Heritage Foundation</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Education</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"The Future of Teacher Compensation"</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Center for American Progress</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Energy</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"Evaluating the Case for Renewable Energy: Is Government Support Warranted?"</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Cato Institute</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Environment</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"Impact of the Waxman-Markey Climate Change Legislation on the States"</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Heritage Foundation</w:t>
            </w:r>
          </w:p>
        </w:tc>
      </w:tr>
      <w:tr w:rsidR="003F58E9" w:rsidRPr="00576B92" w:rsidTr="005D1AC0">
        <w:trPr>
          <w:trHeight w:val="76"/>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Foreign Affairs</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"To Pay Ransom or Not to Pay Ransom?"</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New America Foundation</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Gov. Operations</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"Privatizing the U.S. Postal Service"</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Cato Institute</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Health</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Health Policy Brief: Governance Issues for Health Insurance Exchanges</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Center on Budget and Policy Priorities</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Housing</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"Retrofitting Foreclosed Homes: A Matter of Public Trust"</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Center for American Progress</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Immigration</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A Bureaucratic Nightmare: The Senate's Temporary Guest Worker Program</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Heritage Foundation</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Labor</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 xml:space="preserve">"Pay Laws Making a Difference Across U.S." </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Economic Policy Institute</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Law and Crime</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"Why Prohibitions on Internet Gambling Won’t Work"</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Cato Institute</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Macroeconomics</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"A Territorial Tax System Would Create Jobs and Raise Wages for U.S. Workers"</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Heritage Foundation</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Public Lands</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 xml:space="preserve">"A Continued Push for Reform Is Needed on Public Lands’ Energy Leasing" </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Center for American Progress</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Science and Comm.</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FCC Comments on “Specialized Services” and Wireless Open Internet Rules</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New America Foundation</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Social Welfare</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 xml:space="preserve">"Would Private Accounts Provide A Higher Rate Of Return than Social Security?" </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Center on Budget and Policy Priorities</w:t>
            </w:r>
          </w:p>
        </w:tc>
      </w:tr>
      <w:tr w:rsidR="003F58E9" w:rsidRPr="00576B92" w:rsidTr="005D1AC0">
        <w:trPr>
          <w:trHeight w:val="361"/>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Trade</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"Currency Manipulation and the 896,600 U.S. Jobs Lost Due to the U.S.-Japan Trade Deficit"</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Economic Policy Institute</w:t>
            </w:r>
          </w:p>
        </w:tc>
      </w:tr>
      <w:tr w:rsidR="003F58E9" w:rsidRPr="00576B92" w:rsidTr="005D1AC0">
        <w:trPr>
          <w:trHeight w:val="542"/>
        </w:trPr>
        <w:tc>
          <w:tcPr>
            <w:tcW w:w="1982"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Transportation</w:t>
            </w:r>
          </w:p>
        </w:tc>
        <w:tc>
          <w:tcPr>
            <w:tcW w:w="4768" w:type="dxa"/>
            <w:tcBorders>
              <w:top w:val="single" w:sz="4" w:space="0" w:color="auto"/>
              <w:left w:val="nil"/>
              <w:bottom w:val="single" w:sz="4" w:space="0" w:color="auto"/>
              <w:right w:val="nil"/>
            </w:tcBorders>
            <w:shd w:val="clear" w:color="auto" w:fill="auto"/>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 xml:space="preserve">"Fix the Drains (and Trains and Bridges)—and Train the Fixers" </w:t>
            </w:r>
          </w:p>
        </w:tc>
        <w:tc>
          <w:tcPr>
            <w:tcW w:w="3060" w:type="dxa"/>
            <w:tcBorders>
              <w:top w:val="single" w:sz="4" w:space="0" w:color="auto"/>
              <w:left w:val="nil"/>
              <w:bottom w:val="single" w:sz="4" w:space="0" w:color="auto"/>
              <w:right w:val="nil"/>
            </w:tcBorders>
            <w:shd w:val="clear" w:color="auto" w:fill="auto"/>
            <w:noWrap/>
            <w:vAlign w:val="bottom"/>
          </w:tcPr>
          <w:p w:rsidR="003F58E9" w:rsidRPr="00576B92" w:rsidRDefault="003F58E9" w:rsidP="005D1AC0">
            <w:pPr>
              <w:rPr>
                <w:rFonts w:ascii="Times New Roman" w:hAnsi="Times New Roman" w:cs="Times New Roman"/>
                <w:color w:val="000000"/>
              </w:rPr>
            </w:pPr>
            <w:r w:rsidRPr="00576B92">
              <w:rPr>
                <w:rFonts w:ascii="Times New Roman" w:hAnsi="Times New Roman" w:cs="Times New Roman"/>
                <w:color w:val="000000"/>
              </w:rPr>
              <w:t>Manhattan Institute</w:t>
            </w:r>
          </w:p>
        </w:tc>
      </w:tr>
    </w:tbl>
    <w:p w:rsidR="003F58E9" w:rsidRDefault="003F58E9" w:rsidP="003F58E9">
      <w:pPr>
        <w:rPr>
          <w:b/>
        </w:rPr>
      </w:pPr>
    </w:p>
    <w:p w:rsidR="003F58E9" w:rsidRDefault="003F58E9" w:rsidP="003F58E9">
      <w:pPr>
        <w:outlineLvl w:val="0"/>
        <w:rPr>
          <w:b/>
        </w:rPr>
      </w:pPr>
    </w:p>
    <w:p w:rsidR="003F58E9" w:rsidRPr="007D5E27" w:rsidRDefault="003F58E9" w:rsidP="003F58E9">
      <w:pPr>
        <w:jc w:val="center"/>
        <w:rPr>
          <w:b/>
        </w:rPr>
      </w:pPr>
    </w:p>
    <w:tbl>
      <w:tblPr>
        <w:tblW w:w="7399" w:type="dxa"/>
        <w:jc w:val="center"/>
        <w:tblLook w:val="04A0" w:firstRow="1" w:lastRow="0" w:firstColumn="1" w:lastColumn="0" w:noHBand="0" w:noVBand="1"/>
      </w:tblPr>
      <w:tblGrid>
        <w:gridCol w:w="4053"/>
        <w:gridCol w:w="1671"/>
        <w:gridCol w:w="1675"/>
      </w:tblGrid>
      <w:tr w:rsidR="003F58E9" w:rsidRPr="00231E6C" w:rsidTr="005D1AC0">
        <w:trPr>
          <w:trHeight w:val="94"/>
          <w:jc w:val="center"/>
        </w:trPr>
        <w:tc>
          <w:tcPr>
            <w:tcW w:w="7399" w:type="dxa"/>
            <w:gridSpan w:val="3"/>
            <w:tcBorders>
              <w:top w:val="nil"/>
              <w:left w:val="nil"/>
              <w:bottom w:val="single" w:sz="4" w:space="0" w:color="auto"/>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lastRenderedPageBreak/>
              <w:t xml:space="preserve">Appendix </w:t>
            </w:r>
            <w:r w:rsidRPr="00231E6C">
              <w:rPr>
                <w:rFonts w:ascii="Calibri" w:eastAsia="Times New Roman" w:hAnsi="Calibri" w:cs="Calibri"/>
                <w:color w:val="000000"/>
              </w:rPr>
              <w:t xml:space="preserve">Table </w:t>
            </w:r>
            <w:r>
              <w:rPr>
                <w:rFonts w:ascii="Calibri" w:eastAsia="Times New Roman" w:hAnsi="Calibri" w:cs="Calibri"/>
                <w:color w:val="000000"/>
              </w:rPr>
              <w:t>2</w:t>
            </w:r>
            <w:r w:rsidRPr="00231E6C">
              <w:rPr>
                <w:rFonts w:ascii="Calibri" w:eastAsia="Times New Roman" w:hAnsi="Calibri" w:cs="Calibri"/>
                <w:color w:val="000000"/>
              </w:rPr>
              <w:t>: Issue Ownership Values</w:t>
            </w:r>
            <w:r>
              <w:rPr>
                <w:rFonts w:ascii="Calibri" w:eastAsia="Times New Roman" w:hAnsi="Calibri" w:cs="Calibri"/>
                <w:color w:val="000000"/>
              </w:rPr>
              <w:t xml:space="preserve"> by Comparative Agendas Project Major Policy Topic Area</w:t>
            </w:r>
          </w:p>
        </w:tc>
      </w:tr>
      <w:tr w:rsidR="003F58E9" w:rsidRPr="00231E6C" w:rsidTr="005D1AC0">
        <w:trPr>
          <w:trHeight w:val="386"/>
          <w:jc w:val="center"/>
        </w:trPr>
        <w:tc>
          <w:tcPr>
            <w:tcW w:w="4053" w:type="dxa"/>
            <w:tcBorders>
              <w:top w:val="nil"/>
              <w:left w:val="nil"/>
              <w:bottom w:val="single" w:sz="4" w:space="0" w:color="auto"/>
              <w:right w:val="nil"/>
            </w:tcBorders>
            <w:shd w:val="clear" w:color="auto" w:fill="auto"/>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Major Topic Area</w:t>
            </w:r>
          </w:p>
        </w:tc>
        <w:tc>
          <w:tcPr>
            <w:tcW w:w="1671" w:type="dxa"/>
            <w:tcBorders>
              <w:top w:val="nil"/>
              <w:left w:val="nil"/>
              <w:bottom w:val="single" w:sz="4" w:space="0" w:color="auto"/>
              <w:right w:val="nil"/>
            </w:tcBorders>
            <w:shd w:val="clear" w:color="auto" w:fill="auto"/>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 xml:space="preserve">Egan </w:t>
            </w:r>
            <w:r>
              <w:rPr>
                <w:rFonts w:ascii="Calibri" w:eastAsia="Times New Roman" w:hAnsi="Calibri" w:cs="Calibri"/>
                <w:color w:val="000000"/>
              </w:rPr>
              <w:t>(2013)</w:t>
            </w:r>
            <w:r w:rsidRPr="00C55514">
              <w:rPr>
                <w:rFonts w:ascii="Calibri" w:eastAsia="Times New Roman" w:hAnsi="Calibri" w:cs="Calibri"/>
                <w:color w:val="000000"/>
                <w:vertAlign w:val="superscript"/>
              </w:rPr>
              <w:t>12</w:t>
            </w:r>
          </w:p>
        </w:tc>
        <w:tc>
          <w:tcPr>
            <w:tcW w:w="1675" w:type="dxa"/>
            <w:tcBorders>
              <w:top w:val="nil"/>
              <w:left w:val="nil"/>
              <w:bottom w:val="single" w:sz="4" w:space="0" w:color="auto"/>
              <w:right w:val="nil"/>
            </w:tcBorders>
            <w:shd w:val="clear" w:color="auto" w:fill="auto"/>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Binary Ownership</w:t>
            </w:r>
            <w:r w:rsidRPr="00C55514">
              <w:rPr>
                <w:rFonts w:ascii="Calibri" w:eastAsia="Times New Roman" w:hAnsi="Calibri" w:cs="Calibri"/>
                <w:color w:val="000000"/>
                <w:vertAlign w:val="superscript"/>
              </w:rPr>
              <w:t>3</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Agriculture</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0</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Neither</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Civil Rights</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n/a</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n/a</w:t>
            </w:r>
          </w:p>
        </w:tc>
      </w:tr>
      <w:tr w:rsidR="003F58E9" w:rsidRPr="00231E6C" w:rsidTr="005D1AC0">
        <w:trPr>
          <w:trHeight w:val="155"/>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Defense</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14</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Republican</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Domestic Commerce</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n/a</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Republican</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Education</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-10</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Democratic</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Energy</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w:t>
            </w:r>
            <w:r>
              <w:rPr>
                <w:rFonts w:ascii="Calibri" w:eastAsia="Times New Roman" w:hAnsi="Calibri" w:cs="Calibri"/>
                <w:color w:val="000000"/>
              </w:rPr>
              <w:t>3</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Neither</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Environment</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-1</w:t>
            </w:r>
            <w:r>
              <w:rPr>
                <w:rFonts w:ascii="Calibri" w:eastAsia="Times New Roman" w:hAnsi="Calibri" w:cs="Calibri"/>
                <w:color w:val="000000"/>
              </w:rPr>
              <w:t>8</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Democratic</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Foreign Affairs</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6</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Republican</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Government Operations</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0</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Neither</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Health Care</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-12</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Democratic</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Housing</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n/a</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Democratic</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Immigration</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Pr>
                <w:rFonts w:ascii="Calibri" w:eastAsia="Times New Roman" w:hAnsi="Calibri" w:cs="Calibri"/>
                <w:color w:val="000000"/>
              </w:rPr>
              <w:t>9</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Republican</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Labor</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-12</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Democratic</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Law and Crime</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Pr>
                <w:rFonts w:ascii="Calibri" w:eastAsia="Times New Roman" w:hAnsi="Calibri" w:cs="Calibri"/>
                <w:color w:val="000000"/>
              </w:rPr>
              <w:t>7</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Republican</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Macroeconomics</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Pr>
                <w:rFonts w:ascii="Calibri" w:eastAsia="Times New Roman" w:hAnsi="Calibri" w:cs="Calibri"/>
                <w:color w:val="000000"/>
              </w:rPr>
              <w:t>1</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Both</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Public Lands</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0</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Neither</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Science and Communication</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0</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Neither</w:t>
            </w:r>
          </w:p>
        </w:tc>
      </w:tr>
      <w:tr w:rsidR="003F58E9" w:rsidRPr="00231E6C" w:rsidTr="005D1AC0">
        <w:trPr>
          <w:trHeight w:val="94"/>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Social Welfare</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-1</w:t>
            </w:r>
            <w:r>
              <w:rPr>
                <w:rFonts w:ascii="Calibri" w:eastAsia="Times New Roman" w:hAnsi="Calibri" w:cs="Calibri"/>
                <w:color w:val="000000"/>
              </w:rPr>
              <w:t>4</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Democratic</w:t>
            </w:r>
          </w:p>
        </w:tc>
      </w:tr>
      <w:tr w:rsidR="003F58E9" w:rsidRPr="00231E6C" w:rsidTr="005D1AC0">
        <w:trPr>
          <w:trHeight w:val="150"/>
          <w:jc w:val="center"/>
        </w:trPr>
        <w:tc>
          <w:tcPr>
            <w:tcW w:w="4053"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Trade</w:t>
            </w:r>
          </w:p>
        </w:tc>
        <w:tc>
          <w:tcPr>
            <w:tcW w:w="1671" w:type="dxa"/>
            <w:tcBorders>
              <w:top w:val="nil"/>
              <w:left w:val="nil"/>
              <w:bottom w:val="nil"/>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Pr>
                <w:rFonts w:ascii="Calibri" w:eastAsia="Times New Roman" w:hAnsi="Calibri" w:cs="Calibri"/>
                <w:color w:val="000000"/>
              </w:rPr>
              <w:t>5</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Republican</w:t>
            </w:r>
          </w:p>
        </w:tc>
      </w:tr>
      <w:tr w:rsidR="003F58E9" w:rsidRPr="00231E6C" w:rsidTr="005D1AC0">
        <w:trPr>
          <w:trHeight w:val="94"/>
          <w:jc w:val="center"/>
        </w:trPr>
        <w:tc>
          <w:tcPr>
            <w:tcW w:w="4053" w:type="dxa"/>
            <w:tcBorders>
              <w:top w:val="nil"/>
              <w:left w:val="nil"/>
              <w:bottom w:val="single" w:sz="4" w:space="0" w:color="auto"/>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sidRPr="00231E6C">
              <w:rPr>
                <w:rFonts w:ascii="Calibri" w:eastAsia="Times New Roman" w:hAnsi="Calibri" w:cs="Calibri"/>
                <w:color w:val="000000"/>
              </w:rPr>
              <w:t>Transportation</w:t>
            </w:r>
          </w:p>
        </w:tc>
        <w:tc>
          <w:tcPr>
            <w:tcW w:w="1671" w:type="dxa"/>
            <w:tcBorders>
              <w:top w:val="nil"/>
              <w:left w:val="nil"/>
              <w:bottom w:val="single" w:sz="4" w:space="0" w:color="auto"/>
              <w:right w:val="nil"/>
            </w:tcBorders>
            <w:shd w:val="clear" w:color="auto" w:fill="auto"/>
            <w:noWrap/>
            <w:vAlign w:val="bottom"/>
            <w:hideMark/>
          </w:tcPr>
          <w:p w:rsidR="003F58E9" w:rsidRPr="00231E6C" w:rsidRDefault="003F58E9" w:rsidP="005D1AC0">
            <w:pPr>
              <w:jc w:val="center"/>
              <w:rPr>
                <w:rFonts w:ascii="Calibri" w:eastAsia="Times New Roman" w:hAnsi="Calibri" w:cs="Calibri"/>
                <w:color w:val="000000"/>
              </w:rPr>
            </w:pPr>
            <w:r w:rsidRPr="00231E6C">
              <w:rPr>
                <w:rFonts w:ascii="Calibri" w:eastAsia="Times New Roman" w:hAnsi="Calibri" w:cs="Calibri"/>
                <w:color w:val="000000"/>
              </w:rPr>
              <w:t>0</w:t>
            </w:r>
          </w:p>
        </w:tc>
        <w:tc>
          <w:tcPr>
            <w:tcW w:w="1675" w:type="dxa"/>
            <w:tcBorders>
              <w:top w:val="nil"/>
              <w:left w:val="nil"/>
              <w:bottom w:val="nil"/>
              <w:right w:val="nil"/>
            </w:tcBorders>
            <w:shd w:val="clear" w:color="auto" w:fill="auto"/>
            <w:noWrap/>
            <w:vAlign w:val="bottom"/>
            <w:hideMark/>
          </w:tcPr>
          <w:p w:rsidR="003F58E9" w:rsidRPr="00231E6C" w:rsidRDefault="003F58E9" w:rsidP="005D1AC0">
            <w:pPr>
              <w:rPr>
                <w:rFonts w:ascii="Calibri" w:eastAsia="Times New Roman" w:hAnsi="Calibri" w:cs="Calibri"/>
                <w:color w:val="000000"/>
              </w:rPr>
            </w:pPr>
            <w:r>
              <w:rPr>
                <w:rFonts w:ascii="Calibri" w:eastAsia="Times New Roman" w:hAnsi="Calibri" w:cs="Calibri"/>
                <w:color w:val="000000"/>
              </w:rPr>
              <w:t>Neither</w:t>
            </w:r>
          </w:p>
        </w:tc>
      </w:tr>
      <w:tr w:rsidR="003F58E9" w:rsidRPr="00231E6C" w:rsidTr="005D1AC0">
        <w:trPr>
          <w:trHeight w:val="309"/>
          <w:jc w:val="center"/>
        </w:trPr>
        <w:tc>
          <w:tcPr>
            <w:tcW w:w="7399" w:type="dxa"/>
            <w:gridSpan w:val="3"/>
            <w:vMerge w:val="restart"/>
            <w:tcBorders>
              <w:top w:val="single" w:sz="4" w:space="0" w:color="auto"/>
              <w:left w:val="nil"/>
              <w:bottom w:val="nil"/>
              <w:right w:val="nil"/>
            </w:tcBorders>
            <w:shd w:val="clear" w:color="auto" w:fill="auto"/>
            <w:vAlign w:val="bottom"/>
            <w:hideMark/>
          </w:tcPr>
          <w:p w:rsidR="003F58E9" w:rsidRPr="00231E6C" w:rsidRDefault="003F58E9" w:rsidP="005D1AC0">
            <w:pPr>
              <w:rPr>
                <w:rFonts w:ascii="Calibri" w:eastAsia="Times New Roman" w:hAnsi="Calibri" w:cs="Calibri"/>
                <w:color w:val="000000"/>
              </w:rPr>
            </w:pPr>
            <w:r w:rsidRPr="00C55514">
              <w:rPr>
                <w:rFonts w:ascii="Calibri" w:eastAsia="Times New Roman" w:hAnsi="Calibri" w:cs="Calibri"/>
                <w:color w:val="000000"/>
                <w:vertAlign w:val="superscript"/>
              </w:rPr>
              <w:t>1</w:t>
            </w:r>
            <w:r w:rsidRPr="00231E6C">
              <w:rPr>
                <w:rFonts w:ascii="Calibri" w:eastAsia="Times New Roman" w:hAnsi="Calibri" w:cs="Calibri"/>
                <w:color w:val="000000"/>
              </w:rPr>
              <w:t xml:space="preserve"> Values are the coefficient on Egan's (2013) estimate of long-run issue ownership coefficients in public opinion surveys. Negative scores are more Democratic, positive scores are more Republican.</w:t>
            </w:r>
            <w:r>
              <w:rPr>
                <w:rFonts w:ascii="Calibri" w:eastAsia="Times New Roman" w:hAnsi="Calibri" w:cs="Calibri"/>
                <w:color w:val="000000"/>
              </w:rPr>
              <w:t xml:space="preserve"> </w:t>
            </w:r>
            <w:r w:rsidRPr="00231E6C">
              <w:rPr>
                <w:rFonts w:ascii="Calibri" w:eastAsia="Times New Roman" w:hAnsi="Calibri" w:cs="Calibri"/>
                <w:color w:val="000000"/>
              </w:rPr>
              <w:t>Defense is assig</w:t>
            </w:r>
            <w:r>
              <w:rPr>
                <w:rFonts w:ascii="Calibri" w:eastAsia="Times New Roman" w:hAnsi="Calibri" w:cs="Calibri"/>
                <w:color w:val="000000"/>
              </w:rPr>
              <w:t>n</w:t>
            </w:r>
            <w:r w:rsidRPr="00231E6C">
              <w:rPr>
                <w:rFonts w:ascii="Calibri" w:eastAsia="Times New Roman" w:hAnsi="Calibri" w:cs="Calibri"/>
                <w:color w:val="000000"/>
              </w:rPr>
              <w:t>ed the average of Egan's "Domestic Security" and "Military" category.</w:t>
            </w:r>
            <w:r>
              <w:rPr>
                <w:rFonts w:ascii="Calibri" w:eastAsia="Times New Roman" w:hAnsi="Calibri" w:cs="Calibri"/>
                <w:color w:val="000000"/>
              </w:rPr>
              <w:t xml:space="preserve"> Macroeconomics is assigned the average of “Inflation,”, “Taxes,” “Economy,” “Jobs,” and “Inequality” categories. Agriculture, government operations, public lands, science and communication and transportation policy were coded=0. No data exist for these areas, all of which tend to have very low levels of party polarization and issue salience </w:t>
            </w:r>
            <w:r>
              <w:rPr>
                <w:rFonts w:ascii="Calibri" w:eastAsia="Times New Roman" w:hAnsi="Calibri" w:cs="Calibri"/>
                <w:color w:val="000000"/>
              </w:rPr>
              <w:fldChar w:fldCharType="begin"/>
            </w:r>
            <w:r>
              <w:rPr>
                <w:rFonts w:ascii="Calibri" w:eastAsia="Times New Roman" w:hAnsi="Calibri" w:cs="Calibri"/>
                <w:color w:val="000000"/>
              </w:rPr>
              <w:instrText xml:space="preserve"> ADDIN ZOTERO_ITEM CSL_CITATION {"citationID":"clsKeQ4y","properties":{"formattedCitation":"(Jochim &amp; Jones, 2013)","plainCitation":"(Jochim &amp; Jones, 2013)","noteIndex":0},"citationItems":[{"id":349,"uris":["http://zotero.org/users/5460395/items/5B27QHGN"],"uri":["http://zotero.org/users/5460395/items/5B27QHGN"],"itemData":{"id":349,"type":"article-journal","title":"Issue Politics in a Polarized Congress","container-title":"Political Research Quarterly","page":"352-369","volume":"66","issue":"2","source":"SAGE Journals","abstract":"The standard explanation for increasing party polarization in Congress is based on factors that would affect all policy issues simultaneously. We show that this has not happened. We examine the dimensionality of legislative choice in the House of Representatives, scaling eighteen issues in each Congress from 1965 through 2004. We detect considerable variability in issue dimensionality, an evolution in the structure of choice over time, and changes in the relationship between party unity and issue dimensionality. Our findings suggest that polarization has occurred on an issue-by-issue basis, reinvigorating the debate over the role of policy substance in shaping congressional politics.","URL":"https://doi.org/10.1177/1065912912448930","DOI":"10.1177/1065912912448930","ISSN":"1065-9129","journalAbbreviation":"Political Research Quarterly","language":"en","author":[{"family":"Jochim","given":"Ashley E."},{"family":"Jones","given":"Bryan D."}],"issued":{"date-parts":[["2013",6,1]]},"accessed":{"date-parts":[["2019",2,21]]}}}],"schema":"https://github.com/citation-style-language/schema/raw/master/csl-citation.json"} </w:instrText>
            </w:r>
            <w:r>
              <w:rPr>
                <w:rFonts w:ascii="Calibri" w:eastAsia="Times New Roman" w:hAnsi="Calibri" w:cs="Calibri"/>
                <w:color w:val="000000"/>
              </w:rPr>
              <w:fldChar w:fldCharType="separate"/>
            </w:r>
            <w:r>
              <w:rPr>
                <w:rFonts w:ascii="Calibri" w:eastAsia="Times New Roman" w:hAnsi="Calibri" w:cs="Calibri"/>
                <w:noProof/>
                <w:color w:val="000000"/>
              </w:rPr>
              <w:t>(Jochim &amp; Jones, 2013)</w:t>
            </w:r>
            <w:r>
              <w:rPr>
                <w:rFonts w:ascii="Calibri" w:eastAsia="Times New Roman" w:hAnsi="Calibri" w:cs="Calibri"/>
                <w:color w:val="000000"/>
              </w:rPr>
              <w:fldChar w:fldCharType="end"/>
            </w:r>
            <w:r>
              <w:rPr>
                <w:rFonts w:ascii="Calibri" w:eastAsia="Times New Roman" w:hAnsi="Calibri" w:cs="Calibri"/>
                <w:color w:val="000000"/>
              </w:rPr>
              <w:t xml:space="preserve">. </w:t>
            </w:r>
          </w:p>
        </w:tc>
      </w:tr>
    </w:tbl>
    <w:p w:rsidR="00F517A7" w:rsidRDefault="00F517A7">
      <w:bookmarkStart w:id="0" w:name="_GoBack"/>
      <w:bookmarkEnd w:id="0"/>
    </w:p>
    <w:sectPr w:rsidR="00F51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E9"/>
    <w:rsid w:val="00041CC3"/>
    <w:rsid w:val="00220BFD"/>
    <w:rsid w:val="003F58E9"/>
    <w:rsid w:val="005A78CA"/>
    <w:rsid w:val="00641B63"/>
    <w:rsid w:val="0074766B"/>
    <w:rsid w:val="00784EE9"/>
    <w:rsid w:val="009A74AA"/>
    <w:rsid w:val="00AE11CF"/>
    <w:rsid w:val="00B503B4"/>
    <w:rsid w:val="00E02868"/>
    <w:rsid w:val="00F517A7"/>
    <w:rsid w:val="00FB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78341-3A7F-4BDE-B690-D3A35F3E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E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Venkatesan</dc:creator>
  <cp:keywords/>
  <dc:description/>
  <cp:lastModifiedBy>Archana Venkatesan</cp:lastModifiedBy>
  <cp:revision>1</cp:revision>
  <dcterms:created xsi:type="dcterms:W3CDTF">2019-03-13T03:04:00Z</dcterms:created>
  <dcterms:modified xsi:type="dcterms:W3CDTF">2019-03-13T03:04:00Z</dcterms:modified>
</cp:coreProperties>
</file>