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575" w:rsidRPr="001D76EA" w:rsidRDefault="00842575" w:rsidP="00842575">
      <w:pPr>
        <w:spacing w:line="240" w:lineRule="auto"/>
        <w:jc w:val="center"/>
        <w:outlineLvl w:val="0"/>
        <w:rPr>
          <w:rFonts w:eastAsia="PMingLiU"/>
          <w:b/>
        </w:rPr>
      </w:pPr>
      <w:r w:rsidRPr="001D76EA">
        <w:rPr>
          <w:rFonts w:eastAsia="PMingLiU"/>
          <w:b/>
        </w:rPr>
        <w:t>Web Appendix</w:t>
      </w:r>
    </w:p>
    <w:p w:rsidR="00842575" w:rsidRPr="001D76EA" w:rsidRDefault="00842575" w:rsidP="00842575">
      <w:pPr>
        <w:spacing w:line="240" w:lineRule="auto"/>
        <w:jc w:val="center"/>
        <w:outlineLvl w:val="0"/>
        <w:rPr>
          <w:rFonts w:eastAsia="PMingLiU"/>
          <w:b/>
        </w:rPr>
      </w:pPr>
      <w:r w:rsidRPr="001D76EA">
        <w:rPr>
          <w:rFonts w:eastAsia="PMingLiU"/>
          <w:b/>
        </w:rPr>
        <w:t>Appendix W1: Supplemental Baseball Stadium Study</w:t>
      </w:r>
    </w:p>
    <w:p w:rsidR="00842575" w:rsidRPr="001D76EA" w:rsidRDefault="00842575" w:rsidP="00842575">
      <w:pPr>
        <w:spacing w:line="240" w:lineRule="auto"/>
        <w:jc w:val="center"/>
        <w:outlineLvl w:val="0"/>
        <w:rPr>
          <w:rFonts w:eastAsia="PMingLiU"/>
          <w:b/>
        </w:rPr>
      </w:pPr>
    </w:p>
    <w:p w:rsidR="00842575" w:rsidRPr="001D76EA" w:rsidRDefault="00842575" w:rsidP="00842575">
      <w:pPr>
        <w:rPr>
          <w:rFonts w:eastAsia="PMingLiU"/>
        </w:rPr>
      </w:pPr>
      <w:r w:rsidRPr="001D76EA">
        <w:rPr>
          <w:rFonts w:eastAsia="PMingLiU"/>
        </w:rPr>
        <w:t>To complement the MLB data</w:t>
      </w:r>
      <w:r>
        <w:rPr>
          <w:rFonts w:eastAsia="PMingLiU"/>
        </w:rPr>
        <w:t xml:space="preserve"> </w:t>
      </w:r>
      <w:r w:rsidRPr="001D76EA">
        <w:rPr>
          <w:rFonts w:eastAsia="PMingLiU"/>
        </w:rPr>
        <w:t xml:space="preserve">set </w:t>
      </w:r>
      <w:r>
        <w:rPr>
          <w:rFonts w:eastAsia="PMingLiU"/>
        </w:rPr>
        <w:t>for</w:t>
      </w:r>
      <w:r w:rsidRPr="001D76EA">
        <w:rPr>
          <w:rFonts w:eastAsia="PMingLiU"/>
        </w:rPr>
        <w:t xml:space="preserve"> Study 1, we conducted a supplemental baseball stadium study</w:t>
      </w:r>
      <w:r>
        <w:rPr>
          <w:rFonts w:eastAsia="PMingLiU"/>
        </w:rPr>
        <w:t>,</w:t>
      </w:r>
      <w:r w:rsidRPr="001D76EA">
        <w:rPr>
          <w:rFonts w:eastAsia="PMingLiU"/>
        </w:rPr>
        <w:t xml:space="preserve"> in partnership with a minor league baseball </w:t>
      </w:r>
      <w:r>
        <w:rPr>
          <w:rFonts w:eastAsia="PMingLiU"/>
        </w:rPr>
        <w:t>team, to</w:t>
      </w:r>
      <w:r w:rsidRPr="001D76EA">
        <w:rPr>
          <w:rFonts w:eastAsia="PMingLiU"/>
        </w:rPr>
        <w:t xml:space="preserve"> (1) affirm that the </w:t>
      </w:r>
      <w:r>
        <w:rPr>
          <w:rFonts w:eastAsia="PMingLiU"/>
        </w:rPr>
        <w:t>dependent variable (</w:t>
      </w:r>
      <w:r w:rsidRPr="001D76EA">
        <w:rPr>
          <w:rFonts w:eastAsia="PMingLiU"/>
        </w:rPr>
        <w:t>attitude</w:t>
      </w:r>
      <w:r>
        <w:rPr>
          <w:rFonts w:eastAsia="PMingLiU"/>
        </w:rPr>
        <w:t>s</w:t>
      </w:r>
      <w:r w:rsidRPr="001D76EA">
        <w:rPr>
          <w:rFonts w:eastAsia="PMingLiU"/>
        </w:rPr>
        <w:t xml:space="preserve"> toward the sponsorship</w:t>
      </w:r>
      <w:r>
        <w:rPr>
          <w:rFonts w:eastAsia="PMingLiU"/>
        </w:rPr>
        <w:t xml:space="preserve">) </w:t>
      </w:r>
      <w:r w:rsidRPr="001D76EA">
        <w:rPr>
          <w:rFonts w:eastAsia="PMingLiU"/>
        </w:rPr>
        <w:t xml:space="preserve">is representative of </w:t>
      </w:r>
      <w:r>
        <w:rPr>
          <w:rFonts w:eastAsia="PMingLiU"/>
        </w:rPr>
        <w:t>important customer-level</w:t>
      </w:r>
      <w:r w:rsidRPr="001D76EA">
        <w:rPr>
          <w:rFonts w:eastAsia="PMingLiU"/>
        </w:rPr>
        <w:t xml:space="preserve"> brand </w:t>
      </w:r>
      <w:r>
        <w:rPr>
          <w:rFonts w:eastAsia="PMingLiU"/>
        </w:rPr>
        <w:t>performance metrics that contribute to brand equity</w:t>
      </w:r>
      <w:r w:rsidRPr="001D76EA">
        <w:rPr>
          <w:rFonts w:eastAsia="PMingLiU"/>
        </w:rPr>
        <w:t xml:space="preserve"> (</w:t>
      </w:r>
      <w:r w:rsidRPr="001D76EA">
        <w:rPr>
          <w:rFonts w:cs="Times New Roman"/>
          <w:szCs w:val="24"/>
        </w:rPr>
        <w:t>Simmons and Becker-Olsen 2006</w:t>
      </w:r>
      <w:r w:rsidRPr="001D76EA">
        <w:rPr>
          <w:rFonts w:eastAsia="PMingLiU"/>
        </w:rPr>
        <w:t xml:space="preserve">) and (2) examine brand efforts to improve </w:t>
      </w:r>
      <w:r>
        <w:rPr>
          <w:rFonts w:eastAsia="PMingLiU"/>
        </w:rPr>
        <w:t>brand</w:t>
      </w:r>
      <w:r w:rsidRPr="001D76EA">
        <w:rPr>
          <w:rFonts w:eastAsia="PMingLiU"/>
        </w:rPr>
        <w:t xml:space="preserve"> evaluations through created visual congruence. </w:t>
      </w:r>
      <w:r>
        <w:rPr>
          <w:rFonts w:eastAsia="PMingLiU"/>
        </w:rPr>
        <w:t xml:space="preserve">The </w:t>
      </w:r>
      <w:r w:rsidRPr="001D76EA">
        <w:rPr>
          <w:rFonts w:eastAsia="PMingLiU"/>
        </w:rPr>
        <w:t>scope of this study is limited</w:t>
      </w:r>
      <w:r>
        <w:rPr>
          <w:rFonts w:eastAsia="PMingLiU"/>
        </w:rPr>
        <w:t>,</w:t>
      </w:r>
      <w:r w:rsidRPr="001D76EA">
        <w:rPr>
          <w:rFonts w:eastAsia="PMingLiU"/>
        </w:rPr>
        <w:t xml:space="preserve"> in comparison </w:t>
      </w:r>
      <w:r>
        <w:rPr>
          <w:rFonts w:eastAsia="PMingLiU"/>
        </w:rPr>
        <w:t xml:space="preserve">with </w:t>
      </w:r>
      <w:r w:rsidRPr="001D76EA">
        <w:rPr>
          <w:rFonts w:eastAsia="PMingLiU"/>
        </w:rPr>
        <w:t xml:space="preserve">Study 1, </w:t>
      </w:r>
      <w:r>
        <w:rPr>
          <w:rFonts w:eastAsia="PMingLiU"/>
        </w:rPr>
        <w:t xml:space="preserve">yet </w:t>
      </w:r>
      <w:r w:rsidRPr="001D76EA">
        <w:rPr>
          <w:rFonts w:eastAsia="PMingLiU"/>
        </w:rPr>
        <w:t xml:space="preserve">it </w:t>
      </w:r>
      <w:r>
        <w:rPr>
          <w:rFonts w:eastAsia="PMingLiU"/>
        </w:rPr>
        <w:t xml:space="preserve">offers </w:t>
      </w:r>
      <w:r w:rsidRPr="001D76EA">
        <w:rPr>
          <w:rFonts w:eastAsia="PMingLiU"/>
        </w:rPr>
        <w:t>several advantages</w:t>
      </w:r>
      <w:r>
        <w:rPr>
          <w:rFonts w:eastAsia="PMingLiU"/>
        </w:rPr>
        <w:t xml:space="preserve">. For this supplemental study, we shared </w:t>
      </w:r>
      <w:r w:rsidRPr="001D76EA">
        <w:rPr>
          <w:rFonts w:eastAsia="PMingLiU"/>
        </w:rPr>
        <w:t xml:space="preserve">our Study 1 findings </w:t>
      </w:r>
      <w:r>
        <w:rPr>
          <w:rFonts w:eastAsia="PMingLiU"/>
        </w:rPr>
        <w:t xml:space="preserve">with the minor league baseball team and were directly involved in </w:t>
      </w:r>
      <w:r w:rsidRPr="001D76EA">
        <w:rPr>
          <w:rFonts w:eastAsia="PMingLiU"/>
        </w:rPr>
        <w:t xml:space="preserve">the creation of visually congruent sponsorship signage. In cooperation with the baseball club, we first surveyed fans </w:t>
      </w:r>
      <w:r>
        <w:rPr>
          <w:rFonts w:eastAsia="PMingLiU"/>
        </w:rPr>
        <w:t xml:space="preserve">to establish their baseline </w:t>
      </w:r>
      <w:r w:rsidRPr="001D76EA">
        <w:rPr>
          <w:rFonts w:eastAsia="PMingLiU"/>
        </w:rPr>
        <w:t>perceptions at the beginning of the season, then conduct</w:t>
      </w:r>
      <w:r>
        <w:rPr>
          <w:rFonts w:eastAsia="PMingLiU"/>
        </w:rPr>
        <w:t>ed</w:t>
      </w:r>
      <w:r w:rsidRPr="001D76EA">
        <w:rPr>
          <w:rFonts w:eastAsia="PMingLiU"/>
        </w:rPr>
        <w:t xml:space="preserve"> a second fan survey at the end of the season.</w:t>
      </w:r>
    </w:p>
    <w:p w:rsidR="00842575" w:rsidRPr="001D76EA" w:rsidRDefault="00842575" w:rsidP="00842575">
      <w:pPr>
        <w:outlineLvl w:val="1"/>
        <w:rPr>
          <w:rFonts w:eastAsia="PMingLiU"/>
          <w:b/>
          <w:i/>
          <w:iCs/>
        </w:rPr>
      </w:pPr>
      <w:r>
        <w:rPr>
          <w:rFonts w:eastAsia="PMingLiU"/>
          <w:b/>
          <w:i/>
          <w:iCs/>
        </w:rPr>
        <w:t xml:space="preserve">Initial </w:t>
      </w:r>
      <w:r w:rsidRPr="001D76EA">
        <w:rPr>
          <w:rFonts w:eastAsia="PMingLiU"/>
          <w:b/>
          <w:i/>
          <w:iCs/>
        </w:rPr>
        <w:t xml:space="preserve">Fan Survey </w:t>
      </w:r>
      <w:r>
        <w:rPr>
          <w:rFonts w:eastAsia="PMingLiU"/>
          <w:b/>
          <w:i/>
          <w:iCs/>
        </w:rPr>
        <w:t xml:space="preserve">for </w:t>
      </w:r>
      <w:r w:rsidRPr="001D76EA">
        <w:rPr>
          <w:rFonts w:eastAsia="PMingLiU"/>
          <w:b/>
          <w:i/>
          <w:iCs/>
        </w:rPr>
        <w:t>Baseline Brand Evaluations</w:t>
      </w:r>
    </w:p>
    <w:p w:rsidR="00842575" w:rsidRPr="001D76EA" w:rsidRDefault="00842575" w:rsidP="00842575">
      <w:pPr>
        <w:ind w:firstLine="720"/>
        <w:rPr>
          <w:rFonts w:eastAsia="PMingLiU"/>
        </w:rPr>
      </w:pPr>
      <w:r w:rsidRPr="001D76EA">
        <w:rPr>
          <w:rFonts w:eastAsia="PMingLiU"/>
        </w:rPr>
        <w:t>To establish baseline brand evaluations</w:t>
      </w:r>
      <w:r>
        <w:rPr>
          <w:rFonts w:eastAsia="PMingLiU"/>
        </w:rPr>
        <w:t>,</w:t>
      </w:r>
      <w:r w:rsidRPr="001D76EA">
        <w:rPr>
          <w:rFonts w:eastAsia="PMingLiU"/>
        </w:rPr>
        <w:t xml:space="preserve"> before fans encountered any sponsorship signage, we surveyed </w:t>
      </w:r>
      <w:r>
        <w:rPr>
          <w:rFonts w:eastAsia="PMingLiU"/>
        </w:rPr>
        <w:t xml:space="preserve">them </w:t>
      </w:r>
      <w:r w:rsidRPr="001D76EA">
        <w:rPr>
          <w:rFonts w:eastAsia="PMingLiU"/>
        </w:rPr>
        <w:t xml:space="preserve">as they arrived at the stadium for the first home game of the minor league baseball season. Undergraduate research assistants approached fans at the ticket box office and stadium entrances and asked </w:t>
      </w:r>
      <w:r>
        <w:rPr>
          <w:rFonts w:eastAsia="PMingLiU"/>
        </w:rPr>
        <w:t xml:space="preserve">them </w:t>
      </w:r>
      <w:r w:rsidRPr="001D76EA">
        <w:rPr>
          <w:rFonts w:eastAsia="PMingLiU"/>
        </w:rPr>
        <w:t>to complete a single</w:t>
      </w:r>
      <w:r>
        <w:rPr>
          <w:rFonts w:eastAsia="PMingLiU"/>
        </w:rPr>
        <w:t>-</w:t>
      </w:r>
      <w:r w:rsidRPr="001D76EA">
        <w:rPr>
          <w:rFonts w:eastAsia="PMingLiU"/>
        </w:rPr>
        <w:t>page survey</w:t>
      </w:r>
      <w:r>
        <w:rPr>
          <w:rFonts w:eastAsia="PMingLiU"/>
        </w:rPr>
        <w:t xml:space="preserve">, for which they would </w:t>
      </w:r>
      <w:r w:rsidRPr="001D76EA">
        <w:rPr>
          <w:rFonts w:eastAsia="PMingLiU"/>
        </w:rPr>
        <w:t xml:space="preserve">be </w:t>
      </w:r>
      <w:proofErr w:type="gramStart"/>
      <w:r w:rsidRPr="001D76EA">
        <w:rPr>
          <w:rFonts w:eastAsia="PMingLiU"/>
        </w:rPr>
        <w:t>entered into</w:t>
      </w:r>
      <w:proofErr w:type="gramEnd"/>
      <w:r w:rsidRPr="001D76EA">
        <w:rPr>
          <w:rFonts w:eastAsia="PMingLiU"/>
        </w:rPr>
        <w:t xml:space="preserve"> a drawing for a $100 Amazon gift card. One hundred seventy-two fans completed the survey</w:t>
      </w:r>
      <w:r>
        <w:rPr>
          <w:rFonts w:eastAsia="PMingLiU"/>
        </w:rPr>
        <w:t xml:space="preserve"> and </w:t>
      </w:r>
      <w:r w:rsidRPr="001D76EA">
        <w:rPr>
          <w:rFonts w:eastAsia="PMingLiU"/>
        </w:rPr>
        <w:t>evaluat</w:t>
      </w:r>
      <w:r>
        <w:rPr>
          <w:rFonts w:eastAsia="PMingLiU"/>
        </w:rPr>
        <w:t>ed</w:t>
      </w:r>
      <w:r w:rsidRPr="001D76EA">
        <w:rPr>
          <w:rFonts w:eastAsia="PMingLiU"/>
        </w:rPr>
        <w:t xml:space="preserve"> three brand sponsors of the team: a local Toyota dealership, a local community credit union, and Levi’s. </w:t>
      </w:r>
      <w:proofErr w:type="gramStart"/>
      <w:r>
        <w:rPr>
          <w:rFonts w:eastAsia="PMingLiU"/>
        </w:rPr>
        <w:t>On the basis of</w:t>
      </w:r>
      <w:proofErr w:type="gramEnd"/>
      <w:r>
        <w:rPr>
          <w:rFonts w:eastAsia="PMingLiU"/>
        </w:rPr>
        <w:t xml:space="preserve"> our Study 1 </w:t>
      </w:r>
      <w:r w:rsidRPr="001D76EA">
        <w:rPr>
          <w:rFonts w:eastAsia="PMingLiU"/>
        </w:rPr>
        <w:t>findings</w:t>
      </w:r>
      <w:r>
        <w:rPr>
          <w:rFonts w:eastAsia="PMingLiU"/>
        </w:rPr>
        <w:t xml:space="preserve">, the </w:t>
      </w:r>
      <w:r w:rsidRPr="001D76EA">
        <w:rPr>
          <w:rFonts w:eastAsia="PMingLiU"/>
        </w:rPr>
        <w:t xml:space="preserve">Toyota dealership </w:t>
      </w:r>
      <w:r>
        <w:rPr>
          <w:rFonts w:eastAsia="PMingLiU"/>
        </w:rPr>
        <w:t xml:space="preserve">subsequently </w:t>
      </w:r>
      <w:r w:rsidRPr="001D76EA">
        <w:rPr>
          <w:rFonts w:eastAsia="PMingLiU"/>
        </w:rPr>
        <w:t>create</w:t>
      </w:r>
      <w:r>
        <w:rPr>
          <w:rFonts w:eastAsia="PMingLiU"/>
        </w:rPr>
        <w:t>d</w:t>
      </w:r>
      <w:r w:rsidRPr="001D76EA">
        <w:rPr>
          <w:rFonts w:eastAsia="PMingLiU"/>
        </w:rPr>
        <w:t xml:space="preserve"> sponsorship signage in the </w:t>
      </w:r>
      <w:r>
        <w:rPr>
          <w:rFonts w:eastAsia="PMingLiU"/>
        </w:rPr>
        <w:t xml:space="preserve">team </w:t>
      </w:r>
      <w:r w:rsidRPr="001D76EA">
        <w:rPr>
          <w:rFonts w:eastAsia="PMingLiU"/>
        </w:rPr>
        <w:t>colors</w:t>
      </w:r>
      <w:r>
        <w:rPr>
          <w:rFonts w:eastAsia="PMingLiU"/>
        </w:rPr>
        <w:t>,</w:t>
      </w:r>
      <w:r w:rsidRPr="001D76EA">
        <w:rPr>
          <w:rFonts w:eastAsia="PMingLiU"/>
        </w:rPr>
        <w:t xml:space="preserve"> rather than its own brand colors. Each brand </w:t>
      </w:r>
      <w:r>
        <w:rPr>
          <w:rFonts w:eastAsia="PMingLiU"/>
        </w:rPr>
        <w:t xml:space="preserve">evaluation used </w:t>
      </w:r>
      <w:r w:rsidRPr="001D76EA">
        <w:rPr>
          <w:rFonts w:eastAsia="PMingLiU"/>
        </w:rPr>
        <w:t>a single, seven</w:t>
      </w:r>
      <w:r>
        <w:rPr>
          <w:rFonts w:eastAsia="PMingLiU"/>
        </w:rPr>
        <w:t>-</w:t>
      </w:r>
      <w:r w:rsidRPr="001D76EA">
        <w:rPr>
          <w:rFonts w:eastAsia="PMingLiU"/>
        </w:rPr>
        <w:t>point item</w:t>
      </w:r>
      <w:r>
        <w:rPr>
          <w:rFonts w:eastAsia="PMingLiU"/>
        </w:rPr>
        <w:t>,</w:t>
      </w:r>
      <w:r w:rsidRPr="001D76EA">
        <w:rPr>
          <w:rFonts w:eastAsia="PMingLiU"/>
        </w:rPr>
        <w:t xml:space="preserve"> “How would you describe your attitude toward [brand name]</w:t>
      </w:r>
      <w:r>
        <w:rPr>
          <w:rFonts w:eastAsia="PMingLiU"/>
        </w:rPr>
        <w:t>?</w:t>
      </w:r>
      <w:r w:rsidRPr="001D76EA">
        <w:rPr>
          <w:rFonts w:eastAsia="PMingLiU"/>
        </w:rPr>
        <w:t>” (1</w:t>
      </w:r>
      <w:r>
        <w:rPr>
          <w:rFonts w:eastAsia="PMingLiU"/>
        </w:rPr>
        <w:t xml:space="preserve"> </w:t>
      </w:r>
      <w:r w:rsidRPr="001D76EA">
        <w:rPr>
          <w:rFonts w:eastAsia="PMingLiU"/>
        </w:rPr>
        <w:t>= “</w:t>
      </w:r>
      <w:r>
        <w:rPr>
          <w:rFonts w:eastAsia="PMingLiU"/>
        </w:rPr>
        <w:t>e</w:t>
      </w:r>
      <w:r w:rsidRPr="001D76EA">
        <w:rPr>
          <w:rFonts w:eastAsia="PMingLiU"/>
        </w:rPr>
        <w:t>xtremely negative</w:t>
      </w:r>
      <w:r>
        <w:rPr>
          <w:rFonts w:eastAsia="PMingLiU"/>
        </w:rPr>
        <w:t>,</w:t>
      </w:r>
      <w:r w:rsidRPr="001D76EA">
        <w:rPr>
          <w:rFonts w:eastAsia="PMingLiU"/>
        </w:rPr>
        <w:t>”</w:t>
      </w:r>
      <w:r>
        <w:rPr>
          <w:rFonts w:eastAsia="PMingLiU"/>
        </w:rPr>
        <w:t xml:space="preserve"> and</w:t>
      </w:r>
      <w:r w:rsidRPr="001D76EA">
        <w:rPr>
          <w:rFonts w:eastAsia="PMingLiU"/>
        </w:rPr>
        <w:t xml:space="preserve"> 7 = “</w:t>
      </w:r>
      <w:r>
        <w:rPr>
          <w:rFonts w:eastAsia="PMingLiU"/>
        </w:rPr>
        <w:t>e</w:t>
      </w:r>
      <w:r w:rsidRPr="001D76EA">
        <w:rPr>
          <w:rFonts w:eastAsia="PMingLiU"/>
        </w:rPr>
        <w:t xml:space="preserve">xtremely positive”). We </w:t>
      </w:r>
      <w:r>
        <w:rPr>
          <w:rFonts w:eastAsia="PMingLiU"/>
        </w:rPr>
        <w:t xml:space="preserve">particularly noted </w:t>
      </w:r>
      <w:r w:rsidRPr="001D76EA">
        <w:rPr>
          <w:rFonts w:eastAsia="PMingLiU"/>
        </w:rPr>
        <w:t>any differences in fans</w:t>
      </w:r>
      <w:r>
        <w:rPr>
          <w:rFonts w:eastAsia="PMingLiU"/>
        </w:rPr>
        <w:t>’</w:t>
      </w:r>
      <w:r w:rsidRPr="001D76EA">
        <w:rPr>
          <w:rFonts w:eastAsia="PMingLiU"/>
        </w:rPr>
        <w:t xml:space="preserve"> </w:t>
      </w:r>
      <w:r>
        <w:rPr>
          <w:rFonts w:eastAsia="PMingLiU"/>
        </w:rPr>
        <w:t xml:space="preserve">baseline </w:t>
      </w:r>
      <w:r w:rsidRPr="001D76EA">
        <w:rPr>
          <w:rFonts w:eastAsia="PMingLiU"/>
        </w:rPr>
        <w:t>evaluation</w:t>
      </w:r>
      <w:r>
        <w:rPr>
          <w:rFonts w:eastAsia="PMingLiU"/>
        </w:rPr>
        <w:t>s</w:t>
      </w:r>
      <w:r w:rsidRPr="001D76EA">
        <w:rPr>
          <w:rFonts w:eastAsia="PMingLiU"/>
        </w:rPr>
        <w:t xml:space="preserve"> of the local Toyota dealership </w:t>
      </w:r>
      <w:r w:rsidRPr="001D76EA">
        <w:rPr>
          <w:rFonts w:eastAsia="PMingLiU"/>
        </w:rPr>
        <w:lastRenderedPageBreak/>
        <w:t xml:space="preserve">compared </w:t>
      </w:r>
      <w:r>
        <w:rPr>
          <w:rFonts w:eastAsia="PMingLiU"/>
        </w:rPr>
        <w:t xml:space="preserve">with </w:t>
      </w:r>
      <w:r w:rsidRPr="001D76EA">
        <w:rPr>
          <w:rFonts w:eastAsia="PMingLiU"/>
        </w:rPr>
        <w:t xml:space="preserve">the other two brands. A repeated measures </w:t>
      </w:r>
      <w:r>
        <w:rPr>
          <w:rFonts w:eastAsia="PMingLiU"/>
        </w:rPr>
        <w:t xml:space="preserve">analysis of variance (ANOVA) shows that </w:t>
      </w:r>
      <w:r w:rsidRPr="001D76EA">
        <w:rPr>
          <w:rFonts w:eastAsia="PMingLiU"/>
        </w:rPr>
        <w:t xml:space="preserve">fans </w:t>
      </w:r>
      <w:r>
        <w:rPr>
          <w:rFonts w:eastAsia="PMingLiU"/>
        </w:rPr>
        <w:t xml:space="preserve">held </w:t>
      </w:r>
      <w:r w:rsidRPr="001D76EA">
        <w:rPr>
          <w:rFonts w:eastAsia="PMingLiU"/>
        </w:rPr>
        <w:t>a lower initial attitude</w:t>
      </w:r>
      <w:r>
        <w:rPr>
          <w:rFonts w:eastAsia="PMingLiU"/>
        </w:rPr>
        <w:t>s</w:t>
      </w:r>
      <w:r w:rsidRPr="001D76EA">
        <w:rPr>
          <w:rFonts w:eastAsia="PMingLiU"/>
        </w:rPr>
        <w:t xml:space="preserve"> toward the Toyota dealership </w:t>
      </w:r>
      <w:r>
        <w:rPr>
          <w:rFonts w:eastAsia="PMingLiU"/>
        </w:rPr>
        <w:t xml:space="preserve">than </w:t>
      </w:r>
      <w:r w:rsidRPr="001D76EA">
        <w:rPr>
          <w:rFonts w:eastAsia="PMingLiU"/>
        </w:rPr>
        <w:t>the other brands (</w:t>
      </w:r>
      <w:proofErr w:type="spellStart"/>
      <w:r w:rsidRPr="007E541D">
        <w:rPr>
          <w:rFonts w:eastAsia="PMingLiU"/>
        </w:rPr>
        <w:t>M</w:t>
      </w:r>
      <w:r w:rsidRPr="00D672E0">
        <w:rPr>
          <w:rFonts w:eastAsia="PMingLiU"/>
          <w:vertAlign w:val="subscript"/>
        </w:rPr>
        <w:t>Toyota</w:t>
      </w:r>
      <w:proofErr w:type="spellEnd"/>
      <w:r w:rsidRPr="00D672E0">
        <w:rPr>
          <w:rFonts w:eastAsia="PMingLiU"/>
        </w:rPr>
        <w:t xml:space="preserve"> = 4.74, </w:t>
      </w:r>
      <w:proofErr w:type="spellStart"/>
      <w:r w:rsidRPr="007E541D">
        <w:rPr>
          <w:rFonts w:eastAsia="PMingLiU"/>
        </w:rPr>
        <w:t>M</w:t>
      </w:r>
      <w:r w:rsidRPr="00D672E0">
        <w:rPr>
          <w:rFonts w:eastAsia="PMingLiU"/>
          <w:vertAlign w:val="subscript"/>
        </w:rPr>
        <w:t>Credit</w:t>
      </w:r>
      <w:proofErr w:type="spellEnd"/>
      <w:r w:rsidRPr="00D672E0">
        <w:rPr>
          <w:rFonts w:eastAsia="PMingLiU"/>
          <w:vertAlign w:val="subscript"/>
        </w:rPr>
        <w:t xml:space="preserve"> Union </w:t>
      </w:r>
      <w:r w:rsidRPr="00D672E0">
        <w:rPr>
          <w:rFonts w:eastAsia="PMingLiU"/>
        </w:rPr>
        <w:t xml:space="preserve">= 5.47, </w:t>
      </w:r>
      <w:proofErr w:type="spellStart"/>
      <w:r w:rsidRPr="007E541D">
        <w:rPr>
          <w:rFonts w:eastAsia="PMingLiU"/>
        </w:rPr>
        <w:t>M</w:t>
      </w:r>
      <w:r w:rsidRPr="00D672E0">
        <w:rPr>
          <w:rFonts w:eastAsia="PMingLiU"/>
          <w:vertAlign w:val="subscript"/>
        </w:rPr>
        <w:t>Levi’s</w:t>
      </w:r>
      <w:proofErr w:type="spellEnd"/>
      <w:r w:rsidRPr="00D672E0">
        <w:rPr>
          <w:rFonts w:eastAsia="PMingLiU"/>
        </w:rPr>
        <w:t xml:space="preserve"> </w:t>
      </w:r>
      <w:r w:rsidRPr="001D76EA">
        <w:rPr>
          <w:rFonts w:eastAsia="PMingLiU"/>
        </w:rPr>
        <w:t xml:space="preserve">= 5.32; </w:t>
      </w:r>
      <w:proofErr w:type="gramStart"/>
      <w:r w:rsidRPr="001D76EA">
        <w:rPr>
          <w:rFonts w:eastAsia="PMingLiU"/>
          <w:i/>
        </w:rPr>
        <w:t>F</w:t>
      </w:r>
      <w:r w:rsidRPr="001D76EA">
        <w:rPr>
          <w:rFonts w:eastAsia="PMingLiU"/>
        </w:rPr>
        <w:t>(</w:t>
      </w:r>
      <w:proofErr w:type="gramEnd"/>
      <w:r w:rsidRPr="001D76EA">
        <w:rPr>
          <w:rFonts w:eastAsia="PMingLiU"/>
        </w:rPr>
        <w:t xml:space="preserve">2, 342) = 15.54, </w:t>
      </w:r>
      <w:r w:rsidRPr="001D76EA">
        <w:rPr>
          <w:rFonts w:eastAsia="PMingLiU"/>
          <w:i/>
        </w:rPr>
        <w:t>p</w:t>
      </w:r>
      <w:r w:rsidRPr="001D76EA">
        <w:rPr>
          <w:rFonts w:eastAsia="PMingLiU"/>
        </w:rPr>
        <w:t xml:space="preserve"> &lt; .001)</w:t>
      </w:r>
      <w:r>
        <w:rPr>
          <w:rFonts w:eastAsia="PMingLiU"/>
        </w:rPr>
        <w:t xml:space="preserve">, which </w:t>
      </w:r>
      <w:r w:rsidRPr="001D76EA">
        <w:rPr>
          <w:rFonts w:eastAsia="PMingLiU"/>
        </w:rPr>
        <w:t xml:space="preserve">are relevant </w:t>
      </w:r>
      <w:r>
        <w:rPr>
          <w:rFonts w:eastAsia="PMingLiU"/>
        </w:rPr>
        <w:t xml:space="preserve">for our </w:t>
      </w:r>
      <w:r w:rsidRPr="001D76EA">
        <w:rPr>
          <w:rFonts w:eastAsia="PMingLiU"/>
        </w:rPr>
        <w:t>interpretation of the sponsorship performance survey at the end of the season.</w:t>
      </w:r>
    </w:p>
    <w:p w:rsidR="00842575" w:rsidRPr="001D76EA" w:rsidRDefault="00842575" w:rsidP="00842575">
      <w:pPr>
        <w:outlineLvl w:val="1"/>
        <w:rPr>
          <w:rFonts w:eastAsia="PMingLiU"/>
          <w:b/>
          <w:i/>
          <w:iCs/>
        </w:rPr>
      </w:pPr>
      <w:r>
        <w:rPr>
          <w:rFonts w:eastAsia="PMingLiU"/>
          <w:b/>
          <w:i/>
          <w:iCs/>
        </w:rPr>
        <w:t xml:space="preserve">Subsequent </w:t>
      </w:r>
      <w:r w:rsidRPr="001D76EA">
        <w:rPr>
          <w:rFonts w:eastAsia="PMingLiU"/>
          <w:b/>
          <w:i/>
          <w:iCs/>
        </w:rPr>
        <w:t>Fan Survey for Assessing Sponsorship Performance</w:t>
      </w:r>
    </w:p>
    <w:p w:rsidR="00842575" w:rsidRDefault="00842575" w:rsidP="00842575">
      <w:pPr>
        <w:ind w:firstLine="720"/>
        <w:rPr>
          <w:rFonts w:eastAsia="PMingLiU"/>
        </w:rPr>
      </w:pPr>
      <w:r w:rsidRPr="001D76EA">
        <w:rPr>
          <w:rFonts w:eastAsia="PMingLiU"/>
          <w:i/>
        </w:rPr>
        <w:t>Methodology.</w:t>
      </w:r>
      <w:r w:rsidRPr="001D76EA">
        <w:rPr>
          <w:rFonts w:eastAsia="PMingLiU"/>
        </w:rPr>
        <w:t xml:space="preserve"> We conducted </w:t>
      </w:r>
      <w:r>
        <w:rPr>
          <w:rFonts w:eastAsia="PMingLiU"/>
        </w:rPr>
        <w:t>the</w:t>
      </w:r>
      <w:r w:rsidRPr="001D76EA">
        <w:rPr>
          <w:rFonts w:eastAsia="PMingLiU"/>
        </w:rPr>
        <w:t xml:space="preserve"> second survey </w:t>
      </w:r>
      <w:r>
        <w:rPr>
          <w:rFonts w:eastAsia="PMingLiU"/>
        </w:rPr>
        <w:t xml:space="preserve">during </w:t>
      </w:r>
      <w:r w:rsidRPr="001D76EA">
        <w:rPr>
          <w:rFonts w:eastAsia="PMingLiU"/>
        </w:rPr>
        <w:t xml:space="preserve">the last Saturday game of the season. Before fans arrived, we distributed </w:t>
      </w:r>
      <w:r>
        <w:rPr>
          <w:rFonts w:eastAsia="PMingLiU"/>
        </w:rPr>
        <w:t xml:space="preserve">more than </w:t>
      </w:r>
      <w:r w:rsidRPr="001D76EA">
        <w:rPr>
          <w:rFonts w:eastAsia="PMingLiU"/>
        </w:rPr>
        <w:t xml:space="preserve">1,000 paper surveys </w:t>
      </w:r>
      <w:r>
        <w:rPr>
          <w:rFonts w:eastAsia="PMingLiU"/>
        </w:rPr>
        <w:t xml:space="preserve">in </w:t>
      </w:r>
      <w:r w:rsidRPr="001D76EA">
        <w:rPr>
          <w:rFonts w:eastAsia="PMingLiU"/>
        </w:rPr>
        <w:t xml:space="preserve">the cup holders of every other seat. Two hundred sixty-seven fans returned the completed survey and were </w:t>
      </w:r>
      <w:proofErr w:type="gramStart"/>
      <w:r w:rsidRPr="001D76EA">
        <w:rPr>
          <w:rFonts w:eastAsia="PMingLiU"/>
        </w:rPr>
        <w:t>entered into</w:t>
      </w:r>
      <w:proofErr w:type="gramEnd"/>
      <w:r w:rsidRPr="001D76EA">
        <w:rPr>
          <w:rFonts w:eastAsia="PMingLiU"/>
        </w:rPr>
        <w:t xml:space="preserve"> a drawing for a $100 Amazon gift card. Each survey had the stadium section number recorded on the bottom</w:t>
      </w:r>
      <w:r>
        <w:rPr>
          <w:rFonts w:eastAsia="PMingLiU"/>
        </w:rPr>
        <w:t>,</w:t>
      </w:r>
      <w:r w:rsidRPr="001D76EA">
        <w:rPr>
          <w:rFonts w:eastAsia="PMingLiU"/>
        </w:rPr>
        <w:t xml:space="preserve"> </w:t>
      </w:r>
      <w:r>
        <w:rPr>
          <w:rFonts w:eastAsia="PMingLiU"/>
        </w:rPr>
        <w:t xml:space="preserve">so we could </w:t>
      </w:r>
      <w:r w:rsidRPr="001D76EA">
        <w:rPr>
          <w:rFonts w:eastAsia="PMingLiU"/>
        </w:rPr>
        <w:t xml:space="preserve">track where fans sat. </w:t>
      </w:r>
      <w:r>
        <w:rPr>
          <w:rFonts w:eastAsia="PMingLiU"/>
        </w:rPr>
        <w:t xml:space="preserve">The focal </w:t>
      </w:r>
      <w:r w:rsidRPr="001D76EA">
        <w:rPr>
          <w:rFonts w:eastAsia="PMingLiU"/>
        </w:rPr>
        <w:t>Toyota dealership’s visually congruent sponsorship signage was displayed on the top of the home and away team</w:t>
      </w:r>
      <w:r>
        <w:rPr>
          <w:rFonts w:eastAsia="PMingLiU"/>
        </w:rPr>
        <w:t>s</w:t>
      </w:r>
      <w:r w:rsidRPr="001D76EA">
        <w:rPr>
          <w:rFonts w:eastAsia="PMingLiU"/>
        </w:rPr>
        <w:t xml:space="preserve">’ dugouts at an angle that was easy to </w:t>
      </w:r>
      <w:r>
        <w:rPr>
          <w:rFonts w:eastAsia="PMingLiU"/>
        </w:rPr>
        <w:t xml:space="preserve">see </w:t>
      </w:r>
      <w:r w:rsidRPr="001D76EA">
        <w:rPr>
          <w:rFonts w:eastAsia="PMingLiU"/>
        </w:rPr>
        <w:t xml:space="preserve">for fans seated behind the dugouts but difficult for fans seated in </w:t>
      </w:r>
      <w:r>
        <w:rPr>
          <w:rFonts w:eastAsia="PMingLiU"/>
        </w:rPr>
        <w:t xml:space="preserve">other </w:t>
      </w:r>
      <w:r w:rsidRPr="001D76EA">
        <w:rPr>
          <w:rFonts w:eastAsia="PMingLiU"/>
        </w:rPr>
        <w:t xml:space="preserve">sections. All fans, regardless of </w:t>
      </w:r>
      <w:r>
        <w:rPr>
          <w:rFonts w:eastAsia="PMingLiU"/>
        </w:rPr>
        <w:t>where they sat</w:t>
      </w:r>
      <w:r w:rsidRPr="001D76EA">
        <w:rPr>
          <w:rFonts w:eastAsia="PMingLiU"/>
        </w:rPr>
        <w:t xml:space="preserve">, could easily view the sponsorship signage for Levi’s and the community credit union, which were prominently displayed above the outfield wall on a large lighting fixture. </w:t>
      </w:r>
    </w:p>
    <w:p w:rsidR="00842575" w:rsidRDefault="00842575" w:rsidP="00842575">
      <w:pPr>
        <w:spacing w:line="240" w:lineRule="auto"/>
        <w:jc w:val="center"/>
        <w:rPr>
          <w:rFonts w:eastAsia="PMingLiU"/>
          <w:b/>
        </w:rPr>
      </w:pPr>
      <w:r>
        <w:rPr>
          <w:rFonts w:eastAsia="PMingLiU"/>
          <w:b/>
        </w:rPr>
        <w:t>Figure W1</w:t>
      </w:r>
    </w:p>
    <w:p w:rsidR="00842575" w:rsidRDefault="00842575" w:rsidP="00842575">
      <w:pPr>
        <w:spacing w:line="240" w:lineRule="auto"/>
        <w:jc w:val="center"/>
        <w:rPr>
          <w:rFonts w:eastAsia="PMingLiU"/>
          <w:b/>
        </w:rPr>
      </w:pPr>
      <w:r>
        <w:rPr>
          <w:rFonts w:eastAsia="PMingLiU"/>
          <w:b/>
        </w:rPr>
        <w:t>Toyota Dealership’s Visually Congruent Sponsorship Signage Located on the Dugout</w:t>
      </w:r>
    </w:p>
    <w:p w:rsidR="00842575" w:rsidRDefault="00842575" w:rsidP="00842575">
      <w:pPr>
        <w:pBdr>
          <w:top w:val="single" w:sz="4" w:space="1" w:color="auto"/>
          <w:bottom w:val="single" w:sz="4" w:space="1" w:color="auto"/>
        </w:pBdr>
        <w:spacing w:line="240" w:lineRule="auto"/>
        <w:jc w:val="center"/>
        <w:rPr>
          <w:rFonts w:eastAsia="PMingLiU"/>
          <w:b/>
        </w:rPr>
      </w:pPr>
      <w:r w:rsidRPr="00F405E6">
        <w:rPr>
          <w:rFonts w:eastAsia="PMingLiU"/>
          <w:b/>
          <w:noProof/>
        </w:rPr>
        <w:lastRenderedPageBreak/>
        <w:drawing>
          <wp:inline distT="0" distB="0" distL="0" distR="0" wp14:anchorId="791EDCFD" wp14:editId="3010D9DC">
            <wp:extent cx="5669280" cy="4422038"/>
            <wp:effectExtent l="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a:stretch>
                      <a:fillRect/>
                    </a:stretch>
                  </pic:blipFill>
                  <pic:spPr>
                    <a:xfrm>
                      <a:off x="0" y="0"/>
                      <a:ext cx="5669280" cy="4422038"/>
                    </a:xfrm>
                    <a:prstGeom prst="rect">
                      <a:avLst/>
                    </a:prstGeom>
                  </pic:spPr>
                </pic:pic>
              </a:graphicData>
            </a:graphic>
          </wp:inline>
        </w:drawing>
      </w:r>
    </w:p>
    <w:p w:rsidR="00842575" w:rsidRPr="001D76EA" w:rsidRDefault="00842575" w:rsidP="00842575">
      <w:pPr>
        <w:pBdr>
          <w:top w:val="single" w:sz="4" w:space="1" w:color="auto"/>
          <w:bottom w:val="single" w:sz="4" w:space="1" w:color="auto"/>
        </w:pBdr>
        <w:spacing w:line="240" w:lineRule="auto"/>
        <w:jc w:val="center"/>
        <w:rPr>
          <w:rFonts w:eastAsia="PMingLiU"/>
        </w:rPr>
      </w:pPr>
    </w:p>
    <w:p w:rsidR="00842575" w:rsidRPr="001D76EA" w:rsidRDefault="00842575" w:rsidP="00842575">
      <w:pPr>
        <w:rPr>
          <w:rFonts w:cs="Times New Roman"/>
        </w:rPr>
      </w:pPr>
      <w:r w:rsidRPr="001D76EA">
        <w:rPr>
          <w:rFonts w:eastAsia="PMingLiU"/>
        </w:rPr>
        <w:t xml:space="preserve">The survey </w:t>
      </w:r>
      <w:r>
        <w:rPr>
          <w:rFonts w:eastAsia="PMingLiU"/>
        </w:rPr>
        <w:t xml:space="preserve">included </w:t>
      </w:r>
      <w:r w:rsidRPr="001D76EA">
        <w:rPr>
          <w:rFonts w:eastAsia="PMingLiU"/>
        </w:rPr>
        <w:t xml:space="preserve">three, seven-point items </w:t>
      </w:r>
      <w:r>
        <w:rPr>
          <w:rFonts w:eastAsia="PMingLiU"/>
        </w:rPr>
        <w:t>to</w:t>
      </w:r>
      <w:r w:rsidRPr="001D76EA">
        <w:rPr>
          <w:rFonts w:eastAsia="PMingLiU"/>
        </w:rPr>
        <w:t xml:space="preserve"> assess sponsorship performance. The first item was the attitude toward the sponsorship item from Study 1: “Use the scale below to indicate your opinion of each brand as a sponsor of the [team name]” </w:t>
      </w:r>
      <w:r>
        <w:rPr>
          <w:rFonts w:eastAsia="PMingLiU"/>
        </w:rPr>
        <w:t>(</w:t>
      </w:r>
      <w:r w:rsidRPr="001D76EA">
        <w:rPr>
          <w:rFonts w:cs="Times New Roman"/>
        </w:rPr>
        <w:t>1 = “very negative,” 4 = “neutral,” 7 = “very positive”</w:t>
      </w:r>
      <w:r>
        <w:rPr>
          <w:rFonts w:cs="Times New Roman"/>
        </w:rPr>
        <w:t>).</w:t>
      </w:r>
      <w:r w:rsidRPr="001D76EA">
        <w:rPr>
          <w:rFonts w:cs="Times New Roman"/>
        </w:rPr>
        <w:t xml:space="preserve"> </w:t>
      </w:r>
      <w:r>
        <w:rPr>
          <w:rFonts w:cs="Times New Roman"/>
        </w:rPr>
        <w:t xml:space="preserve">With the </w:t>
      </w:r>
      <w:r w:rsidRPr="001D76EA">
        <w:rPr>
          <w:rFonts w:cs="Times New Roman"/>
        </w:rPr>
        <w:t>second and third item</w:t>
      </w:r>
      <w:r>
        <w:rPr>
          <w:rFonts w:cs="Times New Roman"/>
        </w:rPr>
        <w:t>s, we used seven-point scales</w:t>
      </w:r>
      <w:r w:rsidRPr="001D76EA">
        <w:rPr>
          <w:rFonts w:cs="Times New Roman"/>
        </w:rPr>
        <w:t xml:space="preserve"> (1 = “</w:t>
      </w:r>
      <w:r>
        <w:rPr>
          <w:rFonts w:cs="Times New Roman"/>
        </w:rPr>
        <w:t>n</w:t>
      </w:r>
      <w:r w:rsidRPr="001D76EA">
        <w:rPr>
          <w:rFonts w:cs="Times New Roman"/>
        </w:rPr>
        <w:t>ot at all likely,” 4 = “</w:t>
      </w:r>
      <w:r>
        <w:rPr>
          <w:rFonts w:cs="Times New Roman"/>
        </w:rPr>
        <w:t>s</w:t>
      </w:r>
      <w:r w:rsidRPr="001D76EA">
        <w:rPr>
          <w:rFonts w:cs="Times New Roman"/>
        </w:rPr>
        <w:t>omewhat likely,” 7 = “</w:t>
      </w:r>
      <w:r>
        <w:rPr>
          <w:rFonts w:cs="Times New Roman"/>
        </w:rPr>
        <w:t>e</w:t>
      </w:r>
      <w:r w:rsidRPr="001D76EA">
        <w:rPr>
          <w:rFonts w:cs="Times New Roman"/>
        </w:rPr>
        <w:t xml:space="preserve">xtremely likely”) </w:t>
      </w:r>
      <w:r>
        <w:rPr>
          <w:rFonts w:cs="Times New Roman"/>
        </w:rPr>
        <w:t xml:space="preserve">to measure </w:t>
      </w:r>
      <w:r w:rsidRPr="001D76EA">
        <w:rPr>
          <w:rFonts w:cs="Times New Roman"/>
        </w:rPr>
        <w:t>purchase intent</w:t>
      </w:r>
      <w:r>
        <w:rPr>
          <w:rFonts w:cs="Times New Roman"/>
        </w:rPr>
        <w:t>ions</w:t>
      </w:r>
      <w:r w:rsidRPr="001D76EA">
        <w:rPr>
          <w:rFonts w:cs="Times New Roman"/>
        </w:rPr>
        <w:t xml:space="preserve"> (“How likely are you to purchase each brand’s products or services in the future?”) and word of mouth (“How likely are you to recommend each brand to a friend or colleague?”). The attitudinal measure strongly correlated with the other two items (purchase intent</w:t>
      </w:r>
      <w:r>
        <w:rPr>
          <w:rFonts w:cs="Times New Roman"/>
        </w:rPr>
        <w:t>ions</w:t>
      </w:r>
      <w:r w:rsidRPr="001D76EA">
        <w:rPr>
          <w:rFonts w:cs="Times New Roman"/>
        </w:rPr>
        <w:t xml:space="preserve"> </w:t>
      </w:r>
      <w:r w:rsidRPr="001D76EA">
        <w:rPr>
          <w:rFonts w:cs="Times New Roman"/>
          <w:i/>
        </w:rPr>
        <w:t>r</w:t>
      </w:r>
      <w:r w:rsidRPr="001D76EA">
        <w:rPr>
          <w:rFonts w:cs="Times New Roman"/>
        </w:rPr>
        <w:t xml:space="preserve"> = .60, </w:t>
      </w:r>
      <w:r w:rsidRPr="001D76EA">
        <w:rPr>
          <w:rFonts w:cs="Times New Roman"/>
          <w:i/>
        </w:rPr>
        <w:t>p</w:t>
      </w:r>
      <w:r w:rsidRPr="001D76EA">
        <w:rPr>
          <w:rFonts w:cs="Times New Roman"/>
        </w:rPr>
        <w:t xml:space="preserve"> &lt; .001; word of mouth </w:t>
      </w:r>
      <w:r w:rsidRPr="001D76EA">
        <w:rPr>
          <w:rFonts w:cs="Times New Roman"/>
          <w:i/>
        </w:rPr>
        <w:t>r</w:t>
      </w:r>
      <w:r w:rsidRPr="001D76EA">
        <w:rPr>
          <w:rFonts w:cs="Times New Roman"/>
        </w:rPr>
        <w:t xml:space="preserve"> = .65, </w:t>
      </w:r>
      <w:r w:rsidRPr="001D76EA">
        <w:rPr>
          <w:rFonts w:cs="Times New Roman"/>
          <w:i/>
        </w:rPr>
        <w:t>p</w:t>
      </w:r>
      <w:r w:rsidRPr="001D76EA">
        <w:rPr>
          <w:rFonts w:cs="Times New Roman"/>
        </w:rPr>
        <w:t xml:space="preserve"> &lt; .001), in support of </w:t>
      </w:r>
      <w:r>
        <w:rPr>
          <w:rFonts w:cs="Times New Roman"/>
        </w:rPr>
        <w:t xml:space="preserve">its appropriateness </w:t>
      </w:r>
      <w:r w:rsidRPr="001D76EA">
        <w:rPr>
          <w:rFonts w:cs="Times New Roman"/>
        </w:rPr>
        <w:t xml:space="preserve">as a sponsorship performance metric. </w:t>
      </w:r>
      <w:r>
        <w:rPr>
          <w:rFonts w:cs="Times New Roman"/>
        </w:rPr>
        <w:t xml:space="preserve">We averaged </w:t>
      </w:r>
      <w:r w:rsidRPr="001D76EA">
        <w:rPr>
          <w:rFonts w:cs="Times New Roman"/>
        </w:rPr>
        <w:t xml:space="preserve">items </w:t>
      </w:r>
      <w:r>
        <w:rPr>
          <w:rFonts w:cs="Times New Roman"/>
        </w:rPr>
        <w:t xml:space="preserve">as </w:t>
      </w:r>
      <w:r w:rsidRPr="001D76EA">
        <w:rPr>
          <w:rFonts w:cs="Times New Roman"/>
        </w:rPr>
        <w:t>a composite score of sponsorship performance (α = .86).</w:t>
      </w:r>
    </w:p>
    <w:p w:rsidR="00842575" w:rsidRDefault="00842575" w:rsidP="00842575">
      <w:pPr>
        <w:ind w:firstLine="720"/>
        <w:rPr>
          <w:rFonts w:eastAsia="PMingLiU"/>
        </w:rPr>
      </w:pPr>
      <w:r w:rsidRPr="001D76EA">
        <w:rPr>
          <w:rFonts w:eastAsia="PMingLiU"/>
          <w:i/>
        </w:rPr>
        <w:lastRenderedPageBreak/>
        <w:t>Results.</w:t>
      </w:r>
      <w:r w:rsidRPr="001D76EA">
        <w:rPr>
          <w:rFonts w:eastAsia="PMingLiU"/>
        </w:rPr>
        <w:t xml:space="preserve"> </w:t>
      </w:r>
      <w:r>
        <w:rPr>
          <w:rFonts w:eastAsia="PMingLiU"/>
        </w:rPr>
        <w:t xml:space="preserve">As noted, </w:t>
      </w:r>
      <w:r w:rsidRPr="001D76EA">
        <w:rPr>
          <w:rFonts w:eastAsia="PMingLiU"/>
        </w:rPr>
        <w:t>the created visual congruence</w:t>
      </w:r>
      <w:r>
        <w:rPr>
          <w:rFonts w:eastAsia="PMingLiU"/>
        </w:rPr>
        <w:t xml:space="preserve"> in</w:t>
      </w:r>
      <w:r w:rsidRPr="001D76EA">
        <w:rPr>
          <w:rFonts w:eastAsia="PMingLiU"/>
        </w:rPr>
        <w:t xml:space="preserve"> </w:t>
      </w:r>
      <w:r>
        <w:rPr>
          <w:rFonts w:eastAsia="PMingLiU"/>
        </w:rPr>
        <w:t xml:space="preserve">Toyota signage was </w:t>
      </w:r>
      <w:r w:rsidRPr="001D76EA">
        <w:rPr>
          <w:rFonts w:eastAsia="PMingLiU"/>
        </w:rPr>
        <w:t>most visible to fans seated behind the dugouts</w:t>
      </w:r>
      <w:r>
        <w:rPr>
          <w:rFonts w:eastAsia="PMingLiU"/>
        </w:rPr>
        <w:t>. Therefore</w:t>
      </w:r>
      <w:r w:rsidRPr="001D76EA">
        <w:rPr>
          <w:rFonts w:eastAsia="PMingLiU"/>
        </w:rPr>
        <w:t>, we assessed the Toyota dealership’s sponsorship performance with a mixed-repeated measure ANOVA with a between-subjects (</w:t>
      </w:r>
      <w:r>
        <w:rPr>
          <w:rFonts w:eastAsia="PMingLiU"/>
        </w:rPr>
        <w:t xml:space="preserve">seats in section </w:t>
      </w:r>
      <w:r w:rsidRPr="001D76EA">
        <w:rPr>
          <w:rFonts w:eastAsia="PMingLiU"/>
        </w:rPr>
        <w:t xml:space="preserve">behind dugouts vs. not) </w:t>
      </w:r>
      <w:r w:rsidRPr="001D76EA">
        <w:rPr>
          <w:rFonts w:eastAsia="PMingLiU" w:cs="Times New Roman"/>
        </w:rPr>
        <w:t>×</w:t>
      </w:r>
      <w:r w:rsidRPr="001D76EA">
        <w:rPr>
          <w:rFonts w:eastAsia="PMingLiU"/>
        </w:rPr>
        <w:t xml:space="preserve"> within</w:t>
      </w:r>
      <w:r>
        <w:rPr>
          <w:rFonts w:eastAsia="PMingLiU"/>
        </w:rPr>
        <w:t>-</w:t>
      </w:r>
      <w:r w:rsidRPr="001D76EA">
        <w:rPr>
          <w:rFonts w:eastAsia="PMingLiU"/>
        </w:rPr>
        <w:t>subjects (Toyota dealership vs. credit union vs. Levi’s) design. The within-subjects contrasts suggested improvement</w:t>
      </w:r>
      <w:r>
        <w:rPr>
          <w:rFonts w:eastAsia="PMingLiU"/>
        </w:rPr>
        <w:t>s</w:t>
      </w:r>
      <w:r w:rsidRPr="001D76EA">
        <w:rPr>
          <w:rFonts w:eastAsia="PMingLiU"/>
        </w:rPr>
        <w:t xml:space="preserve"> based on </w:t>
      </w:r>
      <w:r>
        <w:rPr>
          <w:rFonts w:eastAsia="PMingLiU"/>
        </w:rPr>
        <w:t xml:space="preserve">seat </w:t>
      </w:r>
      <w:r w:rsidRPr="001D76EA">
        <w:rPr>
          <w:rFonts w:eastAsia="PMingLiU"/>
        </w:rPr>
        <w:t>location for the Toyota dealership but not for the other brands (</w:t>
      </w:r>
      <w:r>
        <w:rPr>
          <w:rFonts w:eastAsia="PMingLiU"/>
        </w:rPr>
        <w:t>s</w:t>
      </w:r>
      <w:r w:rsidRPr="001D76EA">
        <w:rPr>
          <w:rFonts w:eastAsia="PMingLiU"/>
        </w:rPr>
        <w:t xml:space="preserve">ection </w:t>
      </w:r>
      <w:r w:rsidRPr="001D76EA">
        <w:rPr>
          <w:rFonts w:eastAsia="PMingLiU" w:cs="Times New Roman"/>
        </w:rPr>
        <w:t xml:space="preserve">× </w:t>
      </w:r>
      <w:r>
        <w:rPr>
          <w:rFonts w:eastAsia="PMingLiU" w:cs="Times New Roman"/>
        </w:rPr>
        <w:t>b</w:t>
      </w:r>
      <w:r w:rsidRPr="001D76EA">
        <w:rPr>
          <w:rFonts w:eastAsia="PMingLiU" w:cs="Times New Roman"/>
        </w:rPr>
        <w:t>rand</w:t>
      </w:r>
      <w:r w:rsidRPr="001D76EA">
        <w:rPr>
          <w:rFonts w:eastAsia="PMingLiU"/>
        </w:rPr>
        <w:t xml:space="preserve"> </w:t>
      </w:r>
      <w:proofErr w:type="gramStart"/>
      <w:r w:rsidRPr="001D76EA">
        <w:rPr>
          <w:rFonts w:eastAsia="PMingLiU"/>
          <w:i/>
        </w:rPr>
        <w:t>F</w:t>
      </w:r>
      <w:r w:rsidRPr="001D76EA">
        <w:rPr>
          <w:rFonts w:eastAsia="PMingLiU"/>
        </w:rPr>
        <w:t>(</w:t>
      </w:r>
      <w:proofErr w:type="gramEnd"/>
      <w:r w:rsidRPr="001D76EA">
        <w:rPr>
          <w:rFonts w:eastAsia="PMingLiU"/>
        </w:rPr>
        <w:t xml:space="preserve">1, 265) = 4.13, p &lt; .05; </w:t>
      </w:r>
      <w:proofErr w:type="spellStart"/>
      <w:r w:rsidRPr="007E541D">
        <w:rPr>
          <w:rFonts w:eastAsia="PMingLiU"/>
        </w:rPr>
        <w:t>M</w:t>
      </w:r>
      <w:r w:rsidRPr="001D76EA">
        <w:rPr>
          <w:rFonts w:eastAsia="PMingLiU"/>
          <w:vertAlign w:val="subscript"/>
        </w:rPr>
        <w:t>Toyota</w:t>
      </w:r>
      <w:proofErr w:type="spellEnd"/>
      <w:r>
        <w:rPr>
          <w:rFonts w:eastAsia="PMingLiU"/>
          <w:vertAlign w:val="subscript"/>
        </w:rPr>
        <w:t xml:space="preserve">, </w:t>
      </w:r>
      <w:r w:rsidRPr="001D76EA">
        <w:rPr>
          <w:rFonts w:eastAsia="PMingLiU"/>
          <w:vertAlign w:val="subscript"/>
        </w:rPr>
        <w:t>behind dugouts</w:t>
      </w:r>
      <w:r w:rsidRPr="001D76EA">
        <w:rPr>
          <w:rFonts w:eastAsia="PMingLiU"/>
        </w:rPr>
        <w:t xml:space="preserve"> = 5.25, </w:t>
      </w:r>
      <w:proofErr w:type="spellStart"/>
      <w:r w:rsidRPr="007E541D">
        <w:rPr>
          <w:rFonts w:eastAsia="PMingLiU"/>
        </w:rPr>
        <w:t>M</w:t>
      </w:r>
      <w:r w:rsidRPr="001D76EA">
        <w:rPr>
          <w:rFonts w:eastAsia="PMingLiU"/>
          <w:vertAlign w:val="subscript"/>
        </w:rPr>
        <w:t>Toyota</w:t>
      </w:r>
      <w:proofErr w:type="spellEnd"/>
      <w:r>
        <w:rPr>
          <w:rFonts w:eastAsia="PMingLiU"/>
          <w:vertAlign w:val="subscript"/>
        </w:rPr>
        <w:t xml:space="preserve">, </w:t>
      </w:r>
      <w:r w:rsidRPr="001D76EA">
        <w:rPr>
          <w:rFonts w:eastAsia="PMingLiU"/>
          <w:vertAlign w:val="subscript"/>
        </w:rPr>
        <w:t xml:space="preserve">not behind dugouts </w:t>
      </w:r>
      <w:r w:rsidRPr="001D76EA">
        <w:rPr>
          <w:rFonts w:eastAsia="PMingLiU"/>
        </w:rPr>
        <w:t xml:space="preserve">= 4.77, </w:t>
      </w:r>
      <w:r w:rsidRPr="001D76EA">
        <w:rPr>
          <w:rFonts w:eastAsia="PMingLiU"/>
          <w:i/>
        </w:rPr>
        <w:t>t</w:t>
      </w:r>
      <w:r w:rsidRPr="001D76EA">
        <w:rPr>
          <w:rFonts w:eastAsia="PMingLiU"/>
        </w:rPr>
        <w:t xml:space="preserve">(265) = 2.53, </w:t>
      </w:r>
      <w:r w:rsidRPr="001D76EA">
        <w:rPr>
          <w:rFonts w:eastAsia="PMingLiU"/>
          <w:i/>
        </w:rPr>
        <w:t>p</w:t>
      </w:r>
      <w:r w:rsidRPr="001D76EA">
        <w:rPr>
          <w:rFonts w:eastAsia="PMingLiU"/>
        </w:rPr>
        <w:t xml:space="preserve"> &lt; .05)</w:t>
      </w:r>
      <w:r>
        <w:rPr>
          <w:rFonts w:eastAsia="PMingLiU"/>
        </w:rPr>
        <w:t xml:space="preserve"> (see Figure W1)</w:t>
      </w:r>
      <w:r w:rsidRPr="001D76EA">
        <w:rPr>
          <w:rFonts w:eastAsia="PMingLiU"/>
        </w:rPr>
        <w:t>.</w:t>
      </w:r>
    </w:p>
    <w:p w:rsidR="00842575" w:rsidRDefault="00842575" w:rsidP="00842575">
      <w:pPr>
        <w:spacing w:line="240" w:lineRule="auto"/>
        <w:jc w:val="center"/>
        <w:rPr>
          <w:rFonts w:eastAsia="PMingLiU"/>
          <w:b/>
        </w:rPr>
      </w:pPr>
      <w:r>
        <w:rPr>
          <w:rFonts w:eastAsia="PMingLiU"/>
          <w:b/>
        </w:rPr>
        <w:t>Figure W2</w:t>
      </w:r>
    </w:p>
    <w:p w:rsidR="00842575" w:rsidRDefault="00842575" w:rsidP="00842575">
      <w:pPr>
        <w:spacing w:line="240" w:lineRule="auto"/>
        <w:jc w:val="center"/>
        <w:rPr>
          <w:rFonts w:eastAsia="PMingLiU"/>
          <w:b/>
        </w:rPr>
      </w:pPr>
      <w:r>
        <w:rPr>
          <w:rFonts w:eastAsia="PMingLiU"/>
          <w:b/>
        </w:rPr>
        <w:t>Sponsorship Performance by Brand and Location</w:t>
      </w:r>
    </w:p>
    <w:p w:rsidR="00842575" w:rsidRDefault="00842575" w:rsidP="00842575">
      <w:pPr>
        <w:pBdr>
          <w:top w:val="single" w:sz="4" w:space="1" w:color="auto"/>
          <w:bottom w:val="single" w:sz="4" w:space="1" w:color="auto"/>
        </w:pBdr>
        <w:spacing w:line="240" w:lineRule="auto"/>
        <w:jc w:val="center"/>
        <w:rPr>
          <w:rFonts w:eastAsia="PMingLiU"/>
          <w:b/>
        </w:rPr>
      </w:pPr>
    </w:p>
    <w:p w:rsidR="00842575" w:rsidRPr="001D76EA" w:rsidRDefault="00842575" w:rsidP="00842575">
      <w:pPr>
        <w:pBdr>
          <w:top w:val="single" w:sz="4" w:space="1" w:color="auto"/>
          <w:bottom w:val="single" w:sz="4" w:space="1" w:color="auto"/>
        </w:pBdr>
        <w:spacing w:line="240" w:lineRule="auto"/>
        <w:jc w:val="center"/>
        <w:rPr>
          <w:rFonts w:eastAsia="PMingLiU"/>
        </w:rPr>
      </w:pPr>
      <w:r w:rsidRPr="001D76EA">
        <w:rPr>
          <w:rFonts w:cs="Times New Roman"/>
          <w:noProof/>
          <w:sz w:val="22"/>
        </w:rPr>
        <w:drawing>
          <wp:inline distT="0" distB="0" distL="0" distR="0" wp14:anchorId="1182A1D2" wp14:editId="5B86A10C">
            <wp:extent cx="4539615" cy="3045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extLst>
                        <a:ext uri="{28A0092B-C50C-407E-A947-70E740481C1C}">
                          <a14:useLocalDpi xmlns:a14="http://schemas.microsoft.com/office/drawing/2010/main" val="0"/>
                        </a:ext>
                      </a:extLst>
                    </a:blip>
                    <a:srcRect t="13989"/>
                    <a:stretch/>
                  </pic:blipFill>
                  <pic:spPr bwMode="auto">
                    <a:xfrm>
                      <a:off x="0" y="0"/>
                      <a:ext cx="4539615" cy="3045460"/>
                    </a:xfrm>
                    <a:prstGeom prst="rect">
                      <a:avLst/>
                    </a:prstGeom>
                    <a:ln>
                      <a:noFill/>
                    </a:ln>
                    <a:extLst>
                      <a:ext uri="{53640926-AAD7-44D8-BBD7-CCE9431645EC}">
                        <a14:shadowObscured xmlns:a14="http://schemas.microsoft.com/office/drawing/2010/main"/>
                      </a:ext>
                    </a:extLst>
                  </pic:spPr>
                </pic:pic>
              </a:graphicData>
            </a:graphic>
          </wp:inline>
        </w:drawing>
      </w:r>
    </w:p>
    <w:p w:rsidR="00842575" w:rsidRDefault="00842575" w:rsidP="00842575">
      <w:pPr>
        <w:rPr>
          <w:rFonts w:eastAsia="PMingLiU"/>
          <w:b/>
          <w:i/>
        </w:rPr>
      </w:pPr>
    </w:p>
    <w:p w:rsidR="00842575" w:rsidRPr="001D76EA" w:rsidRDefault="00842575" w:rsidP="00842575">
      <w:pPr>
        <w:rPr>
          <w:rFonts w:eastAsia="PMingLiU"/>
          <w:b/>
        </w:rPr>
      </w:pPr>
      <w:r w:rsidRPr="001D76EA">
        <w:rPr>
          <w:rFonts w:eastAsia="PMingLiU"/>
          <w:b/>
          <w:i/>
        </w:rPr>
        <w:t>Discussion</w:t>
      </w:r>
    </w:p>
    <w:p w:rsidR="00842575" w:rsidRPr="001D76EA" w:rsidRDefault="00842575" w:rsidP="00842575">
      <w:pPr>
        <w:ind w:firstLine="720"/>
        <w:rPr>
          <w:rFonts w:eastAsia="PMingLiU"/>
        </w:rPr>
      </w:pPr>
      <w:r w:rsidRPr="001D76EA">
        <w:rPr>
          <w:rFonts w:eastAsia="PMingLiU"/>
        </w:rPr>
        <w:t>When fans did not sit behind the Toyota dealership’s visually congruent signage, their evaluation</w:t>
      </w:r>
      <w:r>
        <w:rPr>
          <w:rFonts w:eastAsia="PMingLiU"/>
        </w:rPr>
        <w:t>s</w:t>
      </w:r>
      <w:r w:rsidRPr="001D76EA">
        <w:rPr>
          <w:rFonts w:eastAsia="PMingLiU"/>
        </w:rPr>
        <w:t xml:space="preserve"> of the Toyota dealership</w:t>
      </w:r>
      <w:r>
        <w:rPr>
          <w:rFonts w:eastAsia="PMingLiU"/>
        </w:rPr>
        <w:t xml:space="preserve">, relative to </w:t>
      </w:r>
      <w:r w:rsidRPr="001D76EA">
        <w:rPr>
          <w:rFonts w:eastAsia="PMingLiU"/>
        </w:rPr>
        <w:t>the other brands</w:t>
      </w:r>
      <w:r>
        <w:rPr>
          <w:rFonts w:eastAsia="PMingLiU"/>
        </w:rPr>
        <w:t>,</w:t>
      </w:r>
      <w:r w:rsidRPr="001D76EA">
        <w:rPr>
          <w:rFonts w:eastAsia="PMingLiU"/>
        </w:rPr>
        <w:t xml:space="preserve"> </w:t>
      </w:r>
      <w:r>
        <w:rPr>
          <w:rFonts w:eastAsia="PMingLiU"/>
        </w:rPr>
        <w:t xml:space="preserve">exhibited </w:t>
      </w:r>
      <w:r w:rsidRPr="001D76EA">
        <w:rPr>
          <w:rFonts w:eastAsia="PMingLiU"/>
        </w:rPr>
        <w:t xml:space="preserve">the same pattern as </w:t>
      </w:r>
      <w:r>
        <w:rPr>
          <w:rFonts w:eastAsia="PMingLiU"/>
        </w:rPr>
        <w:t xml:space="preserve">we found from </w:t>
      </w:r>
      <w:r w:rsidRPr="001D76EA">
        <w:rPr>
          <w:rFonts w:eastAsia="PMingLiU"/>
        </w:rPr>
        <w:t>initial brand attitudes at the beginning of the season. However, the</w:t>
      </w:r>
      <w:r>
        <w:rPr>
          <w:rFonts w:eastAsia="PMingLiU"/>
        </w:rPr>
        <w:t>se</w:t>
      </w:r>
      <w:r w:rsidRPr="001D76EA">
        <w:rPr>
          <w:rFonts w:eastAsia="PMingLiU"/>
        </w:rPr>
        <w:t xml:space="preserve"> evaluations </w:t>
      </w:r>
      <w:r>
        <w:rPr>
          <w:rFonts w:eastAsia="PMingLiU"/>
        </w:rPr>
        <w:t xml:space="preserve">grew </w:t>
      </w:r>
      <w:r w:rsidRPr="001D76EA">
        <w:rPr>
          <w:rFonts w:eastAsia="PMingLiU"/>
        </w:rPr>
        <w:t xml:space="preserve">10% more favorable when fans sat behind the Toyota dealership’s visually congruent </w:t>
      </w:r>
      <w:r w:rsidRPr="001D76EA">
        <w:rPr>
          <w:rFonts w:eastAsia="PMingLiU"/>
        </w:rPr>
        <w:lastRenderedPageBreak/>
        <w:t xml:space="preserve">signage than when they did not. </w:t>
      </w:r>
      <w:r>
        <w:rPr>
          <w:rFonts w:eastAsia="PMingLiU"/>
        </w:rPr>
        <w:t xml:space="preserve">That is, </w:t>
      </w:r>
      <w:r w:rsidRPr="001D76EA">
        <w:rPr>
          <w:rFonts w:eastAsia="PMingLiU"/>
        </w:rPr>
        <w:t>when fans could easily view all three sponsor</w:t>
      </w:r>
      <w:r>
        <w:rPr>
          <w:rFonts w:eastAsia="PMingLiU"/>
        </w:rPr>
        <w:t>s</w:t>
      </w:r>
      <w:r w:rsidRPr="001D76EA">
        <w:rPr>
          <w:rFonts w:eastAsia="PMingLiU"/>
        </w:rPr>
        <w:t xml:space="preserve">’ signage, the Toyota dealership no longer </w:t>
      </w:r>
      <w:r>
        <w:rPr>
          <w:rFonts w:eastAsia="PMingLiU"/>
        </w:rPr>
        <w:t xml:space="preserve">suffered </w:t>
      </w:r>
      <w:r w:rsidRPr="001D76EA">
        <w:rPr>
          <w:rFonts w:eastAsia="PMingLiU"/>
        </w:rPr>
        <w:t xml:space="preserve">a significantly lower evaluation </w:t>
      </w:r>
      <w:r>
        <w:rPr>
          <w:rFonts w:eastAsia="PMingLiU"/>
        </w:rPr>
        <w:t>than</w:t>
      </w:r>
      <w:r w:rsidRPr="001D76EA">
        <w:rPr>
          <w:rFonts w:eastAsia="PMingLiU"/>
        </w:rPr>
        <w:t xml:space="preserve"> the other brands. </w:t>
      </w:r>
    </w:p>
    <w:p w:rsidR="00842575" w:rsidRPr="001D76EA" w:rsidRDefault="00842575" w:rsidP="00842575">
      <w:pPr>
        <w:ind w:firstLine="720"/>
        <w:rPr>
          <w:rFonts w:eastAsia="PMingLiU"/>
        </w:rPr>
      </w:pPr>
      <w:r w:rsidRPr="001D76EA">
        <w:rPr>
          <w:rFonts w:eastAsia="PMingLiU"/>
        </w:rPr>
        <w:t xml:space="preserve">These results in isolation do not provide strong evidence of the benefits of visual congruence, because </w:t>
      </w:r>
      <w:r>
        <w:rPr>
          <w:rFonts w:eastAsia="PMingLiU"/>
        </w:rPr>
        <w:t xml:space="preserve">they involve </w:t>
      </w:r>
      <w:r w:rsidRPr="001D76EA">
        <w:rPr>
          <w:rFonts w:eastAsia="PMingLiU"/>
        </w:rPr>
        <w:t xml:space="preserve">only three brands and too many potential unobserved factors. However, </w:t>
      </w:r>
      <w:r>
        <w:rPr>
          <w:rFonts w:eastAsia="PMingLiU"/>
        </w:rPr>
        <w:t xml:space="preserve">in combination with </w:t>
      </w:r>
      <w:r w:rsidRPr="001D76EA">
        <w:rPr>
          <w:rFonts w:eastAsia="PMingLiU"/>
        </w:rPr>
        <w:t>the results from Study 1’s extensive MLB stadium data</w:t>
      </w:r>
      <w:r>
        <w:rPr>
          <w:rFonts w:eastAsia="PMingLiU"/>
        </w:rPr>
        <w:t xml:space="preserve"> </w:t>
      </w:r>
      <w:r w:rsidRPr="001D76EA">
        <w:rPr>
          <w:rFonts w:eastAsia="PMingLiU"/>
        </w:rPr>
        <w:t xml:space="preserve">set, </w:t>
      </w:r>
      <w:r>
        <w:rPr>
          <w:rFonts w:eastAsia="PMingLiU"/>
        </w:rPr>
        <w:t xml:space="preserve">the results suggest that the </w:t>
      </w:r>
      <w:r w:rsidRPr="001D76EA">
        <w:rPr>
          <w:rFonts w:eastAsia="PMingLiU"/>
        </w:rPr>
        <w:t xml:space="preserve">more positive </w:t>
      </w:r>
      <w:r>
        <w:rPr>
          <w:rFonts w:eastAsia="PMingLiU"/>
        </w:rPr>
        <w:t xml:space="preserve">outcomes </w:t>
      </w:r>
      <w:r w:rsidRPr="001D76EA">
        <w:rPr>
          <w:rFonts w:eastAsia="PMingLiU"/>
        </w:rPr>
        <w:t xml:space="preserve">for the Toyota dealership </w:t>
      </w:r>
      <w:r>
        <w:rPr>
          <w:rFonts w:eastAsia="PMingLiU"/>
        </w:rPr>
        <w:t xml:space="preserve">are due, </w:t>
      </w:r>
      <w:r w:rsidRPr="001D76EA">
        <w:rPr>
          <w:rFonts w:eastAsia="PMingLiU"/>
        </w:rPr>
        <w:t>at least partially</w:t>
      </w:r>
      <w:r>
        <w:rPr>
          <w:rFonts w:eastAsia="PMingLiU"/>
        </w:rPr>
        <w:t xml:space="preserve">, </w:t>
      </w:r>
      <w:r w:rsidRPr="001D76EA">
        <w:rPr>
          <w:rFonts w:eastAsia="PMingLiU"/>
        </w:rPr>
        <w:t xml:space="preserve">to </w:t>
      </w:r>
      <w:r>
        <w:rPr>
          <w:rFonts w:eastAsia="PMingLiU"/>
        </w:rPr>
        <w:t xml:space="preserve">its choice of </w:t>
      </w:r>
      <w:r w:rsidRPr="001D76EA">
        <w:rPr>
          <w:rFonts w:eastAsia="PMingLiU"/>
        </w:rPr>
        <w:t xml:space="preserve">visually congruent sponsorship signage. </w:t>
      </w:r>
    </w:p>
    <w:p w:rsidR="00842575" w:rsidRPr="001D76EA" w:rsidRDefault="00842575" w:rsidP="00842575">
      <w:pPr>
        <w:ind w:firstLine="720"/>
        <w:rPr>
          <w:rFonts w:eastAsia="PMingLiU"/>
        </w:rPr>
      </w:pPr>
      <w:r>
        <w:rPr>
          <w:rFonts w:eastAsia="PMingLiU"/>
        </w:rPr>
        <w:t>Thus</w:t>
      </w:r>
      <w:r w:rsidRPr="001D76EA">
        <w:rPr>
          <w:rFonts w:eastAsia="PMingLiU"/>
        </w:rPr>
        <w:t>, this supplemental study complements Study 1</w:t>
      </w:r>
      <w:r>
        <w:rPr>
          <w:rFonts w:eastAsia="PMingLiU"/>
        </w:rPr>
        <w:t xml:space="preserve"> </w:t>
      </w:r>
      <w:r w:rsidRPr="001D76EA">
        <w:rPr>
          <w:rFonts w:eastAsia="PMingLiU"/>
        </w:rPr>
        <w:t xml:space="preserve">in two </w:t>
      </w:r>
      <w:r>
        <w:rPr>
          <w:rFonts w:eastAsia="PMingLiU"/>
        </w:rPr>
        <w:t>key</w:t>
      </w:r>
      <w:r w:rsidRPr="001D76EA">
        <w:rPr>
          <w:rFonts w:eastAsia="PMingLiU"/>
        </w:rPr>
        <w:t xml:space="preserve"> ways. First, it </w:t>
      </w:r>
      <w:r>
        <w:rPr>
          <w:rFonts w:eastAsia="PMingLiU"/>
        </w:rPr>
        <w:t xml:space="preserve">validates </w:t>
      </w:r>
      <w:r w:rsidRPr="001D76EA">
        <w:rPr>
          <w:rFonts w:eastAsia="PMingLiU"/>
        </w:rPr>
        <w:t>attitude</w:t>
      </w:r>
      <w:r>
        <w:rPr>
          <w:rFonts w:eastAsia="PMingLiU"/>
        </w:rPr>
        <w:t>s</w:t>
      </w:r>
      <w:r w:rsidRPr="001D76EA">
        <w:rPr>
          <w:rFonts w:eastAsia="PMingLiU"/>
        </w:rPr>
        <w:t xml:space="preserve"> toward the sponsorship as an indicator of sponsorship performance</w:t>
      </w:r>
      <w:r>
        <w:rPr>
          <w:rFonts w:eastAsia="PMingLiU"/>
        </w:rPr>
        <w:t xml:space="preserve"> that </w:t>
      </w:r>
      <w:r w:rsidRPr="001D76EA">
        <w:rPr>
          <w:rFonts w:eastAsia="PMingLiU"/>
        </w:rPr>
        <w:t>correlat</w:t>
      </w:r>
      <w:r>
        <w:rPr>
          <w:rFonts w:eastAsia="PMingLiU"/>
        </w:rPr>
        <w:t>es</w:t>
      </w:r>
      <w:r w:rsidRPr="001D76EA">
        <w:rPr>
          <w:rFonts w:eastAsia="PMingLiU"/>
        </w:rPr>
        <w:t xml:space="preserve"> with other outcomes of managerial interest. Second, it accounts for initial brand preferences when assessing sponsorship performance. </w:t>
      </w:r>
      <w:r>
        <w:rPr>
          <w:rFonts w:eastAsia="PMingLiU"/>
        </w:rPr>
        <w:t xml:space="preserve">Furthermore, it </w:t>
      </w:r>
      <w:r w:rsidRPr="001D76EA">
        <w:rPr>
          <w:rFonts w:eastAsia="PMingLiU"/>
        </w:rPr>
        <w:t xml:space="preserve">demonstrates the ease </w:t>
      </w:r>
      <w:r>
        <w:rPr>
          <w:rFonts w:eastAsia="PMingLiU"/>
        </w:rPr>
        <w:t xml:space="preserve">with </w:t>
      </w:r>
      <w:r w:rsidRPr="001D76EA">
        <w:rPr>
          <w:rFonts w:eastAsia="PMingLiU"/>
        </w:rPr>
        <w:t xml:space="preserve">which managers can </w:t>
      </w:r>
      <w:r>
        <w:rPr>
          <w:rFonts w:eastAsia="PMingLiU"/>
        </w:rPr>
        <w:t xml:space="preserve">create </w:t>
      </w:r>
      <w:r w:rsidRPr="001D76EA">
        <w:rPr>
          <w:rFonts w:eastAsia="PMingLiU"/>
        </w:rPr>
        <w:t xml:space="preserve">visually congruent signage in </w:t>
      </w:r>
      <w:r>
        <w:rPr>
          <w:rFonts w:eastAsia="PMingLiU"/>
        </w:rPr>
        <w:t xml:space="preserve">their </w:t>
      </w:r>
      <w:r w:rsidRPr="001D76EA">
        <w:rPr>
          <w:rFonts w:eastAsia="PMingLiU"/>
        </w:rPr>
        <w:t>sponsorship displays.</w:t>
      </w:r>
    </w:p>
    <w:p w:rsidR="00842575" w:rsidRPr="001D76EA" w:rsidRDefault="00842575" w:rsidP="00842575">
      <w:pPr>
        <w:rPr>
          <w:rFonts w:eastAsia="PMingLiU"/>
          <w:b/>
        </w:rPr>
      </w:pPr>
    </w:p>
    <w:p w:rsidR="00842575" w:rsidRDefault="00842575" w:rsidP="00842575">
      <w:pPr>
        <w:spacing w:after="0" w:line="240" w:lineRule="auto"/>
        <w:contextualSpacing w:val="0"/>
        <w:rPr>
          <w:rFonts w:eastAsia="PMingLiU"/>
          <w:b/>
        </w:rPr>
      </w:pPr>
      <w:r>
        <w:rPr>
          <w:rFonts w:eastAsia="PMingLiU"/>
          <w:b/>
        </w:rPr>
        <w:br w:type="page"/>
      </w:r>
    </w:p>
    <w:p w:rsidR="00842575" w:rsidRPr="001D76EA" w:rsidRDefault="00842575" w:rsidP="00842575">
      <w:pPr>
        <w:jc w:val="center"/>
        <w:rPr>
          <w:rFonts w:eastAsia="PMingLiU"/>
          <w:b/>
        </w:rPr>
      </w:pPr>
      <w:r w:rsidRPr="001D76EA">
        <w:rPr>
          <w:rFonts w:eastAsia="PMingLiU"/>
          <w:b/>
        </w:rPr>
        <w:lastRenderedPageBreak/>
        <w:t>Appendix W2: Tests of Color Blindness</w:t>
      </w:r>
    </w:p>
    <w:p w:rsidR="00842575" w:rsidRDefault="00842575" w:rsidP="00842575">
      <w:pPr>
        <w:rPr>
          <w:rFonts w:eastAsia="PMingLiU"/>
        </w:rPr>
      </w:pPr>
      <w:r>
        <w:rPr>
          <w:rFonts w:cs="Times New Roman"/>
        </w:rPr>
        <w:t>We</w:t>
      </w:r>
      <w:r w:rsidRPr="001D76EA">
        <w:rPr>
          <w:rFonts w:cs="Times New Roman"/>
        </w:rPr>
        <w:t xml:space="preserve"> used Birch’s (1997) color blindness test</w:t>
      </w:r>
      <w:r>
        <w:rPr>
          <w:rFonts w:cs="Times New Roman"/>
        </w:rPr>
        <w:t xml:space="preserve">s (see Figure W2), as </w:t>
      </w:r>
      <w:r w:rsidRPr="001D76EA">
        <w:rPr>
          <w:rFonts w:cs="Times New Roman"/>
        </w:rPr>
        <w:t>has been used in several other studies that evaluate</w:t>
      </w:r>
      <w:r>
        <w:rPr>
          <w:rFonts w:cs="Times New Roman"/>
        </w:rPr>
        <w:t xml:space="preserve"> </w:t>
      </w:r>
      <w:r w:rsidRPr="001D76EA">
        <w:rPr>
          <w:rFonts w:cs="Times New Roman"/>
        </w:rPr>
        <w:t>color perception</w:t>
      </w:r>
      <w:r>
        <w:rPr>
          <w:rFonts w:cs="Times New Roman"/>
        </w:rPr>
        <w:t xml:space="preserve"> abilitie</w:t>
      </w:r>
      <w:r w:rsidRPr="001D76EA">
        <w:rPr>
          <w:rFonts w:cs="Times New Roman"/>
        </w:rPr>
        <w:t>s (e.g.</w:t>
      </w:r>
      <w:r>
        <w:rPr>
          <w:rFonts w:cs="Times New Roman"/>
        </w:rPr>
        <w:t>,</w:t>
      </w:r>
      <w:r w:rsidRPr="001D76EA">
        <w:rPr>
          <w:rFonts w:cs="Times New Roman"/>
        </w:rPr>
        <w:t xml:space="preserve"> Berry et al. 2002). </w:t>
      </w:r>
      <w:r>
        <w:rPr>
          <w:rFonts w:cs="Times New Roman"/>
        </w:rPr>
        <w:t xml:space="preserve">Our criterion was strict, sensitive to detection, in that we scored respondents as color blind if they failed any of the tests. </w:t>
      </w:r>
    </w:p>
    <w:p w:rsidR="00842575" w:rsidRDefault="00842575" w:rsidP="00842575">
      <w:pPr>
        <w:spacing w:line="240" w:lineRule="auto"/>
        <w:jc w:val="center"/>
        <w:rPr>
          <w:rFonts w:eastAsia="PMingLiU"/>
          <w:b/>
        </w:rPr>
      </w:pPr>
      <w:r>
        <w:rPr>
          <w:rFonts w:eastAsia="PMingLiU"/>
          <w:b/>
        </w:rPr>
        <w:t xml:space="preserve">Figure W2 </w:t>
      </w:r>
    </w:p>
    <w:p w:rsidR="00842575" w:rsidRPr="001D76EA" w:rsidRDefault="00842575" w:rsidP="00842575">
      <w:pPr>
        <w:pBdr>
          <w:bottom w:val="single" w:sz="4" w:space="1" w:color="auto"/>
        </w:pBdr>
        <w:spacing w:line="240" w:lineRule="auto"/>
        <w:jc w:val="center"/>
        <w:rPr>
          <w:rFonts w:eastAsia="PMingLiU"/>
          <w:b/>
        </w:rPr>
      </w:pPr>
      <w:r w:rsidRPr="001D76EA">
        <w:rPr>
          <w:rFonts w:eastAsia="PMingLiU"/>
          <w:b/>
        </w:rPr>
        <w:t xml:space="preserve">Three </w:t>
      </w:r>
      <w:r>
        <w:rPr>
          <w:rFonts w:eastAsia="PMingLiU"/>
          <w:b/>
        </w:rPr>
        <w:t>Images Used to Test</w:t>
      </w:r>
      <w:r w:rsidRPr="001D76EA">
        <w:rPr>
          <w:rFonts w:eastAsia="PMingLiU"/>
          <w:b/>
        </w:rPr>
        <w:t xml:space="preserve"> for Color Blindness </w:t>
      </w:r>
    </w:p>
    <w:p w:rsidR="00842575" w:rsidRPr="001D76EA" w:rsidRDefault="00842575" w:rsidP="00842575">
      <w:pPr>
        <w:jc w:val="center"/>
        <w:rPr>
          <w:rFonts w:eastAsia="PMingLiU"/>
          <w:b/>
        </w:rPr>
      </w:pPr>
      <w:r w:rsidRPr="001D76EA">
        <w:rPr>
          <w:rFonts w:eastAsia="PMingLiU"/>
          <w:b/>
          <w:noProof/>
        </w:rPr>
        <w:drawing>
          <wp:inline distT="0" distB="0" distL="0" distR="0" wp14:anchorId="56DD2632" wp14:editId="7D0F2806">
            <wp:extent cx="3491345" cy="18954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cstate="screen">
                      <a:extLst>
                        <a:ext uri="{28A0092B-C50C-407E-A947-70E740481C1C}">
                          <a14:useLocalDpi xmlns:a14="http://schemas.microsoft.com/office/drawing/2010/main"/>
                        </a:ext>
                      </a:extLst>
                    </a:blip>
                    <a:srcRect b="72361"/>
                    <a:stretch/>
                  </pic:blipFill>
                  <pic:spPr>
                    <a:xfrm>
                      <a:off x="0" y="0"/>
                      <a:ext cx="3491345" cy="1895475"/>
                    </a:xfrm>
                    <a:prstGeom prst="rect">
                      <a:avLst/>
                    </a:prstGeom>
                  </pic:spPr>
                </pic:pic>
              </a:graphicData>
            </a:graphic>
          </wp:inline>
        </w:drawing>
      </w:r>
    </w:p>
    <w:p w:rsidR="00842575" w:rsidRPr="001D76EA" w:rsidRDefault="00842575" w:rsidP="00842575">
      <w:pPr>
        <w:pBdr>
          <w:bottom w:val="single" w:sz="4" w:space="1" w:color="auto"/>
        </w:pBdr>
        <w:jc w:val="center"/>
      </w:pPr>
      <w:r w:rsidRPr="001D76EA">
        <w:rPr>
          <w:rFonts w:eastAsia="PMingLiU"/>
          <w:b/>
          <w:noProof/>
        </w:rPr>
        <w:drawing>
          <wp:inline distT="0" distB="0" distL="0" distR="0" wp14:anchorId="497F628B" wp14:editId="36F44BC8">
            <wp:extent cx="3491345" cy="20574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cstate="screen">
                      <a:extLst>
                        <a:ext uri="{28A0092B-C50C-407E-A947-70E740481C1C}">
                          <a14:useLocalDpi xmlns:a14="http://schemas.microsoft.com/office/drawing/2010/main"/>
                        </a:ext>
                      </a:extLst>
                    </a:blip>
                    <a:srcRect t="34444" b="35555"/>
                    <a:stretch/>
                  </pic:blipFill>
                  <pic:spPr>
                    <a:xfrm>
                      <a:off x="0" y="0"/>
                      <a:ext cx="3491345" cy="2057400"/>
                    </a:xfrm>
                    <a:prstGeom prst="rect">
                      <a:avLst/>
                    </a:prstGeom>
                  </pic:spPr>
                </pic:pic>
              </a:graphicData>
            </a:graphic>
          </wp:inline>
        </w:drawing>
      </w:r>
      <w:r w:rsidRPr="001D76EA">
        <w:rPr>
          <w:rFonts w:eastAsia="PMingLiU"/>
          <w:b/>
          <w:noProof/>
        </w:rPr>
        <w:drawing>
          <wp:inline distT="0" distB="0" distL="0" distR="0" wp14:anchorId="550C16F7" wp14:editId="4BD9DD5E">
            <wp:extent cx="3491345" cy="20574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screen">
                      <a:extLst>
                        <a:ext uri="{28A0092B-C50C-407E-A947-70E740481C1C}">
                          <a14:useLocalDpi xmlns:a14="http://schemas.microsoft.com/office/drawing/2010/main"/>
                        </a:ext>
                      </a:extLst>
                    </a:blip>
                    <a:srcRect t="70000"/>
                    <a:stretch/>
                  </pic:blipFill>
                  <pic:spPr>
                    <a:xfrm>
                      <a:off x="0" y="0"/>
                      <a:ext cx="3491345" cy="2057400"/>
                    </a:xfrm>
                    <a:prstGeom prst="rect">
                      <a:avLst/>
                    </a:prstGeom>
                  </pic:spPr>
                </pic:pic>
              </a:graphicData>
            </a:graphic>
          </wp:inline>
        </w:drawing>
      </w:r>
    </w:p>
    <w:p w:rsidR="00842575" w:rsidRPr="001D76EA" w:rsidRDefault="00842575" w:rsidP="00842575">
      <w:pPr>
        <w:rPr>
          <w:rFonts w:eastAsia="PMingLiU"/>
        </w:rPr>
      </w:pPr>
    </w:p>
    <w:p w:rsidR="00842575" w:rsidRPr="001D76EA" w:rsidRDefault="00842575" w:rsidP="00842575">
      <w:pPr>
        <w:jc w:val="center"/>
        <w:rPr>
          <w:rFonts w:eastAsia="PMingLiU"/>
          <w:b/>
        </w:rPr>
      </w:pPr>
      <w:r>
        <w:rPr>
          <w:rFonts w:eastAsia="PMingLiU"/>
          <w:b/>
        </w:rPr>
        <w:t xml:space="preserve">Web Appendix </w:t>
      </w:r>
      <w:r w:rsidRPr="001D76EA">
        <w:rPr>
          <w:rFonts w:eastAsia="PMingLiU"/>
          <w:b/>
        </w:rPr>
        <w:t>References</w:t>
      </w:r>
    </w:p>
    <w:p w:rsidR="00842575" w:rsidRPr="001D76EA" w:rsidRDefault="00842575" w:rsidP="00842575">
      <w:pPr>
        <w:spacing w:line="240" w:lineRule="auto"/>
        <w:ind w:left="540" w:hanging="540"/>
        <w:rPr>
          <w:rFonts w:eastAsia="PMingLiU"/>
        </w:rPr>
      </w:pPr>
      <w:r w:rsidRPr="001D76EA">
        <w:rPr>
          <w:rFonts w:eastAsia="PMingLiU"/>
        </w:rPr>
        <w:t xml:space="preserve">Berry, John W., John </w:t>
      </w:r>
      <w:proofErr w:type="spellStart"/>
      <w:r w:rsidRPr="001D76EA">
        <w:rPr>
          <w:rFonts w:eastAsia="PMingLiU"/>
        </w:rPr>
        <w:t>Widdup</w:t>
      </w:r>
      <w:proofErr w:type="spellEnd"/>
      <w:r w:rsidRPr="001D76EA">
        <w:rPr>
          <w:rFonts w:eastAsia="PMingLiU"/>
        </w:rPr>
        <w:t xml:space="preserve"> Berry, </w:t>
      </w:r>
      <w:proofErr w:type="spellStart"/>
      <w:r w:rsidRPr="001D76EA">
        <w:rPr>
          <w:rFonts w:eastAsia="PMingLiU"/>
        </w:rPr>
        <w:t>Ype</w:t>
      </w:r>
      <w:proofErr w:type="spellEnd"/>
      <w:r w:rsidRPr="001D76EA">
        <w:rPr>
          <w:rFonts w:eastAsia="PMingLiU"/>
        </w:rPr>
        <w:t xml:space="preserve"> H. </w:t>
      </w:r>
      <w:proofErr w:type="spellStart"/>
      <w:r w:rsidRPr="001D76EA">
        <w:rPr>
          <w:rFonts w:eastAsia="PMingLiU"/>
        </w:rPr>
        <w:t>Poortinga</w:t>
      </w:r>
      <w:proofErr w:type="spellEnd"/>
      <w:r w:rsidRPr="001D76EA">
        <w:rPr>
          <w:rFonts w:eastAsia="PMingLiU"/>
        </w:rPr>
        <w:t xml:space="preserve">, Marshall H. </w:t>
      </w:r>
      <w:proofErr w:type="spellStart"/>
      <w:r w:rsidRPr="001D76EA">
        <w:rPr>
          <w:rFonts w:eastAsia="PMingLiU"/>
        </w:rPr>
        <w:t>Segall</w:t>
      </w:r>
      <w:proofErr w:type="spellEnd"/>
      <w:r w:rsidRPr="001D76EA">
        <w:rPr>
          <w:rFonts w:eastAsia="PMingLiU"/>
        </w:rPr>
        <w:t xml:space="preserve">, and Pierre R. </w:t>
      </w:r>
      <w:proofErr w:type="spellStart"/>
      <w:r w:rsidRPr="001D76EA">
        <w:rPr>
          <w:rFonts w:eastAsia="PMingLiU"/>
        </w:rPr>
        <w:t>Dasen</w:t>
      </w:r>
      <w:proofErr w:type="spellEnd"/>
      <w:r>
        <w:rPr>
          <w:rFonts w:eastAsia="PMingLiU"/>
        </w:rPr>
        <w:t xml:space="preserve"> (2002)</w:t>
      </w:r>
      <w:r w:rsidRPr="001D76EA">
        <w:rPr>
          <w:rFonts w:eastAsia="PMingLiU"/>
        </w:rPr>
        <w:t xml:space="preserve">. </w:t>
      </w:r>
      <w:r w:rsidRPr="004F7D04">
        <w:rPr>
          <w:rFonts w:eastAsia="PMingLiU"/>
          <w:i/>
        </w:rPr>
        <w:t>Cross-Cultural Psychology: Research and Applications</w:t>
      </w:r>
      <w:r w:rsidRPr="001D76EA">
        <w:rPr>
          <w:rFonts w:eastAsia="PMingLiU"/>
        </w:rPr>
        <w:t xml:space="preserve">. </w:t>
      </w:r>
      <w:r>
        <w:rPr>
          <w:rFonts w:eastAsia="PMingLiU"/>
        </w:rPr>
        <w:t xml:space="preserve">Cambridge: </w:t>
      </w:r>
      <w:r w:rsidRPr="001D76EA">
        <w:rPr>
          <w:rFonts w:eastAsia="PMingLiU"/>
        </w:rPr>
        <w:t>Cambridge University Press.</w:t>
      </w:r>
    </w:p>
    <w:p w:rsidR="00842575" w:rsidRDefault="00842575" w:rsidP="00842575">
      <w:pPr>
        <w:spacing w:line="240" w:lineRule="auto"/>
        <w:ind w:left="540" w:hanging="540"/>
        <w:rPr>
          <w:rFonts w:eastAsia="PMingLiU"/>
        </w:rPr>
      </w:pPr>
      <w:r w:rsidRPr="001D76EA">
        <w:rPr>
          <w:rFonts w:eastAsia="PMingLiU"/>
        </w:rPr>
        <w:t xml:space="preserve">Birch, Jennifer (1997), “Efficiency of the Ishihara </w:t>
      </w:r>
      <w:r>
        <w:rPr>
          <w:rFonts w:eastAsia="PMingLiU"/>
        </w:rPr>
        <w:t>T</w:t>
      </w:r>
      <w:r w:rsidRPr="001D76EA">
        <w:rPr>
          <w:rFonts w:eastAsia="PMingLiU"/>
        </w:rPr>
        <w:t xml:space="preserve">est for </w:t>
      </w:r>
      <w:r>
        <w:rPr>
          <w:rFonts w:eastAsia="PMingLiU"/>
        </w:rPr>
        <w:t>I</w:t>
      </w:r>
      <w:r w:rsidRPr="001D76EA">
        <w:rPr>
          <w:rFonts w:eastAsia="PMingLiU"/>
        </w:rPr>
        <w:t xml:space="preserve">dentifying </w:t>
      </w:r>
      <w:r>
        <w:rPr>
          <w:rFonts w:eastAsia="PMingLiU"/>
        </w:rPr>
        <w:t>R</w:t>
      </w:r>
      <w:r w:rsidRPr="001D76EA">
        <w:rPr>
          <w:rFonts w:eastAsia="PMingLiU"/>
        </w:rPr>
        <w:t>ed</w:t>
      </w:r>
      <w:r>
        <w:rPr>
          <w:rFonts w:eastAsia="PMingLiU"/>
        </w:rPr>
        <w:t>-G</w:t>
      </w:r>
      <w:r w:rsidRPr="001D76EA">
        <w:rPr>
          <w:rFonts w:eastAsia="PMingLiU"/>
        </w:rPr>
        <w:t xml:space="preserve">reen </w:t>
      </w:r>
      <w:proofErr w:type="spellStart"/>
      <w:r>
        <w:rPr>
          <w:rFonts w:eastAsia="PMingLiU"/>
        </w:rPr>
        <w:t>C</w:t>
      </w:r>
      <w:r w:rsidRPr="001D76EA">
        <w:rPr>
          <w:rFonts w:eastAsia="PMingLiU"/>
        </w:rPr>
        <w:t>olour</w:t>
      </w:r>
      <w:proofErr w:type="spellEnd"/>
      <w:r w:rsidRPr="001D76EA">
        <w:rPr>
          <w:rFonts w:eastAsia="PMingLiU"/>
        </w:rPr>
        <w:t xml:space="preserve"> </w:t>
      </w:r>
      <w:r>
        <w:rPr>
          <w:rFonts w:eastAsia="PMingLiU"/>
        </w:rPr>
        <w:t>D</w:t>
      </w:r>
      <w:r w:rsidRPr="001D76EA">
        <w:rPr>
          <w:rFonts w:eastAsia="PMingLiU"/>
        </w:rPr>
        <w:t xml:space="preserve">eficiency,” </w:t>
      </w:r>
      <w:r w:rsidRPr="001D76EA">
        <w:rPr>
          <w:rFonts w:eastAsia="PMingLiU"/>
          <w:i/>
        </w:rPr>
        <w:t>Ophthalmic and Physiological Optics</w:t>
      </w:r>
      <w:r w:rsidRPr="001D76EA">
        <w:rPr>
          <w:rFonts w:eastAsia="PMingLiU"/>
        </w:rPr>
        <w:t>, 17 (5), 403–408.</w:t>
      </w:r>
    </w:p>
    <w:p w:rsidR="00842575" w:rsidRPr="001D76EA" w:rsidRDefault="00842575" w:rsidP="00842575">
      <w:pPr>
        <w:widowControl w:val="0"/>
        <w:tabs>
          <w:tab w:val="left" w:pos="450"/>
        </w:tabs>
        <w:spacing w:after="0" w:line="240" w:lineRule="auto"/>
        <w:ind w:left="446" w:hanging="446"/>
        <w:rPr>
          <w:rFonts w:cs="Times New Roman"/>
          <w:szCs w:val="24"/>
        </w:rPr>
      </w:pPr>
      <w:r w:rsidRPr="001D76EA">
        <w:rPr>
          <w:rFonts w:cs="Times New Roman"/>
          <w:szCs w:val="24"/>
        </w:rPr>
        <w:t xml:space="preserve">Simmons, Carolyn J. and Karen L. Becker-Olsen (2006), “Achieving Marketing Objectives Through Social Sponsorships,” </w:t>
      </w:r>
      <w:r w:rsidRPr="001D76EA">
        <w:rPr>
          <w:rFonts w:cs="Times New Roman"/>
          <w:i/>
          <w:szCs w:val="24"/>
        </w:rPr>
        <w:t>Journal of Marketing</w:t>
      </w:r>
      <w:r w:rsidRPr="001D76EA">
        <w:rPr>
          <w:rFonts w:cs="Times New Roman"/>
          <w:szCs w:val="24"/>
        </w:rPr>
        <w:t xml:space="preserve">, 70 (4), 154–69. </w:t>
      </w:r>
    </w:p>
    <w:p w:rsidR="00842575" w:rsidRPr="001D76EA" w:rsidRDefault="00842575" w:rsidP="00842575">
      <w:pPr>
        <w:spacing w:line="240" w:lineRule="auto"/>
        <w:ind w:left="540" w:hanging="540"/>
        <w:rPr>
          <w:rFonts w:eastAsia="PMingLiU"/>
        </w:rPr>
      </w:pPr>
    </w:p>
    <w:p w:rsidR="00842575" w:rsidRPr="00764451" w:rsidRDefault="00842575" w:rsidP="00842575">
      <w:pPr>
        <w:spacing w:line="240" w:lineRule="auto"/>
        <w:ind w:left="540" w:hanging="540"/>
        <w:rPr>
          <w:rFonts w:eastAsia="PMingLiU"/>
        </w:rPr>
      </w:pPr>
    </w:p>
    <w:p w:rsidR="006E6257" w:rsidRDefault="006E6257">
      <w:bookmarkStart w:id="0" w:name="_GoBack"/>
      <w:bookmarkEnd w:id="0"/>
    </w:p>
    <w:sectPr w:rsidR="006E62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75"/>
    <w:rsid w:val="006E6257"/>
    <w:rsid w:val="00842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C2A7E3-0E84-47F3-B87B-8A6C3CE7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575"/>
    <w:pPr>
      <w:spacing w:after="200" w:line="48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Anderson</dc:creator>
  <cp:keywords/>
  <dc:description/>
  <cp:lastModifiedBy>TJ Anderson</cp:lastModifiedBy>
  <cp:revision>1</cp:revision>
  <dcterms:created xsi:type="dcterms:W3CDTF">2019-01-28T19:28:00Z</dcterms:created>
  <dcterms:modified xsi:type="dcterms:W3CDTF">2019-01-28T19:28:00Z</dcterms:modified>
</cp:coreProperties>
</file>