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80F" w:rsidRPr="00682E57" w:rsidRDefault="008F380F" w:rsidP="008F380F">
      <w:pPr>
        <w:rPr>
          <w:rFonts w:ascii="Helvetica" w:hAnsi="Helvetica" w:cs="Helvetica"/>
          <w:b/>
        </w:rPr>
      </w:pPr>
      <w:r w:rsidRPr="00682E57">
        <w:rPr>
          <w:rFonts w:ascii="Helvetica" w:hAnsi="Helvetica" w:cs="Helvetica"/>
          <w:b/>
        </w:rPr>
        <w:t>Supplemental Digital Content</w:t>
      </w:r>
    </w:p>
    <w:p w:rsidR="008F380F" w:rsidRPr="00682E57" w:rsidRDefault="008F380F" w:rsidP="008F380F">
      <w:pPr>
        <w:rPr>
          <w:rFonts w:ascii="Helvetica" w:hAnsi="Helvetica" w:cs="Helvetica"/>
          <w:b/>
        </w:rPr>
      </w:pPr>
    </w:p>
    <w:p w:rsidR="008F380F" w:rsidRPr="00682E57" w:rsidRDefault="008F380F" w:rsidP="008F380F">
      <w:pPr>
        <w:rPr>
          <w:rFonts w:ascii="Helvetica" w:hAnsi="Helvetica" w:cs="Helvetica"/>
          <w:b/>
        </w:rPr>
      </w:pPr>
    </w:p>
    <w:p w:rsidR="008F380F" w:rsidRPr="00682E57" w:rsidRDefault="008F380F" w:rsidP="008F380F">
      <w:pPr>
        <w:spacing w:line="480" w:lineRule="auto"/>
        <w:outlineLvl w:val="0"/>
        <w:rPr>
          <w:rFonts w:ascii="Helvetica" w:hAnsi="Helvetica"/>
          <w:b/>
        </w:rPr>
      </w:pPr>
      <w:r w:rsidRPr="00682E57">
        <w:rPr>
          <w:rFonts w:ascii="Helvetica" w:hAnsi="Helvetica"/>
        </w:rPr>
        <w:t xml:space="preserve">FDA Dosing </w:t>
      </w:r>
      <w:bookmarkStart w:id="0" w:name="_GoBack"/>
      <w:bookmarkEnd w:id="0"/>
      <w:r w:rsidRPr="00682E57">
        <w:rPr>
          <w:rFonts w:ascii="Helvetica" w:hAnsi="Helvetica"/>
        </w:rPr>
        <w:t>Recommendations for Dabigatran and Rivaroxaban</w:t>
      </w:r>
    </w:p>
    <w:p w:rsidR="008F380F" w:rsidRPr="00682E57" w:rsidRDefault="008F380F" w:rsidP="008F380F">
      <w:pPr>
        <w:rPr>
          <w:rFonts w:ascii="Helvetica" w:hAnsi="Helvetica"/>
        </w:rPr>
      </w:pPr>
    </w:p>
    <w:tbl>
      <w:tblPr>
        <w:tblStyle w:val="TableGrid"/>
        <w:tblW w:w="0" w:type="auto"/>
        <w:tblLook w:val="04A0" w:firstRow="1" w:lastRow="0" w:firstColumn="1" w:lastColumn="0" w:noHBand="0" w:noVBand="1"/>
      </w:tblPr>
      <w:tblGrid>
        <w:gridCol w:w="2871"/>
        <w:gridCol w:w="6705"/>
      </w:tblGrid>
      <w:tr w:rsidR="008F380F" w:rsidRPr="00682E57" w:rsidTr="00B81ABA">
        <w:trPr>
          <w:trHeight w:val="557"/>
        </w:trPr>
        <w:tc>
          <w:tcPr>
            <w:tcW w:w="3618" w:type="dxa"/>
            <w:vAlign w:val="bottom"/>
          </w:tcPr>
          <w:p w:rsidR="008F380F" w:rsidRPr="00682E57" w:rsidRDefault="008F380F" w:rsidP="00B81ABA">
            <w:pPr>
              <w:spacing w:line="480" w:lineRule="auto"/>
              <w:rPr>
                <w:rFonts w:ascii="Helvetica" w:hAnsi="Helvetica"/>
                <w:b/>
                <w:sz w:val="20"/>
                <w:szCs w:val="20"/>
              </w:rPr>
            </w:pPr>
            <w:r>
              <w:rPr>
                <w:rFonts w:ascii="Helvetica" w:hAnsi="Helvetica"/>
                <w:b/>
                <w:sz w:val="20"/>
                <w:szCs w:val="20"/>
              </w:rPr>
              <w:t>Direct</w:t>
            </w:r>
            <w:r w:rsidRPr="00682E57">
              <w:rPr>
                <w:rFonts w:ascii="Helvetica" w:hAnsi="Helvetica"/>
                <w:b/>
                <w:sz w:val="20"/>
                <w:szCs w:val="20"/>
              </w:rPr>
              <w:t xml:space="preserve"> Oral Anticoagulant </w:t>
            </w:r>
          </w:p>
        </w:tc>
        <w:tc>
          <w:tcPr>
            <w:tcW w:w="9364" w:type="dxa"/>
            <w:vAlign w:val="bottom"/>
          </w:tcPr>
          <w:p w:rsidR="008F380F" w:rsidRPr="00682E57" w:rsidRDefault="008F380F" w:rsidP="00B81ABA">
            <w:pPr>
              <w:spacing w:line="480" w:lineRule="auto"/>
              <w:rPr>
                <w:rFonts w:ascii="Helvetica" w:hAnsi="Helvetica"/>
                <w:b/>
                <w:sz w:val="20"/>
                <w:szCs w:val="20"/>
              </w:rPr>
            </w:pPr>
            <w:r w:rsidRPr="00682E57">
              <w:rPr>
                <w:rFonts w:ascii="Helvetica" w:hAnsi="Helvetica"/>
                <w:b/>
                <w:sz w:val="20"/>
                <w:szCs w:val="20"/>
              </w:rPr>
              <w:t xml:space="preserve">FDA Dosing Recommendations  </w:t>
            </w:r>
          </w:p>
        </w:tc>
      </w:tr>
      <w:tr w:rsidR="008F380F" w:rsidRPr="00682E57" w:rsidTr="00B81ABA">
        <w:trPr>
          <w:trHeight w:val="800"/>
        </w:trPr>
        <w:tc>
          <w:tcPr>
            <w:tcW w:w="3618" w:type="dxa"/>
            <w:vAlign w:val="center"/>
          </w:tcPr>
          <w:p w:rsidR="008F380F" w:rsidRPr="00682E57" w:rsidRDefault="008F380F" w:rsidP="00B81ABA">
            <w:pPr>
              <w:spacing w:line="480" w:lineRule="auto"/>
              <w:rPr>
                <w:rFonts w:ascii="Helvetica" w:hAnsi="Helvetica"/>
                <w:sz w:val="20"/>
                <w:szCs w:val="20"/>
              </w:rPr>
            </w:pPr>
            <w:r w:rsidRPr="00682E57">
              <w:rPr>
                <w:rFonts w:ascii="Helvetica" w:hAnsi="Helvetica"/>
                <w:sz w:val="20"/>
                <w:szCs w:val="20"/>
              </w:rPr>
              <w:t xml:space="preserve">Dabigatran </w:t>
            </w:r>
          </w:p>
        </w:tc>
        <w:tc>
          <w:tcPr>
            <w:tcW w:w="9364" w:type="dxa"/>
            <w:vAlign w:val="center"/>
          </w:tcPr>
          <w:p w:rsidR="008F380F" w:rsidRPr="00682E57" w:rsidRDefault="008F380F" w:rsidP="00B81ABA">
            <w:pPr>
              <w:pStyle w:val="ListParagraph"/>
              <w:ind w:left="432"/>
              <w:rPr>
                <w:rFonts w:ascii="Helvetica" w:hAnsi="Helvetica"/>
                <w:sz w:val="20"/>
                <w:szCs w:val="20"/>
              </w:rPr>
            </w:pPr>
          </w:p>
          <w:p w:rsidR="008F380F" w:rsidRPr="00682E57" w:rsidRDefault="008F380F" w:rsidP="008F380F">
            <w:pPr>
              <w:pStyle w:val="ListParagraph"/>
              <w:numPr>
                <w:ilvl w:val="0"/>
                <w:numId w:val="1"/>
              </w:numPr>
              <w:spacing w:line="240" w:lineRule="auto"/>
              <w:rPr>
                <w:rFonts w:ascii="Helvetica" w:hAnsi="Helvetica"/>
                <w:sz w:val="20"/>
                <w:szCs w:val="20"/>
              </w:rPr>
            </w:pPr>
            <w:r w:rsidRPr="00682E57">
              <w:rPr>
                <w:rFonts w:ascii="Helvetica" w:hAnsi="Helvetica"/>
                <w:sz w:val="20"/>
                <w:szCs w:val="20"/>
              </w:rPr>
              <w:t xml:space="preserve">eGFR &gt; 30 mL/min: 150mg BID dosing is </w:t>
            </w:r>
            <w:r w:rsidRPr="00682E57">
              <w:rPr>
                <w:rFonts w:ascii="Helvetica" w:hAnsi="Helvetica"/>
                <w:i/>
                <w:sz w:val="20"/>
                <w:szCs w:val="20"/>
              </w:rPr>
              <w:t xml:space="preserve">correct </w:t>
            </w:r>
          </w:p>
          <w:p w:rsidR="008F380F" w:rsidRPr="00682E57" w:rsidRDefault="008F380F" w:rsidP="00B81ABA">
            <w:pPr>
              <w:pStyle w:val="ListParagraph"/>
              <w:ind w:left="432"/>
              <w:rPr>
                <w:rFonts w:ascii="Helvetica" w:hAnsi="Helvetica"/>
                <w:sz w:val="20"/>
                <w:szCs w:val="20"/>
              </w:rPr>
            </w:pPr>
          </w:p>
          <w:p w:rsidR="008F380F" w:rsidRPr="00682E57" w:rsidRDefault="008F380F" w:rsidP="008F380F">
            <w:pPr>
              <w:pStyle w:val="ListParagraph"/>
              <w:numPr>
                <w:ilvl w:val="0"/>
                <w:numId w:val="1"/>
              </w:numPr>
              <w:spacing w:line="240" w:lineRule="auto"/>
              <w:rPr>
                <w:rFonts w:ascii="Helvetica" w:hAnsi="Helvetica"/>
                <w:sz w:val="20"/>
                <w:szCs w:val="20"/>
              </w:rPr>
            </w:pPr>
            <w:r w:rsidRPr="00682E57">
              <w:rPr>
                <w:rFonts w:ascii="Helvetica" w:hAnsi="Helvetica"/>
                <w:sz w:val="20"/>
                <w:szCs w:val="20"/>
              </w:rPr>
              <w:t xml:space="preserve">15 ≤ eGFR ≤ 30 mL/min: 75mg BID dosing is </w:t>
            </w:r>
            <w:r w:rsidRPr="00682E57">
              <w:rPr>
                <w:rFonts w:ascii="Helvetica" w:hAnsi="Helvetica"/>
                <w:i/>
                <w:sz w:val="20"/>
                <w:szCs w:val="20"/>
              </w:rPr>
              <w:t>correct (per manufacturer dosing recs and FDA) but not recommended per the American Geriatric Society. According to the VA national criteria for use, this dose should not be used due to lack of clinical data.</w:t>
            </w:r>
          </w:p>
          <w:p w:rsidR="008F380F" w:rsidRPr="00682E57" w:rsidRDefault="008F380F" w:rsidP="00B81ABA">
            <w:pPr>
              <w:rPr>
                <w:rFonts w:ascii="Helvetica" w:hAnsi="Helvetica"/>
                <w:sz w:val="20"/>
                <w:szCs w:val="20"/>
              </w:rPr>
            </w:pPr>
          </w:p>
          <w:p w:rsidR="008F380F" w:rsidRPr="00682E57" w:rsidRDefault="008F380F" w:rsidP="008F380F">
            <w:pPr>
              <w:pStyle w:val="ListParagraph"/>
              <w:numPr>
                <w:ilvl w:val="0"/>
                <w:numId w:val="1"/>
              </w:numPr>
              <w:spacing w:line="240" w:lineRule="auto"/>
              <w:rPr>
                <w:rFonts w:ascii="Helvetica" w:hAnsi="Helvetica"/>
                <w:sz w:val="20"/>
                <w:szCs w:val="20"/>
              </w:rPr>
            </w:pPr>
            <w:r w:rsidRPr="00682E57">
              <w:rPr>
                <w:rFonts w:ascii="Helvetica" w:hAnsi="Helvetica"/>
                <w:sz w:val="20"/>
                <w:szCs w:val="20"/>
              </w:rPr>
              <w:t xml:space="preserve">eGFR &lt; 15 mL/min is </w:t>
            </w:r>
            <w:r w:rsidRPr="00682E57">
              <w:rPr>
                <w:rFonts w:ascii="Helvetica" w:hAnsi="Helvetica"/>
                <w:i/>
                <w:sz w:val="20"/>
                <w:szCs w:val="20"/>
              </w:rPr>
              <w:t>contraindicated</w:t>
            </w:r>
          </w:p>
          <w:p w:rsidR="008F380F" w:rsidRPr="00682E57" w:rsidRDefault="008F380F" w:rsidP="00B81ABA">
            <w:pPr>
              <w:rPr>
                <w:rFonts w:ascii="Helvetica" w:hAnsi="Helvetica"/>
                <w:sz w:val="20"/>
                <w:szCs w:val="20"/>
              </w:rPr>
            </w:pPr>
          </w:p>
        </w:tc>
      </w:tr>
      <w:tr w:rsidR="008F380F" w:rsidRPr="00682E57" w:rsidTr="00B81ABA">
        <w:trPr>
          <w:trHeight w:val="779"/>
        </w:trPr>
        <w:tc>
          <w:tcPr>
            <w:tcW w:w="3618" w:type="dxa"/>
            <w:tcBorders>
              <w:bottom w:val="single" w:sz="4" w:space="0" w:color="auto"/>
            </w:tcBorders>
            <w:vAlign w:val="center"/>
          </w:tcPr>
          <w:p w:rsidR="008F380F" w:rsidRPr="00682E57" w:rsidRDefault="008F380F" w:rsidP="00B81ABA">
            <w:pPr>
              <w:spacing w:line="480" w:lineRule="auto"/>
              <w:rPr>
                <w:rFonts w:ascii="Helvetica" w:hAnsi="Helvetica"/>
                <w:sz w:val="20"/>
                <w:szCs w:val="20"/>
              </w:rPr>
            </w:pPr>
            <w:r w:rsidRPr="00682E57">
              <w:rPr>
                <w:rFonts w:ascii="Helvetica" w:hAnsi="Helvetica"/>
                <w:sz w:val="20"/>
                <w:szCs w:val="20"/>
              </w:rPr>
              <w:t>Rivaroxaban</w:t>
            </w:r>
          </w:p>
        </w:tc>
        <w:tc>
          <w:tcPr>
            <w:tcW w:w="9364" w:type="dxa"/>
            <w:tcBorders>
              <w:bottom w:val="single" w:sz="4" w:space="0" w:color="auto"/>
            </w:tcBorders>
          </w:tcPr>
          <w:p w:rsidR="008F380F" w:rsidRPr="00682E57" w:rsidRDefault="008F380F" w:rsidP="00B81ABA">
            <w:pPr>
              <w:pStyle w:val="ListParagraph"/>
              <w:ind w:left="432"/>
              <w:rPr>
                <w:rFonts w:ascii="Helvetica" w:hAnsi="Helvetica"/>
                <w:sz w:val="20"/>
                <w:szCs w:val="20"/>
              </w:rPr>
            </w:pPr>
          </w:p>
          <w:p w:rsidR="008F380F" w:rsidRPr="00682E57" w:rsidRDefault="008F380F" w:rsidP="008F380F">
            <w:pPr>
              <w:pStyle w:val="ListParagraph"/>
              <w:numPr>
                <w:ilvl w:val="0"/>
                <w:numId w:val="2"/>
              </w:numPr>
              <w:spacing w:line="240" w:lineRule="auto"/>
              <w:rPr>
                <w:rFonts w:ascii="Helvetica" w:hAnsi="Helvetica"/>
                <w:sz w:val="20"/>
                <w:szCs w:val="20"/>
              </w:rPr>
            </w:pPr>
            <w:r w:rsidRPr="00682E57">
              <w:rPr>
                <w:rFonts w:ascii="Helvetica" w:hAnsi="Helvetica"/>
                <w:sz w:val="20"/>
                <w:szCs w:val="20"/>
              </w:rPr>
              <w:t>eGFR &gt; 50 mL/min: 20mg daily dosing is</w:t>
            </w:r>
            <w:r w:rsidRPr="00682E57">
              <w:rPr>
                <w:rFonts w:ascii="Helvetica" w:hAnsi="Helvetica"/>
                <w:i/>
                <w:sz w:val="20"/>
                <w:szCs w:val="20"/>
              </w:rPr>
              <w:t xml:space="preserve"> correct</w:t>
            </w:r>
          </w:p>
          <w:p w:rsidR="008F380F" w:rsidRPr="00682E57" w:rsidRDefault="008F380F" w:rsidP="00B81ABA">
            <w:pPr>
              <w:pStyle w:val="ListParagraph"/>
              <w:ind w:left="432"/>
              <w:rPr>
                <w:rFonts w:ascii="Helvetica" w:hAnsi="Helvetica"/>
                <w:sz w:val="20"/>
                <w:szCs w:val="20"/>
              </w:rPr>
            </w:pPr>
          </w:p>
          <w:p w:rsidR="008F380F" w:rsidRPr="00682E57" w:rsidRDefault="008F380F" w:rsidP="008F380F">
            <w:pPr>
              <w:pStyle w:val="ListParagraph"/>
              <w:numPr>
                <w:ilvl w:val="0"/>
                <w:numId w:val="2"/>
              </w:numPr>
              <w:spacing w:line="240" w:lineRule="auto"/>
              <w:rPr>
                <w:rFonts w:ascii="Helvetica" w:hAnsi="Helvetica"/>
                <w:sz w:val="20"/>
                <w:szCs w:val="20"/>
              </w:rPr>
            </w:pPr>
            <w:r w:rsidRPr="00682E57">
              <w:rPr>
                <w:rFonts w:ascii="Helvetica" w:hAnsi="Helvetica"/>
                <w:sz w:val="20"/>
                <w:szCs w:val="20"/>
              </w:rPr>
              <w:t xml:space="preserve">30 &lt; eGFR ≤ 50 mL/min: 15mg daily dosing is </w:t>
            </w:r>
            <w:r w:rsidRPr="00682E57">
              <w:rPr>
                <w:rFonts w:ascii="Helvetica" w:hAnsi="Helvetica"/>
                <w:i/>
                <w:sz w:val="20"/>
                <w:szCs w:val="20"/>
              </w:rPr>
              <w:t>correct</w:t>
            </w:r>
          </w:p>
          <w:p w:rsidR="008F380F" w:rsidRPr="00682E57" w:rsidRDefault="008F380F" w:rsidP="00B81ABA">
            <w:pPr>
              <w:pStyle w:val="ListParagraph"/>
              <w:ind w:left="432"/>
              <w:rPr>
                <w:rFonts w:ascii="Helvetica" w:hAnsi="Helvetica"/>
                <w:sz w:val="20"/>
                <w:szCs w:val="20"/>
              </w:rPr>
            </w:pPr>
          </w:p>
          <w:p w:rsidR="008F380F" w:rsidRPr="00682E57" w:rsidRDefault="008F380F" w:rsidP="008F380F">
            <w:pPr>
              <w:pStyle w:val="ListParagraph"/>
              <w:numPr>
                <w:ilvl w:val="0"/>
                <w:numId w:val="2"/>
              </w:numPr>
              <w:spacing w:line="240" w:lineRule="auto"/>
              <w:rPr>
                <w:rFonts w:ascii="Helvetica" w:hAnsi="Helvetica"/>
                <w:i/>
                <w:sz w:val="20"/>
                <w:szCs w:val="20"/>
              </w:rPr>
            </w:pPr>
            <w:r w:rsidRPr="00682E57">
              <w:rPr>
                <w:rFonts w:ascii="Helvetica" w:hAnsi="Helvetica"/>
                <w:sz w:val="20"/>
                <w:szCs w:val="20"/>
              </w:rPr>
              <w:t xml:space="preserve">15 ≤ eGFR ≤ 30 mL/min: 15mg daily dosing is </w:t>
            </w:r>
            <w:r w:rsidRPr="00682E57">
              <w:rPr>
                <w:rFonts w:ascii="Helvetica" w:hAnsi="Helvetica"/>
                <w:i/>
                <w:sz w:val="20"/>
                <w:szCs w:val="20"/>
              </w:rPr>
              <w:t>correct (per manufacturer dosing recs and FDA) but not recommended per the American Geriatric Society. According to the VA national criteria for use, this dose should not be used due to lack of clinical data.</w:t>
            </w:r>
          </w:p>
          <w:p w:rsidR="008F380F" w:rsidRPr="00682E57" w:rsidRDefault="008F380F" w:rsidP="00B81ABA">
            <w:pPr>
              <w:rPr>
                <w:rFonts w:ascii="Helvetica" w:hAnsi="Helvetica"/>
                <w:i/>
                <w:sz w:val="20"/>
                <w:szCs w:val="20"/>
              </w:rPr>
            </w:pPr>
          </w:p>
          <w:p w:rsidR="008F380F" w:rsidRPr="00682E57" w:rsidRDefault="008F380F" w:rsidP="008F380F">
            <w:pPr>
              <w:pStyle w:val="ListParagraph"/>
              <w:numPr>
                <w:ilvl w:val="0"/>
                <w:numId w:val="2"/>
              </w:numPr>
              <w:spacing w:line="240" w:lineRule="auto"/>
              <w:rPr>
                <w:rFonts w:ascii="Helvetica" w:hAnsi="Helvetica"/>
                <w:sz w:val="20"/>
                <w:szCs w:val="20"/>
              </w:rPr>
            </w:pPr>
            <w:r w:rsidRPr="00682E57">
              <w:rPr>
                <w:rFonts w:ascii="Helvetica" w:hAnsi="Helvetica"/>
                <w:sz w:val="20"/>
                <w:szCs w:val="20"/>
              </w:rPr>
              <w:t xml:space="preserve">eGFR &lt; 15 mL/min is </w:t>
            </w:r>
            <w:r w:rsidRPr="00682E57">
              <w:rPr>
                <w:rFonts w:ascii="Helvetica" w:hAnsi="Helvetica"/>
                <w:i/>
                <w:sz w:val="20"/>
                <w:szCs w:val="20"/>
              </w:rPr>
              <w:t>contraindicated</w:t>
            </w:r>
          </w:p>
          <w:p w:rsidR="008F380F" w:rsidRPr="00682E57" w:rsidRDefault="008F380F" w:rsidP="00B81ABA">
            <w:pPr>
              <w:rPr>
                <w:rFonts w:ascii="Helvetica" w:hAnsi="Helvetica"/>
                <w:sz w:val="20"/>
                <w:szCs w:val="20"/>
              </w:rPr>
            </w:pPr>
          </w:p>
        </w:tc>
      </w:tr>
      <w:tr w:rsidR="008F380F" w:rsidRPr="00682E57" w:rsidTr="00B81ABA">
        <w:trPr>
          <w:trHeight w:val="332"/>
        </w:trPr>
        <w:tc>
          <w:tcPr>
            <w:tcW w:w="12982" w:type="dxa"/>
            <w:gridSpan w:val="2"/>
            <w:tcBorders>
              <w:left w:val="nil"/>
              <w:bottom w:val="nil"/>
              <w:right w:val="nil"/>
            </w:tcBorders>
          </w:tcPr>
          <w:p w:rsidR="008F380F" w:rsidRPr="00682E57" w:rsidRDefault="008F380F" w:rsidP="00B81ABA">
            <w:pPr>
              <w:rPr>
                <w:rFonts w:ascii="Helvetica" w:hAnsi="Helvetica"/>
                <w:sz w:val="20"/>
                <w:szCs w:val="20"/>
              </w:rPr>
            </w:pPr>
            <w:r w:rsidRPr="00682E57">
              <w:rPr>
                <w:rFonts w:ascii="Helvetica" w:hAnsi="Helvetica"/>
                <w:sz w:val="20"/>
                <w:szCs w:val="20"/>
              </w:rPr>
              <w:t>FDA: Food and Drug Administration; eGFR: estimated glomerular filtration rate</w:t>
            </w:r>
          </w:p>
        </w:tc>
      </w:tr>
    </w:tbl>
    <w:p w:rsidR="008F380F" w:rsidRDefault="008F380F" w:rsidP="008F380F">
      <w:pPr>
        <w:spacing w:line="480" w:lineRule="auto"/>
        <w:rPr>
          <w:rFonts w:ascii="Helvetica" w:hAnsi="Helvetica" w:cs="Helvetica"/>
        </w:rPr>
      </w:pPr>
    </w:p>
    <w:p w:rsidR="008F380F" w:rsidRDefault="008F380F" w:rsidP="008F380F">
      <w:pPr>
        <w:spacing w:line="480" w:lineRule="auto"/>
        <w:rPr>
          <w:rFonts w:ascii="Helvetica" w:hAnsi="Helvetica" w:cs="Helvetica"/>
        </w:rPr>
      </w:pPr>
    </w:p>
    <w:p w:rsidR="008F380F" w:rsidRDefault="008F380F" w:rsidP="008F380F">
      <w:pPr>
        <w:spacing w:line="480" w:lineRule="auto"/>
        <w:rPr>
          <w:rFonts w:ascii="Helvetica" w:hAnsi="Helvetica" w:cs="Helvetica"/>
        </w:rPr>
      </w:pPr>
    </w:p>
    <w:p w:rsidR="008F380F" w:rsidRDefault="008F380F" w:rsidP="008F380F">
      <w:pPr>
        <w:spacing w:line="480" w:lineRule="auto"/>
        <w:rPr>
          <w:rFonts w:ascii="Helvetica" w:hAnsi="Helvetica" w:cs="Helvetica"/>
        </w:rPr>
      </w:pPr>
    </w:p>
    <w:p w:rsidR="008F380F" w:rsidRDefault="008F380F" w:rsidP="008F380F">
      <w:pPr>
        <w:spacing w:line="480" w:lineRule="auto"/>
        <w:rPr>
          <w:rFonts w:ascii="Helvetica" w:hAnsi="Helvetica" w:cs="Helvetica"/>
        </w:rPr>
      </w:pPr>
    </w:p>
    <w:p w:rsidR="008F380F" w:rsidRDefault="008F380F" w:rsidP="008F380F">
      <w:pPr>
        <w:spacing w:line="480" w:lineRule="auto"/>
        <w:rPr>
          <w:rFonts w:ascii="Helvetica" w:hAnsi="Helvetica" w:cs="Helvetica"/>
        </w:rPr>
      </w:pPr>
    </w:p>
    <w:p w:rsidR="008F380F" w:rsidRDefault="008F380F" w:rsidP="008F380F">
      <w:pPr>
        <w:spacing w:line="480" w:lineRule="auto"/>
        <w:rPr>
          <w:rFonts w:ascii="Helvetica" w:hAnsi="Helvetica" w:cs="Helvetica"/>
        </w:rPr>
      </w:pPr>
    </w:p>
    <w:p w:rsidR="00BD235C" w:rsidRDefault="00BD235C"/>
    <w:sectPr w:rsidR="00BD23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22503"/>
    <w:multiLevelType w:val="hybridMultilevel"/>
    <w:tmpl w:val="80FCA3CE"/>
    <w:lvl w:ilvl="0" w:tplc="99AC03BC">
      <w:start w:val="1"/>
      <w:numFmt w:val="decimal"/>
      <w:suff w:val="space"/>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4E5608"/>
    <w:multiLevelType w:val="hybridMultilevel"/>
    <w:tmpl w:val="69F8E868"/>
    <w:lvl w:ilvl="0" w:tplc="99AC03BC">
      <w:start w:val="1"/>
      <w:numFmt w:val="decimal"/>
      <w:suff w:val="space"/>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80F"/>
    <w:rsid w:val="008F380F"/>
    <w:rsid w:val="00BD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D78B61-1ED4-4600-AEEA-96D84EBD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80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80F"/>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80F"/>
    <w:pPr>
      <w:spacing w:line="276" w:lineRule="auto"/>
      <w:ind w:left="720"/>
      <w:contextualSpacing/>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Askari, Mariam</dc:creator>
  <cp:keywords/>
  <dc:description/>
  <cp:lastModifiedBy>Askari, Mariam</cp:lastModifiedBy>
  <cp:revision>1</cp:revision>
  <dcterms:created xsi:type="dcterms:W3CDTF">2018-12-14T21:29:00Z</dcterms:created>
  <dcterms:modified xsi:type="dcterms:W3CDTF">2018-12-14T21:30:00Z</dcterms:modified>
</cp:coreProperties>
</file>