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C6FD" w14:textId="77777777" w:rsidR="00220AC0" w:rsidRPr="005C6711" w:rsidRDefault="00220AC0" w:rsidP="005C6711">
      <w:pPr>
        <w:spacing w:line="480" w:lineRule="auto"/>
        <w:jc w:val="center"/>
        <w:rPr>
          <w:rFonts w:ascii="Times New Roman" w:hAnsi="Times New Roman" w:cs="Times New Roman"/>
          <w:b/>
          <w:sz w:val="28"/>
          <w:szCs w:val="28"/>
        </w:rPr>
      </w:pPr>
      <w:r w:rsidRPr="005C6711">
        <w:rPr>
          <w:rFonts w:ascii="Times New Roman" w:hAnsi="Times New Roman" w:cs="Times New Roman"/>
          <w:b/>
          <w:sz w:val="28"/>
          <w:szCs w:val="28"/>
        </w:rPr>
        <w:t>Supplementary material</w:t>
      </w:r>
    </w:p>
    <w:p w14:paraId="7E7891FA" w14:textId="77777777" w:rsidR="00220AC0" w:rsidRPr="005C6711" w:rsidRDefault="00220AC0" w:rsidP="005C6711">
      <w:pPr>
        <w:spacing w:line="480" w:lineRule="auto"/>
        <w:rPr>
          <w:rFonts w:ascii="Times New Roman" w:eastAsia="Times New Roman" w:hAnsi="Times New Roman" w:cs="Times New Roman"/>
          <w:bCs/>
        </w:rPr>
      </w:pPr>
      <w:r w:rsidRPr="005C6711">
        <w:rPr>
          <w:rFonts w:ascii="Times New Roman" w:eastAsia="Times New Roman" w:hAnsi="Times New Roman" w:cs="Times New Roman"/>
          <w:bCs/>
        </w:rPr>
        <w:t xml:space="preserve">Disrupted </w:t>
      </w:r>
      <w:proofErr w:type="spellStart"/>
      <w:r w:rsidRPr="005C6711">
        <w:rPr>
          <w:rFonts w:ascii="Times New Roman" w:eastAsia="Times New Roman" w:hAnsi="Times New Roman" w:cs="Times New Roman"/>
          <w:bCs/>
        </w:rPr>
        <w:t>thalamo</w:t>
      </w:r>
      <w:proofErr w:type="spellEnd"/>
      <w:r w:rsidRPr="005C6711">
        <w:rPr>
          <w:rFonts w:ascii="Times New Roman" w:eastAsia="Times New Roman" w:hAnsi="Times New Roman" w:cs="Times New Roman"/>
          <w:bCs/>
        </w:rPr>
        <w:t>-cortical connectivity as an endophenotype of the schizophrenia: Diffusion tractography study in the unaffected relatives</w:t>
      </w:r>
    </w:p>
    <w:p w14:paraId="72851B41" w14:textId="77777777" w:rsidR="00220AC0" w:rsidRPr="005C6711" w:rsidRDefault="00220AC0" w:rsidP="005C6711">
      <w:pPr>
        <w:spacing w:line="480" w:lineRule="auto"/>
        <w:rPr>
          <w:rFonts w:ascii="Times New Roman" w:eastAsia="Times New Roman" w:hAnsi="Times New Roman" w:cs="Times New Roman"/>
          <w:bCs/>
        </w:rPr>
      </w:pPr>
    </w:p>
    <w:p w14:paraId="77737B21" w14:textId="77777777" w:rsidR="00220AC0" w:rsidRPr="005C6711" w:rsidRDefault="00220AC0" w:rsidP="005C6711">
      <w:pPr>
        <w:pStyle w:val="ListParagraph"/>
        <w:numPr>
          <w:ilvl w:val="0"/>
          <w:numId w:val="2"/>
        </w:numPr>
        <w:spacing w:line="480" w:lineRule="auto"/>
        <w:rPr>
          <w:rFonts w:ascii="Times New Roman" w:eastAsia="Malgun Gothic" w:hAnsi="Times New Roman" w:cs="Times New Roman"/>
          <w:b/>
          <w:color w:val="000000"/>
        </w:rPr>
      </w:pPr>
      <w:r w:rsidRPr="005C6711">
        <w:rPr>
          <w:rFonts w:ascii="Times New Roman" w:hAnsi="Times New Roman" w:cs="Times New Roman"/>
          <w:b/>
        </w:rPr>
        <w:t>Head motion</w:t>
      </w:r>
    </w:p>
    <w:p w14:paraId="24479E32" w14:textId="71EDA725" w:rsidR="00220AC0" w:rsidRPr="005C6711" w:rsidRDefault="00220AC0" w:rsidP="005C6711">
      <w:pPr>
        <w:spacing w:line="480" w:lineRule="auto"/>
        <w:rPr>
          <w:rFonts w:ascii="Times New Roman" w:eastAsia="Malgun Gothic" w:hAnsi="Times New Roman" w:cs="Times New Roman"/>
          <w:color w:val="000000"/>
        </w:rPr>
      </w:pPr>
      <w:r w:rsidRPr="005C6711">
        <w:rPr>
          <w:rFonts w:ascii="Times New Roman" w:hAnsi="Times New Roman" w:cs="Times New Roman"/>
        </w:rPr>
        <w:t xml:space="preserve">Although the head motion was corrected in the preprocessing stage, we carried out an additional investigation on the head motion. </w:t>
      </w:r>
      <w:r w:rsidRPr="005C6711">
        <w:rPr>
          <w:rFonts w:ascii="Times New Roman" w:eastAsia="Malgun Gothic" w:hAnsi="Times New Roman" w:cs="Times New Roman"/>
          <w:color w:val="000000"/>
        </w:rPr>
        <w:t>The absolute values of the frame wise translation and rotation were estimated and summed for every subject, resulting in the frame-wise displacement (FD) value. The FD was compared between groups using student’s t test. This test revealed significant difference in the FD values, as shown on the Table 1.</w:t>
      </w:r>
    </w:p>
    <w:p w14:paraId="6A8CABB8" w14:textId="77777777" w:rsidR="00220AC0" w:rsidRPr="005C6711" w:rsidRDefault="00220AC0" w:rsidP="005C6711">
      <w:pPr>
        <w:spacing w:line="480" w:lineRule="auto"/>
        <w:rPr>
          <w:rFonts w:ascii="Times New Roman" w:eastAsia="Malgun Gothic" w:hAnsi="Times New Roman" w:cs="Times New Roman"/>
          <w:color w:val="000000"/>
        </w:rPr>
      </w:pPr>
      <w:r w:rsidRPr="005C6711">
        <w:rPr>
          <w:rFonts w:ascii="Times New Roman" w:hAnsi="Times New Roman" w:cs="Times New Roman"/>
        </w:rPr>
        <w:t xml:space="preserve">To take this head motion effect out from the statistical comparison of the FA, we added extra covariate of the FD values along with age and sex to the analysis of covariance (ANCOVA). </w:t>
      </w:r>
      <w:r w:rsidRPr="005C6711">
        <w:rPr>
          <w:rFonts w:ascii="Times New Roman" w:eastAsia="Malgun Gothic" w:hAnsi="Times New Roman" w:cs="Times New Roman"/>
          <w:color w:val="000000"/>
        </w:rPr>
        <w:t xml:space="preserve">The ANCOVA result still showed significant effect of group on the left </w:t>
      </w:r>
      <w:proofErr w:type="spellStart"/>
      <w:r w:rsidRPr="005C6711">
        <w:rPr>
          <w:rFonts w:ascii="Times New Roman" w:eastAsia="Malgun Gothic" w:hAnsi="Times New Roman" w:cs="Times New Roman"/>
          <w:color w:val="000000"/>
        </w:rPr>
        <w:t>thalamo</w:t>
      </w:r>
      <w:proofErr w:type="spellEnd"/>
      <w:r w:rsidRPr="005C6711">
        <w:rPr>
          <w:rFonts w:ascii="Times New Roman" w:eastAsia="Malgun Gothic" w:hAnsi="Times New Roman" w:cs="Times New Roman"/>
          <w:color w:val="000000"/>
        </w:rPr>
        <w:t xml:space="preserve">-orbitofrontal FA, </w:t>
      </w:r>
      <w:r w:rsidRPr="005C6711">
        <w:rPr>
          <w:rFonts w:ascii="Times New Roman" w:eastAsia="Malgun Gothic" w:hAnsi="Times New Roman" w:cs="Times New Roman"/>
          <w:i/>
          <w:color w:val="000000"/>
        </w:rPr>
        <w:t>F</w:t>
      </w:r>
      <w:r w:rsidRPr="005C6711">
        <w:rPr>
          <w:rFonts w:ascii="Times New Roman" w:eastAsia="Malgun Gothic" w:hAnsi="Times New Roman" w:cs="Times New Roman"/>
          <w:color w:val="000000"/>
        </w:rPr>
        <w:t xml:space="preserve"> (1, 64) = 7.23, </w:t>
      </w:r>
      <w:r w:rsidRPr="005C6711">
        <w:rPr>
          <w:rFonts w:ascii="Times New Roman" w:eastAsia="Malgun Gothic" w:hAnsi="Times New Roman" w:cs="Times New Roman"/>
          <w:i/>
          <w:color w:val="000000"/>
        </w:rPr>
        <w:t>P</w:t>
      </w:r>
      <w:r w:rsidRPr="005C6711">
        <w:rPr>
          <w:rFonts w:ascii="Times New Roman" w:eastAsia="Malgun Gothic" w:hAnsi="Times New Roman" w:cs="Times New Roman"/>
          <w:color w:val="000000"/>
        </w:rPr>
        <w:t xml:space="preserve"> = 0.009, but not in the right </w:t>
      </w:r>
      <w:proofErr w:type="spellStart"/>
      <w:r w:rsidRPr="005C6711">
        <w:rPr>
          <w:rFonts w:ascii="Times New Roman" w:eastAsia="Malgun Gothic" w:hAnsi="Times New Roman" w:cs="Times New Roman"/>
          <w:color w:val="000000"/>
        </w:rPr>
        <w:t>thalamo</w:t>
      </w:r>
      <w:proofErr w:type="spellEnd"/>
      <w:r w:rsidRPr="005C6711">
        <w:rPr>
          <w:rFonts w:ascii="Times New Roman" w:eastAsia="Malgun Gothic" w:hAnsi="Times New Roman" w:cs="Times New Roman"/>
          <w:color w:val="000000"/>
        </w:rPr>
        <w:t xml:space="preserve">-orbitofrontal FA, </w:t>
      </w:r>
      <w:r w:rsidRPr="005C6711">
        <w:rPr>
          <w:rFonts w:ascii="Times New Roman" w:eastAsia="Malgun Gothic" w:hAnsi="Times New Roman" w:cs="Times New Roman"/>
          <w:i/>
          <w:color w:val="000000"/>
        </w:rPr>
        <w:t>F</w:t>
      </w:r>
      <w:r w:rsidRPr="005C6711">
        <w:rPr>
          <w:rFonts w:ascii="Times New Roman" w:eastAsia="Malgun Gothic" w:hAnsi="Times New Roman" w:cs="Times New Roman"/>
          <w:color w:val="000000"/>
        </w:rPr>
        <w:t xml:space="preserve"> (1, 64) = 1.83, </w:t>
      </w:r>
      <w:r w:rsidRPr="005C6711">
        <w:rPr>
          <w:rFonts w:ascii="Times New Roman" w:eastAsia="Malgun Gothic" w:hAnsi="Times New Roman" w:cs="Times New Roman"/>
          <w:i/>
          <w:color w:val="000000"/>
        </w:rPr>
        <w:t>P</w:t>
      </w:r>
      <w:r w:rsidRPr="005C6711">
        <w:rPr>
          <w:rFonts w:ascii="Times New Roman" w:eastAsia="Malgun Gothic" w:hAnsi="Times New Roman" w:cs="Times New Roman"/>
          <w:color w:val="000000"/>
        </w:rPr>
        <w:t xml:space="preserve"> = 0.18, which is the same as the ANCOVA without the motion covariate. It confirms that the significant group effect on the FA exists without the effect of head motions.</w:t>
      </w:r>
    </w:p>
    <w:p w14:paraId="31A49D98" w14:textId="77777777" w:rsidR="00220AC0" w:rsidRPr="005C6711" w:rsidRDefault="00220AC0" w:rsidP="005C6711">
      <w:pPr>
        <w:spacing w:line="480" w:lineRule="auto"/>
        <w:rPr>
          <w:rFonts w:ascii="Times New Roman" w:hAnsi="Times New Roman" w:cs="Times New Roman"/>
          <w:b/>
        </w:rPr>
      </w:pPr>
    </w:p>
    <w:p w14:paraId="133E8B57" w14:textId="77777777" w:rsidR="00220AC0" w:rsidRPr="005C6711" w:rsidRDefault="00220AC0" w:rsidP="005C6711">
      <w:pPr>
        <w:pStyle w:val="ListParagraph"/>
        <w:numPr>
          <w:ilvl w:val="0"/>
          <w:numId w:val="2"/>
        </w:numPr>
        <w:spacing w:line="480" w:lineRule="auto"/>
        <w:rPr>
          <w:rFonts w:ascii="Times New Roman" w:hAnsi="Times New Roman" w:cs="Times New Roman"/>
          <w:b/>
        </w:rPr>
      </w:pPr>
      <w:r w:rsidRPr="005C6711">
        <w:rPr>
          <w:rFonts w:ascii="Times New Roman" w:hAnsi="Times New Roman" w:cs="Times New Roman"/>
          <w:b/>
        </w:rPr>
        <w:t>Individual region of interest (ROI) size</w:t>
      </w:r>
    </w:p>
    <w:p w14:paraId="61744825" w14:textId="77777777" w:rsidR="00220AC0" w:rsidRPr="005C6711" w:rsidRDefault="00220AC0" w:rsidP="005C6711">
      <w:pPr>
        <w:spacing w:line="480" w:lineRule="auto"/>
        <w:rPr>
          <w:rFonts w:ascii="Times New Roman" w:eastAsia="Malgun Gothic" w:hAnsi="Times New Roman" w:cs="Times New Roman"/>
          <w:color w:val="000000"/>
        </w:rPr>
      </w:pPr>
      <w:r w:rsidRPr="005C6711">
        <w:rPr>
          <w:rFonts w:ascii="Times New Roman" w:hAnsi="Times New Roman" w:cs="Times New Roman"/>
        </w:rPr>
        <w:t>To take the effect of individual thalamus and orbitofrontal ROI size out from the statistical comparison, we carried out ANCOVA to see the group effect on the FA with the sex, age and ROI size as the covariate.</w:t>
      </w:r>
      <w:r w:rsidRPr="005C6711">
        <w:rPr>
          <w:rFonts w:ascii="Times New Roman" w:eastAsia="Malgun Gothic" w:hAnsi="Times New Roman" w:cs="Times New Roman"/>
          <w:color w:val="000000"/>
        </w:rPr>
        <w:t xml:space="preserve"> ROI size has been estimated as the sum of the thalamus ROI and the orbitofrontal ROI. The ANCOVA result still showed significant effect of group on the left </w:t>
      </w:r>
      <w:proofErr w:type="spellStart"/>
      <w:r w:rsidRPr="005C6711">
        <w:rPr>
          <w:rFonts w:ascii="Times New Roman" w:eastAsia="Malgun Gothic" w:hAnsi="Times New Roman" w:cs="Times New Roman"/>
          <w:color w:val="000000"/>
        </w:rPr>
        <w:t>thalamo</w:t>
      </w:r>
      <w:proofErr w:type="spellEnd"/>
      <w:r w:rsidRPr="005C6711">
        <w:rPr>
          <w:rFonts w:ascii="Times New Roman" w:eastAsia="Malgun Gothic" w:hAnsi="Times New Roman" w:cs="Times New Roman"/>
          <w:color w:val="000000"/>
        </w:rPr>
        <w:t xml:space="preserve">-orbitofrontal FA, </w:t>
      </w:r>
      <w:r w:rsidRPr="005C6711">
        <w:rPr>
          <w:rFonts w:ascii="Times New Roman" w:eastAsia="Malgun Gothic" w:hAnsi="Times New Roman" w:cs="Times New Roman"/>
          <w:i/>
          <w:color w:val="000000"/>
        </w:rPr>
        <w:t>F</w:t>
      </w:r>
      <w:r w:rsidRPr="005C6711">
        <w:rPr>
          <w:rFonts w:ascii="Times New Roman" w:eastAsia="Malgun Gothic" w:hAnsi="Times New Roman" w:cs="Times New Roman"/>
          <w:color w:val="000000"/>
        </w:rPr>
        <w:t xml:space="preserve"> (1, 64) = 6.87, </w:t>
      </w:r>
      <w:r w:rsidRPr="005C6711">
        <w:rPr>
          <w:rFonts w:ascii="Times New Roman" w:eastAsia="Malgun Gothic" w:hAnsi="Times New Roman" w:cs="Times New Roman"/>
          <w:i/>
          <w:color w:val="000000"/>
        </w:rPr>
        <w:t>P</w:t>
      </w:r>
      <w:r w:rsidRPr="005C6711">
        <w:rPr>
          <w:rFonts w:ascii="Times New Roman" w:eastAsia="Malgun Gothic" w:hAnsi="Times New Roman" w:cs="Times New Roman"/>
          <w:color w:val="000000"/>
        </w:rPr>
        <w:t xml:space="preserve"> = 0.01, but not in the right </w:t>
      </w:r>
      <w:proofErr w:type="spellStart"/>
      <w:r w:rsidRPr="005C6711">
        <w:rPr>
          <w:rFonts w:ascii="Times New Roman" w:eastAsia="Malgun Gothic" w:hAnsi="Times New Roman" w:cs="Times New Roman"/>
          <w:color w:val="000000"/>
        </w:rPr>
        <w:t>thalamo</w:t>
      </w:r>
      <w:proofErr w:type="spellEnd"/>
      <w:r w:rsidRPr="005C6711">
        <w:rPr>
          <w:rFonts w:ascii="Times New Roman" w:eastAsia="Malgun Gothic" w:hAnsi="Times New Roman" w:cs="Times New Roman"/>
          <w:color w:val="000000"/>
        </w:rPr>
        <w:t xml:space="preserve">-orbitofrontal FA, </w:t>
      </w:r>
      <w:r w:rsidRPr="005C6711">
        <w:rPr>
          <w:rFonts w:ascii="Times New Roman" w:eastAsia="Malgun Gothic" w:hAnsi="Times New Roman" w:cs="Times New Roman"/>
          <w:i/>
          <w:color w:val="000000"/>
        </w:rPr>
        <w:t>F</w:t>
      </w:r>
      <w:r w:rsidRPr="005C6711">
        <w:rPr>
          <w:rFonts w:ascii="Times New Roman" w:eastAsia="Malgun Gothic" w:hAnsi="Times New Roman" w:cs="Times New Roman"/>
          <w:color w:val="000000"/>
        </w:rPr>
        <w:t xml:space="preserve"> (1, 64) = 1.82, </w:t>
      </w:r>
      <w:r w:rsidRPr="005C6711">
        <w:rPr>
          <w:rFonts w:ascii="Times New Roman" w:eastAsia="Malgun Gothic" w:hAnsi="Times New Roman" w:cs="Times New Roman"/>
          <w:i/>
          <w:color w:val="000000"/>
        </w:rPr>
        <w:t>P</w:t>
      </w:r>
      <w:r w:rsidRPr="005C6711">
        <w:rPr>
          <w:rFonts w:ascii="Times New Roman" w:eastAsia="Malgun Gothic" w:hAnsi="Times New Roman" w:cs="Times New Roman"/>
          <w:color w:val="000000"/>
        </w:rPr>
        <w:t xml:space="preserve"> = 0.18, which is the same as the ANCOVA without the </w:t>
      </w:r>
      <w:r w:rsidRPr="005C6711">
        <w:rPr>
          <w:rFonts w:ascii="Times New Roman" w:eastAsia="Malgun Gothic" w:hAnsi="Times New Roman" w:cs="Times New Roman"/>
          <w:color w:val="000000"/>
        </w:rPr>
        <w:lastRenderedPageBreak/>
        <w:t>ROI size covariate. It shows the significant group effect on the FA is independent from the size of the seed and target ROI.</w:t>
      </w:r>
    </w:p>
    <w:p w14:paraId="155CCFF4" w14:textId="77777777" w:rsidR="004754E5" w:rsidRPr="005C6711" w:rsidRDefault="004754E5" w:rsidP="004754E5">
      <w:pPr>
        <w:spacing w:line="480" w:lineRule="auto"/>
        <w:rPr>
          <w:rFonts w:ascii="Times New Roman" w:hAnsi="Times New Roman" w:cs="Times New Roman"/>
          <w:b/>
        </w:rPr>
      </w:pPr>
    </w:p>
    <w:p w14:paraId="24A26E47" w14:textId="29241C1F" w:rsidR="004754E5" w:rsidRPr="004754E5" w:rsidRDefault="004754E5" w:rsidP="004754E5">
      <w:pPr>
        <w:pStyle w:val="ListParagraph"/>
        <w:numPr>
          <w:ilvl w:val="0"/>
          <w:numId w:val="2"/>
        </w:numPr>
        <w:spacing w:line="480" w:lineRule="auto"/>
        <w:rPr>
          <w:rFonts w:ascii="Times New Roman" w:hAnsi="Times New Roman" w:cs="Times New Roman"/>
          <w:b/>
        </w:rPr>
      </w:pPr>
      <w:r>
        <w:rPr>
          <w:rFonts w:ascii="Times New Roman" w:hAnsi="Times New Roman" w:cs="Times New Roman"/>
          <w:b/>
        </w:rPr>
        <w:t>Intracranial volume</w:t>
      </w:r>
    </w:p>
    <w:p w14:paraId="638A7350" w14:textId="5FEEC177" w:rsidR="004754E5" w:rsidRDefault="004754E5" w:rsidP="004754E5">
      <w:pPr>
        <w:spacing w:line="480" w:lineRule="auto"/>
        <w:rPr>
          <w:rFonts w:ascii="Times New Roman" w:hAnsi="Times New Roman" w:cs="Times New Roman"/>
        </w:rPr>
        <w:sectPr w:rsidR="004754E5" w:rsidSect="006F10AD">
          <w:pgSz w:w="11900" w:h="16840"/>
          <w:pgMar w:top="1440" w:right="1440" w:bottom="1440" w:left="1440" w:header="708" w:footer="708" w:gutter="0"/>
          <w:cols w:space="708"/>
          <w:docGrid w:linePitch="360"/>
        </w:sectPr>
      </w:pPr>
      <w:r w:rsidRPr="005C6711">
        <w:rPr>
          <w:rFonts w:ascii="Times New Roman" w:hAnsi="Times New Roman" w:cs="Times New Roman"/>
        </w:rPr>
        <w:t xml:space="preserve">To take the effect of individual </w:t>
      </w:r>
      <w:r>
        <w:rPr>
          <w:rFonts w:ascii="Times New Roman" w:hAnsi="Times New Roman" w:cs="Times New Roman"/>
        </w:rPr>
        <w:t>intracranial volume</w:t>
      </w:r>
      <w:r w:rsidRPr="005C6711">
        <w:rPr>
          <w:rFonts w:ascii="Times New Roman" w:hAnsi="Times New Roman" w:cs="Times New Roman"/>
        </w:rPr>
        <w:t xml:space="preserve"> out from the statistical comparison, we carried out ANCOVA to see the group effect on the FA with the sex, age and </w:t>
      </w:r>
      <w:r>
        <w:rPr>
          <w:rFonts w:ascii="Times New Roman" w:hAnsi="Times New Roman" w:cs="Times New Roman"/>
        </w:rPr>
        <w:t>intracranial volume. A</w:t>
      </w:r>
      <w:r w:rsidRPr="004754E5">
        <w:rPr>
          <w:rFonts w:ascii="Times New Roman" w:hAnsi="Times New Roman" w:cs="Times New Roman"/>
        </w:rPr>
        <w:t xml:space="preserve">nd it did not change the result in the left </w:t>
      </w:r>
      <w:proofErr w:type="spellStart"/>
      <w:r w:rsidRPr="004754E5">
        <w:rPr>
          <w:rFonts w:ascii="Times New Roman" w:hAnsi="Times New Roman" w:cs="Times New Roman"/>
        </w:rPr>
        <w:t>thalamo</w:t>
      </w:r>
      <w:proofErr w:type="spellEnd"/>
      <w:r w:rsidRPr="004754E5">
        <w:rPr>
          <w:rFonts w:ascii="Times New Roman" w:hAnsi="Times New Roman" w:cs="Times New Roman"/>
        </w:rPr>
        <w:t xml:space="preserve">-OFC tract, F (1, 64) = 7.22, P = .00917.  </w:t>
      </w:r>
      <w:bookmarkStart w:id="0" w:name="_GoBack"/>
      <w:bookmarkEnd w:id="0"/>
    </w:p>
    <w:p w14:paraId="5176ADC9" w14:textId="77777777" w:rsidR="008C7CDD" w:rsidRPr="005C6711" w:rsidRDefault="008C7CDD" w:rsidP="008C7CDD">
      <w:pPr>
        <w:spacing w:line="480" w:lineRule="auto"/>
        <w:rPr>
          <w:rFonts w:ascii="Times New Roman" w:hAnsi="Times New Roman" w:cs="Times New Roman"/>
          <w:b/>
        </w:rPr>
      </w:pPr>
      <w:r w:rsidRPr="005C6711">
        <w:rPr>
          <w:rFonts w:ascii="Times New Roman" w:hAnsi="Times New Roman" w:cs="Times New Roman"/>
          <w:b/>
        </w:rPr>
        <w:lastRenderedPageBreak/>
        <w:t>Table 1. Head motion information for each group and the statistical comparison.</w:t>
      </w:r>
    </w:p>
    <w:tbl>
      <w:tblPr>
        <w:tblStyle w:val="ListTable6Colorful"/>
        <w:tblW w:w="0" w:type="auto"/>
        <w:tblLook w:val="04A0" w:firstRow="1" w:lastRow="0" w:firstColumn="1" w:lastColumn="0" w:noHBand="0" w:noVBand="1"/>
      </w:tblPr>
      <w:tblGrid>
        <w:gridCol w:w="3397"/>
        <w:gridCol w:w="3443"/>
        <w:gridCol w:w="737"/>
        <w:gridCol w:w="1287"/>
      </w:tblGrid>
      <w:tr w:rsidR="008C7CDD" w:rsidRPr="005C6711" w14:paraId="52D34707" w14:textId="77777777" w:rsidTr="00EB5F07">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397" w:type="dxa"/>
          </w:tcPr>
          <w:p w14:paraId="50F5DD2C" w14:textId="77777777" w:rsidR="008C7CDD" w:rsidRPr="005C6711" w:rsidRDefault="008C7CDD" w:rsidP="00EB5F07">
            <w:pPr>
              <w:spacing w:line="480" w:lineRule="auto"/>
              <w:rPr>
                <w:rFonts w:ascii="Times New Roman" w:eastAsia="Malgun Gothic" w:hAnsi="Times New Roman" w:cs="Times New Roman"/>
                <w:color w:val="000000"/>
              </w:rPr>
            </w:pPr>
            <w:r w:rsidRPr="005C6711">
              <w:rPr>
                <w:rFonts w:ascii="Times New Roman" w:eastAsia="Malgun Gothic" w:hAnsi="Times New Roman" w:cs="Times New Roman"/>
                <w:color w:val="000000"/>
              </w:rPr>
              <w:t>GHR FD</w:t>
            </w:r>
          </w:p>
        </w:tc>
        <w:tc>
          <w:tcPr>
            <w:tcW w:w="3443" w:type="dxa"/>
          </w:tcPr>
          <w:p w14:paraId="0332C312" w14:textId="77777777" w:rsidR="008C7CDD" w:rsidRPr="005C6711" w:rsidRDefault="008C7CDD" w:rsidP="00EB5F0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5C6711">
              <w:rPr>
                <w:rFonts w:ascii="Times New Roman" w:eastAsia="Malgun Gothic" w:hAnsi="Times New Roman" w:cs="Times New Roman"/>
                <w:color w:val="000000"/>
              </w:rPr>
              <w:t>HCs FD</w:t>
            </w:r>
          </w:p>
        </w:tc>
        <w:tc>
          <w:tcPr>
            <w:tcW w:w="737" w:type="dxa"/>
          </w:tcPr>
          <w:p w14:paraId="4D723419" w14:textId="77777777" w:rsidR="008C7CDD" w:rsidRPr="005C6711" w:rsidRDefault="008C7CDD" w:rsidP="00EB5F0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i/>
                <w:color w:val="000000"/>
              </w:rPr>
            </w:pPr>
            <w:r w:rsidRPr="005C6711">
              <w:rPr>
                <w:rFonts w:ascii="Times New Roman" w:eastAsia="Malgun Gothic" w:hAnsi="Times New Roman" w:cs="Times New Roman"/>
                <w:i/>
                <w:color w:val="000000"/>
              </w:rPr>
              <w:t>T</w:t>
            </w:r>
          </w:p>
        </w:tc>
        <w:tc>
          <w:tcPr>
            <w:tcW w:w="1287" w:type="dxa"/>
          </w:tcPr>
          <w:p w14:paraId="31458385" w14:textId="77777777" w:rsidR="008C7CDD" w:rsidRPr="005C6711" w:rsidRDefault="008C7CDD" w:rsidP="00EB5F0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i/>
                <w:color w:val="000000"/>
              </w:rPr>
            </w:pPr>
            <w:r w:rsidRPr="005C6711">
              <w:rPr>
                <w:rFonts w:ascii="Times New Roman" w:eastAsia="Malgun Gothic" w:hAnsi="Times New Roman" w:cs="Times New Roman"/>
                <w:i/>
                <w:color w:val="000000"/>
              </w:rPr>
              <w:t>P</w:t>
            </w:r>
          </w:p>
        </w:tc>
      </w:tr>
      <w:tr w:rsidR="008C7CDD" w:rsidRPr="005C6711" w14:paraId="098204E8" w14:textId="77777777" w:rsidTr="00EB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58BCD9" w14:textId="77777777" w:rsidR="008C7CDD" w:rsidRPr="005C6711" w:rsidRDefault="008C7CDD" w:rsidP="00EB5F07">
            <w:pPr>
              <w:spacing w:line="480" w:lineRule="auto"/>
              <w:rPr>
                <w:rFonts w:ascii="Times New Roman" w:eastAsia="Malgun Gothic" w:hAnsi="Times New Roman" w:cs="Times New Roman"/>
                <w:b w:val="0"/>
                <w:color w:val="000000"/>
              </w:rPr>
            </w:pPr>
            <w:r w:rsidRPr="005C6711">
              <w:rPr>
                <w:rFonts w:ascii="Times New Roman" w:eastAsia="Malgun Gothic" w:hAnsi="Times New Roman" w:cs="Times New Roman"/>
                <w:b w:val="0"/>
                <w:color w:val="000000"/>
              </w:rPr>
              <w:t xml:space="preserve">0.26 </w:t>
            </w:r>
            <w:r w:rsidRPr="005C6711">
              <w:rPr>
                <w:rFonts w:ascii="Times New Roman" w:eastAsia="Times New Roman" w:hAnsi="Times New Roman" w:cs="Times New Roman"/>
                <w:b w:val="0"/>
                <w:color w:val="000000"/>
              </w:rPr>
              <w:t>± 0.17</w:t>
            </w:r>
          </w:p>
        </w:tc>
        <w:tc>
          <w:tcPr>
            <w:tcW w:w="3443" w:type="dxa"/>
          </w:tcPr>
          <w:p w14:paraId="7D519A7C" w14:textId="77777777" w:rsidR="008C7CDD" w:rsidRPr="005C6711" w:rsidRDefault="008C7CDD" w:rsidP="00EB5F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5C6711">
              <w:rPr>
                <w:rFonts w:ascii="Times New Roman" w:eastAsia="Malgun Gothic" w:hAnsi="Times New Roman" w:cs="Times New Roman"/>
                <w:color w:val="000000"/>
              </w:rPr>
              <w:t xml:space="preserve">1.15 </w:t>
            </w:r>
            <w:r w:rsidRPr="005C6711">
              <w:rPr>
                <w:rFonts w:ascii="Times New Roman" w:eastAsia="Times New Roman" w:hAnsi="Times New Roman" w:cs="Times New Roman"/>
                <w:color w:val="000000"/>
              </w:rPr>
              <w:t>± 0.40</w:t>
            </w:r>
          </w:p>
        </w:tc>
        <w:tc>
          <w:tcPr>
            <w:tcW w:w="737" w:type="dxa"/>
          </w:tcPr>
          <w:p w14:paraId="3EA07617" w14:textId="77777777" w:rsidR="008C7CDD" w:rsidRPr="005C6711" w:rsidRDefault="008C7CDD" w:rsidP="00EB5F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5C6711">
              <w:rPr>
                <w:rFonts w:ascii="Times New Roman" w:eastAsia="Malgun Gothic" w:hAnsi="Times New Roman" w:cs="Times New Roman"/>
                <w:color w:val="000000"/>
              </w:rPr>
              <w:t>-12.2</w:t>
            </w:r>
          </w:p>
        </w:tc>
        <w:tc>
          <w:tcPr>
            <w:tcW w:w="1287" w:type="dxa"/>
          </w:tcPr>
          <w:p w14:paraId="2CDF31B0" w14:textId="31AC522C" w:rsidR="008C7CDD" w:rsidRPr="005C6711" w:rsidRDefault="001E6810" w:rsidP="00EB5F0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Pr>
                <w:rFonts w:ascii="Times New Roman" w:eastAsia="Malgun Gothic" w:hAnsi="Times New Roman" w:cs="Times New Roman"/>
                <w:color w:val="000000"/>
              </w:rPr>
              <w:t>&lt;</w:t>
            </w:r>
            <w:r w:rsidR="008C7CDD" w:rsidRPr="005C6711">
              <w:rPr>
                <w:rFonts w:ascii="Times New Roman" w:eastAsia="Malgun Gothic" w:hAnsi="Times New Roman" w:cs="Times New Roman"/>
                <w:color w:val="000000"/>
              </w:rPr>
              <w:t xml:space="preserve"> 0.001</w:t>
            </w:r>
          </w:p>
        </w:tc>
      </w:tr>
    </w:tbl>
    <w:p w14:paraId="5C02F532" w14:textId="77777777" w:rsidR="008C7CDD" w:rsidRPr="005C6711" w:rsidRDefault="008C7CDD" w:rsidP="008C7CDD">
      <w:pPr>
        <w:spacing w:line="480" w:lineRule="auto"/>
        <w:rPr>
          <w:rFonts w:ascii="Times New Roman" w:eastAsia="Malgun Gothic" w:hAnsi="Times New Roman" w:cs="Times New Roman"/>
          <w:color w:val="000000"/>
        </w:rPr>
      </w:pPr>
      <w:r w:rsidRPr="005C6711">
        <w:rPr>
          <w:rFonts w:ascii="Times New Roman" w:eastAsia="Malgun Gothic" w:hAnsi="Times New Roman" w:cs="Times New Roman"/>
          <w:color w:val="000000"/>
        </w:rPr>
        <w:t>GHR, genetic high risk; HCs, healthy controls</w:t>
      </w:r>
    </w:p>
    <w:p w14:paraId="205E8934" w14:textId="03A17176" w:rsidR="00655F51" w:rsidRPr="005C6711" w:rsidRDefault="00655F51" w:rsidP="005C6711">
      <w:pPr>
        <w:spacing w:line="480" w:lineRule="auto"/>
        <w:rPr>
          <w:rFonts w:ascii="Times New Roman" w:hAnsi="Times New Roman" w:cs="Times New Roman"/>
        </w:rPr>
      </w:pPr>
    </w:p>
    <w:sectPr w:rsidR="00655F51" w:rsidRPr="005C6711" w:rsidSect="006F10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17B7"/>
    <w:multiLevelType w:val="hybridMultilevel"/>
    <w:tmpl w:val="1C88EFC4"/>
    <w:lvl w:ilvl="0" w:tplc="D34C929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14C7E"/>
    <w:multiLevelType w:val="hybridMultilevel"/>
    <w:tmpl w:val="1C88EFC4"/>
    <w:lvl w:ilvl="0" w:tplc="D34C929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D5C4A"/>
    <w:multiLevelType w:val="hybridMultilevel"/>
    <w:tmpl w:val="4CC2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220AC0"/>
    <w:rsid w:val="000653A2"/>
    <w:rsid w:val="000F7C69"/>
    <w:rsid w:val="001E6810"/>
    <w:rsid w:val="00220AC0"/>
    <w:rsid w:val="00224A53"/>
    <w:rsid w:val="00243CD3"/>
    <w:rsid w:val="00283832"/>
    <w:rsid w:val="00287855"/>
    <w:rsid w:val="003374C3"/>
    <w:rsid w:val="0035628A"/>
    <w:rsid w:val="003617A6"/>
    <w:rsid w:val="00411905"/>
    <w:rsid w:val="00463412"/>
    <w:rsid w:val="004754E5"/>
    <w:rsid w:val="00485898"/>
    <w:rsid w:val="004F0E06"/>
    <w:rsid w:val="005652F7"/>
    <w:rsid w:val="00587217"/>
    <w:rsid w:val="005C6711"/>
    <w:rsid w:val="00602D2C"/>
    <w:rsid w:val="00654111"/>
    <w:rsid w:val="00655F51"/>
    <w:rsid w:val="006E69F2"/>
    <w:rsid w:val="006F10AD"/>
    <w:rsid w:val="00774D61"/>
    <w:rsid w:val="008C7CDD"/>
    <w:rsid w:val="00901CAF"/>
    <w:rsid w:val="00945056"/>
    <w:rsid w:val="00973E10"/>
    <w:rsid w:val="009C3750"/>
    <w:rsid w:val="00A323F0"/>
    <w:rsid w:val="00A369FC"/>
    <w:rsid w:val="00E569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2A584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C0"/>
    <w:pPr>
      <w:ind w:left="720"/>
      <w:contextualSpacing/>
    </w:pPr>
  </w:style>
  <w:style w:type="character" w:styleId="Hyperlink">
    <w:name w:val="Hyperlink"/>
    <w:basedOn w:val="DefaultParagraphFont"/>
    <w:uiPriority w:val="99"/>
    <w:unhideWhenUsed/>
    <w:rsid w:val="00220AC0"/>
    <w:rPr>
      <w:color w:val="0563C1" w:themeColor="hyperlink"/>
      <w:u w:val="single"/>
    </w:rPr>
  </w:style>
  <w:style w:type="paragraph" w:styleId="HTMLPreformatted">
    <w:name w:val="HTML Preformatted"/>
    <w:basedOn w:val="Normal"/>
    <w:link w:val="HTMLPreformattedChar"/>
    <w:uiPriority w:val="99"/>
    <w:semiHidden/>
    <w:unhideWhenUsed/>
    <w:rsid w:val="0022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0AC0"/>
    <w:rPr>
      <w:rFonts w:ascii="Courier New" w:hAnsi="Courier New" w:cs="Courier New"/>
      <w:sz w:val="20"/>
      <w:szCs w:val="20"/>
    </w:rPr>
  </w:style>
  <w:style w:type="table" w:styleId="TableGrid">
    <w:name w:val="Table Grid"/>
    <w:basedOn w:val="TableNormal"/>
    <w:uiPriority w:val="39"/>
    <w:rsid w:val="0022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20A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0A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220A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rsid w:val="00220AC0"/>
    <w:pPr>
      <w:jc w:val="center"/>
    </w:pPr>
    <w:rPr>
      <w:rFonts w:ascii="Calibri" w:hAnsi="Calibri"/>
    </w:rPr>
  </w:style>
  <w:style w:type="paragraph" w:customStyle="1" w:styleId="EndNoteBibliography">
    <w:name w:val="EndNote Bibliography"/>
    <w:basedOn w:val="Normal"/>
    <w:rsid w:val="00220AC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351</Words>
  <Characters>2004</Characters>
  <Application>Microsoft Office Word</Application>
  <DocSecurity>0</DocSecurity>
  <Lines>16</Lines>
  <Paragraphs>4</Paragraphs>
  <ScaleCrop>false</ScaleCrop>
  <Company>CCNC mini</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조강익</dc:creator>
  <cp:keywords/>
  <dc:description/>
  <cp:lastModifiedBy>Kangik Kevin Cho</cp:lastModifiedBy>
  <cp:revision>9</cp:revision>
  <dcterms:created xsi:type="dcterms:W3CDTF">2017-05-01T03:29:00Z</dcterms:created>
  <dcterms:modified xsi:type="dcterms:W3CDTF">2018-10-16T21:16:00Z</dcterms:modified>
</cp:coreProperties>
</file>