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5A0" w:rsidRDefault="002805A0" w:rsidP="002805A0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Web Appendix A</w:t>
      </w:r>
    </w:p>
    <w:p w:rsidR="002805A0" w:rsidRPr="00C279D0" w:rsidRDefault="002805A0" w:rsidP="002805A0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Measures of Control Variables</w:t>
      </w:r>
    </w:p>
    <w:p w:rsidR="002805A0" w:rsidRDefault="002805A0" w:rsidP="002805A0">
      <w:pPr>
        <w:spacing w:after="0" w:line="480" w:lineRule="auto"/>
        <w:ind w:firstLine="720"/>
        <w:rPr>
          <w:rStyle w:val="Heading3Char"/>
          <w:szCs w:val="24"/>
        </w:rPr>
      </w:pPr>
    </w:p>
    <w:p w:rsidR="002805A0" w:rsidRPr="007973D3" w:rsidRDefault="002805A0" w:rsidP="002805A0">
      <w:pPr>
        <w:spacing w:after="0" w:line="48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7973D3">
        <w:rPr>
          <w:rStyle w:val="Heading3Char"/>
          <w:szCs w:val="24"/>
        </w:rPr>
        <w:t>Firm size</w:t>
      </w:r>
      <w:r w:rsidRPr="007973D3">
        <w:rPr>
          <w:rFonts w:ascii="Times New Roman" w:hAnsi="Times New Roman" w:cs="Times New Roman"/>
          <w:sz w:val="24"/>
          <w:szCs w:val="24"/>
        </w:rPr>
        <w:t xml:space="preserve">. We use </w:t>
      </w:r>
      <w:r>
        <w:rPr>
          <w:rFonts w:ascii="Times New Roman" w:hAnsi="Times New Roman" w:cs="Times New Roman"/>
          <w:sz w:val="24"/>
          <w:szCs w:val="24"/>
        </w:rPr>
        <w:t xml:space="preserve">log of </w:t>
      </w:r>
      <w:r w:rsidRPr="007973D3">
        <w:rPr>
          <w:rFonts w:ascii="Times New Roman" w:hAnsi="Times New Roman" w:cs="Times New Roman"/>
          <w:sz w:val="24"/>
          <w:szCs w:val="24"/>
        </w:rPr>
        <w:t xml:space="preserve">Total Assets to measure firm size. </w:t>
      </w:r>
    </w:p>
    <w:p w:rsidR="002805A0" w:rsidRPr="007973D3" w:rsidRDefault="002805A0" w:rsidP="002805A0">
      <w:pPr>
        <w:spacing w:after="0" w:line="480" w:lineRule="auto"/>
        <w:ind w:firstLine="72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7973D3">
        <w:rPr>
          <w:rStyle w:val="Heading3Char"/>
          <w:rFonts w:cs="Times New Roman"/>
          <w:szCs w:val="24"/>
        </w:rPr>
        <w:t>Profitability</w:t>
      </w:r>
      <w:r w:rsidRPr="007973D3">
        <w:rPr>
          <w:rFonts w:ascii="Times New Roman" w:hAnsi="Times New Roman" w:cs="Times New Roman"/>
          <w:sz w:val="24"/>
          <w:szCs w:val="24"/>
        </w:rPr>
        <w:t xml:space="preserve">. </w:t>
      </w:r>
      <w:r w:rsidRPr="007973D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We include return on assets (ROA) as a control variable when using Tobin’s q as the dependent variable. This is in line with Feng, Morgan, and </w:t>
      </w:r>
      <w:proofErr w:type="spellStart"/>
      <w:r w:rsidRPr="007973D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Rego’s</w:t>
      </w:r>
      <w:proofErr w:type="spellEnd"/>
      <w:r w:rsidRPr="007973D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(2015) study, which argues that including ROA as a control addresses firm-level endogeneity potentially induced by ROA. </w:t>
      </w:r>
    </w:p>
    <w:p w:rsidR="002805A0" w:rsidRPr="007973D3" w:rsidRDefault="002805A0" w:rsidP="002805A0">
      <w:pPr>
        <w:spacing w:after="0" w:line="480" w:lineRule="auto"/>
        <w:ind w:firstLine="720"/>
        <w:rPr>
          <w:rStyle w:val="Heading3Char"/>
          <w:bCs w:val="0"/>
          <w:i w:val="0"/>
          <w:szCs w:val="24"/>
        </w:rPr>
      </w:pPr>
      <w:r w:rsidRPr="007973D3">
        <w:rPr>
          <w:rStyle w:val="Heading3Char"/>
          <w:szCs w:val="24"/>
        </w:rPr>
        <w:t xml:space="preserve">SGA intensity. We measure SGA intensity as SGA expenditure divided by Total Assets. </w:t>
      </w:r>
    </w:p>
    <w:p w:rsidR="002805A0" w:rsidRPr="007973D3" w:rsidRDefault="002805A0" w:rsidP="002805A0">
      <w:pPr>
        <w:spacing w:after="0" w:line="480" w:lineRule="auto"/>
        <w:ind w:firstLine="72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7973D3">
        <w:rPr>
          <w:rStyle w:val="Heading3Char"/>
          <w:rFonts w:cs="Times New Roman"/>
          <w:szCs w:val="24"/>
        </w:rPr>
        <w:t>CEO tenure.</w:t>
      </w:r>
      <w:r w:rsidRPr="007973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73D3">
        <w:rPr>
          <w:rFonts w:ascii="Times New Roman" w:hAnsi="Times New Roman" w:cs="Times New Roman"/>
          <w:sz w:val="24"/>
          <w:szCs w:val="24"/>
        </w:rPr>
        <w:t>We</w:t>
      </w:r>
      <w:r w:rsidRPr="007973D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measure CEO tenure by the number of years a CEO </w:t>
      </w:r>
      <w:proofErr w:type="gramStart"/>
      <w:r w:rsidRPr="007973D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is employed</w:t>
      </w:r>
      <w:proofErr w:type="gramEnd"/>
      <w:r w:rsidRPr="007973D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at the firm in the CEO role. </w:t>
      </w:r>
    </w:p>
    <w:p w:rsidR="002805A0" w:rsidRPr="007973D3" w:rsidRDefault="002805A0" w:rsidP="002805A0">
      <w:pPr>
        <w:spacing w:after="0" w:line="480" w:lineRule="auto"/>
        <w:ind w:firstLine="720"/>
        <w:rPr>
          <w:rStyle w:val="Heading3Char"/>
          <w:rFonts w:cs="Times New Roman"/>
          <w:bCs w:val="0"/>
          <w:i w:val="0"/>
          <w:szCs w:val="24"/>
        </w:rPr>
      </w:pPr>
      <w:r w:rsidRPr="007973D3">
        <w:rPr>
          <w:rStyle w:val="Heading3Char"/>
          <w:rFonts w:cs="Times New Roman"/>
          <w:szCs w:val="24"/>
        </w:rPr>
        <w:t xml:space="preserve">CEO equity compensation. </w:t>
      </w:r>
      <w:r>
        <w:rPr>
          <w:rStyle w:val="Heading3Char"/>
          <w:rFonts w:cs="Times New Roman"/>
          <w:szCs w:val="24"/>
        </w:rPr>
        <w:t xml:space="preserve">CEO equity compensation may influence firm performance. </w:t>
      </w:r>
      <w:r w:rsidRPr="007973D3">
        <w:rPr>
          <w:rFonts w:ascii="Times New Roman" w:eastAsiaTheme="minorEastAsia" w:hAnsi="Times New Roman" w:cs="Times New Roman"/>
          <w:sz w:val="24"/>
          <w:szCs w:val="24"/>
        </w:rPr>
        <w:t xml:space="preserve">We measure CEO equity compensation as the percentage of compensation that </w:t>
      </w:r>
      <w:proofErr w:type="gramStart"/>
      <w:r w:rsidRPr="007973D3">
        <w:rPr>
          <w:rFonts w:ascii="Times New Roman" w:eastAsiaTheme="minorEastAsia" w:hAnsi="Times New Roman" w:cs="Times New Roman"/>
          <w:sz w:val="24"/>
          <w:szCs w:val="24"/>
        </w:rPr>
        <w:t>is accounted for</w:t>
      </w:r>
      <w:proofErr w:type="gramEnd"/>
      <w:r w:rsidRPr="007973D3">
        <w:rPr>
          <w:rFonts w:ascii="Times New Roman" w:eastAsiaTheme="minorEastAsia" w:hAnsi="Times New Roman" w:cs="Times New Roman"/>
          <w:sz w:val="24"/>
          <w:szCs w:val="24"/>
        </w:rPr>
        <w:t xml:space="preserve"> by equity (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e.g., </w:t>
      </w:r>
      <w:r w:rsidRPr="007973D3">
        <w:rPr>
          <w:rFonts w:ascii="Times New Roman" w:eastAsiaTheme="minorEastAsia" w:hAnsi="Times New Roman" w:cs="Times New Roman"/>
          <w:sz w:val="24"/>
          <w:szCs w:val="24"/>
        </w:rPr>
        <w:t>stocks, options) divided by the CEO’s total compensation.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805A0" w:rsidRPr="007973D3" w:rsidRDefault="002805A0" w:rsidP="002805A0">
      <w:pPr>
        <w:spacing w:after="0" w:line="480" w:lineRule="auto"/>
        <w:ind w:firstLine="72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7973D3">
        <w:rPr>
          <w:rFonts w:ascii="Times New Roman" w:eastAsiaTheme="majorEastAsia" w:hAnsi="Times New Roman" w:cs="Times New Roman"/>
          <w:bCs/>
          <w:i/>
          <w:color w:val="000000" w:themeColor="text1"/>
          <w:sz w:val="24"/>
          <w:szCs w:val="24"/>
        </w:rPr>
        <w:t>Sales growth</w:t>
      </w:r>
      <w:r w:rsidRPr="007973D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W</w:t>
      </w:r>
      <w:r w:rsidRPr="007973D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e measure sales growth as the change in sales divided by the prior year sales. </w:t>
      </w:r>
    </w:p>
    <w:p w:rsidR="002805A0" w:rsidRPr="007973D3" w:rsidRDefault="002805A0" w:rsidP="002805A0">
      <w:pPr>
        <w:spacing w:after="0" w:line="480" w:lineRule="auto"/>
        <w:ind w:firstLine="72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7973D3">
        <w:rPr>
          <w:rFonts w:ascii="Times New Roman" w:eastAsiaTheme="majorEastAsia" w:hAnsi="Times New Roman" w:cs="Times New Roman"/>
          <w:bCs/>
          <w:i/>
          <w:color w:val="000000" w:themeColor="text1"/>
          <w:sz w:val="24"/>
          <w:szCs w:val="24"/>
        </w:rPr>
        <w:t>Market concentration</w:t>
      </w:r>
      <w:r w:rsidRPr="007973D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We measure market concentration using the </w:t>
      </w:r>
      <w:proofErr w:type="spellStart"/>
      <w:r w:rsidRPr="007973D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Herfindahl</w:t>
      </w:r>
      <w:proofErr w:type="spellEnd"/>
      <w:r w:rsidRPr="007973D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–Hirschman index (HHI), a commonly accepted measure of market concentration. We calculated HHI as the sum of the square of the market shares at the </w:t>
      </w:r>
      <w:r w:rsidRPr="007973D3"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  <w:t>two-digit</w:t>
      </w:r>
      <w:r w:rsidRPr="007973D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Standard Industrial Classification level. </w:t>
      </w:r>
    </w:p>
    <w:p w:rsidR="002805A0" w:rsidRPr="007973D3" w:rsidRDefault="002805A0" w:rsidP="002805A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73D3">
        <w:rPr>
          <w:rStyle w:val="Heading3Char"/>
          <w:rFonts w:cs="Times New Roman"/>
          <w:szCs w:val="24"/>
        </w:rPr>
        <w:t>Board size.</w:t>
      </w:r>
      <w:r w:rsidRPr="00797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Board size </w:t>
      </w:r>
      <w:r w:rsidRPr="007973D3">
        <w:rPr>
          <w:rFonts w:ascii="Times New Roman" w:hAnsi="Times New Roman" w:cs="Times New Roman"/>
          <w:sz w:val="24"/>
          <w:szCs w:val="24"/>
        </w:rPr>
        <w:t xml:space="preserve">has an inverse relationship to the </w:t>
      </w:r>
      <w:r w:rsidRPr="007973D3">
        <w:rPr>
          <w:rFonts w:ascii="Times New Roman" w:hAnsi="Times New Roman" w:cs="Times New Roman"/>
          <w:noProof/>
          <w:sz w:val="24"/>
          <w:szCs w:val="24"/>
        </w:rPr>
        <w:t>market value</w:t>
      </w:r>
      <w:r w:rsidRPr="007973D3">
        <w:rPr>
          <w:rFonts w:ascii="Times New Roman" w:hAnsi="Times New Roman" w:cs="Times New Roman"/>
          <w:sz w:val="24"/>
          <w:szCs w:val="24"/>
        </w:rPr>
        <w:t xml:space="preserve"> of the firm, making small boards of directors more effective (</w:t>
      </w:r>
      <w:proofErr w:type="spellStart"/>
      <w:r w:rsidRPr="007973D3">
        <w:rPr>
          <w:rFonts w:ascii="Times New Roman" w:hAnsi="Times New Roman" w:cs="Times New Roman"/>
          <w:sz w:val="24"/>
          <w:szCs w:val="24"/>
        </w:rPr>
        <w:t>Yermack</w:t>
      </w:r>
      <w:proofErr w:type="spellEnd"/>
      <w:r w:rsidRPr="007973D3">
        <w:rPr>
          <w:rFonts w:ascii="Times New Roman" w:hAnsi="Times New Roman" w:cs="Times New Roman"/>
          <w:sz w:val="24"/>
          <w:szCs w:val="24"/>
        </w:rPr>
        <w:t xml:space="preserve"> 1996). We measure board size as the number of directors serving on the board.</w:t>
      </w:r>
    </w:p>
    <w:p w:rsidR="002805A0" w:rsidRPr="007973D3" w:rsidRDefault="002805A0" w:rsidP="002805A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73D3">
        <w:rPr>
          <w:rStyle w:val="Heading3Char"/>
          <w:rFonts w:cs="Times New Roman"/>
          <w:szCs w:val="24"/>
        </w:rPr>
        <w:lastRenderedPageBreak/>
        <w:t>Board ownership.</w:t>
      </w:r>
      <w:r w:rsidRPr="007973D3">
        <w:rPr>
          <w:rFonts w:ascii="Times New Roman" w:hAnsi="Times New Roman" w:cs="Times New Roman"/>
          <w:sz w:val="24"/>
          <w:szCs w:val="24"/>
        </w:rPr>
        <w:t xml:space="preserve"> Agency theory predicts that directors who </w:t>
      </w:r>
      <w:r>
        <w:rPr>
          <w:rFonts w:ascii="Times New Roman" w:hAnsi="Times New Roman" w:cs="Times New Roman"/>
          <w:sz w:val="24"/>
          <w:szCs w:val="24"/>
        </w:rPr>
        <w:t xml:space="preserve">have more ownership </w:t>
      </w:r>
      <w:r w:rsidRPr="004A3943">
        <w:rPr>
          <w:rFonts w:ascii="Times New Roman" w:hAnsi="Times New Roman" w:cs="Times New Roman"/>
          <w:noProof/>
          <w:sz w:val="24"/>
          <w:szCs w:val="24"/>
        </w:rPr>
        <w:t>in the</w:t>
      </w:r>
      <w:r w:rsidRPr="007973D3">
        <w:rPr>
          <w:rFonts w:ascii="Times New Roman" w:hAnsi="Times New Roman" w:cs="Times New Roman"/>
          <w:sz w:val="24"/>
          <w:szCs w:val="24"/>
        </w:rPr>
        <w:t xml:space="preserve"> firm monitor management actions </w:t>
      </w:r>
      <w:r>
        <w:rPr>
          <w:rFonts w:ascii="Times New Roman" w:hAnsi="Times New Roman" w:cs="Times New Roman"/>
          <w:sz w:val="24"/>
          <w:szCs w:val="24"/>
        </w:rPr>
        <w:t>more effectively</w:t>
      </w:r>
      <w:r w:rsidRPr="007973D3">
        <w:rPr>
          <w:rFonts w:ascii="Times New Roman" w:hAnsi="Times New Roman" w:cs="Times New Roman"/>
          <w:sz w:val="24"/>
          <w:szCs w:val="24"/>
        </w:rPr>
        <w:t xml:space="preserve">. We measure board ownership as the cumulative percentage of shares held by the board of directors. We obtain these data from ISS. </w:t>
      </w:r>
    </w:p>
    <w:p w:rsidR="002805A0" w:rsidRPr="007973D3" w:rsidRDefault="002805A0" w:rsidP="002805A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73D3">
        <w:rPr>
          <w:rStyle w:val="Heading3Char"/>
          <w:rFonts w:cs="Times New Roman"/>
          <w:szCs w:val="24"/>
        </w:rPr>
        <w:t xml:space="preserve">Board </w:t>
      </w:r>
      <w:r>
        <w:rPr>
          <w:rStyle w:val="Heading3Char"/>
          <w:rFonts w:cs="Times New Roman"/>
          <w:szCs w:val="24"/>
        </w:rPr>
        <w:t xml:space="preserve">gender </w:t>
      </w:r>
      <w:r w:rsidRPr="007973D3">
        <w:rPr>
          <w:rStyle w:val="Heading3Char"/>
          <w:rFonts w:cs="Times New Roman"/>
          <w:szCs w:val="24"/>
        </w:rPr>
        <w:t>diversity.</w:t>
      </w:r>
      <w:r w:rsidRPr="007973D3">
        <w:rPr>
          <w:rFonts w:ascii="Times New Roman" w:hAnsi="Times New Roman" w:cs="Times New Roman"/>
          <w:sz w:val="24"/>
          <w:szCs w:val="24"/>
        </w:rPr>
        <w:t xml:space="preserve"> Board demographic diversity positively affects firm performance (Carter, </w:t>
      </w:r>
      <w:proofErr w:type="spellStart"/>
      <w:r w:rsidRPr="007973D3">
        <w:rPr>
          <w:rFonts w:ascii="Times New Roman" w:hAnsi="Times New Roman" w:cs="Times New Roman"/>
          <w:sz w:val="24"/>
          <w:szCs w:val="24"/>
        </w:rPr>
        <w:t>Simkins</w:t>
      </w:r>
      <w:proofErr w:type="spellEnd"/>
      <w:r w:rsidRPr="007973D3">
        <w:rPr>
          <w:rFonts w:ascii="Times New Roman" w:hAnsi="Times New Roman" w:cs="Times New Roman"/>
          <w:sz w:val="24"/>
          <w:szCs w:val="24"/>
        </w:rPr>
        <w:t xml:space="preserve">, and Simpson 2003). For example, gender-diverse boards are more effective at monitoring management (Adams and </w:t>
      </w:r>
      <w:r w:rsidRPr="007973D3">
        <w:rPr>
          <w:rFonts w:ascii="Times New Roman" w:eastAsia="Calibri" w:hAnsi="Times New Roman" w:cs="Times New Roman"/>
          <w:noProof/>
          <w:sz w:val="24"/>
          <w:szCs w:val="24"/>
        </w:rPr>
        <w:t xml:space="preserve">Ferreira </w:t>
      </w:r>
      <w:r w:rsidRPr="007973D3">
        <w:rPr>
          <w:rFonts w:ascii="Times New Roman" w:hAnsi="Times New Roman" w:cs="Times New Roman"/>
          <w:sz w:val="24"/>
          <w:szCs w:val="24"/>
        </w:rPr>
        <w:t xml:space="preserve">2009). We measure board diversity </w:t>
      </w:r>
      <w:r>
        <w:rPr>
          <w:rFonts w:ascii="Times New Roman" w:hAnsi="Times New Roman" w:cs="Times New Roman"/>
          <w:sz w:val="24"/>
          <w:szCs w:val="24"/>
        </w:rPr>
        <w:t xml:space="preserve">as the percentage of women directors on the board. </w:t>
      </w:r>
      <w:r w:rsidRPr="00797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5A0" w:rsidRPr="007973D3" w:rsidRDefault="002805A0" w:rsidP="002805A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73D3">
        <w:rPr>
          <w:rStyle w:val="Heading3Char"/>
          <w:szCs w:val="24"/>
        </w:rPr>
        <w:t>Board workload</w:t>
      </w:r>
      <w:r w:rsidRPr="007973D3">
        <w:rPr>
          <w:rFonts w:ascii="Times New Roman" w:hAnsi="Times New Roman" w:cs="Times New Roman"/>
          <w:sz w:val="24"/>
          <w:szCs w:val="24"/>
        </w:rPr>
        <w:t>. The effective functioning of directors requires a commitment of time and resources. Therefore, directors serving on multiple boards might be less capable of devoting time to coach and monitor the management (</w:t>
      </w:r>
      <w:proofErr w:type="spellStart"/>
      <w:r w:rsidRPr="007973D3">
        <w:rPr>
          <w:rFonts w:ascii="Times New Roman" w:hAnsi="Times New Roman" w:cs="Times New Roman"/>
          <w:sz w:val="24"/>
          <w:szCs w:val="24"/>
        </w:rPr>
        <w:t>Boivie</w:t>
      </w:r>
      <w:proofErr w:type="spellEnd"/>
      <w:r w:rsidRPr="007973D3">
        <w:rPr>
          <w:rFonts w:ascii="Times New Roman" w:hAnsi="Times New Roman" w:cs="Times New Roman"/>
          <w:sz w:val="24"/>
          <w:szCs w:val="24"/>
        </w:rPr>
        <w:t xml:space="preserve">, Bednar, and Andrus 2016). We measure board workload by the average number of directorships the focal firm board members hold. </w:t>
      </w:r>
    </w:p>
    <w:p w:rsidR="002805A0" w:rsidRPr="007973D3" w:rsidRDefault="002805A0" w:rsidP="002805A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73D3">
        <w:rPr>
          <w:rStyle w:val="Heading3Char"/>
          <w:rFonts w:cs="Times New Roman"/>
          <w:szCs w:val="24"/>
        </w:rPr>
        <w:t>CEO duality</w:t>
      </w:r>
      <w:r w:rsidRPr="007973D3">
        <w:rPr>
          <w:rFonts w:ascii="Times New Roman" w:hAnsi="Times New Roman" w:cs="Times New Roman"/>
          <w:sz w:val="24"/>
          <w:szCs w:val="24"/>
        </w:rPr>
        <w:t xml:space="preserve">. In some cases, the CEO also serves as the </w:t>
      </w:r>
      <w:proofErr w:type="gramStart"/>
      <w:r w:rsidRPr="007973D3">
        <w:rPr>
          <w:rFonts w:ascii="Times New Roman" w:hAnsi="Times New Roman" w:cs="Times New Roman"/>
          <w:sz w:val="24"/>
          <w:szCs w:val="24"/>
        </w:rPr>
        <w:t>chairman</w:t>
      </w:r>
      <w:proofErr w:type="gramEnd"/>
      <w:r w:rsidRPr="007973D3">
        <w:rPr>
          <w:rFonts w:ascii="Times New Roman" w:hAnsi="Times New Roman" w:cs="Times New Roman"/>
          <w:sz w:val="24"/>
          <w:szCs w:val="24"/>
        </w:rPr>
        <w:t xml:space="preserve"> of the board of directors, a phenomenon known as CEO duality (Krause, </w:t>
      </w:r>
      <w:proofErr w:type="spellStart"/>
      <w:r w:rsidRPr="007973D3">
        <w:rPr>
          <w:rFonts w:ascii="Times New Roman" w:hAnsi="Times New Roman" w:cs="Times New Roman"/>
          <w:sz w:val="24"/>
          <w:szCs w:val="24"/>
        </w:rPr>
        <w:t>Semadeni</w:t>
      </w:r>
      <w:proofErr w:type="spellEnd"/>
      <w:r w:rsidRPr="007973D3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7973D3">
        <w:rPr>
          <w:rFonts w:ascii="Times New Roman" w:hAnsi="Times New Roman" w:cs="Times New Roman"/>
          <w:sz w:val="24"/>
          <w:szCs w:val="24"/>
        </w:rPr>
        <w:t>Cannella</w:t>
      </w:r>
      <w:proofErr w:type="spellEnd"/>
      <w:r w:rsidRPr="007973D3">
        <w:rPr>
          <w:rFonts w:ascii="Times New Roman" w:hAnsi="Times New Roman" w:cs="Times New Roman"/>
          <w:sz w:val="24"/>
          <w:szCs w:val="24"/>
        </w:rPr>
        <w:t xml:space="preserve"> 2014). However, because of a weaker governance structure, agency problems may be more prevalent in such firms, leading to suboptimal decisions (</w:t>
      </w:r>
      <w:proofErr w:type="spellStart"/>
      <w:r w:rsidRPr="007973D3">
        <w:rPr>
          <w:rFonts w:ascii="Times New Roman" w:hAnsi="Times New Roman" w:cs="Times New Roman"/>
          <w:sz w:val="24"/>
          <w:szCs w:val="24"/>
        </w:rPr>
        <w:t>Bebchuk</w:t>
      </w:r>
      <w:proofErr w:type="spellEnd"/>
      <w:r w:rsidRPr="007973D3">
        <w:rPr>
          <w:rFonts w:ascii="Times New Roman" w:hAnsi="Times New Roman" w:cs="Times New Roman"/>
          <w:sz w:val="24"/>
          <w:szCs w:val="24"/>
        </w:rPr>
        <w:t xml:space="preserve"> and Fried 2004). We use a dummy variable that takes the value of </w:t>
      </w:r>
      <w:proofErr w:type="gramStart"/>
      <w:r w:rsidRPr="007973D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973D3">
        <w:rPr>
          <w:rFonts w:ascii="Times New Roman" w:hAnsi="Times New Roman" w:cs="Times New Roman"/>
          <w:sz w:val="24"/>
          <w:szCs w:val="24"/>
        </w:rPr>
        <w:t xml:space="preserve"> if a firm’s CEO is also the chairman of the board and 0 otherwise. We obtain these data from </w:t>
      </w:r>
      <w:proofErr w:type="spellStart"/>
      <w:r w:rsidRPr="007973D3">
        <w:rPr>
          <w:rFonts w:ascii="Times New Roman" w:hAnsi="Times New Roman" w:cs="Times New Roman"/>
          <w:sz w:val="24"/>
          <w:szCs w:val="24"/>
        </w:rPr>
        <w:t>ExecuComp</w:t>
      </w:r>
      <w:proofErr w:type="spellEnd"/>
      <w:r w:rsidRPr="007973D3">
        <w:rPr>
          <w:rFonts w:ascii="Times New Roman" w:hAnsi="Times New Roman" w:cs="Times New Roman"/>
          <w:sz w:val="24"/>
          <w:szCs w:val="24"/>
        </w:rPr>
        <w:t>.</w:t>
      </w:r>
    </w:p>
    <w:p w:rsidR="002805A0" w:rsidRPr="007973D3" w:rsidRDefault="002805A0" w:rsidP="002805A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73D3">
        <w:rPr>
          <w:rStyle w:val="Heading3Char"/>
          <w:rFonts w:cs="Times New Roman"/>
          <w:szCs w:val="24"/>
        </w:rPr>
        <w:t>Board Age.</w:t>
      </w:r>
      <w:r w:rsidRPr="007973D3">
        <w:rPr>
          <w:rFonts w:ascii="Times New Roman" w:hAnsi="Times New Roman" w:cs="Times New Roman"/>
          <w:sz w:val="24"/>
          <w:szCs w:val="24"/>
        </w:rPr>
        <w:t xml:space="preserve"> We measure board age as the average age of the directors. </w:t>
      </w:r>
    </w:p>
    <w:p w:rsidR="002805A0" w:rsidRDefault="002805A0" w:rsidP="002805A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73D3">
        <w:rPr>
          <w:rFonts w:ascii="Times New Roman" w:hAnsi="Times New Roman" w:cs="Times New Roman"/>
          <w:i/>
          <w:sz w:val="24"/>
          <w:szCs w:val="24"/>
        </w:rPr>
        <w:t xml:space="preserve">Director CEOs. </w:t>
      </w:r>
      <w:r w:rsidRPr="007973D3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>include</w:t>
      </w:r>
      <w:r w:rsidRPr="00797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973D3">
        <w:rPr>
          <w:rFonts w:ascii="Times New Roman" w:hAnsi="Times New Roman" w:cs="Times New Roman"/>
          <w:sz w:val="24"/>
          <w:szCs w:val="24"/>
        </w:rPr>
        <w:t>irector CEOs</w:t>
      </w:r>
      <w:r>
        <w:rPr>
          <w:rFonts w:ascii="Times New Roman" w:hAnsi="Times New Roman" w:cs="Times New Roman"/>
          <w:sz w:val="24"/>
          <w:szCs w:val="24"/>
        </w:rPr>
        <w:t xml:space="preserve">, or </w:t>
      </w:r>
      <w:r w:rsidRPr="007973D3">
        <w:rPr>
          <w:rFonts w:ascii="Times New Roman" w:hAnsi="Times New Roman" w:cs="Times New Roman"/>
          <w:sz w:val="24"/>
          <w:szCs w:val="24"/>
        </w:rPr>
        <w:t>the percentage of directo</w:t>
      </w:r>
      <w:r>
        <w:rPr>
          <w:rFonts w:ascii="Times New Roman" w:hAnsi="Times New Roman" w:cs="Times New Roman"/>
          <w:sz w:val="24"/>
          <w:szCs w:val="24"/>
        </w:rPr>
        <w:t xml:space="preserve">rs who are currently CEOs at their firms, as a control variable because these CEOs exert a positive influence on firm performance </w:t>
      </w:r>
      <w:bookmarkStart w:id="0" w:name="baep-author-id3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"https://www.sciencedirect.com/science/article/pii/S0304405X10000139" \l "!"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133882">
        <w:rPr>
          <w:rFonts w:ascii="Times New Roman" w:hAnsi="Times New Roman" w:cs="Times New Roman"/>
          <w:sz w:val="24"/>
          <w:szCs w:val="24"/>
        </w:rPr>
        <w:t>Fahlenbrach</w:t>
      </w:r>
      <w:proofErr w:type="spellEnd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133882">
        <w:rPr>
          <w:rFonts w:ascii="Times New Roman" w:hAnsi="Times New Roman" w:cs="Times New Roman"/>
          <w:sz w:val="24"/>
          <w:szCs w:val="24"/>
        </w:rPr>
        <w:t xml:space="preserve">, Low, and </w:t>
      </w:r>
      <w:proofErr w:type="spellStart"/>
      <w:r w:rsidRPr="00133882">
        <w:rPr>
          <w:rFonts w:ascii="Times New Roman" w:hAnsi="Times New Roman" w:cs="Times New Roman"/>
          <w:sz w:val="24"/>
          <w:szCs w:val="24"/>
        </w:rPr>
        <w:t>Stulz</w:t>
      </w:r>
      <w:proofErr w:type="spellEnd"/>
      <w:r w:rsidRPr="00133882">
        <w:rPr>
          <w:rFonts w:ascii="Times New Roman" w:hAnsi="Times New Roman" w:cs="Times New Roman"/>
          <w:sz w:val="24"/>
          <w:szCs w:val="24"/>
        </w:rPr>
        <w:t xml:space="preserve"> 2010)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05A0" w:rsidRDefault="002805A0" w:rsidP="002805A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805A0" w:rsidRDefault="002805A0" w:rsidP="002805A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805A0" w:rsidRPr="00CA32E5" w:rsidRDefault="002805A0" w:rsidP="002805A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A32E5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2805A0" w:rsidRDefault="002805A0" w:rsidP="002805A0">
      <w:pPr>
        <w:spacing w:after="0" w:line="360" w:lineRule="auto"/>
        <w:ind w:left="720" w:hanging="720"/>
        <w:rPr>
          <w:rFonts w:ascii="Times New Roman" w:eastAsia="Calibri" w:hAnsi="Times New Roman" w:cs="Times New Roman"/>
          <w:noProof/>
          <w:sz w:val="24"/>
          <w:szCs w:val="24"/>
        </w:rPr>
      </w:pPr>
      <w:r w:rsidRPr="000F4A1E">
        <w:rPr>
          <w:rFonts w:ascii="Times New Roman" w:eastAsia="Calibri" w:hAnsi="Times New Roman" w:cs="Times New Roman"/>
          <w:noProof/>
          <w:sz w:val="24"/>
          <w:szCs w:val="24"/>
        </w:rPr>
        <w:t xml:space="preserve">Adams, Renée B. and Daniel Ferreira (2009), "Women in the Boardroom and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T</w:t>
      </w:r>
      <w:r w:rsidRPr="004A3943">
        <w:rPr>
          <w:rFonts w:ascii="Times New Roman" w:eastAsia="Calibri" w:hAnsi="Times New Roman" w:cs="Times New Roman"/>
          <w:noProof/>
          <w:sz w:val="24"/>
          <w:szCs w:val="24"/>
        </w:rPr>
        <w:t>heir</w:t>
      </w:r>
      <w:r w:rsidRPr="000F4A1E">
        <w:rPr>
          <w:rFonts w:ascii="Times New Roman" w:eastAsia="Calibri" w:hAnsi="Times New Roman" w:cs="Times New Roman"/>
          <w:noProof/>
          <w:sz w:val="24"/>
          <w:szCs w:val="24"/>
        </w:rPr>
        <w:t xml:space="preserve"> Impact on Governance and Performance," </w:t>
      </w:r>
      <w:r w:rsidRPr="000F4A1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Journal of Financial Economics</w:t>
      </w:r>
      <w:r w:rsidRPr="000F4A1E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, </w:t>
      </w:r>
      <w:r w:rsidRPr="000F4A1E">
        <w:rPr>
          <w:rFonts w:ascii="Times New Roman" w:eastAsia="Calibri" w:hAnsi="Times New Roman" w:cs="Times New Roman"/>
          <w:noProof/>
          <w:sz w:val="24"/>
          <w:szCs w:val="24"/>
        </w:rPr>
        <w:t>94 (2), 291-309.</w:t>
      </w:r>
    </w:p>
    <w:p w:rsidR="002805A0" w:rsidRDefault="002805A0" w:rsidP="002805A0">
      <w:pPr>
        <w:spacing w:after="0" w:line="360" w:lineRule="auto"/>
        <w:ind w:left="720" w:hanging="720"/>
        <w:rPr>
          <w:rFonts w:ascii="Times New Roman" w:eastAsia="Calibri" w:hAnsi="Times New Roman" w:cs="Times New Roman"/>
          <w:noProof/>
          <w:sz w:val="24"/>
          <w:szCs w:val="24"/>
        </w:rPr>
      </w:pPr>
      <w:r w:rsidRPr="000F4A1E">
        <w:rPr>
          <w:rFonts w:ascii="Times New Roman" w:eastAsia="Calibri" w:hAnsi="Times New Roman" w:cs="Times New Roman"/>
          <w:noProof/>
          <w:sz w:val="24"/>
          <w:szCs w:val="24"/>
        </w:rPr>
        <w:t xml:space="preserve">Bebchuk, Lucian A. and Jesse M. Fried (2004), </w:t>
      </w:r>
      <w:r w:rsidRPr="000F4A1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Pay Without Performance: The Unfulfilled Promise of Executive Compensation</w:t>
      </w:r>
      <w:r w:rsidRPr="000F4A1E">
        <w:rPr>
          <w:rFonts w:ascii="Times New Roman" w:eastAsia="Calibri" w:hAnsi="Times New Roman" w:cs="Times New Roman"/>
          <w:noProof/>
          <w:sz w:val="24"/>
          <w:szCs w:val="24"/>
        </w:rPr>
        <w:t>. Cambridge, MA: Harvard University Press.</w:t>
      </w:r>
    </w:p>
    <w:p w:rsidR="002805A0" w:rsidRDefault="002805A0" w:rsidP="002805A0">
      <w:pPr>
        <w:spacing w:after="0" w:line="360" w:lineRule="auto"/>
        <w:ind w:left="720" w:hanging="720"/>
        <w:rPr>
          <w:rFonts w:ascii="Times New Roman" w:eastAsia="Calibri" w:hAnsi="Times New Roman" w:cs="Times New Roman"/>
          <w:noProof/>
          <w:sz w:val="24"/>
          <w:szCs w:val="24"/>
        </w:rPr>
      </w:pPr>
      <w:r w:rsidRPr="000F4A1E">
        <w:rPr>
          <w:rFonts w:ascii="Times New Roman" w:eastAsia="Calibri" w:hAnsi="Times New Roman" w:cs="Times New Roman"/>
          <w:noProof/>
          <w:sz w:val="24"/>
          <w:szCs w:val="24"/>
        </w:rPr>
        <w:t>Carter, David A., Betty J. Simkins, and W. Gary Simpson (2003), "Corporate Governance, Board Diversity, and Firm Value," </w:t>
      </w:r>
      <w:r w:rsidRPr="000F4A1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Financial Review</w:t>
      </w:r>
      <w:r w:rsidRPr="000F4A1E">
        <w:rPr>
          <w:rFonts w:ascii="Times New Roman" w:eastAsia="Calibri" w:hAnsi="Times New Roman" w:cs="Times New Roman"/>
          <w:iCs/>
          <w:noProof/>
          <w:sz w:val="24"/>
          <w:szCs w:val="24"/>
        </w:rPr>
        <w:t>,</w:t>
      </w:r>
      <w:r w:rsidRPr="000F4A1E">
        <w:rPr>
          <w:rFonts w:ascii="Times New Roman" w:eastAsia="Calibri" w:hAnsi="Times New Roman" w:cs="Times New Roman"/>
          <w:noProof/>
          <w:sz w:val="24"/>
          <w:szCs w:val="24"/>
        </w:rPr>
        <w:t> 38 (1), 33-53.</w:t>
      </w:r>
    </w:p>
    <w:p w:rsidR="002805A0" w:rsidRPr="000F4A1E" w:rsidRDefault="002805A0" w:rsidP="002805A0">
      <w:pPr>
        <w:spacing w:after="0" w:line="360" w:lineRule="auto"/>
        <w:ind w:left="720" w:hanging="720"/>
        <w:rPr>
          <w:rFonts w:ascii="Times New Roman" w:eastAsia="Calibri" w:hAnsi="Times New Roman" w:cs="Times New Roman"/>
          <w:noProof/>
          <w:sz w:val="24"/>
          <w:szCs w:val="24"/>
        </w:rPr>
      </w:pPr>
      <w:r w:rsidRPr="000F4A1E">
        <w:rPr>
          <w:rFonts w:ascii="Times New Roman" w:eastAsia="Calibri" w:hAnsi="Times New Roman" w:cs="Times New Roman"/>
          <w:noProof/>
          <w:sz w:val="24"/>
          <w:szCs w:val="24"/>
        </w:rPr>
        <w:t>Yermack, David (1996), "Higher Market Valuation of Companies with a Small Board of Directors," </w:t>
      </w:r>
      <w:r w:rsidRPr="000F4A1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Journal of Financial Economics</w:t>
      </w:r>
      <w:r w:rsidRPr="000F4A1E">
        <w:rPr>
          <w:rFonts w:ascii="Times New Roman" w:eastAsia="Calibri" w:hAnsi="Times New Roman" w:cs="Times New Roman"/>
          <w:noProof/>
          <w:sz w:val="24"/>
          <w:szCs w:val="24"/>
        </w:rPr>
        <w:t>, 40 (2), 185-211.</w:t>
      </w:r>
    </w:p>
    <w:p w:rsidR="002805A0" w:rsidRPr="000F4A1E" w:rsidRDefault="002805A0" w:rsidP="002805A0">
      <w:pPr>
        <w:spacing w:after="0" w:line="360" w:lineRule="auto"/>
        <w:ind w:left="720" w:hanging="72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805A0" w:rsidRPr="000F4A1E" w:rsidRDefault="002805A0" w:rsidP="002805A0">
      <w:pPr>
        <w:spacing w:after="0" w:line="360" w:lineRule="auto"/>
        <w:ind w:left="720" w:hanging="72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805A0" w:rsidRPr="000F4A1E" w:rsidRDefault="002805A0" w:rsidP="002805A0">
      <w:pPr>
        <w:spacing w:after="0" w:line="360" w:lineRule="auto"/>
        <w:ind w:left="720" w:hanging="72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805A0" w:rsidRDefault="002805A0" w:rsidP="002805A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805A0" w:rsidRDefault="002805A0" w:rsidP="002805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805A0" w:rsidRDefault="002805A0" w:rsidP="002805A0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Web Appendix B</w:t>
      </w:r>
    </w:p>
    <w:p w:rsidR="002805A0" w:rsidRPr="00CE4F96" w:rsidRDefault="002805A0" w:rsidP="002805A0">
      <w:pPr>
        <w:keepNext/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Sample Size by Industry</w:t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6160"/>
        <w:gridCol w:w="3285"/>
      </w:tblGrid>
      <w:tr w:rsidR="002805A0" w:rsidRPr="00B15239" w:rsidTr="00807D8B">
        <w:trPr>
          <w:trHeight w:val="300"/>
        </w:trPr>
        <w:tc>
          <w:tcPr>
            <w:tcW w:w="6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A0" w:rsidRPr="00B15239" w:rsidRDefault="002805A0" w:rsidP="0080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Industry</w:t>
            </w: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A0" w:rsidRPr="00B15239" w:rsidRDefault="002805A0" w:rsidP="0080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Firms in Sample</w:t>
            </w:r>
          </w:p>
        </w:tc>
      </w:tr>
      <w:tr w:rsidR="002805A0" w:rsidRPr="00B15239" w:rsidTr="00807D8B">
        <w:trPr>
          <w:trHeight w:val="300"/>
        </w:trPr>
        <w:tc>
          <w:tcPr>
            <w:tcW w:w="6160" w:type="dxa"/>
            <w:shd w:val="clear" w:color="auto" w:fill="auto"/>
            <w:noWrap/>
            <w:vAlign w:val="bottom"/>
            <w:hideMark/>
          </w:tcPr>
          <w:p w:rsidR="002805A0" w:rsidRPr="00B15239" w:rsidRDefault="002805A0" w:rsidP="0080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 Services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2805A0" w:rsidRPr="00B15239" w:rsidRDefault="002805A0" w:rsidP="0080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2805A0" w:rsidRPr="00B15239" w:rsidTr="00807D8B">
        <w:trPr>
          <w:trHeight w:val="300"/>
        </w:trPr>
        <w:tc>
          <w:tcPr>
            <w:tcW w:w="6160" w:type="dxa"/>
            <w:shd w:val="clear" w:color="auto" w:fill="auto"/>
            <w:noWrap/>
            <w:vAlign w:val="bottom"/>
            <w:hideMark/>
          </w:tcPr>
          <w:p w:rsidR="002805A0" w:rsidRPr="00B15239" w:rsidRDefault="002805A0" w:rsidP="0080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Industrial and Commercial Machinery and Computer Equipment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2805A0" w:rsidRPr="00B15239" w:rsidRDefault="002805A0" w:rsidP="0080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805A0" w:rsidRPr="00B15239" w:rsidTr="00807D8B">
        <w:trPr>
          <w:trHeight w:val="300"/>
        </w:trPr>
        <w:tc>
          <w:tcPr>
            <w:tcW w:w="6160" w:type="dxa"/>
            <w:shd w:val="clear" w:color="auto" w:fill="auto"/>
            <w:noWrap/>
            <w:vAlign w:val="bottom"/>
            <w:hideMark/>
          </w:tcPr>
          <w:p w:rsidR="002805A0" w:rsidRPr="00B15239" w:rsidRDefault="002805A0" w:rsidP="0080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 &amp; Other Electrical Equipment &amp; Components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2805A0" w:rsidRPr="00B15239" w:rsidRDefault="002805A0" w:rsidP="0080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805A0" w:rsidRPr="00B15239" w:rsidTr="00807D8B">
        <w:trPr>
          <w:trHeight w:val="300"/>
        </w:trPr>
        <w:tc>
          <w:tcPr>
            <w:tcW w:w="6160" w:type="dxa"/>
            <w:shd w:val="clear" w:color="auto" w:fill="auto"/>
            <w:noWrap/>
            <w:vAlign w:val="bottom"/>
            <w:hideMark/>
          </w:tcPr>
          <w:p w:rsidR="002805A0" w:rsidRPr="00B15239" w:rsidRDefault="002805A0" w:rsidP="0080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Measuring, Photographic, Medical, &amp; Optical Goods, &amp; Clocks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2805A0" w:rsidRPr="00B15239" w:rsidRDefault="002805A0" w:rsidP="0080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805A0" w:rsidRPr="00B15239" w:rsidTr="00807D8B">
        <w:trPr>
          <w:trHeight w:val="300"/>
        </w:trPr>
        <w:tc>
          <w:tcPr>
            <w:tcW w:w="6160" w:type="dxa"/>
            <w:shd w:val="clear" w:color="auto" w:fill="auto"/>
            <w:noWrap/>
            <w:vAlign w:val="bottom"/>
            <w:hideMark/>
          </w:tcPr>
          <w:p w:rsidR="002805A0" w:rsidRPr="00B15239" w:rsidRDefault="002805A0" w:rsidP="0080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Oil and Gas Extraction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2805A0" w:rsidRPr="00B15239" w:rsidRDefault="002805A0" w:rsidP="0080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805A0" w:rsidRPr="00B15239" w:rsidTr="00807D8B">
        <w:trPr>
          <w:trHeight w:val="300"/>
        </w:trPr>
        <w:tc>
          <w:tcPr>
            <w:tcW w:w="6160" w:type="dxa"/>
            <w:shd w:val="clear" w:color="auto" w:fill="auto"/>
            <w:noWrap/>
            <w:vAlign w:val="bottom"/>
            <w:hideMark/>
          </w:tcPr>
          <w:p w:rsidR="002805A0" w:rsidRPr="00B15239" w:rsidRDefault="002805A0" w:rsidP="0080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Chemicals and Allied Products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2805A0" w:rsidRPr="00B15239" w:rsidRDefault="002805A0" w:rsidP="0080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805A0" w:rsidRPr="00B15239" w:rsidTr="00807D8B">
        <w:trPr>
          <w:trHeight w:val="300"/>
        </w:trPr>
        <w:tc>
          <w:tcPr>
            <w:tcW w:w="6160" w:type="dxa"/>
            <w:shd w:val="clear" w:color="auto" w:fill="auto"/>
            <w:noWrap/>
            <w:vAlign w:val="bottom"/>
            <w:hideMark/>
          </w:tcPr>
          <w:p w:rsidR="002805A0" w:rsidRPr="00B15239" w:rsidRDefault="002805A0" w:rsidP="0080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Transportation Equipment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2805A0" w:rsidRPr="00B15239" w:rsidRDefault="002805A0" w:rsidP="0080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2805A0" w:rsidRPr="00B15239" w:rsidTr="00807D8B">
        <w:trPr>
          <w:trHeight w:val="300"/>
        </w:trPr>
        <w:tc>
          <w:tcPr>
            <w:tcW w:w="6160" w:type="dxa"/>
            <w:shd w:val="clear" w:color="auto" w:fill="auto"/>
            <w:noWrap/>
            <w:vAlign w:val="bottom"/>
            <w:hideMark/>
          </w:tcPr>
          <w:p w:rsidR="002805A0" w:rsidRPr="00B15239" w:rsidRDefault="002805A0" w:rsidP="0080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Electric, Gas and Sanitary Services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2805A0" w:rsidRPr="00B15239" w:rsidRDefault="002805A0" w:rsidP="0080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805A0" w:rsidRPr="00B15239" w:rsidTr="00807D8B">
        <w:trPr>
          <w:trHeight w:val="300"/>
        </w:trPr>
        <w:tc>
          <w:tcPr>
            <w:tcW w:w="6160" w:type="dxa"/>
            <w:shd w:val="clear" w:color="auto" w:fill="auto"/>
            <w:noWrap/>
            <w:vAlign w:val="bottom"/>
            <w:hideMark/>
          </w:tcPr>
          <w:p w:rsidR="002805A0" w:rsidRPr="00B15239" w:rsidRDefault="002805A0" w:rsidP="0080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Communications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2805A0" w:rsidRPr="00B15239" w:rsidRDefault="002805A0" w:rsidP="0080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805A0" w:rsidRPr="00B15239" w:rsidTr="00807D8B">
        <w:trPr>
          <w:trHeight w:val="300"/>
        </w:trPr>
        <w:tc>
          <w:tcPr>
            <w:tcW w:w="6160" w:type="dxa"/>
            <w:shd w:val="clear" w:color="auto" w:fill="auto"/>
            <w:noWrap/>
            <w:vAlign w:val="bottom"/>
            <w:hideMark/>
          </w:tcPr>
          <w:p w:rsidR="002805A0" w:rsidRPr="00B15239" w:rsidRDefault="002805A0" w:rsidP="0080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Metal Industries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2805A0" w:rsidRPr="00B15239" w:rsidRDefault="002805A0" w:rsidP="0080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805A0" w:rsidRPr="00B15239" w:rsidTr="00807D8B">
        <w:trPr>
          <w:trHeight w:val="300"/>
        </w:trPr>
        <w:tc>
          <w:tcPr>
            <w:tcW w:w="6160" w:type="dxa"/>
            <w:shd w:val="clear" w:color="auto" w:fill="auto"/>
            <w:noWrap/>
            <w:vAlign w:val="bottom"/>
            <w:hideMark/>
          </w:tcPr>
          <w:p w:rsidR="002805A0" w:rsidRPr="00B15239" w:rsidRDefault="002805A0" w:rsidP="0080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Wholesale Trade - Durable Goods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2805A0" w:rsidRPr="00B15239" w:rsidRDefault="002805A0" w:rsidP="0080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805A0" w:rsidRPr="00B15239" w:rsidTr="00807D8B">
        <w:trPr>
          <w:trHeight w:val="300"/>
        </w:trPr>
        <w:tc>
          <w:tcPr>
            <w:tcW w:w="6160" w:type="dxa"/>
            <w:shd w:val="clear" w:color="auto" w:fill="auto"/>
            <w:noWrap/>
            <w:vAlign w:val="bottom"/>
            <w:hideMark/>
          </w:tcPr>
          <w:p w:rsidR="002805A0" w:rsidRPr="00B15239" w:rsidRDefault="002805A0" w:rsidP="0080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Paper and Allied Products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2805A0" w:rsidRPr="00B15239" w:rsidRDefault="002805A0" w:rsidP="0080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805A0" w:rsidRPr="00B15239" w:rsidTr="00807D8B">
        <w:trPr>
          <w:trHeight w:val="300"/>
        </w:trPr>
        <w:tc>
          <w:tcPr>
            <w:tcW w:w="6160" w:type="dxa"/>
            <w:shd w:val="clear" w:color="auto" w:fill="auto"/>
            <w:noWrap/>
            <w:vAlign w:val="bottom"/>
            <w:hideMark/>
          </w:tcPr>
          <w:p w:rsidR="002805A0" w:rsidRPr="00B15239" w:rsidRDefault="002805A0" w:rsidP="0080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Furniture and Fixtures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2805A0" w:rsidRPr="00B15239" w:rsidRDefault="002805A0" w:rsidP="0080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805A0" w:rsidRPr="00B15239" w:rsidTr="00807D8B">
        <w:trPr>
          <w:trHeight w:val="300"/>
        </w:trPr>
        <w:tc>
          <w:tcPr>
            <w:tcW w:w="6160" w:type="dxa"/>
            <w:shd w:val="clear" w:color="auto" w:fill="auto"/>
            <w:noWrap/>
            <w:vAlign w:val="bottom"/>
            <w:hideMark/>
          </w:tcPr>
          <w:p w:rsidR="002805A0" w:rsidRPr="00B15239" w:rsidRDefault="002805A0" w:rsidP="0080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Motor Freight Transportation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2805A0" w:rsidRPr="00B15239" w:rsidRDefault="002805A0" w:rsidP="0080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805A0" w:rsidRPr="00B15239" w:rsidTr="00807D8B">
        <w:trPr>
          <w:trHeight w:val="300"/>
        </w:trPr>
        <w:tc>
          <w:tcPr>
            <w:tcW w:w="6160" w:type="dxa"/>
            <w:shd w:val="clear" w:color="auto" w:fill="auto"/>
            <w:noWrap/>
            <w:vAlign w:val="bottom"/>
            <w:hideMark/>
          </w:tcPr>
          <w:p w:rsidR="002805A0" w:rsidRPr="00B15239" w:rsidRDefault="002805A0" w:rsidP="0080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Security &amp; Commodity Brokers, Dealers, Exchanges &amp; Services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2805A0" w:rsidRPr="00B15239" w:rsidRDefault="002805A0" w:rsidP="0080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805A0" w:rsidRPr="00B15239" w:rsidTr="00807D8B">
        <w:trPr>
          <w:trHeight w:val="300"/>
        </w:trPr>
        <w:tc>
          <w:tcPr>
            <w:tcW w:w="6160" w:type="dxa"/>
            <w:shd w:val="clear" w:color="auto" w:fill="auto"/>
            <w:noWrap/>
            <w:vAlign w:val="bottom"/>
            <w:hideMark/>
          </w:tcPr>
          <w:p w:rsidR="002805A0" w:rsidRPr="00B15239" w:rsidRDefault="002805A0" w:rsidP="0080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Petroleum Refining and Related Industries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2805A0" w:rsidRPr="00B15239" w:rsidRDefault="002805A0" w:rsidP="0080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805A0" w:rsidRPr="00B15239" w:rsidTr="00807D8B">
        <w:trPr>
          <w:trHeight w:val="300"/>
        </w:trPr>
        <w:tc>
          <w:tcPr>
            <w:tcW w:w="6160" w:type="dxa"/>
            <w:shd w:val="clear" w:color="auto" w:fill="auto"/>
            <w:noWrap/>
            <w:vAlign w:val="bottom"/>
            <w:hideMark/>
          </w:tcPr>
          <w:p w:rsidR="002805A0" w:rsidRPr="00B15239" w:rsidRDefault="002805A0" w:rsidP="0080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Engineering, Accounting, Research, and Management Services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2805A0" w:rsidRPr="00B15239" w:rsidRDefault="002805A0" w:rsidP="0080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805A0" w:rsidRPr="00B15239" w:rsidTr="00807D8B">
        <w:trPr>
          <w:trHeight w:val="300"/>
        </w:trPr>
        <w:tc>
          <w:tcPr>
            <w:tcW w:w="6160" w:type="dxa"/>
            <w:shd w:val="clear" w:color="auto" w:fill="auto"/>
            <w:noWrap/>
            <w:vAlign w:val="bottom"/>
            <w:hideMark/>
          </w:tcPr>
          <w:p w:rsidR="002805A0" w:rsidRPr="00B15239" w:rsidRDefault="002805A0" w:rsidP="0080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Fabricated Metal Products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2805A0" w:rsidRPr="00B15239" w:rsidRDefault="002805A0" w:rsidP="0080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805A0" w:rsidRPr="00B15239" w:rsidTr="00807D8B">
        <w:trPr>
          <w:trHeight w:val="300"/>
        </w:trPr>
        <w:tc>
          <w:tcPr>
            <w:tcW w:w="6160" w:type="dxa"/>
            <w:shd w:val="clear" w:color="auto" w:fill="auto"/>
            <w:noWrap/>
            <w:vAlign w:val="bottom"/>
            <w:hideMark/>
          </w:tcPr>
          <w:p w:rsidR="002805A0" w:rsidRPr="00B15239" w:rsidRDefault="002805A0" w:rsidP="0080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Heavy</w:t>
            </w:r>
            <w:r w:rsidRPr="00B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Construction, Except Building Construction, Contractor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2805A0" w:rsidRPr="00B15239" w:rsidRDefault="002805A0" w:rsidP="0080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805A0" w:rsidRPr="00B15239" w:rsidTr="00807D8B">
        <w:trPr>
          <w:trHeight w:val="300"/>
        </w:trPr>
        <w:tc>
          <w:tcPr>
            <w:tcW w:w="61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A0" w:rsidRPr="00B15239" w:rsidRDefault="002805A0" w:rsidP="0080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Miscellaneous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A0" w:rsidRPr="00B15239" w:rsidRDefault="002805A0" w:rsidP="0080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2805A0" w:rsidRPr="00B15239" w:rsidTr="00807D8B">
        <w:trPr>
          <w:trHeight w:val="300"/>
        </w:trPr>
        <w:tc>
          <w:tcPr>
            <w:tcW w:w="6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A0" w:rsidRPr="00B15239" w:rsidRDefault="002805A0" w:rsidP="00807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A0" w:rsidRPr="00B15239" w:rsidRDefault="002805A0" w:rsidP="0080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  <w:r w:rsidRPr="00B1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</w:tbl>
    <w:p w:rsidR="002805A0" w:rsidRDefault="002805A0" w:rsidP="0028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5A0" w:rsidRDefault="002805A0" w:rsidP="0028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5A0" w:rsidRDefault="002805A0" w:rsidP="002805A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2805A0" w:rsidRDefault="002805A0" w:rsidP="002805A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Web Appendix C</w:t>
      </w:r>
    </w:p>
    <w:p w:rsidR="002805A0" w:rsidRDefault="002805A0" w:rsidP="002805A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279D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Effect of COB on R&amp;D Intensity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8"/>
        <w:gridCol w:w="2430"/>
        <w:gridCol w:w="3510"/>
      </w:tblGrid>
      <w:tr w:rsidR="002805A0" w:rsidRPr="00F10809" w:rsidTr="00807D8B"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0809">
              <w:rPr>
                <w:rFonts w:ascii="Times New Roman" w:hAnsi="Times New Roman"/>
                <w:b/>
                <w:sz w:val="18"/>
                <w:szCs w:val="18"/>
              </w:rPr>
              <w:t>DV: R&amp;D intensity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0809">
              <w:rPr>
                <w:rFonts w:ascii="Times New Roman" w:hAnsi="Times New Roman"/>
                <w:b/>
                <w:sz w:val="18"/>
                <w:szCs w:val="18"/>
              </w:rPr>
              <w:t>DV: Tobin’s q</w:t>
            </w:r>
          </w:p>
        </w:tc>
      </w:tr>
      <w:tr w:rsidR="002805A0" w:rsidRPr="00F10809" w:rsidTr="00807D8B">
        <w:tc>
          <w:tcPr>
            <w:tcW w:w="3078" w:type="dxa"/>
            <w:tcBorders>
              <w:top w:val="single" w:sz="4" w:space="0" w:color="auto"/>
            </w:tcBorders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/>
                <w:sz w:val="18"/>
                <w:szCs w:val="18"/>
              </w:rPr>
              <w:t>COB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.007</w:t>
            </w:r>
            <w:r w:rsidRPr="00F108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.207</w:t>
            </w:r>
            <w:r w:rsidRPr="00F108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(.002)</w:t>
            </w: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(.045)</w:t>
            </w: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/>
                <w:sz w:val="18"/>
                <w:szCs w:val="18"/>
              </w:rPr>
              <w:t>R&amp;D intensity</w:t>
            </w: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5.289</w:t>
            </w:r>
            <w:r w:rsidRPr="00F108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(1.021)</w:t>
            </w: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/>
                <w:sz w:val="18"/>
                <w:szCs w:val="18"/>
              </w:rPr>
              <w:t>Demand uncertainty</w:t>
            </w: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-.093</w:t>
            </w:r>
            <w:r w:rsidRPr="00F108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-1.945</w:t>
            </w:r>
            <w:r w:rsidRPr="00F108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(.039)</w:t>
            </w: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(.975)</w:t>
            </w: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/>
                <w:sz w:val="18"/>
                <w:szCs w:val="18"/>
              </w:rPr>
              <w:t>MKTG in TMT</w:t>
            </w: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.004</w:t>
            </w:r>
            <w:r w:rsidRPr="00F108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.448</w:t>
            </w:r>
            <w:r w:rsidRPr="00F108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(.002)</w:t>
            </w: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(.114)</w:t>
            </w: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/>
                <w:sz w:val="18"/>
                <w:szCs w:val="18"/>
              </w:rPr>
              <w:t>Diversification</w:t>
            </w: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.017</w:t>
            </w:r>
            <w:r w:rsidRPr="00F108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-.048</w:t>
            </w: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(.005)</w:t>
            </w: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(.124)</w:t>
            </w: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/>
                <w:sz w:val="18"/>
                <w:szCs w:val="18"/>
              </w:rPr>
              <w:t>Firm size</w:t>
            </w: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-.003</w:t>
            </w: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-.006</w:t>
            </w: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(.004)</w:t>
            </w: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(.097)</w:t>
            </w: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/>
                <w:sz w:val="18"/>
                <w:szCs w:val="18"/>
              </w:rPr>
              <w:t>Profitability</w:t>
            </w: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-.024</w:t>
            </w: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3.737</w:t>
            </w:r>
            <w:r w:rsidRPr="00F108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(.030)</w:t>
            </w: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(.824)</w:t>
            </w: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/>
                <w:sz w:val="18"/>
                <w:szCs w:val="18"/>
              </w:rPr>
              <w:t>SGA intensity</w:t>
            </w: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.245</w:t>
            </w:r>
            <w:r w:rsidRPr="00F108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.980</w:t>
            </w: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(.046)</w:t>
            </w: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(1.185)</w:t>
            </w: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/>
                <w:sz w:val="18"/>
                <w:szCs w:val="18"/>
              </w:rPr>
              <w:t>CEO tenure</w:t>
            </w: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.001</w:t>
            </w:r>
            <w:r w:rsidRPr="00F108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.003</w:t>
            </w: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(.000)</w:t>
            </w: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(.007)</w:t>
            </w: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/>
                <w:sz w:val="18"/>
                <w:szCs w:val="18"/>
              </w:rPr>
              <w:t>CEO equity compensation</w:t>
            </w: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.003</w:t>
            </w: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-.290</w:t>
            </w: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(.017)</w:t>
            </w: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(.382)</w:t>
            </w: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/>
                <w:sz w:val="18"/>
                <w:szCs w:val="18"/>
              </w:rPr>
              <w:t>Sales growth</w:t>
            </w: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-.024</w:t>
            </w:r>
            <w:r w:rsidRPr="00F108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-.034</w:t>
            </w: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(.009)</w:t>
            </w: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(.255)</w:t>
            </w: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/>
                <w:sz w:val="18"/>
                <w:szCs w:val="18"/>
              </w:rPr>
              <w:t>Market concentration</w:t>
            </w: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-.440</w:t>
            </w: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(.021)</w:t>
            </w: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(.428)</w:t>
            </w: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/>
                <w:sz w:val="18"/>
                <w:szCs w:val="18"/>
              </w:rPr>
              <w:t>Board size</w:t>
            </w: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-.001</w:t>
            </w: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-.007</w:t>
            </w: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(.002)</w:t>
            </w: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(.043)</w:t>
            </w: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/>
                <w:sz w:val="18"/>
                <w:szCs w:val="18"/>
              </w:rPr>
              <w:t>Board ownership</w:t>
            </w: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-.001</w:t>
            </w: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-.023</w:t>
            </w: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(.000)</w:t>
            </w: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(.012)</w:t>
            </w: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/>
                <w:sz w:val="18"/>
                <w:szCs w:val="18"/>
              </w:rPr>
              <w:t>Board gender diversity</w:t>
            </w: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.078</w:t>
            </w: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-.011</w:t>
            </w: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(.049)</w:t>
            </w: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(.826)</w:t>
            </w: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/>
                <w:sz w:val="18"/>
                <w:szCs w:val="18"/>
              </w:rPr>
              <w:t>Board workload</w:t>
            </w: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-.003</w:t>
            </w: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-.670</w:t>
            </w:r>
            <w:r w:rsidRPr="00F108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(.008)</w:t>
            </w: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(.187)</w:t>
            </w: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/>
                <w:sz w:val="18"/>
                <w:szCs w:val="18"/>
              </w:rPr>
              <w:t>CEO duality</w:t>
            </w: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-.005</w:t>
            </w: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-.081</w:t>
            </w: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(.007)</w:t>
            </w: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(.158)</w:t>
            </w: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/>
                <w:sz w:val="18"/>
                <w:szCs w:val="18"/>
              </w:rPr>
              <w:t>Board age</w:t>
            </w: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.002</w:t>
            </w: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.096</w:t>
            </w:r>
            <w:r w:rsidRPr="00F108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(.001)</w:t>
            </w: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(.023)</w:t>
            </w: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/>
                <w:sz w:val="18"/>
                <w:szCs w:val="18"/>
              </w:rPr>
              <w:t>Director CEOs</w:t>
            </w: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-.084</w:t>
            </w:r>
            <w:r w:rsidRPr="00F108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.969</w:t>
            </w: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(.035)</w:t>
            </w: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(.871)</w:t>
            </w: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/>
                <w:sz w:val="18"/>
                <w:szCs w:val="18"/>
              </w:rPr>
              <w:t>Lag. Tobin’s q</w:t>
            </w: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.394</w:t>
            </w:r>
            <w:r w:rsidRPr="00F108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(.040)</w:t>
            </w: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/>
                <w:sz w:val="18"/>
                <w:szCs w:val="18"/>
              </w:rPr>
              <w:t>Lag. R&amp;D intensity</w:t>
            </w: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.611</w:t>
            </w:r>
            <w:r w:rsidRPr="00F108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(.044)</w:t>
            </w: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/>
                <w:sz w:val="18"/>
                <w:szCs w:val="18"/>
              </w:rPr>
              <w:t>Intercept</w:t>
            </w: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-5.080</w:t>
            </w:r>
            <w:r w:rsidRPr="00F108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(.001)</w:t>
            </w: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 w:cs="Times New Roman"/>
                <w:sz w:val="18"/>
                <w:szCs w:val="18"/>
              </w:rPr>
              <w:t>(1.347)</w:t>
            </w: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F10809">
              <w:rPr>
                <w:rFonts w:ascii="Times New Roman" w:hAnsi="Times New Roman"/>
                <w:iCs/>
                <w:sz w:val="18"/>
                <w:szCs w:val="18"/>
              </w:rPr>
              <w:t>Firm fixed effects</w:t>
            </w: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</w:tr>
      <w:tr w:rsidR="002805A0" w:rsidRPr="00F10809" w:rsidTr="00807D8B">
        <w:tc>
          <w:tcPr>
            <w:tcW w:w="3078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F10809">
              <w:rPr>
                <w:rFonts w:ascii="Times New Roman" w:hAnsi="Times New Roman"/>
                <w:iCs/>
                <w:sz w:val="18"/>
                <w:szCs w:val="18"/>
              </w:rPr>
              <w:t>Year fixed effects</w:t>
            </w:r>
          </w:p>
        </w:tc>
        <w:tc>
          <w:tcPr>
            <w:tcW w:w="243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3510" w:type="dxa"/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</w:tr>
      <w:tr w:rsidR="002805A0" w:rsidRPr="00F10809" w:rsidTr="00807D8B">
        <w:tc>
          <w:tcPr>
            <w:tcW w:w="3078" w:type="dxa"/>
            <w:tcBorders>
              <w:bottom w:val="single" w:sz="4" w:space="0" w:color="auto"/>
            </w:tcBorders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/>
                <w:iCs/>
                <w:sz w:val="18"/>
                <w:szCs w:val="18"/>
              </w:rPr>
              <w:t>Number of observations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/>
                <w:sz w:val="18"/>
                <w:szCs w:val="18"/>
              </w:rPr>
              <w:t>1514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2805A0" w:rsidRPr="00F10809" w:rsidRDefault="002805A0" w:rsidP="008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809">
              <w:rPr>
                <w:rFonts w:ascii="Times New Roman" w:hAnsi="Times New Roman"/>
                <w:sz w:val="18"/>
                <w:szCs w:val="18"/>
              </w:rPr>
              <w:t>1514</w:t>
            </w:r>
          </w:p>
        </w:tc>
      </w:tr>
    </w:tbl>
    <w:p w:rsidR="002805A0" w:rsidRDefault="002805A0" w:rsidP="0028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Notes: Standard errors are in parentheses. </w:t>
      </w:r>
      <w:r>
        <w:rPr>
          <w:rFonts w:ascii="Times New Roman" w:hAnsi="Times New Roman"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>p</w:t>
      </w:r>
      <w:proofErr w:type="gramEnd"/>
      <w:r>
        <w:rPr>
          <w:rFonts w:ascii="Times New Roman" w:hAnsi="Times New Roman"/>
          <w:sz w:val="20"/>
          <w:szCs w:val="20"/>
        </w:rPr>
        <w:t xml:space="preserve"> &lt; .05, </w:t>
      </w:r>
      <w:r>
        <w:rPr>
          <w:rFonts w:ascii="Times New Roman" w:hAnsi="Times New Roman"/>
          <w:sz w:val="20"/>
          <w:szCs w:val="20"/>
          <w:vertAlign w:val="superscript"/>
        </w:rPr>
        <w:t>**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 &lt; .01. </w:t>
      </w:r>
    </w:p>
    <w:p w:rsidR="002805A0" w:rsidRPr="00CF799E" w:rsidRDefault="002805A0" w:rsidP="0028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FB9" w:rsidRDefault="002805A0">
      <w:bookmarkStart w:id="1" w:name="_GoBack"/>
      <w:bookmarkEnd w:id="1"/>
    </w:p>
    <w:sectPr w:rsidR="00601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zNLYEEhZmphbGhko6SsGpxcWZ+XkgBYa1AD2ewOYsAAAA"/>
  </w:docVars>
  <w:rsids>
    <w:rsidRoot w:val="002805A0"/>
    <w:rsid w:val="002805A0"/>
    <w:rsid w:val="00781E14"/>
    <w:rsid w:val="008903D9"/>
    <w:rsid w:val="00CE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591B0-F6C7-4445-9550-A362B660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5A0"/>
    <w:pPr>
      <w:spacing w:after="200" w:line="276" w:lineRule="auto"/>
    </w:pPr>
    <w:rPr>
      <w:rFonts w:asciiTheme="minorHAnsi" w:hAnsiTheme="minorHAnsi"/>
      <w:sz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805A0"/>
    <w:pPr>
      <w:keepNext/>
      <w:keepLines/>
      <w:spacing w:after="0" w:line="480" w:lineRule="auto"/>
      <w:outlineLvl w:val="2"/>
    </w:pPr>
    <w:rPr>
      <w:rFonts w:ascii="Times New Roman" w:eastAsiaTheme="majorEastAsia" w:hAnsi="Times New Roman" w:cstheme="majorBidi"/>
      <w:bCs/>
      <w:i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05A0"/>
    <w:rPr>
      <w:rFonts w:eastAsiaTheme="majorEastAsia" w:cstheme="majorBidi"/>
      <w:bCs/>
      <w:i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Bommaraju, Raghu R [MKT]</dc:creator>
  <cp:keywords/>
  <dc:description/>
  <cp:lastModifiedBy>Bommaraju, Raghu R [MKT]</cp:lastModifiedBy>
  <cp:revision>1</cp:revision>
  <dcterms:created xsi:type="dcterms:W3CDTF">2018-08-02T14:32:00Z</dcterms:created>
  <dcterms:modified xsi:type="dcterms:W3CDTF">2018-08-02T14:33:00Z</dcterms:modified>
</cp:coreProperties>
</file>