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85F" w:rsidRPr="00631F3A" w:rsidRDefault="00CF5FA0" w:rsidP="00853D55">
      <w:pPr>
        <w:pStyle w:val="a"/>
        <w:spacing w:line="480" w:lineRule="auto"/>
        <w:rPr>
          <w:b/>
        </w:rPr>
      </w:pPr>
      <w:bookmarkStart w:id="0" w:name="_GoBack"/>
      <w:bookmarkEnd w:id="0"/>
      <w:r w:rsidRPr="00631F3A">
        <w:rPr>
          <w:b/>
        </w:rPr>
        <w:t>Material</w:t>
      </w:r>
      <w:r w:rsidR="00686018" w:rsidRPr="00631F3A">
        <w:rPr>
          <w:b/>
        </w:rPr>
        <w:t>s</w:t>
      </w:r>
      <w:r w:rsidRPr="00631F3A">
        <w:rPr>
          <w:b/>
        </w:rPr>
        <w:t xml:space="preserve"> and M</w:t>
      </w:r>
      <w:r w:rsidR="005308FF" w:rsidRPr="00631F3A">
        <w:rPr>
          <w:b/>
        </w:rPr>
        <w:t>e</w:t>
      </w:r>
      <w:r w:rsidRPr="00631F3A">
        <w:rPr>
          <w:b/>
        </w:rPr>
        <w:t>thods</w:t>
      </w:r>
    </w:p>
    <w:p w:rsidR="00CF5FA0" w:rsidRDefault="00CF5FA0" w:rsidP="00853D55">
      <w:pPr>
        <w:pStyle w:val="a"/>
        <w:spacing w:line="480" w:lineRule="auto"/>
      </w:pPr>
    </w:p>
    <w:p w:rsidR="00600A3A" w:rsidRPr="00600A3A" w:rsidRDefault="00600A3A" w:rsidP="00853D55">
      <w:pPr>
        <w:pStyle w:val="a"/>
        <w:spacing w:line="480" w:lineRule="auto"/>
      </w:pPr>
      <w:r>
        <w:rPr>
          <w:rFonts w:hint="eastAsia"/>
        </w:rPr>
        <w:t>Safety test</w:t>
      </w:r>
    </w:p>
    <w:p w:rsidR="00C5485F" w:rsidRPr="00631F3A" w:rsidRDefault="00C5485F" w:rsidP="00853D55">
      <w:pPr>
        <w:spacing w:line="480" w:lineRule="auto"/>
        <w:rPr>
          <w:rFonts w:ascii="Times New Roman" w:hAnsi="Times New Roman" w:cs="Times New Roman"/>
          <w:b/>
          <w:szCs w:val="21"/>
        </w:rPr>
      </w:pPr>
      <w:bookmarkStart w:id="1" w:name="_Toc474759203"/>
      <w:r w:rsidRPr="00631F3A">
        <w:rPr>
          <w:rFonts w:ascii="Times New Roman" w:hAnsi="Times New Roman" w:cs="Times New Roman"/>
          <w:b/>
          <w:szCs w:val="21"/>
        </w:rPr>
        <w:t>Body weight measurement</w:t>
      </w:r>
      <w:bookmarkEnd w:id="1"/>
    </w:p>
    <w:p w:rsidR="00C5485F" w:rsidRPr="00631F3A" w:rsidRDefault="00C5485F" w:rsidP="00853D55">
      <w:pPr>
        <w:pStyle w:val="a"/>
        <w:spacing w:line="480" w:lineRule="auto"/>
      </w:pPr>
      <w:r w:rsidRPr="00631F3A">
        <w:t>Body weight was measured before administration</w:t>
      </w:r>
      <w:r w:rsidR="00F34CA8" w:rsidRPr="00631F3A">
        <w:t xml:space="preserve"> </w:t>
      </w:r>
      <w:r w:rsidRPr="00631F3A">
        <w:t xml:space="preserve">at </w:t>
      </w:r>
      <w:r w:rsidR="00F34CA8" w:rsidRPr="00631F3A">
        <w:t xml:space="preserve">the day of </w:t>
      </w:r>
      <w:r w:rsidRPr="00631F3A">
        <w:t>administration</w:t>
      </w:r>
      <w:r w:rsidR="00FC49DC" w:rsidRPr="00631F3A">
        <w:t xml:space="preserve"> (body weight at the time of grouping), </w:t>
      </w:r>
      <w:r w:rsidR="00F34CA8" w:rsidRPr="00631F3A">
        <w:t xml:space="preserve">at </w:t>
      </w:r>
      <w:r w:rsidRPr="00631F3A">
        <w:t xml:space="preserve">1, 4, 7, 11, 14, 18, 21, 25, 28, 32, 35, 39, 42, 46, 49, 53, and 56 days after administration. </w:t>
      </w:r>
    </w:p>
    <w:p w:rsidR="00C5485F" w:rsidRPr="00631F3A" w:rsidRDefault="00C5485F" w:rsidP="00853D55">
      <w:pPr>
        <w:pStyle w:val="a"/>
        <w:spacing w:line="480" w:lineRule="auto"/>
      </w:pPr>
    </w:p>
    <w:p w:rsidR="00C5485F" w:rsidRPr="00631F3A" w:rsidRDefault="00C5485F" w:rsidP="00853D55">
      <w:pPr>
        <w:spacing w:line="480" w:lineRule="auto"/>
        <w:rPr>
          <w:rFonts w:ascii="Times New Roman" w:hAnsi="Times New Roman" w:cs="Times New Roman"/>
          <w:b/>
          <w:szCs w:val="21"/>
        </w:rPr>
      </w:pPr>
      <w:bookmarkStart w:id="2" w:name="_Toc474759204"/>
      <w:r w:rsidRPr="00631F3A">
        <w:rPr>
          <w:rFonts w:ascii="Times New Roman" w:hAnsi="Times New Roman" w:cs="Times New Roman"/>
          <w:b/>
          <w:szCs w:val="21"/>
        </w:rPr>
        <w:t>Food consumption measurement</w:t>
      </w:r>
      <w:bookmarkEnd w:id="2"/>
    </w:p>
    <w:p w:rsidR="00C5485F" w:rsidRPr="00631F3A" w:rsidRDefault="00C5485F" w:rsidP="00853D55">
      <w:pPr>
        <w:pStyle w:val="1"/>
        <w:spacing w:line="480" w:lineRule="auto"/>
        <w:ind w:firstLine="0"/>
      </w:pPr>
      <w:r w:rsidRPr="00631F3A">
        <w:t xml:space="preserve">Food consumption was measured in periods between the </w:t>
      </w:r>
      <w:r w:rsidR="00F0671C" w:rsidRPr="00631F3A">
        <w:t xml:space="preserve">day of </w:t>
      </w:r>
      <w:r w:rsidRPr="00631F3A">
        <w:t xml:space="preserve">administration (feed amount) and day 1 (remaining amount), </w:t>
      </w:r>
      <w:r w:rsidR="00FC49DC" w:rsidRPr="00631F3A">
        <w:t xml:space="preserve">between day </w:t>
      </w:r>
      <w:r w:rsidRPr="00631F3A">
        <w:t>7</w:t>
      </w:r>
      <w:r w:rsidR="00060CE4" w:rsidRPr="00631F3A">
        <w:t xml:space="preserve"> (feed amount)</w:t>
      </w:r>
      <w:r w:rsidR="00FC49DC" w:rsidRPr="00631F3A">
        <w:t xml:space="preserve"> and day</w:t>
      </w:r>
      <w:r w:rsidRPr="00631F3A">
        <w:t xml:space="preserve"> 8</w:t>
      </w:r>
      <w:r w:rsidR="00060CE4" w:rsidRPr="00631F3A">
        <w:t xml:space="preserve"> (remaining amount)</w:t>
      </w:r>
      <w:r w:rsidRPr="00631F3A">
        <w:t xml:space="preserve">, </w:t>
      </w:r>
      <w:r w:rsidR="00FC49DC" w:rsidRPr="00631F3A">
        <w:t xml:space="preserve">between day </w:t>
      </w:r>
      <w:r w:rsidRPr="00631F3A">
        <w:t>14</w:t>
      </w:r>
      <w:r w:rsidR="00060CE4" w:rsidRPr="00631F3A">
        <w:t xml:space="preserve"> (feed amount)</w:t>
      </w:r>
      <w:r w:rsidR="00FC49DC" w:rsidRPr="00631F3A">
        <w:t xml:space="preserve"> and day</w:t>
      </w:r>
      <w:r w:rsidRPr="00631F3A">
        <w:t xml:space="preserve"> 15</w:t>
      </w:r>
      <w:r w:rsidR="00060CE4" w:rsidRPr="00631F3A">
        <w:t xml:space="preserve"> (remaining amount)</w:t>
      </w:r>
      <w:r w:rsidRPr="00631F3A">
        <w:t xml:space="preserve">, </w:t>
      </w:r>
      <w:r w:rsidR="00FC49DC" w:rsidRPr="00631F3A">
        <w:t xml:space="preserve">between day </w:t>
      </w:r>
      <w:r w:rsidRPr="00631F3A">
        <w:t>21</w:t>
      </w:r>
      <w:r w:rsidR="00060CE4" w:rsidRPr="00631F3A">
        <w:t xml:space="preserve"> (feed amount)</w:t>
      </w:r>
      <w:r w:rsidR="00FC49DC" w:rsidRPr="00631F3A">
        <w:t xml:space="preserve"> and day</w:t>
      </w:r>
      <w:r w:rsidR="00F0671C" w:rsidRPr="00631F3A">
        <w:t xml:space="preserve"> </w:t>
      </w:r>
      <w:r w:rsidRPr="00631F3A">
        <w:t>22</w:t>
      </w:r>
      <w:r w:rsidR="00060CE4" w:rsidRPr="00631F3A">
        <w:t xml:space="preserve"> (remaining amount)</w:t>
      </w:r>
      <w:r w:rsidRPr="00631F3A">
        <w:t xml:space="preserve">, </w:t>
      </w:r>
      <w:r w:rsidR="00FC49DC" w:rsidRPr="00631F3A">
        <w:t xml:space="preserve">between day </w:t>
      </w:r>
      <w:r w:rsidRPr="00631F3A">
        <w:t>28</w:t>
      </w:r>
      <w:r w:rsidR="00060CE4" w:rsidRPr="00631F3A">
        <w:t xml:space="preserve"> (feed amount)</w:t>
      </w:r>
      <w:r w:rsidR="00FC49DC" w:rsidRPr="00631F3A">
        <w:t xml:space="preserve"> and</w:t>
      </w:r>
      <w:r w:rsidRPr="00631F3A">
        <w:t xml:space="preserve"> 29</w:t>
      </w:r>
      <w:r w:rsidR="00060CE4" w:rsidRPr="00631F3A">
        <w:t xml:space="preserve"> (remaining amount)</w:t>
      </w:r>
      <w:r w:rsidRPr="00631F3A">
        <w:t xml:space="preserve">, </w:t>
      </w:r>
      <w:r w:rsidR="00FC49DC" w:rsidRPr="00631F3A">
        <w:t xml:space="preserve">between day </w:t>
      </w:r>
      <w:r w:rsidRPr="00631F3A">
        <w:t>35</w:t>
      </w:r>
      <w:r w:rsidR="00060CE4" w:rsidRPr="00631F3A">
        <w:t xml:space="preserve"> (feed amount)</w:t>
      </w:r>
      <w:r w:rsidR="00FC49DC" w:rsidRPr="00631F3A">
        <w:t xml:space="preserve"> and</w:t>
      </w:r>
      <w:r w:rsidRPr="00631F3A">
        <w:t xml:space="preserve"> 36</w:t>
      </w:r>
      <w:r w:rsidR="00060CE4" w:rsidRPr="00631F3A">
        <w:t xml:space="preserve"> (remaining amount)</w:t>
      </w:r>
      <w:r w:rsidRPr="00631F3A">
        <w:t xml:space="preserve">, </w:t>
      </w:r>
      <w:r w:rsidR="00FC49DC" w:rsidRPr="00631F3A">
        <w:t xml:space="preserve">between day </w:t>
      </w:r>
      <w:r w:rsidRPr="00631F3A">
        <w:t>42</w:t>
      </w:r>
      <w:r w:rsidR="00060CE4" w:rsidRPr="00631F3A">
        <w:t xml:space="preserve"> (feed amount)</w:t>
      </w:r>
      <w:r w:rsidR="00FC49DC" w:rsidRPr="00631F3A">
        <w:t xml:space="preserve"> and</w:t>
      </w:r>
      <w:r w:rsidRPr="00631F3A">
        <w:t xml:space="preserve"> 43</w:t>
      </w:r>
      <w:r w:rsidR="00060CE4" w:rsidRPr="00631F3A">
        <w:t xml:space="preserve"> (remaining amount)</w:t>
      </w:r>
      <w:r w:rsidRPr="00631F3A">
        <w:t xml:space="preserve">, </w:t>
      </w:r>
      <w:r w:rsidR="00FC49DC" w:rsidRPr="00631F3A">
        <w:t xml:space="preserve">and between day </w:t>
      </w:r>
      <w:r w:rsidRPr="00631F3A">
        <w:t>49</w:t>
      </w:r>
      <w:r w:rsidR="00060CE4" w:rsidRPr="00631F3A">
        <w:t xml:space="preserve"> (feed amount)</w:t>
      </w:r>
      <w:r w:rsidRPr="00631F3A">
        <w:t xml:space="preserve"> and day 50 </w:t>
      </w:r>
      <w:r w:rsidR="00060CE4" w:rsidRPr="00631F3A">
        <w:t>(remaining amount)</w:t>
      </w:r>
      <w:r w:rsidR="005A3D12" w:rsidRPr="00631F3A">
        <w:t>;</w:t>
      </w:r>
      <w:r w:rsidRPr="00631F3A">
        <w:t xml:space="preserve"> daily amount was calculated. Food consumption </w:t>
      </w:r>
      <w:r w:rsidR="005A3D12" w:rsidRPr="00631F3A">
        <w:t xml:space="preserve">by </w:t>
      </w:r>
      <w:r w:rsidRPr="00631F3A">
        <w:t xml:space="preserve">female mice was calculated by dividing the total consumption amount in each cage by the number of mice in the cage. </w:t>
      </w:r>
      <w:r w:rsidR="005A3D12" w:rsidRPr="00631F3A">
        <w:t>F</w:t>
      </w:r>
      <w:r w:rsidRPr="00631F3A">
        <w:t>ood consumption</w:t>
      </w:r>
      <w:r w:rsidR="005A3D12" w:rsidRPr="00631F3A">
        <w:t>,</w:t>
      </w:r>
      <w:r w:rsidRPr="00631F3A">
        <w:t xml:space="preserve"> presented in figures</w:t>
      </w:r>
      <w:r w:rsidR="005A3D12" w:rsidRPr="00631F3A">
        <w:t>,</w:t>
      </w:r>
      <w:r w:rsidRPr="00631F3A">
        <w:t xml:space="preserve"> is the amount </w:t>
      </w:r>
      <w:r w:rsidR="003C0955" w:rsidRPr="00631F3A">
        <w:t xml:space="preserve">remaining </w:t>
      </w:r>
      <w:r w:rsidRPr="00631F3A">
        <w:t xml:space="preserve">on measurement day. </w:t>
      </w:r>
    </w:p>
    <w:p w:rsidR="00C5485F" w:rsidRPr="00631F3A" w:rsidRDefault="00C5485F" w:rsidP="00853D55">
      <w:pPr>
        <w:pStyle w:val="a"/>
        <w:spacing w:line="480" w:lineRule="auto"/>
      </w:pPr>
    </w:p>
    <w:p w:rsidR="00C5485F" w:rsidRPr="00631F3A" w:rsidRDefault="00C5485F" w:rsidP="00853D55">
      <w:pPr>
        <w:spacing w:line="480" w:lineRule="auto"/>
        <w:rPr>
          <w:rFonts w:ascii="Times New Roman" w:hAnsi="Times New Roman" w:cs="Times New Roman"/>
          <w:b/>
          <w:szCs w:val="21"/>
        </w:rPr>
      </w:pPr>
      <w:bookmarkStart w:id="3" w:name="_Toc474759205"/>
      <w:r w:rsidRPr="00631F3A">
        <w:rPr>
          <w:rFonts w:ascii="Times New Roman" w:hAnsi="Times New Roman" w:cs="Times New Roman"/>
          <w:b/>
          <w:szCs w:val="21"/>
        </w:rPr>
        <w:t>Urinalysis</w:t>
      </w:r>
      <w:bookmarkEnd w:id="3"/>
    </w:p>
    <w:p w:rsidR="00935C0C" w:rsidRPr="00631F3A" w:rsidRDefault="00B00092" w:rsidP="00853D55">
      <w:pPr>
        <w:pStyle w:val="1"/>
        <w:spacing w:line="480" w:lineRule="auto"/>
        <w:ind w:firstLine="0"/>
      </w:pPr>
      <w:r w:rsidRPr="00631F3A">
        <w:t>U</w:t>
      </w:r>
      <w:r w:rsidR="00C5485F" w:rsidRPr="00631F3A">
        <w:t xml:space="preserve">rinalysis was performed the day before the </w:t>
      </w:r>
      <w:r w:rsidR="002507BE" w:rsidRPr="00631F3A">
        <w:t xml:space="preserve">day of the </w:t>
      </w:r>
      <w:r w:rsidR="00F2761F" w:rsidRPr="00631F3A">
        <w:t>necropsy</w:t>
      </w:r>
      <w:r w:rsidR="00C5485F" w:rsidRPr="00631F3A">
        <w:t>. Fresh urine was collected from all surviving mice</w:t>
      </w:r>
      <w:r w:rsidR="002507BE" w:rsidRPr="00631F3A">
        <w:t>,</w:t>
      </w:r>
      <w:r w:rsidR="00C5485F" w:rsidRPr="00631F3A">
        <w:t xml:space="preserve"> supplied with water in a fasting state</w:t>
      </w:r>
      <w:r w:rsidR="002507BE" w:rsidRPr="00631F3A">
        <w:t>,</w:t>
      </w:r>
      <w:r w:rsidR="00C5485F" w:rsidRPr="00631F3A">
        <w:t xml:space="preserve"> by using urine collection cages</w:t>
      </w:r>
      <w:r w:rsidR="002507BE" w:rsidRPr="00631F3A">
        <w:t>;</w:t>
      </w:r>
      <w:r w:rsidR="00C5485F" w:rsidRPr="00631F3A">
        <w:t xml:space="preserve"> the following tests</w:t>
      </w:r>
      <w:r w:rsidR="00826885" w:rsidRPr="00631F3A">
        <w:t xml:space="preserve"> of Table S1</w:t>
      </w:r>
      <w:r w:rsidR="00C5485F" w:rsidRPr="00631F3A">
        <w:t xml:space="preserve"> were performed. </w:t>
      </w:r>
      <w:r w:rsidR="00C5485F" w:rsidRPr="00631F3A">
        <w:lastRenderedPageBreak/>
        <w:t xml:space="preserve">Urine samples </w:t>
      </w:r>
      <w:r w:rsidR="002507BE" w:rsidRPr="00631F3A">
        <w:t xml:space="preserve">were discarded </w:t>
      </w:r>
      <w:r w:rsidR="00C5485F" w:rsidRPr="00631F3A">
        <w:t>after measurement. If fresh urine could not be collected, it was collected on the following day (</w:t>
      </w:r>
      <w:r w:rsidR="00F2761F" w:rsidRPr="00631F3A">
        <w:t>necropsy</w:t>
      </w:r>
      <w:r w:rsidR="00C5485F" w:rsidRPr="00631F3A">
        <w:t xml:space="preserve"> day). </w:t>
      </w:r>
    </w:p>
    <w:p w:rsidR="00826885" w:rsidRPr="00631F3A" w:rsidRDefault="00826885" w:rsidP="00853D55">
      <w:pPr>
        <w:spacing w:line="480" w:lineRule="auto"/>
        <w:rPr>
          <w:rFonts w:ascii="Times New Roman" w:hAnsi="Times New Roman" w:cs="Times New Roman"/>
          <w:szCs w:val="21"/>
        </w:rPr>
      </w:pPr>
      <w:bookmarkStart w:id="4" w:name="_Toc474759206"/>
    </w:p>
    <w:p w:rsidR="00C5485F" w:rsidRPr="00631F3A" w:rsidRDefault="00F46F59" w:rsidP="00853D55">
      <w:pPr>
        <w:spacing w:line="480" w:lineRule="auto"/>
        <w:rPr>
          <w:rFonts w:ascii="Times New Roman" w:hAnsi="Times New Roman" w:cs="Times New Roman"/>
          <w:b/>
          <w:szCs w:val="21"/>
        </w:rPr>
      </w:pPr>
      <w:r w:rsidRPr="00631F3A">
        <w:rPr>
          <w:rFonts w:ascii="Times New Roman" w:hAnsi="Times New Roman" w:cs="Times New Roman"/>
          <w:b/>
          <w:szCs w:val="21"/>
        </w:rPr>
        <w:t>H</w:t>
      </w:r>
      <w:r w:rsidR="00C5485F" w:rsidRPr="00631F3A">
        <w:rPr>
          <w:rFonts w:ascii="Times New Roman" w:hAnsi="Times New Roman" w:cs="Times New Roman"/>
          <w:b/>
          <w:szCs w:val="21"/>
        </w:rPr>
        <w:t>ematology test</w:t>
      </w:r>
      <w:bookmarkEnd w:id="4"/>
    </w:p>
    <w:p w:rsidR="00C5485F" w:rsidRPr="00631F3A" w:rsidRDefault="00C5485F" w:rsidP="00853D55">
      <w:pPr>
        <w:pStyle w:val="1"/>
        <w:spacing w:line="480" w:lineRule="auto"/>
        <w:ind w:firstLine="0"/>
      </w:pPr>
      <w:r w:rsidRPr="00631F3A">
        <w:t xml:space="preserve">On </w:t>
      </w:r>
      <w:r w:rsidR="00F2761F" w:rsidRPr="00631F3A">
        <w:t>necropsy</w:t>
      </w:r>
      <w:r w:rsidRPr="00631F3A">
        <w:t xml:space="preserve"> day, blood was collected from mice via the abdominal aorta</w:t>
      </w:r>
      <w:r w:rsidR="000A20B5" w:rsidRPr="00631F3A">
        <w:t>,</w:t>
      </w:r>
      <w:r w:rsidRPr="00631F3A">
        <w:t xml:space="preserve"> under anesthesia with isoflurane</w:t>
      </w:r>
      <w:r w:rsidR="000A20B5" w:rsidRPr="00631F3A">
        <w:t>,</w:t>
      </w:r>
      <w:r w:rsidRPr="00631F3A">
        <w:t xml:space="preserve"> using a 1-mL polypropylene disposal syringe (Terumo Corporation</w:t>
      </w:r>
      <w:r w:rsidR="007F61EA" w:rsidRPr="00631F3A">
        <w:rPr>
          <w:rFonts w:hint="eastAsia"/>
        </w:rPr>
        <w:t>, Tokyo, Japan</w:t>
      </w:r>
      <w:r w:rsidRPr="00631F3A">
        <w:t>) and a 23G syringe needle (Terumo Corporation</w:t>
      </w:r>
      <w:r w:rsidR="00F46F59" w:rsidRPr="00631F3A">
        <w:t>) treated with heparin (heparin</w:t>
      </w:r>
      <w:r w:rsidRPr="00631F3A">
        <w:t xml:space="preserve"> sodium injection, Japanese Pharmacopoeia compliant, Mochida Pharmaceutical Co., Ltd.</w:t>
      </w:r>
      <w:r w:rsidR="007F61EA" w:rsidRPr="00631F3A">
        <w:rPr>
          <w:rFonts w:hint="eastAsia"/>
        </w:rPr>
        <w:t>, Tokyo, Japan</w:t>
      </w:r>
      <w:r w:rsidRPr="00631F3A">
        <w:t>). Approximately 150 µL of collected blood was placed in an EDTA-2K</w:t>
      </w:r>
      <w:r w:rsidR="000A20B5" w:rsidRPr="00631F3A">
        <w:t>-</w:t>
      </w:r>
      <w:r w:rsidRPr="00631F3A">
        <w:t>coated tube (BD Microtainer Blood Collection Tube, Becton, Dickinson and Company Japan</w:t>
      </w:r>
      <w:r w:rsidR="007F61EA" w:rsidRPr="00631F3A">
        <w:rPr>
          <w:rFonts w:hint="eastAsia"/>
        </w:rPr>
        <w:t>, Tokyo, Japan</w:t>
      </w:r>
      <w:r w:rsidRPr="00631F3A">
        <w:t>) and the following tests</w:t>
      </w:r>
      <w:r w:rsidR="00826885" w:rsidRPr="00631F3A">
        <w:t xml:space="preserve"> of Table S2</w:t>
      </w:r>
      <w:r w:rsidRPr="00631F3A">
        <w:t xml:space="preserve"> were performed. Remaining blood was used in blood biochemistry </w:t>
      </w:r>
      <w:r w:rsidR="000A20B5" w:rsidRPr="00631F3A">
        <w:t>assessment</w:t>
      </w:r>
      <w:r w:rsidRPr="00631F3A">
        <w:t xml:space="preserve">. </w:t>
      </w:r>
    </w:p>
    <w:p w:rsidR="00935C0C" w:rsidRPr="00631F3A" w:rsidRDefault="00935C0C" w:rsidP="00853D55">
      <w:pPr>
        <w:spacing w:line="480" w:lineRule="auto"/>
        <w:rPr>
          <w:rFonts w:ascii="Times New Roman" w:hAnsi="Times New Roman" w:cs="Times New Roman"/>
          <w:b/>
          <w:szCs w:val="21"/>
        </w:rPr>
      </w:pPr>
      <w:bookmarkStart w:id="5" w:name="_Toc474759207"/>
    </w:p>
    <w:p w:rsidR="00C5485F" w:rsidRPr="00631F3A" w:rsidRDefault="00C5485F" w:rsidP="00853D55">
      <w:pPr>
        <w:spacing w:line="480" w:lineRule="auto"/>
        <w:rPr>
          <w:rFonts w:ascii="Times New Roman" w:hAnsi="Times New Roman" w:cs="Times New Roman"/>
          <w:b/>
          <w:szCs w:val="21"/>
        </w:rPr>
      </w:pPr>
      <w:r w:rsidRPr="00631F3A">
        <w:rPr>
          <w:rFonts w:ascii="Times New Roman" w:hAnsi="Times New Roman" w:cs="Times New Roman"/>
          <w:b/>
          <w:szCs w:val="21"/>
        </w:rPr>
        <w:t>Blood biochemistry test</w:t>
      </w:r>
      <w:bookmarkEnd w:id="5"/>
    </w:p>
    <w:p w:rsidR="00935C0C" w:rsidRPr="00631F3A" w:rsidRDefault="00C5485F" w:rsidP="00702FC7">
      <w:pPr>
        <w:pStyle w:val="1"/>
        <w:spacing w:line="480" w:lineRule="auto"/>
        <w:ind w:firstLine="0"/>
      </w:pPr>
      <w:r w:rsidRPr="00631F3A">
        <w:t xml:space="preserve">At the </w:t>
      </w:r>
      <w:r w:rsidR="00DD08AC" w:rsidRPr="00631F3A">
        <w:t xml:space="preserve">time of </w:t>
      </w:r>
      <w:r w:rsidRPr="00631F3A">
        <w:t xml:space="preserve">blood collection for </w:t>
      </w:r>
      <w:r w:rsidR="00DD08AC" w:rsidRPr="00631F3A">
        <w:t xml:space="preserve">the </w:t>
      </w:r>
      <w:r w:rsidRPr="00631F3A">
        <w:t>hematology test, heparinized blood</w:t>
      </w:r>
      <w:r w:rsidR="00DD08AC" w:rsidRPr="00631F3A">
        <w:t>,</w:t>
      </w:r>
      <w:r w:rsidRPr="00631F3A">
        <w:t xml:space="preserve"> collected via the abdominal aorta</w:t>
      </w:r>
      <w:r w:rsidR="00DD08AC" w:rsidRPr="00631F3A">
        <w:t>,</w:t>
      </w:r>
      <w:r w:rsidRPr="00631F3A">
        <w:t xml:space="preserve"> was centri</w:t>
      </w:r>
      <w:r w:rsidR="00E8085C" w:rsidRPr="00631F3A">
        <w:t>f</w:t>
      </w:r>
      <w:r w:rsidRPr="00631F3A">
        <w:t>uged (4°C, 2200 × </w:t>
      </w:r>
      <w:r w:rsidRPr="00631F3A">
        <w:rPr>
          <w:i/>
        </w:rPr>
        <w:t>g</w:t>
      </w:r>
      <w:r w:rsidRPr="00631F3A">
        <w:t>, 15 minutes) using a centrifuge (5417R, Eppendorf Co., Ltd.</w:t>
      </w:r>
      <w:r w:rsidR="003E13D1" w:rsidRPr="00631F3A">
        <w:rPr>
          <w:rFonts w:hint="eastAsia"/>
        </w:rPr>
        <w:t>, Tokyo, Japan</w:t>
      </w:r>
      <w:r w:rsidRPr="00631F3A">
        <w:t>) and plasma was collected. The following tests</w:t>
      </w:r>
      <w:r w:rsidR="00826885" w:rsidRPr="00631F3A">
        <w:t xml:space="preserve"> of Table S3</w:t>
      </w:r>
      <w:r w:rsidRPr="00631F3A">
        <w:t xml:space="preserve"> were performed using the plasma sample</w:t>
      </w:r>
      <w:r w:rsidR="00E8085C" w:rsidRPr="00631F3A">
        <w:t>s</w:t>
      </w:r>
      <w:r w:rsidRPr="00631F3A">
        <w:t xml:space="preserve"> obtained. </w:t>
      </w:r>
    </w:p>
    <w:p w:rsidR="00935C0C" w:rsidRPr="00631F3A" w:rsidRDefault="00935C0C" w:rsidP="00853D55">
      <w:pPr>
        <w:pStyle w:val="1"/>
        <w:spacing w:line="480" w:lineRule="auto"/>
        <w:ind w:firstLine="0"/>
      </w:pPr>
    </w:p>
    <w:p w:rsidR="00C5485F" w:rsidRPr="00631F3A" w:rsidRDefault="00F2761F" w:rsidP="00853D55">
      <w:pPr>
        <w:spacing w:line="480" w:lineRule="auto"/>
        <w:rPr>
          <w:rFonts w:ascii="Times New Roman" w:hAnsi="Times New Roman" w:cs="Times New Roman"/>
          <w:b/>
          <w:szCs w:val="21"/>
        </w:rPr>
      </w:pPr>
      <w:r w:rsidRPr="00631F3A">
        <w:rPr>
          <w:rFonts w:ascii="Times New Roman" w:hAnsi="Times New Roman" w:cs="Times New Roman"/>
          <w:b/>
          <w:szCs w:val="21"/>
        </w:rPr>
        <w:t>Necropsy</w:t>
      </w:r>
    </w:p>
    <w:p w:rsidR="00C5485F" w:rsidRPr="00631F3A" w:rsidRDefault="00CF5FA0" w:rsidP="00853D55">
      <w:pPr>
        <w:spacing w:line="480" w:lineRule="auto"/>
        <w:rPr>
          <w:rFonts w:ascii="Times New Roman" w:hAnsi="Times New Roman" w:cs="Times New Roman"/>
          <w:strike/>
          <w:szCs w:val="21"/>
        </w:rPr>
      </w:pPr>
      <w:r w:rsidRPr="00631F3A">
        <w:rPr>
          <w:rFonts w:ascii="Times New Roman" w:hAnsi="Times New Roman" w:cs="Times New Roman"/>
          <w:szCs w:val="21"/>
        </w:rPr>
        <w:t>After blood was collected for hemato</w:t>
      </w:r>
      <w:r w:rsidR="00E8085C" w:rsidRPr="00631F3A">
        <w:rPr>
          <w:rFonts w:ascii="Times New Roman" w:hAnsi="Times New Roman" w:cs="Times New Roman"/>
          <w:szCs w:val="21"/>
        </w:rPr>
        <w:t>l</w:t>
      </w:r>
      <w:r w:rsidRPr="00631F3A">
        <w:rPr>
          <w:rFonts w:ascii="Times New Roman" w:hAnsi="Times New Roman" w:cs="Times New Roman"/>
          <w:szCs w:val="21"/>
        </w:rPr>
        <w:t>ogy and blood biochemistry test</w:t>
      </w:r>
      <w:r w:rsidR="00431573" w:rsidRPr="00631F3A">
        <w:rPr>
          <w:rFonts w:ascii="Times New Roman" w:hAnsi="Times New Roman" w:cs="Times New Roman"/>
          <w:szCs w:val="21"/>
        </w:rPr>
        <w:t>s</w:t>
      </w:r>
      <w:r w:rsidRPr="00631F3A">
        <w:rPr>
          <w:rFonts w:ascii="Times New Roman" w:hAnsi="Times New Roman" w:cs="Times New Roman"/>
          <w:szCs w:val="21"/>
        </w:rPr>
        <w:t>, mice were sacrifi</w:t>
      </w:r>
      <w:r w:rsidR="00E8085C" w:rsidRPr="00631F3A">
        <w:rPr>
          <w:rFonts w:ascii="Times New Roman" w:hAnsi="Times New Roman" w:cs="Times New Roman"/>
          <w:szCs w:val="21"/>
        </w:rPr>
        <w:t>ce</w:t>
      </w:r>
      <w:r w:rsidRPr="00631F3A">
        <w:rPr>
          <w:rFonts w:ascii="Times New Roman" w:hAnsi="Times New Roman" w:cs="Times New Roman"/>
          <w:szCs w:val="21"/>
        </w:rPr>
        <w:t xml:space="preserve">d </w:t>
      </w:r>
      <w:r w:rsidR="00615CF2" w:rsidRPr="00631F3A">
        <w:rPr>
          <w:rFonts w:ascii="Times New Roman" w:hAnsi="Times New Roman" w:cs="Times New Roman"/>
          <w:szCs w:val="21"/>
        </w:rPr>
        <w:t xml:space="preserve">using </w:t>
      </w:r>
      <w:r w:rsidRPr="00631F3A">
        <w:rPr>
          <w:rFonts w:ascii="Times New Roman" w:hAnsi="Times New Roman" w:cs="Times New Roman"/>
          <w:szCs w:val="21"/>
        </w:rPr>
        <w:t>exsanguination, and organs and tissues were macroscopically observed.</w:t>
      </w:r>
      <w:r w:rsidR="00800C5E" w:rsidRPr="00631F3A">
        <w:rPr>
          <w:rFonts w:ascii="Times New Roman" w:hAnsi="Times New Roman" w:cs="Times New Roman"/>
          <w:strike/>
          <w:szCs w:val="21"/>
        </w:rPr>
        <w:t xml:space="preserve"> </w:t>
      </w:r>
    </w:p>
    <w:p w:rsidR="00C5485F" w:rsidRPr="00631F3A" w:rsidRDefault="00C5485F" w:rsidP="00853D55">
      <w:pPr>
        <w:pStyle w:val="a"/>
        <w:spacing w:line="480" w:lineRule="auto"/>
      </w:pPr>
    </w:p>
    <w:p w:rsidR="00C5485F" w:rsidRPr="00631F3A" w:rsidRDefault="00C5485F" w:rsidP="00853D55">
      <w:pPr>
        <w:spacing w:line="480" w:lineRule="auto"/>
        <w:rPr>
          <w:rFonts w:ascii="Times New Roman" w:hAnsi="Times New Roman" w:cs="Times New Roman"/>
          <w:b/>
          <w:szCs w:val="21"/>
        </w:rPr>
      </w:pPr>
      <w:bookmarkStart w:id="6" w:name="_Toc474759209"/>
      <w:r w:rsidRPr="00631F3A">
        <w:rPr>
          <w:rFonts w:ascii="Times New Roman" w:hAnsi="Times New Roman" w:cs="Times New Roman"/>
          <w:b/>
          <w:szCs w:val="21"/>
        </w:rPr>
        <w:lastRenderedPageBreak/>
        <w:t>Organ weight measurement</w:t>
      </w:r>
      <w:bookmarkEnd w:id="6"/>
    </w:p>
    <w:p w:rsidR="00C5485F" w:rsidRPr="00631F3A" w:rsidRDefault="00C5485F" w:rsidP="00853D55">
      <w:pPr>
        <w:pStyle w:val="1"/>
        <w:spacing w:line="480" w:lineRule="auto"/>
        <w:ind w:firstLine="0"/>
      </w:pPr>
      <w:r w:rsidRPr="00631F3A">
        <w:t xml:space="preserve">At the time of </w:t>
      </w:r>
      <w:r w:rsidR="006603FE" w:rsidRPr="00631F3A">
        <w:t xml:space="preserve">the </w:t>
      </w:r>
      <w:r w:rsidR="00F2761F" w:rsidRPr="00631F3A">
        <w:t>necropsy</w:t>
      </w:r>
      <w:r w:rsidRPr="00631F3A">
        <w:t xml:space="preserve">, the weights of the </w:t>
      </w:r>
      <w:r w:rsidR="00461198" w:rsidRPr="00631F3A">
        <w:t xml:space="preserve">following </w:t>
      </w:r>
      <w:r w:rsidRPr="00631F3A">
        <w:t xml:space="preserve">organs </w:t>
      </w:r>
      <w:r w:rsidR="0078231F" w:rsidRPr="00631F3A">
        <w:t xml:space="preserve">were measured for </w:t>
      </w:r>
      <w:r w:rsidRPr="00631F3A">
        <w:t xml:space="preserve">all </w:t>
      </w:r>
      <w:r w:rsidR="00461198" w:rsidRPr="00631F3A">
        <w:t xml:space="preserve">the </w:t>
      </w:r>
      <w:r w:rsidRPr="00631F3A">
        <w:t>surviving mice (electronic balance, AB204, Mettler-Toledo K.K</w:t>
      </w:r>
      <w:r w:rsidR="003E13D1" w:rsidRPr="00631F3A">
        <w:rPr>
          <w:rFonts w:hint="eastAsia"/>
        </w:rPr>
        <w:t>, Tokyo, Japan</w:t>
      </w:r>
      <w:r w:rsidRPr="00631F3A">
        <w:t>.)</w:t>
      </w:r>
      <w:r w:rsidR="00461198" w:rsidRPr="00631F3A">
        <w:t xml:space="preserve">: brain (cerebrum, cerebellum, medulla oblongata), salivary gland (submandibular gland, sublingual gland), lung (including bronchus), heart, liver (including gallbladder), spleen, kidney, adrenal gland, male reproductive organs (testis, epididymis), female reproductive organs (ovary, uterus). </w:t>
      </w:r>
      <w:r w:rsidRPr="00631F3A">
        <w:t>Paired organs were measured tog</w:t>
      </w:r>
      <w:r w:rsidR="00E8085C" w:rsidRPr="00631F3A">
        <w:t>e</w:t>
      </w:r>
      <w:r w:rsidRPr="00631F3A">
        <w:t xml:space="preserve">ther. </w:t>
      </w:r>
      <w:r w:rsidR="0078231F" w:rsidRPr="00631F3A">
        <w:t>First, l</w:t>
      </w:r>
      <w:r w:rsidRPr="00631F3A">
        <w:t>ung weight</w:t>
      </w:r>
      <w:r w:rsidR="0078231F" w:rsidRPr="00631F3A">
        <w:t>, including the trachea,</w:t>
      </w:r>
      <w:r w:rsidRPr="00631F3A">
        <w:t xml:space="preserve"> was measured. </w:t>
      </w:r>
      <w:r w:rsidR="006F3C54" w:rsidRPr="00631F3A">
        <w:t>Then</w:t>
      </w:r>
      <w:r w:rsidRPr="00631F3A">
        <w:t>, the lung was inflated with 20 vol% neutral</w:t>
      </w:r>
      <w:r w:rsidR="00E8085C" w:rsidRPr="00631F3A">
        <w:t xml:space="preserve"> buffered formalin</w:t>
      </w:r>
      <w:r w:rsidR="006F3C54" w:rsidRPr="00631F3A">
        <w:t>.</w:t>
      </w:r>
      <w:r w:rsidR="00E8085C" w:rsidRPr="00631F3A">
        <w:t xml:space="preserve"> </w:t>
      </w:r>
      <w:r w:rsidR="006F3C54" w:rsidRPr="00631F3A">
        <w:t xml:space="preserve">After that, </w:t>
      </w:r>
      <w:r w:rsidR="00E8085C" w:rsidRPr="00631F3A">
        <w:t>the tra</w:t>
      </w:r>
      <w:r w:rsidRPr="00631F3A">
        <w:t xml:space="preserve">chea was resected and measured, and lung weight was obtained by subtracting </w:t>
      </w:r>
      <w:r w:rsidR="006F3C54" w:rsidRPr="00631F3A">
        <w:t>the weight of the trachea</w:t>
      </w:r>
      <w:r w:rsidRPr="00631F3A">
        <w:t xml:space="preserve">. </w:t>
      </w:r>
      <w:r w:rsidR="00E9163C" w:rsidRPr="00631F3A">
        <w:t>O</w:t>
      </w:r>
      <w:r w:rsidRPr="00631F3A">
        <w:t xml:space="preserve">rgan weight ratio (relative weight) was calculated by using the weight </w:t>
      </w:r>
      <w:r w:rsidR="00461198" w:rsidRPr="00631F3A">
        <w:t xml:space="preserve">obtained </w:t>
      </w:r>
      <w:r w:rsidRPr="00631F3A">
        <w:t xml:space="preserve">before </w:t>
      </w:r>
      <w:r w:rsidR="00461198" w:rsidRPr="00631F3A">
        <w:t xml:space="preserve">the </w:t>
      </w:r>
      <w:r w:rsidR="00F2761F" w:rsidRPr="00631F3A">
        <w:t>necropsy</w:t>
      </w:r>
      <w:r w:rsidRPr="00631F3A">
        <w:t xml:space="preserve"> as reference.</w:t>
      </w:r>
      <w:r w:rsidR="000136B8" w:rsidRPr="00631F3A">
        <w:t xml:space="preserve"> </w:t>
      </w:r>
    </w:p>
    <w:p w:rsidR="00C5485F" w:rsidRPr="00631F3A" w:rsidRDefault="00C5485F" w:rsidP="00853D55">
      <w:pPr>
        <w:pStyle w:val="1"/>
        <w:spacing w:line="480" w:lineRule="auto"/>
      </w:pPr>
    </w:p>
    <w:p w:rsidR="00C5485F" w:rsidRPr="00631F3A" w:rsidRDefault="00C5485F" w:rsidP="00853D55">
      <w:pPr>
        <w:spacing w:line="480" w:lineRule="auto"/>
        <w:rPr>
          <w:rFonts w:ascii="Times New Roman" w:hAnsi="Times New Roman" w:cs="Times New Roman"/>
          <w:b/>
          <w:szCs w:val="21"/>
        </w:rPr>
      </w:pPr>
      <w:bookmarkStart w:id="7" w:name="_Toc474759210"/>
      <w:r w:rsidRPr="00631F3A">
        <w:rPr>
          <w:rFonts w:ascii="Times New Roman" w:hAnsi="Times New Roman" w:cs="Times New Roman"/>
          <w:b/>
          <w:szCs w:val="21"/>
        </w:rPr>
        <w:t>Histopathological examination</w:t>
      </w:r>
      <w:bookmarkEnd w:id="7"/>
    </w:p>
    <w:p w:rsidR="00FF5AB3" w:rsidRPr="00631F3A" w:rsidRDefault="00C5485F" w:rsidP="00853D55">
      <w:pPr>
        <w:pStyle w:val="1"/>
        <w:spacing w:line="480" w:lineRule="auto"/>
        <w:ind w:firstLine="0"/>
      </w:pPr>
      <w:r w:rsidRPr="00631F3A">
        <w:t xml:space="preserve">At the time of </w:t>
      </w:r>
      <w:r w:rsidR="009152C0" w:rsidRPr="00631F3A">
        <w:t xml:space="preserve">the </w:t>
      </w:r>
      <w:r w:rsidRPr="00631F3A">
        <w:t>biopsy, the following organs and tissues were fixed in 20 vol%</w:t>
      </w:r>
      <w:r w:rsidR="00E8085C" w:rsidRPr="00631F3A">
        <w:t xml:space="preserve"> </w:t>
      </w:r>
      <w:r w:rsidRPr="00631F3A">
        <w:t>neutral buffered formalin</w:t>
      </w:r>
      <w:r w:rsidR="009152C0" w:rsidRPr="00631F3A">
        <w:t>: Heart, aorta, lung, trachea, liver, gallbladder, pancreas, tongue, salivary gland (sublingual gland, submandibular gland), gastrointestinal tract (esophagus, stomach, duodenum, jejunum, ileum, appendix, colon, rectum), spleen, kidney, urinary bladder, male reproductive organs (testis, epididymis, seminal vesicle), female reproductive organs (ovary, uterus, vagina), mammary gland (female only, when possible), pituitary gland, adrenal gland, thyroid gland, brain (cerebrum, cerebellum, medulla oblongata), spinal cord, eye balls, accessory gland (the Harderian gland), sciatic nerve, rectus femoris muscle, bones a</w:t>
      </w:r>
      <w:r w:rsidR="000570FA" w:rsidRPr="00631F3A">
        <w:t>nd bone marrow (sternum, femur). The</w:t>
      </w:r>
      <w:r w:rsidR="009152C0" w:rsidRPr="00631F3A">
        <w:t xml:space="preserve"> </w:t>
      </w:r>
      <w:r w:rsidR="000570FA" w:rsidRPr="00631F3A">
        <w:t xml:space="preserve">sites of </w:t>
      </w:r>
      <w:r w:rsidR="009152C0" w:rsidRPr="00631F3A">
        <w:t xml:space="preserve">administration </w:t>
      </w:r>
      <w:r w:rsidR="000570FA" w:rsidRPr="00631F3A">
        <w:t>were also measured.</w:t>
      </w:r>
      <w:r w:rsidR="00B653D4" w:rsidRPr="00631F3A">
        <w:t xml:space="preserve"> </w:t>
      </w:r>
      <w:r w:rsidRPr="00631F3A">
        <w:t xml:space="preserve">The lung was fixed after </w:t>
      </w:r>
      <w:r w:rsidR="00D52002" w:rsidRPr="00631F3A">
        <w:t xml:space="preserve">inflation </w:t>
      </w:r>
      <w:r w:rsidRPr="00631F3A">
        <w:t xml:space="preserve">with 20 vol% neutral buffered formalin. </w:t>
      </w:r>
      <w:r w:rsidR="00DD0E98" w:rsidRPr="00631F3A">
        <w:t>T</w:t>
      </w:r>
      <w:r w:rsidR="00E8085C" w:rsidRPr="00631F3A">
        <w:t>he testis and epididym</w:t>
      </w:r>
      <w:r w:rsidRPr="00631F3A">
        <w:t>is were fixed in Bouin</w:t>
      </w:r>
      <w:r w:rsidR="00912A73" w:rsidRPr="00631F3A">
        <w:t>’</w:t>
      </w:r>
      <w:r w:rsidRPr="00631F3A">
        <w:t xml:space="preserve">s solution for 2 to 3 hours and then fixed in 90 vol% alcohol. Eyeballs were fixed in </w:t>
      </w:r>
      <w:r w:rsidRPr="00631F3A">
        <w:lastRenderedPageBreak/>
        <w:t xml:space="preserve">glutaraldehyde formalin overnight and then </w:t>
      </w:r>
      <w:r w:rsidR="00DD0E98" w:rsidRPr="00631F3A">
        <w:t xml:space="preserve">again </w:t>
      </w:r>
      <w:r w:rsidR="00E16630" w:rsidRPr="00631F3A">
        <w:t>fixed in 20 vol% neutral buffer</w:t>
      </w:r>
      <w:r w:rsidRPr="00631F3A">
        <w:t>ed formalin.</w:t>
      </w:r>
      <w:r w:rsidR="00851BE5" w:rsidRPr="00631F3A">
        <w:t xml:space="preserve"> </w:t>
      </w:r>
      <w:r w:rsidR="00586F2D" w:rsidRPr="00631F3A">
        <w:t>Tissues from</w:t>
      </w:r>
      <w:r w:rsidRPr="00631F3A">
        <w:t xml:space="preserve"> the control (physiological saline) and CellSaic groups were embedded in paraffin according to standard method</w:t>
      </w:r>
      <w:r w:rsidR="00586F2D" w:rsidRPr="00631F3A">
        <w:t>;</w:t>
      </w:r>
      <w:r w:rsidRPr="00631F3A">
        <w:t xml:space="preserve"> then H</w:t>
      </w:r>
      <w:r w:rsidR="00586F2D" w:rsidRPr="00631F3A">
        <w:t>&amp;</w:t>
      </w:r>
      <w:r w:rsidRPr="00631F3A">
        <w:t xml:space="preserve">E-stained tissue specimens were prepared and histopathologically examined. </w:t>
      </w:r>
      <w:r w:rsidR="00B8121B" w:rsidRPr="00631F3A">
        <w:t>Because</w:t>
      </w:r>
      <w:r w:rsidRPr="00631F3A">
        <w:t xml:space="preserve"> </w:t>
      </w:r>
      <w:r w:rsidR="00B8121B" w:rsidRPr="00631F3A">
        <w:t xml:space="preserve">a </w:t>
      </w:r>
      <w:r w:rsidRPr="00631F3A">
        <w:t>specimen-like remnant was found at the administration site in the CellSaic group, the administration site</w:t>
      </w:r>
      <w:r w:rsidR="00E5141F" w:rsidRPr="00631F3A">
        <w:t>s</w:t>
      </w:r>
      <w:r w:rsidRPr="00631F3A">
        <w:t xml:space="preserve"> of mice in the control (culture medium) group </w:t>
      </w:r>
      <w:r w:rsidR="00E5141F" w:rsidRPr="00631F3A">
        <w:t xml:space="preserve">were also </w:t>
      </w:r>
      <w:r w:rsidRPr="00631F3A">
        <w:t>histopathologically examined.</w:t>
      </w:r>
      <w:r w:rsidR="00FF5AB3" w:rsidRPr="00631F3A">
        <w:t xml:space="preserve"> Resected organs and tissues were preserved in 10 vol% neutral buffered formalin. </w:t>
      </w:r>
    </w:p>
    <w:p w:rsidR="00E41F5F" w:rsidRPr="00631F3A" w:rsidRDefault="00C5485F" w:rsidP="00853D55">
      <w:pPr>
        <w:pStyle w:val="1"/>
        <w:spacing w:line="480" w:lineRule="auto"/>
      </w:pPr>
      <w:r w:rsidRPr="00631F3A">
        <w:t xml:space="preserve"> </w:t>
      </w:r>
    </w:p>
    <w:p w:rsidR="00C5485F" w:rsidRPr="00631F3A" w:rsidRDefault="00C5485F" w:rsidP="00853D55">
      <w:pPr>
        <w:spacing w:line="480" w:lineRule="auto"/>
        <w:rPr>
          <w:rFonts w:ascii="Times New Roman" w:hAnsi="Times New Roman" w:cs="Times New Roman"/>
          <w:b/>
          <w:szCs w:val="21"/>
        </w:rPr>
      </w:pPr>
      <w:bookmarkStart w:id="8" w:name="_Toc474759211"/>
      <w:r w:rsidRPr="00631F3A">
        <w:rPr>
          <w:rFonts w:ascii="Times New Roman" w:hAnsi="Times New Roman" w:cs="Times New Roman"/>
          <w:b/>
          <w:szCs w:val="21"/>
        </w:rPr>
        <w:t>Statistical method</w:t>
      </w:r>
      <w:bookmarkEnd w:id="8"/>
      <w:r w:rsidR="00092BE3" w:rsidRPr="00631F3A">
        <w:rPr>
          <w:rFonts w:ascii="Times New Roman" w:hAnsi="Times New Roman" w:cs="Times New Roman"/>
          <w:b/>
          <w:szCs w:val="21"/>
        </w:rPr>
        <w:t>s</w:t>
      </w:r>
    </w:p>
    <w:p w:rsidR="00C5485F" w:rsidRPr="00631F3A" w:rsidRDefault="00C5485F" w:rsidP="00853D55">
      <w:pPr>
        <w:pStyle w:val="1"/>
        <w:spacing w:line="480" w:lineRule="auto"/>
        <w:ind w:firstLine="0"/>
      </w:pPr>
      <w:r w:rsidRPr="00631F3A">
        <w:t>Means and standard deviation in each group were calculated for body weight, food consumption, hematology test, blood biochemistry test, and organ weight (i</w:t>
      </w:r>
      <w:r w:rsidR="00E8085C" w:rsidRPr="00631F3A">
        <w:t>n</w:t>
      </w:r>
      <w:r w:rsidRPr="00631F3A">
        <w:t>cluding relative weight). Multiple range test was performed among all groups as significance test. Bartlett</w:t>
      </w:r>
      <w:r w:rsidR="00912A73" w:rsidRPr="00631F3A">
        <w:t>’</w:t>
      </w:r>
      <w:r w:rsidRPr="00631F3A">
        <w:t xml:space="preserve">s test </w:t>
      </w:r>
      <w:r w:rsidR="00D911DD" w:rsidRPr="00631F3A">
        <w:t xml:space="preserve">was performed </w:t>
      </w:r>
      <w:r w:rsidRPr="00631F3A">
        <w:t>for equality of variance</w:t>
      </w:r>
      <w:r w:rsidR="00D911DD" w:rsidRPr="00631F3A">
        <w:t xml:space="preserve">, </w:t>
      </w:r>
      <w:r w:rsidRPr="00631F3A">
        <w:t>and Tukey</w:t>
      </w:r>
      <w:r w:rsidR="006D741D" w:rsidRPr="00631F3A">
        <w:t>’s</w:t>
      </w:r>
      <w:r w:rsidRPr="00631F3A">
        <w:t xml:space="preserve"> test was performed when the vari</w:t>
      </w:r>
      <w:r w:rsidR="00E8085C" w:rsidRPr="00631F3A">
        <w:t>a</w:t>
      </w:r>
      <w:r w:rsidRPr="00631F3A">
        <w:t>nce was homoge</w:t>
      </w:r>
      <w:r w:rsidR="00E8085C" w:rsidRPr="00631F3A">
        <w:t xml:space="preserve">neous. </w:t>
      </w:r>
      <w:r w:rsidR="009A0BB9" w:rsidRPr="00631F3A">
        <w:t>The Steel-Dwass test was performed</w:t>
      </w:r>
      <w:r w:rsidR="009A0BB9" w:rsidRPr="00631F3A" w:rsidDel="000A4E04">
        <w:t xml:space="preserve"> </w:t>
      </w:r>
      <w:r w:rsidR="009A0BB9" w:rsidRPr="00631F3A">
        <w:t xml:space="preserve">when </w:t>
      </w:r>
      <w:r w:rsidR="00E8085C" w:rsidRPr="00631F3A">
        <w:t>varia</w:t>
      </w:r>
      <w:r w:rsidRPr="00631F3A">
        <w:t xml:space="preserve">nce was not homogeneous. A significance test was performed </w:t>
      </w:r>
      <w:r w:rsidR="0040275E" w:rsidRPr="00631F3A">
        <w:t>to compare food consumption between cages of female mice</w:t>
      </w:r>
      <w:r w:rsidRPr="00631F3A">
        <w:t>. The significance level was set at 5</w:t>
      </w:r>
      <w:r w:rsidR="00B83ABC" w:rsidRPr="00631F3A">
        <w:t xml:space="preserve"> </w:t>
      </w:r>
      <w:r w:rsidRPr="00631F3A">
        <w:t xml:space="preserve">%, and the values </w:t>
      </w:r>
      <w:r w:rsidR="00B83ABC" w:rsidRPr="00631F3A">
        <w:t xml:space="preserve">are </w:t>
      </w:r>
      <w:r w:rsidRPr="00631F3A">
        <w:t xml:space="preserve">presented in </w:t>
      </w:r>
      <w:r w:rsidR="00B83ABC" w:rsidRPr="00631F3A">
        <w:t xml:space="preserve">two </w:t>
      </w:r>
      <w:r w:rsidRPr="00631F3A">
        <w:t>groups of less than 5</w:t>
      </w:r>
      <w:r w:rsidR="00B83ABC" w:rsidRPr="00631F3A">
        <w:t xml:space="preserve"> </w:t>
      </w:r>
      <w:r w:rsidRPr="00631F3A">
        <w:t>% (p&lt;0.05) and less than 1</w:t>
      </w:r>
      <w:r w:rsidR="00B83ABC" w:rsidRPr="00631F3A">
        <w:t xml:space="preserve"> </w:t>
      </w:r>
      <w:r w:rsidRPr="00631F3A">
        <w:t>% (p&lt;0.01). No significance test was pe</w:t>
      </w:r>
      <w:r w:rsidR="00E8085C" w:rsidRPr="00631F3A">
        <w:t>r</w:t>
      </w:r>
      <w:r w:rsidRPr="00631F3A">
        <w:t xml:space="preserve">formed for general conditions, urinalysis, </w:t>
      </w:r>
      <w:r w:rsidR="00F2761F" w:rsidRPr="00631F3A">
        <w:t>necropsy</w:t>
      </w:r>
      <w:r w:rsidRPr="00631F3A">
        <w:t xml:space="preserve"> findings, and histopathological examination. </w:t>
      </w:r>
    </w:p>
    <w:p w:rsidR="00C5485F" w:rsidRDefault="00C5485F" w:rsidP="00853D55">
      <w:pPr>
        <w:widowControl/>
        <w:spacing w:line="480" w:lineRule="auto"/>
        <w:jc w:val="left"/>
        <w:rPr>
          <w:rFonts w:ascii="Times New Roman" w:hAnsi="Times New Roman" w:cs="Times New Roman"/>
          <w:color w:val="000000"/>
          <w:szCs w:val="21"/>
        </w:rPr>
      </w:pPr>
    </w:p>
    <w:p w:rsidR="00600A3A" w:rsidRDefault="00600A3A" w:rsidP="00853D55">
      <w:pPr>
        <w:widowControl/>
        <w:spacing w:line="480" w:lineRule="auto"/>
        <w:jc w:val="left"/>
        <w:rPr>
          <w:rFonts w:ascii="Times New Roman" w:hAnsi="Times New Roman" w:cs="Times New Roman"/>
          <w:color w:val="000000"/>
          <w:szCs w:val="21"/>
        </w:rPr>
      </w:pPr>
    </w:p>
    <w:p w:rsidR="00600A3A" w:rsidRDefault="00600A3A" w:rsidP="00600A3A">
      <w:pPr>
        <w:widowControl/>
        <w:spacing w:line="480" w:lineRule="auto"/>
        <w:jc w:val="left"/>
        <w:rPr>
          <w:rFonts w:ascii="Times New Roman" w:hAnsi="Times New Roman" w:cs="Times New Roman"/>
          <w:color w:val="000000"/>
          <w:szCs w:val="21"/>
        </w:rPr>
      </w:pPr>
    </w:p>
    <w:p w:rsidR="00600A3A" w:rsidRPr="00582F20" w:rsidRDefault="00600A3A" w:rsidP="00600A3A">
      <w:pPr>
        <w:spacing w:line="480" w:lineRule="auto"/>
        <w:rPr>
          <w:rFonts w:ascii="Times New Roman" w:eastAsia="MS PGothic" w:hAnsi="Times New Roman" w:cs="Times New Roman"/>
          <w:b/>
        </w:rPr>
      </w:pPr>
      <w:r>
        <w:rPr>
          <w:rFonts w:ascii="Times New Roman" w:eastAsia="MS PGothic" w:hAnsi="Times New Roman" w:cs="Times New Roman" w:hint="eastAsia"/>
          <w:b/>
        </w:rPr>
        <w:t xml:space="preserve">hADSC </w:t>
      </w:r>
      <w:r w:rsidRPr="00582F20">
        <w:rPr>
          <w:rFonts w:ascii="Times New Roman" w:eastAsia="MS PGothic" w:hAnsi="Times New Roman" w:cs="Times New Roman" w:hint="eastAsia"/>
          <w:b/>
        </w:rPr>
        <w:t>CellSaic detection in peritoneal cavity</w:t>
      </w:r>
    </w:p>
    <w:p w:rsidR="00600A3A" w:rsidRDefault="009C06F6" w:rsidP="00600A3A">
      <w:pPr>
        <w:spacing w:line="480" w:lineRule="auto"/>
        <w:jc w:val="left"/>
        <w:rPr>
          <w:rFonts w:ascii="Times New Roman" w:eastAsia="MS PGothic" w:hAnsi="Times New Roman" w:cs="Times New Roman"/>
          <w:szCs w:val="21"/>
        </w:rPr>
      </w:pPr>
      <w:r>
        <w:rPr>
          <w:rFonts w:ascii="Times New Roman" w:eastAsia="MS PGothic" w:hAnsi="Times New Roman" w:cs="Times New Roman" w:hint="eastAsia"/>
        </w:rPr>
        <w:lastRenderedPageBreak/>
        <w:t>For fluorescent labeling of</w:t>
      </w:r>
      <w:r w:rsidR="00600A3A" w:rsidRPr="00582F20">
        <w:rPr>
          <w:rFonts w:ascii="Times New Roman" w:eastAsia="MS PGothic" w:hAnsi="Times New Roman" w:cs="Times New Roman" w:hint="eastAsia"/>
        </w:rPr>
        <w:t xml:space="preserve"> hADSC CellSaic</w:t>
      </w:r>
      <w:r>
        <w:rPr>
          <w:rFonts w:ascii="Times New Roman" w:eastAsia="MS PGothic" w:hAnsi="Times New Roman" w:cs="Times New Roman" w:hint="eastAsia"/>
        </w:rPr>
        <w:t>s</w:t>
      </w:r>
      <w:r w:rsidR="00600A3A" w:rsidRPr="00582F20">
        <w:rPr>
          <w:rFonts w:ascii="Times New Roman" w:eastAsia="MS PGothic" w:hAnsi="Times New Roman" w:cs="Times New Roman" w:hint="eastAsia"/>
        </w:rPr>
        <w:t>, DiR (</w:t>
      </w:r>
      <w:r w:rsidR="00600A3A" w:rsidRPr="00582F20">
        <w:rPr>
          <w:rFonts w:ascii="Times New Roman" w:eastAsia="MS PGothic" w:hAnsi="Times New Roman" w:cs="Times New Roman"/>
        </w:rPr>
        <w:t>D12731</w:t>
      </w:r>
      <w:r w:rsidR="00600A3A" w:rsidRPr="00582F20">
        <w:rPr>
          <w:rFonts w:ascii="Times New Roman" w:eastAsia="MS PGothic" w:hAnsi="Times New Roman" w:cs="Times New Roman" w:hint="eastAsia"/>
        </w:rPr>
        <w:t xml:space="preserve">, </w:t>
      </w:r>
      <w:r w:rsidR="00600A3A" w:rsidRPr="00582F20">
        <w:rPr>
          <w:rFonts w:ascii="Times New Roman" w:eastAsia="MS PGothic" w:hAnsi="Times New Roman" w:cs="Times New Roman"/>
        </w:rPr>
        <w:t>Thermo Fisher Scientific</w:t>
      </w:r>
      <w:r w:rsidR="00600A3A" w:rsidRPr="00582F20">
        <w:rPr>
          <w:rFonts w:ascii="Times New Roman" w:eastAsia="MS PGothic" w:hAnsi="Times New Roman" w:cs="Times New Roman" w:hint="eastAsia"/>
        </w:rPr>
        <w:t>, Tokyo, Japan</w:t>
      </w:r>
      <w:r>
        <w:rPr>
          <w:rFonts w:ascii="Times New Roman" w:eastAsia="MS PGothic" w:hAnsi="Times New Roman" w:cs="Times New Roman" w:hint="eastAsia"/>
        </w:rPr>
        <w:t>) was</w:t>
      </w:r>
      <w:r w:rsidR="00600A3A" w:rsidRPr="00582F20">
        <w:rPr>
          <w:rFonts w:ascii="Times New Roman" w:eastAsia="MS PGothic" w:hAnsi="Times New Roman" w:cs="Times New Roman" w:hint="eastAsia"/>
        </w:rPr>
        <w:t xml:space="preserve"> added to </w:t>
      </w:r>
      <w:r w:rsidR="00600A3A" w:rsidRPr="00582F20">
        <w:rPr>
          <w:rFonts w:ascii="Times New Roman" w:eastAsia="MS PGothic" w:hAnsi="Times New Roman" w:cs="Times New Roman"/>
        </w:rPr>
        <w:t>the incu</w:t>
      </w:r>
      <w:r w:rsidR="00600A3A" w:rsidRPr="00582F20">
        <w:rPr>
          <w:rFonts w:ascii="Times New Roman" w:eastAsia="MS PGothic" w:hAnsi="Times New Roman" w:cs="Times New Roman" w:hint="eastAsia"/>
        </w:rPr>
        <w:t>ba</w:t>
      </w:r>
      <w:r w:rsidR="00600A3A" w:rsidRPr="00582F20">
        <w:rPr>
          <w:rFonts w:ascii="Times New Roman" w:eastAsia="MS PGothic" w:hAnsi="Times New Roman" w:cs="Times New Roman"/>
        </w:rPr>
        <w:t>tion</w:t>
      </w:r>
      <w:r>
        <w:rPr>
          <w:rFonts w:ascii="Times New Roman" w:eastAsia="MS PGothic" w:hAnsi="Times New Roman" w:cs="Times New Roman" w:hint="eastAsia"/>
        </w:rPr>
        <w:t xml:space="preserve"> medium to</w:t>
      </w:r>
      <w:r w:rsidR="00600A3A" w:rsidRPr="00582F20">
        <w:rPr>
          <w:rFonts w:ascii="Times New Roman" w:eastAsia="MS PGothic" w:hAnsi="Times New Roman" w:cs="Times New Roman" w:hint="eastAsia"/>
        </w:rPr>
        <w:t xml:space="preserve"> final </w:t>
      </w:r>
      <w:r w:rsidR="00600A3A" w:rsidRPr="00582F20">
        <w:rPr>
          <w:rFonts w:ascii="Times New Roman" w:eastAsia="MS PGothic" w:hAnsi="Times New Roman" w:cs="Times New Roman"/>
        </w:rPr>
        <w:t>concentrations</w:t>
      </w:r>
      <w:r w:rsidR="00600A3A" w:rsidRPr="00582F20">
        <w:rPr>
          <w:rFonts w:ascii="Times New Roman" w:eastAsia="MS PGothic" w:hAnsi="Times New Roman" w:cs="Times New Roman" w:hint="eastAsia"/>
        </w:rPr>
        <w:t xml:space="preserve"> </w:t>
      </w:r>
      <w:r>
        <w:rPr>
          <w:rFonts w:ascii="Times New Roman" w:eastAsia="MS PGothic" w:hAnsi="Times New Roman" w:cs="Times New Roman" w:hint="eastAsia"/>
        </w:rPr>
        <w:t xml:space="preserve">of </w:t>
      </w:r>
      <w:r w:rsidRPr="00582F20">
        <w:rPr>
          <w:rFonts w:ascii="Times New Roman" w:eastAsia="MS PGothic" w:hAnsi="Times New Roman" w:cs="Times New Roman" w:hint="eastAsia"/>
        </w:rPr>
        <w:t xml:space="preserve">3.5 ug/mL </w:t>
      </w:r>
      <w:r>
        <w:rPr>
          <w:rFonts w:ascii="Times New Roman" w:eastAsia="MS PGothic" w:hAnsi="Times New Roman" w:cs="Times New Roman" w:hint="eastAsia"/>
        </w:rPr>
        <w:t>during</w:t>
      </w:r>
      <w:r w:rsidR="00600A3A" w:rsidRPr="00582F20">
        <w:rPr>
          <w:rFonts w:ascii="Times New Roman" w:eastAsia="MS PGothic" w:hAnsi="Times New Roman" w:cs="Times New Roman" w:hint="eastAsia"/>
        </w:rPr>
        <w:t xml:space="preserve"> CellSaic formation. DiR-labeled CellSaic</w:t>
      </w:r>
      <w:r>
        <w:rPr>
          <w:rFonts w:ascii="Times New Roman" w:eastAsia="MS PGothic" w:hAnsi="Times New Roman" w:cs="Times New Roman" w:hint="eastAsia"/>
        </w:rPr>
        <w:t>s</w:t>
      </w:r>
      <w:r w:rsidR="00600A3A" w:rsidRPr="00582F20">
        <w:rPr>
          <w:rFonts w:ascii="Times New Roman" w:eastAsia="MS PGothic" w:hAnsi="Times New Roman" w:cs="Times New Roman" w:hint="eastAsia"/>
        </w:rPr>
        <w:t xml:space="preserve"> were collected </w:t>
      </w:r>
      <w:r>
        <w:rPr>
          <w:rFonts w:ascii="Times New Roman" w:eastAsia="MS PGothic" w:hAnsi="Times New Roman" w:cs="Times New Roman" w:hint="eastAsia"/>
        </w:rPr>
        <w:t>at 16-24h after DiR addition</w:t>
      </w:r>
      <w:r w:rsidR="00600A3A" w:rsidRPr="00582F20">
        <w:rPr>
          <w:rFonts w:ascii="Times New Roman" w:eastAsia="MS PGothic" w:hAnsi="Times New Roman" w:cs="Times New Roman" w:hint="eastAsia"/>
        </w:rPr>
        <w:t xml:space="preserve"> and intra</w:t>
      </w:r>
      <w:r w:rsidR="00600A3A" w:rsidRPr="00582F20">
        <w:rPr>
          <w:rFonts w:ascii="Times New Roman" w:eastAsia="MS PGothic" w:hAnsi="Times New Roman" w:cs="Times New Roman"/>
        </w:rPr>
        <w:t>peritoneal</w:t>
      </w:r>
      <w:r w:rsidR="00600A3A" w:rsidRPr="00582F20">
        <w:rPr>
          <w:rFonts w:ascii="Times New Roman" w:eastAsia="MS PGothic" w:hAnsi="Times New Roman" w:cs="Times New Roman" w:hint="eastAsia"/>
        </w:rPr>
        <w:t>ly injected to C57BL/6 mice. Cell num</w:t>
      </w:r>
      <w:r>
        <w:rPr>
          <w:rFonts w:ascii="Times New Roman" w:eastAsia="MS PGothic" w:hAnsi="Times New Roman" w:cs="Times New Roman" w:hint="eastAsia"/>
        </w:rPr>
        <w:t>ber and injection methods were same to the efficacy test</w:t>
      </w:r>
      <w:r w:rsidR="00600A3A" w:rsidRPr="00582F20">
        <w:rPr>
          <w:rFonts w:ascii="Times New Roman" w:eastAsia="MS PGothic" w:hAnsi="Times New Roman" w:cs="Times New Roman" w:hint="eastAsia"/>
        </w:rPr>
        <w:t xml:space="preserve"> described in the materials and methods. DiR-labeled CellSaics were detected by </w:t>
      </w:r>
      <w:r w:rsidR="00600A3A" w:rsidRPr="00582F20">
        <w:rPr>
          <w:rFonts w:ascii="Times New Roman" w:eastAsia="MS PGothic" w:hAnsi="Times New Roman" w:cs="Times New Roman"/>
        </w:rPr>
        <w:t>IVIS Imaging System</w:t>
      </w:r>
      <w:r w:rsidR="00600A3A" w:rsidRPr="00582F20">
        <w:rPr>
          <w:rFonts w:ascii="Times New Roman" w:eastAsia="MS PGothic" w:hAnsi="Times New Roman" w:cs="Times New Roman" w:hint="eastAsia"/>
        </w:rPr>
        <w:t xml:space="preserve"> (Perkin elmer) at ex/em 740/790 nm</w:t>
      </w:r>
      <w:r>
        <w:rPr>
          <w:rFonts w:ascii="Times New Roman" w:eastAsia="MS PGothic" w:hAnsi="Times New Roman" w:cs="Times New Roman" w:hint="eastAsia"/>
        </w:rPr>
        <w:t>. Skin and peritoneal muscle of each mouse were</w:t>
      </w:r>
      <w:r>
        <w:rPr>
          <w:rFonts w:ascii="Times New Roman" w:eastAsia="MS PGothic" w:hAnsi="Times New Roman" w:cs="Times New Roman"/>
        </w:rPr>
        <w:t xml:space="preserve"> incis</w:t>
      </w:r>
      <w:r>
        <w:rPr>
          <w:rFonts w:ascii="Times New Roman" w:eastAsia="MS PGothic" w:hAnsi="Times New Roman" w:cs="Times New Roman" w:hint="eastAsia"/>
        </w:rPr>
        <w:t>ed for the detection</w:t>
      </w:r>
      <w:r w:rsidR="00600A3A" w:rsidRPr="00582F20">
        <w:rPr>
          <w:rFonts w:ascii="Times New Roman" w:eastAsia="MS PGothic" w:hAnsi="Times New Roman" w:cs="Times New Roman" w:hint="eastAsia"/>
        </w:rPr>
        <w:t xml:space="preserve"> </w:t>
      </w:r>
      <w:r>
        <w:rPr>
          <w:rFonts w:ascii="Times New Roman" w:eastAsia="MS PGothic" w:hAnsi="Times New Roman" w:cs="Times New Roman" w:hint="eastAsia"/>
        </w:rPr>
        <w:t>at intra abdomen.</w:t>
      </w:r>
    </w:p>
    <w:p w:rsidR="00600A3A" w:rsidRPr="00582F20" w:rsidRDefault="00600A3A" w:rsidP="00600A3A">
      <w:pPr>
        <w:widowControl/>
        <w:spacing w:line="480" w:lineRule="auto"/>
        <w:jc w:val="left"/>
        <w:rPr>
          <w:rFonts w:ascii="Times New Roman" w:hAnsi="Times New Roman" w:cs="Times New Roman"/>
          <w:color w:val="000000"/>
          <w:szCs w:val="21"/>
        </w:rPr>
      </w:pPr>
    </w:p>
    <w:p w:rsidR="00600A3A" w:rsidRPr="00600A3A" w:rsidRDefault="00600A3A" w:rsidP="00853D55">
      <w:pPr>
        <w:widowControl/>
        <w:spacing w:line="480" w:lineRule="auto"/>
        <w:jc w:val="left"/>
        <w:rPr>
          <w:rFonts w:ascii="Times New Roman" w:hAnsi="Times New Roman" w:cs="Times New Roman"/>
          <w:color w:val="000000"/>
          <w:szCs w:val="21"/>
        </w:rPr>
      </w:pPr>
    </w:p>
    <w:p w:rsidR="00880130" w:rsidRPr="00631F3A" w:rsidRDefault="00880130" w:rsidP="00853D55">
      <w:pPr>
        <w:widowControl/>
        <w:spacing w:line="480" w:lineRule="auto"/>
        <w:jc w:val="left"/>
        <w:rPr>
          <w:rFonts w:ascii="Times New Roman" w:hAnsi="Times New Roman" w:cs="Times New Roman"/>
          <w:b/>
          <w:szCs w:val="21"/>
        </w:rPr>
      </w:pPr>
      <w:r w:rsidRPr="00631F3A">
        <w:rPr>
          <w:rFonts w:ascii="Times New Roman" w:hAnsi="Times New Roman" w:cs="Times New Roman"/>
          <w:b/>
          <w:szCs w:val="21"/>
        </w:rPr>
        <w:br w:type="page"/>
      </w:r>
    </w:p>
    <w:p w:rsidR="00C5485F" w:rsidRPr="00631F3A" w:rsidRDefault="00D905F8" w:rsidP="00853D55">
      <w:pPr>
        <w:spacing w:line="480" w:lineRule="auto"/>
        <w:rPr>
          <w:rFonts w:ascii="Times New Roman" w:hAnsi="Times New Roman" w:cs="Times New Roman"/>
          <w:b/>
          <w:szCs w:val="21"/>
        </w:rPr>
      </w:pPr>
      <w:r w:rsidRPr="00631F3A">
        <w:rPr>
          <w:rFonts w:ascii="Times New Roman" w:hAnsi="Times New Roman" w:cs="Times New Roman"/>
          <w:b/>
          <w:szCs w:val="21"/>
        </w:rPr>
        <w:lastRenderedPageBreak/>
        <w:t>Result</w:t>
      </w:r>
      <w:r w:rsidR="008E2A90" w:rsidRPr="00631F3A">
        <w:rPr>
          <w:rFonts w:ascii="Times New Roman" w:hAnsi="Times New Roman" w:cs="Times New Roman"/>
          <w:b/>
          <w:szCs w:val="21"/>
        </w:rPr>
        <w:t>s</w:t>
      </w:r>
    </w:p>
    <w:p w:rsidR="00D905F8" w:rsidRPr="00631F3A" w:rsidRDefault="00D905F8" w:rsidP="00853D55">
      <w:pPr>
        <w:spacing w:line="480" w:lineRule="auto"/>
        <w:rPr>
          <w:rFonts w:ascii="Times New Roman" w:hAnsi="Times New Roman" w:cs="Times New Roman"/>
          <w:szCs w:val="21"/>
        </w:rPr>
      </w:pPr>
    </w:p>
    <w:p w:rsidR="00C5485F" w:rsidRPr="00631F3A" w:rsidRDefault="00C5485F" w:rsidP="00853D55">
      <w:pPr>
        <w:spacing w:line="480" w:lineRule="auto"/>
        <w:rPr>
          <w:rFonts w:ascii="Times New Roman" w:hAnsi="Times New Roman" w:cs="Times New Roman"/>
          <w:b/>
          <w:szCs w:val="21"/>
        </w:rPr>
      </w:pPr>
      <w:bookmarkStart w:id="9" w:name="_Toc474759213"/>
      <w:r w:rsidRPr="00631F3A">
        <w:rPr>
          <w:rFonts w:ascii="Times New Roman" w:hAnsi="Times New Roman" w:cs="Times New Roman"/>
          <w:b/>
          <w:szCs w:val="21"/>
        </w:rPr>
        <w:t>General conditions</w:t>
      </w:r>
      <w:bookmarkEnd w:id="9"/>
    </w:p>
    <w:p w:rsidR="00C5485F" w:rsidRPr="00631F3A" w:rsidRDefault="00FA62BA" w:rsidP="00853D55">
      <w:pPr>
        <w:pStyle w:val="1"/>
        <w:spacing w:line="480" w:lineRule="auto"/>
        <w:ind w:firstLine="0"/>
      </w:pPr>
      <w:r w:rsidRPr="00631F3A">
        <w:t>The g</w:t>
      </w:r>
      <w:r w:rsidR="00C5485F" w:rsidRPr="00631F3A">
        <w:t xml:space="preserve">eneral conditions of male and female mice </w:t>
      </w:r>
      <w:r w:rsidRPr="00631F3A">
        <w:t xml:space="preserve">are </w:t>
      </w:r>
      <w:r w:rsidR="00C5485F" w:rsidRPr="00631F3A">
        <w:t xml:space="preserve">presented in Tables </w:t>
      </w:r>
      <w:r w:rsidR="00834844" w:rsidRPr="00631F3A">
        <w:rPr>
          <w:rFonts w:hint="eastAsia"/>
        </w:rPr>
        <w:t>S4</w:t>
      </w:r>
      <w:r w:rsidR="00834844" w:rsidRPr="00631F3A">
        <w:t xml:space="preserve"> and </w:t>
      </w:r>
      <w:r w:rsidR="00834844" w:rsidRPr="00631F3A">
        <w:rPr>
          <w:rFonts w:hint="eastAsia"/>
        </w:rPr>
        <w:t>S5</w:t>
      </w:r>
      <w:r w:rsidR="00834844" w:rsidRPr="00631F3A">
        <w:t>,</w:t>
      </w:r>
      <w:r w:rsidR="00C5485F" w:rsidRPr="00631F3A">
        <w:t xml:space="preserve"> respectively. Throughout the observation period, </w:t>
      </w:r>
      <w:r w:rsidR="007F1D0D" w:rsidRPr="00631F3A">
        <w:t xml:space="preserve">none of the </w:t>
      </w:r>
      <w:r w:rsidR="00C5485F" w:rsidRPr="00631F3A">
        <w:t xml:space="preserve">female or male </w:t>
      </w:r>
      <w:r w:rsidR="007F1D0D" w:rsidRPr="00631F3A">
        <w:t>mice</w:t>
      </w:r>
      <w:r w:rsidR="00C5485F" w:rsidRPr="00631F3A">
        <w:t xml:space="preserve"> died or </w:t>
      </w:r>
      <w:r w:rsidRPr="00631F3A">
        <w:t xml:space="preserve">were </w:t>
      </w:r>
      <w:r w:rsidR="00C5485F" w:rsidRPr="00631F3A">
        <w:t xml:space="preserve">in a moribund state in all groups. </w:t>
      </w:r>
      <w:bookmarkStart w:id="10" w:name="OLE_LINK15"/>
      <w:bookmarkEnd w:id="10"/>
      <w:r w:rsidR="00C5485F" w:rsidRPr="00631F3A">
        <w:t>In the control (physiological saline) group, nodules were found at the administration site in all 12 mice (both female and male mice) 2 hours after administration</w:t>
      </w:r>
      <w:r w:rsidR="001E00E5" w:rsidRPr="00631F3A">
        <w:t>;</w:t>
      </w:r>
      <w:r w:rsidR="00C5485F" w:rsidRPr="00631F3A">
        <w:t xml:space="preserve"> </w:t>
      </w:r>
      <w:r w:rsidR="00E720F1" w:rsidRPr="00631F3A">
        <w:t xml:space="preserve">these nodules </w:t>
      </w:r>
      <w:r w:rsidR="00C5485F" w:rsidRPr="00631F3A">
        <w:t>disappe</w:t>
      </w:r>
      <w:r w:rsidR="007F1D0D" w:rsidRPr="00631F3A">
        <w:t>a</w:t>
      </w:r>
      <w:r w:rsidR="00C5485F" w:rsidRPr="00631F3A">
        <w:t>red subsequently. No abnormalities were found in general condition</w:t>
      </w:r>
      <w:r w:rsidR="006F1102" w:rsidRPr="00631F3A">
        <w:t xml:space="preserve"> of the</w:t>
      </w:r>
      <w:r w:rsidR="00C5485F" w:rsidRPr="00631F3A">
        <w:t xml:space="preserve"> </w:t>
      </w:r>
      <w:r w:rsidR="006F1102" w:rsidRPr="00631F3A">
        <w:t>mice.</w:t>
      </w:r>
      <w:r w:rsidR="00AF157D" w:rsidRPr="00631F3A">
        <w:t xml:space="preserve"> </w:t>
      </w:r>
      <w:r w:rsidR="00C5485F" w:rsidRPr="00631F3A">
        <w:t>In the control (culture medium) group, nodules were found at the administration site in all 12 mice (both female and male mice) 2 hours after administration</w:t>
      </w:r>
      <w:r w:rsidR="00AF157D" w:rsidRPr="00631F3A">
        <w:t>;</w:t>
      </w:r>
      <w:r w:rsidR="00C5485F" w:rsidRPr="00631F3A">
        <w:t xml:space="preserve"> </w:t>
      </w:r>
      <w:r w:rsidR="00AF157D" w:rsidRPr="00631F3A">
        <w:t>these nodules</w:t>
      </w:r>
      <w:r w:rsidR="00C5485F" w:rsidRPr="00631F3A">
        <w:t xml:space="preserve"> disappe</w:t>
      </w:r>
      <w:r w:rsidR="007F1D0D" w:rsidRPr="00631F3A">
        <w:t>a</w:t>
      </w:r>
      <w:r w:rsidR="00C5485F" w:rsidRPr="00631F3A">
        <w:t xml:space="preserve">red subsequently. No abnormalities were found in </w:t>
      </w:r>
      <w:r w:rsidR="00AF157D" w:rsidRPr="00631F3A">
        <w:t xml:space="preserve">the </w:t>
      </w:r>
      <w:r w:rsidR="00C5485F" w:rsidRPr="00631F3A">
        <w:t>general condition</w:t>
      </w:r>
      <w:r w:rsidR="00AF157D" w:rsidRPr="00631F3A">
        <w:t xml:space="preserve"> of the mice</w:t>
      </w:r>
      <w:r w:rsidR="00C5485F" w:rsidRPr="00631F3A">
        <w:t>. In the CellSaic group, nodules were found at the administration site in all 12 mice (both female and male mice) 2 hou</w:t>
      </w:r>
      <w:r w:rsidR="007F1D0D" w:rsidRPr="00631F3A">
        <w:t>r</w:t>
      </w:r>
      <w:r w:rsidR="00C5485F" w:rsidRPr="00631F3A">
        <w:t xml:space="preserve">s after administration. At days 1 to 10, nodules were </w:t>
      </w:r>
      <w:r w:rsidR="00AF157D" w:rsidRPr="00631F3A">
        <w:t xml:space="preserve">observed </w:t>
      </w:r>
      <w:r w:rsidR="00C5485F" w:rsidRPr="00631F3A">
        <w:t>at the administration site</w:t>
      </w:r>
      <w:r w:rsidR="00AF157D" w:rsidRPr="00631F3A">
        <w:t xml:space="preserve">, </w:t>
      </w:r>
      <w:r w:rsidR="00C5485F" w:rsidRPr="00631F3A">
        <w:t xml:space="preserve">in 3 to 8 male mice and 1 to 4 female mice. The nodules subsequently disappeared, and no abnormalities were </w:t>
      </w:r>
      <w:r w:rsidR="00AF157D" w:rsidRPr="00631F3A">
        <w:t xml:space="preserve">detected </w:t>
      </w:r>
      <w:r w:rsidR="00C5485F" w:rsidRPr="00631F3A">
        <w:t xml:space="preserve">in </w:t>
      </w:r>
      <w:r w:rsidR="00AF157D" w:rsidRPr="00631F3A">
        <w:t xml:space="preserve">the </w:t>
      </w:r>
      <w:r w:rsidR="00C5485F" w:rsidRPr="00631F3A">
        <w:t>general condit</w:t>
      </w:r>
      <w:r w:rsidR="007F1D0D" w:rsidRPr="00631F3A">
        <w:t>i</w:t>
      </w:r>
      <w:r w:rsidR="00C5485F" w:rsidRPr="00631F3A">
        <w:t>on</w:t>
      </w:r>
      <w:r w:rsidR="00AF157D" w:rsidRPr="00631F3A">
        <w:t xml:space="preserve"> of the mice</w:t>
      </w:r>
      <w:r w:rsidR="00C5485F" w:rsidRPr="00631F3A">
        <w:t xml:space="preserve">. </w:t>
      </w:r>
    </w:p>
    <w:p w:rsidR="00C5485F" w:rsidRPr="00631F3A" w:rsidRDefault="00C5485F" w:rsidP="00853D55">
      <w:pPr>
        <w:pStyle w:val="a"/>
        <w:spacing w:line="480" w:lineRule="auto"/>
      </w:pPr>
    </w:p>
    <w:p w:rsidR="00C5485F" w:rsidRPr="00631F3A" w:rsidRDefault="002A12A3" w:rsidP="00853D55">
      <w:pPr>
        <w:spacing w:line="480" w:lineRule="auto"/>
        <w:rPr>
          <w:rFonts w:ascii="Times New Roman" w:hAnsi="Times New Roman" w:cs="Times New Roman"/>
          <w:b/>
          <w:szCs w:val="21"/>
        </w:rPr>
      </w:pPr>
      <w:bookmarkStart w:id="11" w:name="_Toc474759215"/>
      <w:r w:rsidRPr="00631F3A">
        <w:rPr>
          <w:rFonts w:ascii="Times New Roman" w:hAnsi="Times New Roman" w:cs="Times New Roman"/>
          <w:b/>
          <w:szCs w:val="21"/>
        </w:rPr>
        <w:t>Measurement of b</w:t>
      </w:r>
      <w:r w:rsidR="00C5485F" w:rsidRPr="00631F3A">
        <w:rPr>
          <w:rFonts w:ascii="Times New Roman" w:hAnsi="Times New Roman" w:cs="Times New Roman"/>
          <w:b/>
          <w:szCs w:val="21"/>
        </w:rPr>
        <w:t>ody weight</w:t>
      </w:r>
      <w:r w:rsidR="00092BE3" w:rsidRPr="00631F3A">
        <w:rPr>
          <w:rFonts w:ascii="Times New Roman" w:hAnsi="Times New Roman" w:cs="Times New Roman"/>
          <w:b/>
          <w:szCs w:val="21"/>
        </w:rPr>
        <w:t>s</w:t>
      </w:r>
      <w:r w:rsidR="00C5485F" w:rsidRPr="00631F3A">
        <w:rPr>
          <w:rFonts w:ascii="Times New Roman" w:hAnsi="Times New Roman" w:cs="Times New Roman"/>
          <w:b/>
          <w:szCs w:val="21"/>
        </w:rPr>
        <w:t xml:space="preserve"> </w:t>
      </w:r>
      <w:bookmarkEnd w:id="11"/>
    </w:p>
    <w:p w:rsidR="00C5485F" w:rsidRPr="00631F3A" w:rsidRDefault="00C5485F" w:rsidP="00853D55">
      <w:pPr>
        <w:pStyle w:val="1"/>
        <w:spacing w:line="480" w:lineRule="auto"/>
        <w:ind w:firstLine="0"/>
      </w:pPr>
      <w:r w:rsidRPr="00631F3A">
        <w:t>The body weights of male and f</w:t>
      </w:r>
      <w:r w:rsidR="0091404F" w:rsidRPr="00631F3A">
        <w:t>emale mice are presented in Fig</w:t>
      </w:r>
      <w:r w:rsidR="0091404F" w:rsidRPr="00631F3A">
        <w:rPr>
          <w:rFonts w:hint="eastAsia"/>
        </w:rPr>
        <w:t>ure</w:t>
      </w:r>
      <w:r w:rsidRPr="00631F3A">
        <w:t xml:space="preserve"> </w:t>
      </w:r>
      <w:r w:rsidR="00834844" w:rsidRPr="00631F3A">
        <w:rPr>
          <w:rFonts w:hint="eastAsia"/>
        </w:rPr>
        <w:t>S1</w:t>
      </w:r>
      <w:r w:rsidR="00834844" w:rsidRPr="00631F3A">
        <w:t xml:space="preserve"> and </w:t>
      </w:r>
      <w:r w:rsidR="00834844" w:rsidRPr="00631F3A">
        <w:rPr>
          <w:rFonts w:hint="eastAsia"/>
        </w:rPr>
        <w:t>S2</w:t>
      </w:r>
      <w:r w:rsidR="00D70625" w:rsidRPr="00631F3A">
        <w:rPr>
          <w:rFonts w:hint="eastAsia"/>
        </w:rPr>
        <w:t>,</w:t>
      </w:r>
      <w:r w:rsidRPr="00631F3A">
        <w:t xml:space="preserve"> respectively. In female and male mice in all groups, </w:t>
      </w:r>
      <w:r w:rsidR="00915B1C" w:rsidRPr="00631F3A">
        <w:t xml:space="preserve">a decrease in </w:t>
      </w:r>
      <w:r w:rsidRPr="00631F3A">
        <w:t xml:space="preserve">body weight (≥0.4 g) was noted at day 1 </w:t>
      </w:r>
      <w:r w:rsidR="007F1D0D" w:rsidRPr="00631F3A">
        <w:t>as compared with</w:t>
      </w:r>
      <w:r w:rsidR="00915B1C" w:rsidRPr="00631F3A">
        <w:t xml:space="preserve"> that on</w:t>
      </w:r>
      <w:r w:rsidRPr="00631F3A">
        <w:t xml:space="preserve"> the </w:t>
      </w:r>
      <w:r w:rsidR="00915B1C" w:rsidRPr="00631F3A">
        <w:t xml:space="preserve">day of </w:t>
      </w:r>
      <w:r w:rsidRPr="00631F3A">
        <w:t xml:space="preserve">administration; in female mice in the control (physiological saline) group and CellSaic group, </w:t>
      </w:r>
      <w:r w:rsidR="00781813" w:rsidRPr="00631F3A">
        <w:t xml:space="preserve">a decrease in </w:t>
      </w:r>
      <w:r w:rsidRPr="00631F3A">
        <w:t>body weight (≥0.4 g) was noted at day 56 as compared with</w:t>
      </w:r>
      <w:r w:rsidR="00781813" w:rsidRPr="00631F3A">
        <w:t xml:space="preserve"> that on</w:t>
      </w:r>
      <w:r w:rsidRPr="00631F3A">
        <w:t xml:space="preserve"> day 53. On other measurement days, changes were mostly favorable without significant difference</w:t>
      </w:r>
      <w:r w:rsidR="00781813" w:rsidRPr="00631F3A">
        <w:t>s</w:t>
      </w:r>
      <w:r w:rsidRPr="00631F3A">
        <w:t xml:space="preserve"> among </w:t>
      </w:r>
      <w:r w:rsidR="00781813" w:rsidRPr="00631F3A">
        <w:t xml:space="preserve">the </w:t>
      </w:r>
      <w:r w:rsidRPr="00631F3A">
        <w:t xml:space="preserve">groups. </w:t>
      </w:r>
    </w:p>
    <w:p w:rsidR="00C5485F" w:rsidRPr="00631F3A" w:rsidRDefault="00C5485F" w:rsidP="00853D55">
      <w:pPr>
        <w:pStyle w:val="1"/>
        <w:spacing w:line="480" w:lineRule="auto"/>
        <w:ind w:firstLine="0"/>
      </w:pPr>
    </w:p>
    <w:p w:rsidR="00C5485F" w:rsidRPr="00631F3A" w:rsidRDefault="003E5BD9" w:rsidP="00853D55">
      <w:pPr>
        <w:spacing w:line="480" w:lineRule="auto"/>
        <w:rPr>
          <w:rFonts w:ascii="Times New Roman" w:hAnsi="Times New Roman" w:cs="Times New Roman"/>
          <w:b/>
          <w:szCs w:val="21"/>
        </w:rPr>
      </w:pPr>
      <w:bookmarkStart w:id="12" w:name="_Toc474759216"/>
      <w:r w:rsidRPr="00631F3A">
        <w:rPr>
          <w:rFonts w:ascii="Times New Roman" w:hAnsi="Times New Roman" w:cs="Times New Roman"/>
          <w:b/>
          <w:szCs w:val="21"/>
        </w:rPr>
        <w:t>Measurement of f</w:t>
      </w:r>
      <w:r w:rsidR="00C5485F" w:rsidRPr="00631F3A">
        <w:rPr>
          <w:rFonts w:ascii="Times New Roman" w:hAnsi="Times New Roman" w:cs="Times New Roman"/>
          <w:b/>
          <w:szCs w:val="21"/>
        </w:rPr>
        <w:t xml:space="preserve">ood consumption </w:t>
      </w:r>
      <w:bookmarkEnd w:id="12"/>
    </w:p>
    <w:p w:rsidR="00C5485F" w:rsidRPr="00631F3A" w:rsidRDefault="00C5485F" w:rsidP="00853D55">
      <w:pPr>
        <w:pStyle w:val="1"/>
        <w:spacing w:line="480" w:lineRule="auto"/>
        <w:ind w:firstLine="0"/>
      </w:pPr>
      <w:r w:rsidRPr="00631F3A">
        <w:t xml:space="preserve">Food consumption </w:t>
      </w:r>
      <w:r w:rsidR="001A3C9B" w:rsidRPr="00631F3A">
        <w:t xml:space="preserve">by </w:t>
      </w:r>
      <w:r w:rsidRPr="00631F3A">
        <w:t xml:space="preserve">male and female mice </w:t>
      </w:r>
      <w:r w:rsidR="001A3C9B" w:rsidRPr="00631F3A">
        <w:t xml:space="preserve">is </w:t>
      </w:r>
      <w:r w:rsidR="0091404F" w:rsidRPr="00631F3A">
        <w:t>presented in Fig</w:t>
      </w:r>
      <w:r w:rsidR="0091404F" w:rsidRPr="00631F3A">
        <w:rPr>
          <w:rFonts w:hint="eastAsia"/>
        </w:rPr>
        <w:t>ure</w:t>
      </w:r>
      <w:r w:rsidRPr="00631F3A">
        <w:t xml:space="preserve"> </w:t>
      </w:r>
      <w:r w:rsidR="00834844" w:rsidRPr="00631F3A">
        <w:rPr>
          <w:rFonts w:hint="eastAsia"/>
        </w:rPr>
        <w:t>S3</w:t>
      </w:r>
      <w:r w:rsidR="00834844" w:rsidRPr="00631F3A">
        <w:t xml:space="preserve"> and </w:t>
      </w:r>
      <w:r w:rsidR="00834844" w:rsidRPr="00631F3A">
        <w:rPr>
          <w:rFonts w:hint="eastAsia"/>
        </w:rPr>
        <w:t>S4</w:t>
      </w:r>
      <w:r w:rsidR="00D70625" w:rsidRPr="00631F3A">
        <w:rPr>
          <w:rFonts w:hint="eastAsia"/>
        </w:rPr>
        <w:t>,</w:t>
      </w:r>
      <w:r w:rsidRPr="00631F3A">
        <w:t xml:space="preserve"> respectively. In all groups, </w:t>
      </w:r>
      <w:r w:rsidR="001A3C9B" w:rsidRPr="00631F3A">
        <w:t>several</w:t>
      </w:r>
      <w:r w:rsidR="007F1D0D" w:rsidRPr="00631F3A">
        <w:t xml:space="preserve"> male mice </w:t>
      </w:r>
      <w:r w:rsidR="001A3C9B" w:rsidRPr="00631F3A">
        <w:t xml:space="preserve">showed reduced </w:t>
      </w:r>
      <w:r w:rsidR="007F1D0D" w:rsidRPr="00631F3A">
        <w:t>food consu</w:t>
      </w:r>
      <w:r w:rsidRPr="00631F3A">
        <w:t>m</w:t>
      </w:r>
      <w:r w:rsidR="007F1D0D" w:rsidRPr="00631F3A">
        <w:t>p</w:t>
      </w:r>
      <w:r w:rsidRPr="00631F3A">
        <w:t xml:space="preserve">tion between the </w:t>
      </w:r>
      <w:r w:rsidR="001A3C9B" w:rsidRPr="00631F3A">
        <w:t xml:space="preserve">day of </w:t>
      </w:r>
      <w:r w:rsidRPr="00631F3A">
        <w:t xml:space="preserve">administration and day 1 (&lt;1.5 g). In addition, mean food consumption between the </w:t>
      </w:r>
      <w:r w:rsidR="00EF3940" w:rsidRPr="00631F3A">
        <w:t xml:space="preserve">day of </w:t>
      </w:r>
      <w:r w:rsidRPr="00631F3A">
        <w:t>administration and day 1 wa</w:t>
      </w:r>
      <w:r w:rsidR="00AA3D33" w:rsidRPr="00631F3A">
        <w:t>s</w:t>
      </w:r>
      <w:r w:rsidRPr="00631F3A">
        <w:t xml:space="preserve"> </w:t>
      </w:r>
      <w:r w:rsidR="00EF3940" w:rsidRPr="00631F3A">
        <w:t xml:space="preserve">reduced </w:t>
      </w:r>
      <w:r w:rsidRPr="00631F3A">
        <w:t xml:space="preserve">in 3 female mice in the </w:t>
      </w:r>
      <w:r w:rsidR="00EF3940" w:rsidRPr="00631F3A">
        <w:t xml:space="preserve">physiological saline </w:t>
      </w:r>
      <w:r w:rsidRPr="00631F3A">
        <w:t xml:space="preserve">control group and 3 female mice in the </w:t>
      </w:r>
      <w:r w:rsidR="00EF3940" w:rsidRPr="00631F3A">
        <w:t xml:space="preserve">culture medium </w:t>
      </w:r>
      <w:r w:rsidRPr="00631F3A">
        <w:t xml:space="preserve">control group. </w:t>
      </w:r>
      <w:r w:rsidR="00F10AF1" w:rsidRPr="00631F3A">
        <w:t>F</w:t>
      </w:r>
      <w:r w:rsidRPr="00631F3A">
        <w:t>ood consum</w:t>
      </w:r>
      <w:r w:rsidR="00AA3D33" w:rsidRPr="00631F3A">
        <w:t>p</w:t>
      </w:r>
      <w:r w:rsidRPr="00631F3A">
        <w:t xml:space="preserve">tion </w:t>
      </w:r>
      <w:r w:rsidR="00F10AF1" w:rsidRPr="00631F3A">
        <w:t xml:space="preserve">by </w:t>
      </w:r>
      <w:r w:rsidRPr="00631F3A">
        <w:t>male mice in the CellSaic group</w:t>
      </w:r>
      <w:r w:rsidR="00BB352D" w:rsidRPr="00631F3A">
        <w:t>,</w:t>
      </w:r>
      <w:r w:rsidRPr="00631F3A">
        <w:t xml:space="preserve"> between days 14 and 15</w:t>
      </w:r>
      <w:r w:rsidR="00BB352D" w:rsidRPr="00631F3A">
        <w:t>,</w:t>
      </w:r>
      <w:r w:rsidRPr="00631F3A">
        <w:t xml:space="preserve"> was significantly lower than that in the </w:t>
      </w:r>
      <w:r w:rsidR="00BB352D" w:rsidRPr="00631F3A">
        <w:t xml:space="preserve">culture medium </w:t>
      </w:r>
      <w:r w:rsidRPr="00631F3A">
        <w:t>control group. Moreover, food consumption</w:t>
      </w:r>
      <w:r w:rsidR="00323AE5" w:rsidRPr="00631F3A">
        <w:rPr>
          <w:rFonts w:hint="eastAsia"/>
        </w:rPr>
        <w:t xml:space="preserve"> </w:t>
      </w:r>
      <w:r w:rsidR="00323AE5" w:rsidRPr="00631F3A">
        <w:t>by male mice in the CellSaic group,</w:t>
      </w:r>
      <w:r w:rsidRPr="00631F3A">
        <w:t xml:space="preserve"> between day 28 and 29</w:t>
      </w:r>
      <w:r w:rsidR="003E60BB" w:rsidRPr="00631F3A">
        <w:t>,</w:t>
      </w:r>
      <w:r w:rsidRPr="00631F3A">
        <w:t xml:space="preserve"> was significantly lower than that in the </w:t>
      </w:r>
      <w:r w:rsidR="003E60BB" w:rsidRPr="00631F3A">
        <w:t xml:space="preserve">physiological saline </w:t>
      </w:r>
      <w:r w:rsidRPr="00631F3A">
        <w:t xml:space="preserve">control group. On other measurement days, </w:t>
      </w:r>
      <w:r w:rsidR="00734F5F" w:rsidRPr="00631F3A">
        <w:t xml:space="preserve">no significant differences in food consumption were noted </w:t>
      </w:r>
      <w:r w:rsidRPr="00631F3A">
        <w:t xml:space="preserve">for female or male mice in all groups. </w:t>
      </w:r>
    </w:p>
    <w:p w:rsidR="00C5485F" w:rsidRPr="00631F3A" w:rsidRDefault="00C5485F" w:rsidP="00853D55">
      <w:pPr>
        <w:pStyle w:val="1"/>
        <w:spacing w:line="480" w:lineRule="auto"/>
      </w:pPr>
    </w:p>
    <w:p w:rsidR="00C5485F" w:rsidRPr="00631F3A" w:rsidRDefault="00C5485F" w:rsidP="00853D55">
      <w:pPr>
        <w:spacing w:line="480" w:lineRule="auto"/>
        <w:rPr>
          <w:rFonts w:ascii="Times New Roman" w:hAnsi="Times New Roman" w:cs="Times New Roman"/>
          <w:b/>
          <w:szCs w:val="21"/>
        </w:rPr>
      </w:pPr>
      <w:bookmarkStart w:id="13" w:name="_Toc474759217"/>
      <w:r w:rsidRPr="00631F3A">
        <w:rPr>
          <w:rFonts w:ascii="Times New Roman" w:hAnsi="Times New Roman" w:cs="Times New Roman"/>
          <w:b/>
          <w:szCs w:val="21"/>
        </w:rPr>
        <w:t>Urinalysis</w:t>
      </w:r>
      <w:bookmarkEnd w:id="13"/>
    </w:p>
    <w:p w:rsidR="00C5485F" w:rsidRPr="00631F3A" w:rsidRDefault="00C5485F" w:rsidP="00853D55">
      <w:pPr>
        <w:spacing w:line="480" w:lineRule="auto"/>
        <w:rPr>
          <w:rFonts w:ascii="Times New Roman" w:hAnsi="Times New Roman" w:cs="Times New Roman"/>
          <w:szCs w:val="21"/>
        </w:rPr>
      </w:pPr>
      <w:bookmarkStart w:id="14" w:name="_Toc474759218"/>
      <w:r w:rsidRPr="00631F3A">
        <w:rPr>
          <w:rFonts w:ascii="Times New Roman" w:hAnsi="Times New Roman" w:cs="Times New Roman"/>
          <w:szCs w:val="21"/>
        </w:rPr>
        <w:t>Day</w:t>
      </w:r>
      <w:r w:rsidR="00403C63" w:rsidRPr="00631F3A">
        <w:rPr>
          <w:rFonts w:ascii="Times New Roman" w:hAnsi="Times New Roman" w:cs="Times New Roman"/>
          <w:szCs w:val="21"/>
        </w:rPr>
        <w:t>s</w:t>
      </w:r>
      <w:r w:rsidRPr="00631F3A">
        <w:rPr>
          <w:rFonts w:ascii="Times New Roman" w:hAnsi="Times New Roman" w:cs="Times New Roman"/>
          <w:szCs w:val="21"/>
        </w:rPr>
        <w:t xml:space="preserve"> 27 </w:t>
      </w:r>
      <w:r w:rsidR="00403C63" w:rsidRPr="00631F3A">
        <w:rPr>
          <w:rFonts w:ascii="Times New Roman" w:hAnsi="Times New Roman" w:cs="Times New Roman"/>
          <w:szCs w:val="21"/>
        </w:rPr>
        <w:t xml:space="preserve">and </w:t>
      </w:r>
      <w:r w:rsidRPr="00631F3A">
        <w:rPr>
          <w:rFonts w:ascii="Times New Roman" w:hAnsi="Times New Roman" w:cs="Times New Roman"/>
          <w:szCs w:val="21"/>
        </w:rPr>
        <w:t>28</w:t>
      </w:r>
      <w:bookmarkEnd w:id="14"/>
    </w:p>
    <w:p w:rsidR="00C5485F" w:rsidRPr="00631F3A" w:rsidRDefault="007B7AED" w:rsidP="00853D55">
      <w:pPr>
        <w:pStyle w:val="1"/>
        <w:spacing w:line="480" w:lineRule="auto"/>
        <w:ind w:firstLine="0"/>
      </w:pPr>
      <w:r w:rsidRPr="00631F3A">
        <w:t>T</w:t>
      </w:r>
      <w:r w:rsidR="00C5485F" w:rsidRPr="00631F3A">
        <w:t xml:space="preserve">est results </w:t>
      </w:r>
      <w:r w:rsidRPr="00631F3A">
        <w:t xml:space="preserve">for </w:t>
      </w:r>
      <w:r w:rsidR="00C5485F" w:rsidRPr="00631F3A">
        <w:t xml:space="preserve">male and female mice are presented in Tables </w:t>
      </w:r>
      <w:r w:rsidR="00834844" w:rsidRPr="00631F3A">
        <w:rPr>
          <w:rFonts w:hint="eastAsia"/>
        </w:rPr>
        <w:t>S6</w:t>
      </w:r>
      <w:r w:rsidR="00834844" w:rsidRPr="00631F3A">
        <w:t xml:space="preserve"> and </w:t>
      </w:r>
      <w:r w:rsidR="00834844" w:rsidRPr="00631F3A">
        <w:rPr>
          <w:rFonts w:hint="eastAsia"/>
        </w:rPr>
        <w:t>S7</w:t>
      </w:r>
      <w:r w:rsidR="00834844" w:rsidRPr="00631F3A">
        <w:t>,</w:t>
      </w:r>
      <w:r w:rsidR="00C5485F" w:rsidRPr="00631F3A">
        <w:t xml:space="preserve"> respectively. There was nothing noteworthy in female or male mice in all groups. </w:t>
      </w:r>
    </w:p>
    <w:p w:rsidR="00C5485F" w:rsidRPr="00631F3A" w:rsidRDefault="00C5485F" w:rsidP="00853D55">
      <w:pPr>
        <w:spacing w:line="480" w:lineRule="auto"/>
        <w:rPr>
          <w:rFonts w:ascii="Times New Roman" w:hAnsi="Times New Roman" w:cs="Times New Roman"/>
          <w:szCs w:val="21"/>
        </w:rPr>
      </w:pPr>
      <w:bookmarkStart w:id="15" w:name="_Toc474759219"/>
      <w:r w:rsidRPr="00631F3A">
        <w:rPr>
          <w:rFonts w:ascii="Times New Roman" w:hAnsi="Times New Roman" w:cs="Times New Roman"/>
          <w:szCs w:val="21"/>
        </w:rPr>
        <w:t>Day</w:t>
      </w:r>
      <w:r w:rsidR="00403C63" w:rsidRPr="00631F3A">
        <w:rPr>
          <w:rFonts w:ascii="Times New Roman" w:hAnsi="Times New Roman" w:cs="Times New Roman"/>
          <w:szCs w:val="21"/>
        </w:rPr>
        <w:t>s</w:t>
      </w:r>
      <w:r w:rsidRPr="00631F3A">
        <w:rPr>
          <w:rFonts w:ascii="Times New Roman" w:hAnsi="Times New Roman" w:cs="Times New Roman"/>
          <w:szCs w:val="21"/>
        </w:rPr>
        <w:t xml:space="preserve"> 55 </w:t>
      </w:r>
      <w:r w:rsidR="00403C63" w:rsidRPr="00631F3A">
        <w:rPr>
          <w:rFonts w:ascii="Times New Roman" w:hAnsi="Times New Roman" w:cs="Times New Roman"/>
          <w:szCs w:val="21"/>
        </w:rPr>
        <w:t xml:space="preserve">and </w:t>
      </w:r>
      <w:r w:rsidRPr="00631F3A">
        <w:rPr>
          <w:rFonts w:ascii="Times New Roman" w:hAnsi="Times New Roman" w:cs="Times New Roman"/>
          <w:szCs w:val="21"/>
        </w:rPr>
        <w:t>56</w:t>
      </w:r>
      <w:bookmarkEnd w:id="15"/>
    </w:p>
    <w:p w:rsidR="00C5485F" w:rsidRPr="00631F3A" w:rsidRDefault="00C5485F" w:rsidP="00853D55">
      <w:pPr>
        <w:pStyle w:val="1"/>
        <w:spacing w:line="480" w:lineRule="auto"/>
        <w:ind w:firstLine="0"/>
      </w:pPr>
      <w:r w:rsidRPr="00631F3A">
        <w:t xml:space="preserve">The test results of male and female mice are presented in Tables </w:t>
      </w:r>
      <w:r w:rsidR="00834844" w:rsidRPr="00631F3A">
        <w:rPr>
          <w:rFonts w:hint="eastAsia"/>
        </w:rPr>
        <w:t>S8</w:t>
      </w:r>
      <w:r w:rsidR="00834844" w:rsidRPr="00631F3A">
        <w:t xml:space="preserve"> and </w:t>
      </w:r>
      <w:r w:rsidR="00834844" w:rsidRPr="00631F3A">
        <w:rPr>
          <w:rFonts w:hint="eastAsia"/>
        </w:rPr>
        <w:t>S9</w:t>
      </w:r>
      <w:r w:rsidRPr="00631F3A">
        <w:t xml:space="preserve"> respectively. There was nothing noteworthy in female or male mice in all groups. </w:t>
      </w:r>
    </w:p>
    <w:p w:rsidR="00286D9E" w:rsidRPr="00631F3A" w:rsidRDefault="00286D9E" w:rsidP="00853D55">
      <w:pPr>
        <w:pStyle w:val="1"/>
        <w:spacing w:line="480" w:lineRule="auto"/>
      </w:pPr>
    </w:p>
    <w:p w:rsidR="00C5485F" w:rsidRPr="00631F3A" w:rsidRDefault="00AA3D33" w:rsidP="00853D55">
      <w:pPr>
        <w:spacing w:line="480" w:lineRule="auto"/>
        <w:rPr>
          <w:rFonts w:ascii="Times New Roman" w:hAnsi="Times New Roman" w:cs="Times New Roman"/>
          <w:b/>
          <w:szCs w:val="21"/>
        </w:rPr>
      </w:pPr>
      <w:bookmarkStart w:id="16" w:name="_Toc474759220"/>
      <w:r w:rsidRPr="00631F3A">
        <w:rPr>
          <w:rFonts w:ascii="Times New Roman" w:hAnsi="Times New Roman" w:cs="Times New Roman"/>
          <w:b/>
          <w:szCs w:val="21"/>
        </w:rPr>
        <w:t>H</w:t>
      </w:r>
      <w:r w:rsidR="00C5485F" w:rsidRPr="00631F3A">
        <w:rPr>
          <w:rFonts w:ascii="Times New Roman" w:hAnsi="Times New Roman" w:cs="Times New Roman"/>
          <w:b/>
          <w:szCs w:val="21"/>
        </w:rPr>
        <w:t>ematology test</w:t>
      </w:r>
      <w:bookmarkEnd w:id="16"/>
    </w:p>
    <w:p w:rsidR="00C5485F" w:rsidRPr="00631F3A" w:rsidRDefault="00C5485F" w:rsidP="00853D55">
      <w:pPr>
        <w:spacing w:line="480" w:lineRule="auto"/>
        <w:rPr>
          <w:rFonts w:ascii="Times New Roman" w:hAnsi="Times New Roman" w:cs="Times New Roman"/>
          <w:szCs w:val="21"/>
        </w:rPr>
      </w:pPr>
      <w:bookmarkStart w:id="17" w:name="_Toc474759221"/>
      <w:r w:rsidRPr="00631F3A">
        <w:rPr>
          <w:rFonts w:ascii="Times New Roman" w:hAnsi="Times New Roman" w:cs="Times New Roman"/>
          <w:szCs w:val="21"/>
        </w:rPr>
        <w:lastRenderedPageBreak/>
        <w:t>Day 28</w:t>
      </w:r>
      <w:bookmarkEnd w:id="17"/>
    </w:p>
    <w:p w:rsidR="00C5485F" w:rsidRPr="00631F3A" w:rsidRDefault="00C5485F" w:rsidP="00853D55">
      <w:pPr>
        <w:pStyle w:val="1"/>
        <w:spacing w:line="480" w:lineRule="auto"/>
        <w:ind w:firstLine="0"/>
      </w:pPr>
      <w:r w:rsidRPr="00631F3A">
        <w:t xml:space="preserve">The test results of male mice and female mice are presented in Tables </w:t>
      </w:r>
      <w:r w:rsidR="00834844" w:rsidRPr="00631F3A">
        <w:rPr>
          <w:rFonts w:hint="eastAsia"/>
        </w:rPr>
        <w:t>S10</w:t>
      </w:r>
      <w:r w:rsidR="00834844" w:rsidRPr="00631F3A">
        <w:t xml:space="preserve"> and </w:t>
      </w:r>
      <w:r w:rsidR="00834844" w:rsidRPr="00631F3A">
        <w:rPr>
          <w:rFonts w:hint="eastAsia"/>
        </w:rPr>
        <w:t>S11</w:t>
      </w:r>
      <w:r w:rsidRPr="00631F3A">
        <w:t>, respectively. The reticulocyte ratio</w:t>
      </w:r>
      <w:r w:rsidR="005F42E3" w:rsidRPr="00631F3A">
        <w:t>,</w:t>
      </w:r>
      <w:r w:rsidRPr="00631F3A">
        <w:t xml:space="preserve"> in </w:t>
      </w:r>
      <w:r w:rsidR="005F42E3" w:rsidRPr="00631F3A">
        <w:t xml:space="preserve">the </w:t>
      </w:r>
      <w:r w:rsidRPr="00631F3A">
        <w:t xml:space="preserve">male mice </w:t>
      </w:r>
      <w:r w:rsidR="005F42E3" w:rsidRPr="00631F3A">
        <w:t xml:space="preserve">of </w:t>
      </w:r>
      <w:r w:rsidRPr="00631F3A">
        <w:t xml:space="preserve">the </w:t>
      </w:r>
      <w:r w:rsidR="005F42E3" w:rsidRPr="00631F3A">
        <w:t xml:space="preserve">culture medium </w:t>
      </w:r>
      <w:r w:rsidRPr="00631F3A">
        <w:t>control group</w:t>
      </w:r>
      <w:r w:rsidR="005F42E3" w:rsidRPr="00631F3A">
        <w:t>,</w:t>
      </w:r>
      <w:r w:rsidRPr="00631F3A">
        <w:t xml:space="preserve"> was significantly lower than that in the </w:t>
      </w:r>
      <w:r w:rsidR="005F42E3" w:rsidRPr="00631F3A">
        <w:t xml:space="preserve">physiological saline </w:t>
      </w:r>
      <w:r w:rsidRPr="00631F3A">
        <w:t xml:space="preserve">control group. </w:t>
      </w:r>
      <w:r w:rsidR="00F72FEF" w:rsidRPr="00631F3A">
        <w:t>T</w:t>
      </w:r>
      <w:r w:rsidRPr="00631F3A">
        <w:t xml:space="preserve">he eosinophil ratio in the CellSaic group was significantly higher than that in the </w:t>
      </w:r>
      <w:r w:rsidR="004E2161" w:rsidRPr="00631F3A">
        <w:t xml:space="preserve">physiological saline </w:t>
      </w:r>
      <w:r w:rsidRPr="00631F3A">
        <w:t xml:space="preserve">control group. No significant intergroup difference was noted </w:t>
      </w:r>
      <w:r w:rsidR="004E2161" w:rsidRPr="00631F3A">
        <w:t xml:space="preserve">for </w:t>
      </w:r>
      <w:r w:rsidRPr="00631F3A">
        <w:t xml:space="preserve">other measurement </w:t>
      </w:r>
      <w:r w:rsidR="004E2161" w:rsidRPr="00631F3A">
        <w:t xml:space="preserve">parameters </w:t>
      </w:r>
      <w:r w:rsidRPr="00631F3A">
        <w:t xml:space="preserve">in female or male mice. </w:t>
      </w:r>
    </w:p>
    <w:p w:rsidR="00C5485F" w:rsidRPr="00631F3A" w:rsidRDefault="00C5485F" w:rsidP="00853D55">
      <w:pPr>
        <w:spacing w:line="480" w:lineRule="auto"/>
        <w:rPr>
          <w:rFonts w:ascii="Times New Roman" w:hAnsi="Times New Roman" w:cs="Times New Roman"/>
          <w:szCs w:val="21"/>
        </w:rPr>
      </w:pPr>
      <w:bookmarkStart w:id="18" w:name="_Toc474759222"/>
      <w:r w:rsidRPr="00631F3A">
        <w:rPr>
          <w:rFonts w:ascii="Times New Roman" w:hAnsi="Times New Roman" w:cs="Times New Roman"/>
          <w:szCs w:val="21"/>
        </w:rPr>
        <w:t>Day 56</w:t>
      </w:r>
      <w:bookmarkEnd w:id="18"/>
    </w:p>
    <w:p w:rsidR="00C5485F" w:rsidRPr="00631F3A" w:rsidRDefault="00C5485F" w:rsidP="00853D55">
      <w:pPr>
        <w:pStyle w:val="1"/>
        <w:spacing w:line="480" w:lineRule="auto"/>
        <w:ind w:firstLine="0"/>
      </w:pPr>
      <w:r w:rsidRPr="00631F3A">
        <w:t xml:space="preserve">The test results </w:t>
      </w:r>
      <w:r w:rsidR="00425E14" w:rsidRPr="00631F3A">
        <w:t xml:space="preserve">for the </w:t>
      </w:r>
      <w:r w:rsidRPr="00631F3A">
        <w:t xml:space="preserve">male and female mice are presented in Tables </w:t>
      </w:r>
      <w:r w:rsidR="00834844" w:rsidRPr="00631F3A">
        <w:rPr>
          <w:rFonts w:hint="eastAsia"/>
        </w:rPr>
        <w:t>S12</w:t>
      </w:r>
      <w:r w:rsidR="00834844" w:rsidRPr="00631F3A">
        <w:t xml:space="preserve"> and </w:t>
      </w:r>
      <w:r w:rsidR="00834844" w:rsidRPr="00631F3A">
        <w:rPr>
          <w:rFonts w:hint="eastAsia"/>
        </w:rPr>
        <w:t>S</w:t>
      </w:r>
      <w:r w:rsidR="00834844" w:rsidRPr="00631F3A">
        <w:t>13</w:t>
      </w:r>
      <w:r w:rsidRPr="00631F3A">
        <w:t xml:space="preserve">, respectively. The reticulocyte count and ratio in </w:t>
      </w:r>
      <w:r w:rsidR="00425E14" w:rsidRPr="00631F3A">
        <w:t xml:space="preserve">the </w:t>
      </w:r>
      <w:r w:rsidRPr="00631F3A">
        <w:t xml:space="preserve">male mice </w:t>
      </w:r>
      <w:r w:rsidR="00425E14" w:rsidRPr="00631F3A">
        <w:t xml:space="preserve">of </w:t>
      </w:r>
      <w:r w:rsidRPr="00631F3A">
        <w:t xml:space="preserve">the CellSaic group were significantly lower than those in the </w:t>
      </w:r>
      <w:r w:rsidR="00425E14" w:rsidRPr="00631F3A">
        <w:t xml:space="preserve">culture medium </w:t>
      </w:r>
      <w:r w:rsidRPr="00631F3A">
        <w:t xml:space="preserve">control group. </w:t>
      </w:r>
      <w:r w:rsidR="00425E14" w:rsidRPr="00631F3A">
        <w:t xml:space="preserve">No significant intergroup difference was noted for other measurement parameters in female or male mice. </w:t>
      </w:r>
    </w:p>
    <w:p w:rsidR="00486BF7" w:rsidRPr="00631F3A" w:rsidRDefault="00486BF7" w:rsidP="00853D55">
      <w:pPr>
        <w:pStyle w:val="1"/>
        <w:spacing w:line="480" w:lineRule="auto"/>
      </w:pPr>
    </w:p>
    <w:p w:rsidR="00C5485F" w:rsidRPr="00631F3A" w:rsidRDefault="00C5485F" w:rsidP="00853D55">
      <w:pPr>
        <w:spacing w:line="480" w:lineRule="auto"/>
        <w:rPr>
          <w:rFonts w:ascii="Times New Roman" w:hAnsi="Times New Roman" w:cs="Times New Roman"/>
          <w:b/>
          <w:szCs w:val="21"/>
        </w:rPr>
      </w:pPr>
      <w:bookmarkStart w:id="19" w:name="_Toc474759223"/>
      <w:r w:rsidRPr="00631F3A">
        <w:rPr>
          <w:rFonts w:ascii="Times New Roman" w:hAnsi="Times New Roman" w:cs="Times New Roman"/>
          <w:b/>
          <w:szCs w:val="21"/>
        </w:rPr>
        <w:t>Blood biochemistry test</w:t>
      </w:r>
      <w:bookmarkEnd w:id="19"/>
    </w:p>
    <w:p w:rsidR="00C5485F" w:rsidRPr="00631F3A" w:rsidRDefault="00C5485F" w:rsidP="00853D55">
      <w:pPr>
        <w:spacing w:line="480" w:lineRule="auto"/>
        <w:rPr>
          <w:rFonts w:ascii="Times New Roman" w:hAnsi="Times New Roman" w:cs="Times New Roman"/>
          <w:szCs w:val="21"/>
        </w:rPr>
      </w:pPr>
      <w:bookmarkStart w:id="20" w:name="_Toc474759224"/>
      <w:r w:rsidRPr="00631F3A">
        <w:rPr>
          <w:rFonts w:ascii="Times New Roman" w:hAnsi="Times New Roman" w:cs="Times New Roman"/>
          <w:szCs w:val="21"/>
        </w:rPr>
        <w:t>Day 28</w:t>
      </w:r>
      <w:bookmarkEnd w:id="20"/>
    </w:p>
    <w:p w:rsidR="00C5485F" w:rsidRPr="00631F3A" w:rsidRDefault="00C5485F" w:rsidP="00853D55">
      <w:pPr>
        <w:pStyle w:val="1"/>
        <w:spacing w:line="480" w:lineRule="auto"/>
        <w:ind w:firstLine="0"/>
      </w:pPr>
      <w:r w:rsidRPr="00631F3A">
        <w:t xml:space="preserve">The test results </w:t>
      </w:r>
      <w:r w:rsidR="004C74FF" w:rsidRPr="00631F3A">
        <w:t xml:space="preserve">for the </w:t>
      </w:r>
      <w:r w:rsidRPr="00631F3A">
        <w:t xml:space="preserve">male and female mice are presented in Tables </w:t>
      </w:r>
      <w:r w:rsidR="00834844" w:rsidRPr="00631F3A">
        <w:rPr>
          <w:rFonts w:hint="eastAsia"/>
        </w:rPr>
        <w:t>S14</w:t>
      </w:r>
      <w:r w:rsidR="00834844" w:rsidRPr="00631F3A">
        <w:t xml:space="preserve"> and </w:t>
      </w:r>
      <w:r w:rsidR="00834844" w:rsidRPr="00631F3A">
        <w:rPr>
          <w:rFonts w:hint="eastAsia"/>
        </w:rPr>
        <w:t>S15</w:t>
      </w:r>
      <w:r w:rsidR="0057579A" w:rsidRPr="00631F3A">
        <w:rPr>
          <w:rFonts w:hint="eastAsia"/>
        </w:rPr>
        <w:t>,</w:t>
      </w:r>
      <w:r w:rsidRPr="00631F3A">
        <w:t xml:space="preserve"> respectively. No significant intergroup difference was noted </w:t>
      </w:r>
      <w:r w:rsidR="004C74FF" w:rsidRPr="00631F3A">
        <w:t xml:space="preserve">for </w:t>
      </w:r>
      <w:r w:rsidRPr="00631F3A">
        <w:t xml:space="preserve">female or male mice. </w:t>
      </w:r>
    </w:p>
    <w:p w:rsidR="00C5485F" w:rsidRPr="00631F3A" w:rsidRDefault="00C5485F" w:rsidP="00853D55">
      <w:pPr>
        <w:spacing w:line="480" w:lineRule="auto"/>
        <w:rPr>
          <w:rFonts w:ascii="Times New Roman" w:hAnsi="Times New Roman" w:cs="Times New Roman"/>
          <w:szCs w:val="21"/>
        </w:rPr>
      </w:pPr>
      <w:bookmarkStart w:id="21" w:name="_Toc474759225"/>
      <w:r w:rsidRPr="00631F3A">
        <w:rPr>
          <w:rFonts w:ascii="Times New Roman" w:hAnsi="Times New Roman" w:cs="Times New Roman"/>
          <w:szCs w:val="21"/>
        </w:rPr>
        <w:t>Day 56</w:t>
      </w:r>
      <w:bookmarkEnd w:id="21"/>
    </w:p>
    <w:p w:rsidR="00944672" w:rsidRPr="00631F3A" w:rsidRDefault="00C5485F" w:rsidP="00853D55">
      <w:pPr>
        <w:pStyle w:val="1"/>
        <w:spacing w:line="480" w:lineRule="auto"/>
        <w:ind w:firstLine="0"/>
      </w:pPr>
      <w:r w:rsidRPr="00631F3A">
        <w:t xml:space="preserve">The test results </w:t>
      </w:r>
      <w:r w:rsidR="00E75A93" w:rsidRPr="00631F3A">
        <w:t xml:space="preserve">for </w:t>
      </w:r>
      <w:r w:rsidRPr="00631F3A">
        <w:t xml:space="preserve">male and female mice are presented in Tables </w:t>
      </w:r>
      <w:r w:rsidR="00834844" w:rsidRPr="00631F3A">
        <w:rPr>
          <w:rFonts w:hint="eastAsia"/>
        </w:rPr>
        <w:t>S16</w:t>
      </w:r>
      <w:r w:rsidR="00834844" w:rsidRPr="00631F3A">
        <w:t xml:space="preserve"> and </w:t>
      </w:r>
      <w:r w:rsidR="00834844" w:rsidRPr="00631F3A">
        <w:rPr>
          <w:rFonts w:hint="eastAsia"/>
        </w:rPr>
        <w:t>S17</w:t>
      </w:r>
      <w:r w:rsidRPr="00631F3A">
        <w:t xml:space="preserve">, respectively. </w:t>
      </w:r>
      <w:r w:rsidR="00AA3D33" w:rsidRPr="00631F3A">
        <w:t>Potassium</w:t>
      </w:r>
      <w:r w:rsidR="00E75A93" w:rsidRPr="00631F3A">
        <w:t xml:space="preserve"> levels</w:t>
      </w:r>
      <w:r w:rsidRPr="00631F3A">
        <w:t xml:space="preserve"> in female mice </w:t>
      </w:r>
      <w:r w:rsidR="00E75A93" w:rsidRPr="00631F3A">
        <w:t xml:space="preserve">of the medium culture </w:t>
      </w:r>
      <w:r w:rsidRPr="00631F3A">
        <w:t xml:space="preserve">control group and total cholesterol in </w:t>
      </w:r>
      <w:r w:rsidR="00944672" w:rsidRPr="00631F3A">
        <w:t xml:space="preserve">the </w:t>
      </w:r>
      <w:r w:rsidRPr="00631F3A">
        <w:t xml:space="preserve">female mice </w:t>
      </w:r>
      <w:r w:rsidR="00944672" w:rsidRPr="00631F3A">
        <w:t xml:space="preserve">of </w:t>
      </w:r>
      <w:r w:rsidRPr="00631F3A">
        <w:t>the CellSaic grou</w:t>
      </w:r>
      <w:r w:rsidR="00AA3D33" w:rsidRPr="00631F3A">
        <w:t>p were si</w:t>
      </w:r>
      <w:r w:rsidRPr="00631F3A">
        <w:t xml:space="preserve">gnificantly lower than those in the </w:t>
      </w:r>
      <w:r w:rsidR="00944672" w:rsidRPr="00631F3A">
        <w:t xml:space="preserve">physiological saline </w:t>
      </w:r>
      <w:r w:rsidRPr="00631F3A">
        <w:t xml:space="preserve">control group. </w:t>
      </w:r>
      <w:r w:rsidR="00944672" w:rsidRPr="00631F3A">
        <w:t xml:space="preserve">The levels of AST and ALT in a </w:t>
      </w:r>
      <w:r w:rsidR="000765D9" w:rsidRPr="00631F3A">
        <w:rPr>
          <w:rFonts w:hint="eastAsia"/>
        </w:rPr>
        <w:t xml:space="preserve">single </w:t>
      </w:r>
      <w:r w:rsidR="00944672" w:rsidRPr="00631F3A">
        <w:lastRenderedPageBreak/>
        <w:t xml:space="preserve">female mouse </w:t>
      </w:r>
      <w:r w:rsidR="009F508B" w:rsidRPr="00631F3A">
        <w:t>of</w:t>
      </w:r>
      <w:r w:rsidR="00944672" w:rsidRPr="00631F3A">
        <w:t xml:space="preserve"> the culture medium control group were markedly higher than those in other mice in the same group. No significant intergroup differences were noted for other measurement parameters in female or male mice.</w:t>
      </w:r>
    </w:p>
    <w:p w:rsidR="00C5485F" w:rsidRPr="00631F3A" w:rsidRDefault="00C5485F" w:rsidP="00853D55">
      <w:pPr>
        <w:pStyle w:val="1"/>
        <w:spacing w:line="480" w:lineRule="auto"/>
        <w:jc w:val="left"/>
      </w:pPr>
    </w:p>
    <w:p w:rsidR="00C5485F" w:rsidRPr="00631F3A" w:rsidRDefault="00F2761F" w:rsidP="00853D55">
      <w:pPr>
        <w:spacing w:line="480" w:lineRule="auto"/>
        <w:rPr>
          <w:rFonts w:ascii="Times New Roman" w:hAnsi="Times New Roman" w:cs="Times New Roman"/>
          <w:b/>
          <w:szCs w:val="21"/>
        </w:rPr>
      </w:pPr>
      <w:r w:rsidRPr="00631F3A">
        <w:rPr>
          <w:rFonts w:ascii="Times New Roman" w:hAnsi="Times New Roman" w:cs="Times New Roman"/>
          <w:b/>
          <w:szCs w:val="21"/>
        </w:rPr>
        <w:t>Necropsy</w:t>
      </w:r>
    </w:p>
    <w:p w:rsidR="00C5485F" w:rsidRPr="00631F3A" w:rsidRDefault="00C5485F" w:rsidP="00853D55">
      <w:pPr>
        <w:spacing w:line="480" w:lineRule="auto"/>
        <w:rPr>
          <w:rFonts w:ascii="Times New Roman" w:hAnsi="Times New Roman" w:cs="Times New Roman"/>
          <w:szCs w:val="21"/>
        </w:rPr>
      </w:pPr>
      <w:bookmarkStart w:id="22" w:name="_Toc474759227"/>
      <w:r w:rsidRPr="00631F3A">
        <w:rPr>
          <w:rFonts w:ascii="Times New Roman" w:hAnsi="Times New Roman" w:cs="Times New Roman"/>
          <w:szCs w:val="21"/>
        </w:rPr>
        <w:t>Day 28</w:t>
      </w:r>
      <w:bookmarkEnd w:id="22"/>
    </w:p>
    <w:p w:rsidR="009A2D0D" w:rsidRPr="00631F3A" w:rsidRDefault="00C5485F" w:rsidP="00853D55">
      <w:pPr>
        <w:pStyle w:val="1"/>
        <w:spacing w:line="480" w:lineRule="auto"/>
        <w:ind w:firstLine="0"/>
        <w:jc w:val="left"/>
      </w:pPr>
      <w:r w:rsidRPr="00631F3A">
        <w:t xml:space="preserve">The findings </w:t>
      </w:r>
      <w:r w:rsidR="00564EFD" w:rsidRPr="00631F3A">
        <w:t xml:space="preserve">for the </w:t>
      </w:r>
      <w:r w:rsidRPr="00631F3A">
        <w:t xml:space="preserve">male and female mice are presented in Tables </w:t>
      </w:r>
      <w:r w:rsidR="00834844" w:rsidRPr="00631F3A">
        <w:rPr>
          <w:rFonts w:hint="eastAsia"/>
        </w:rPr>
        <w:t>S18</w:t>
      </w:r>
      <w:r w:rsidR="00834844" w:rsidRPr="00631F3A">
        <w:t xml:space="preserve"> and </w:t>
      </w:r>
      <w:r w:rsidR="00834844" w:rsidRPr="00631F3A">
        <w:rPr>
          <w:rFonts w:hint="eastAsia"/>
        </w:rPr>
        <w:t>S19</w:t>
      </w:r>
      <w:r w:rsidRPr="00631F3A">
        <w:t>, respectively. No abnormal</w:t>
      </w:r>
      <w:r w:rsidR="00564EFD" w:rsidRPr="00631F3A">
        <w:t>ities</w:t>
      </w:r>
      <w:r w:rsidRPr="00631F3A">
        <w:t xml:space="preserve"> were </w:t>
      </w:r>
      <w:r w:rsidR="00564EFD" w:rsidRPr="00631F3A">
        <w:t>observed in</w:t>
      </w:r>
      <w:r w:rsidRPr="00631F3A">
        <w:t xml:space="preserve"> female or male mice in the </w:t>
      </w:r>
      <w:r w:rsidR="00564EFD" w:rsidRPr="00631F3A">
        <w:t xml:space="preserve">physiological saline </w:t>
      </w:r>
      <w:r w:rsidRPr="00631F3A">
        <w:t xml:space="preserve">or the </w:t>
      </w:r>
      <w:r w:rsidR="00564EFD" w:rsidRPr="00631F3A">
        <w:t xml:space="preserve">medium culture </w:t>
      </w:r>
      <w:r w:rsidRPr="00631F3A">
        <w:t>control group</w:t>
      </w:r>
      <w:r w:rsidR="00564EFD" w:rsidRPr="00631F3A">
        <w:t>s</w:t>
      </w:r>
      <w:r w:rsidRPr="00631F3A">
        <w:t>.</w:t>
      </w:r>
      <w:r w:rsidR="009A2D0D" w:rsidRPr="00631F3A">
        <w:t xml:space="preserve"> Subcutaneous nodules were noted at the administration site of </w:t>
      </w:r>
      <w:r w:rsidR="009C0D9F" w:rsidRPr="00631F3A">
        <w:t>five</w:t>
      </w:r>
      <w:r w:rsidR="009A2D0D" w:rsidRPr="00631F3A">
        <w:t xml:space="preserve"> female and </w:t>
      </w:r>
      <w:r w:rsidR="009C0D9F" w:rsidRPr="00631F3A">
        <w:t>five</w:t>
      </w:r>
      <w:r w:rsidR="009A2D0D" w:rsidRPr="00631F3A">
        <w:t xml:space="preserve"> male mice of the CellSaic group. </w:t>
      </w:r>
    </w:p>
    <w:p w:rsidR="00C5485F" w:rsidRPr="00631F3A" w:rsidRDefault="00C5485F" w:rsidP="00853D55">
      <w:pPr>
        <w:pStyle w:val="1"/>
        <w:spacing w:line="480" w:lineRule="auto"/>
        <w:ind w:firstLine="0"/>
      </w:pPr>
      <w:bookmarkStart w:id="23" w:name="_Toc474759228"/>
      <w:r w:rsidRPr="00631F3A">
        <w:t>Day 56</w:t>
      </w:r>
      <w:bookmarkEnd w:id="23"/>
    </w:p>
    <w:p w:rsidR="00C5485F" w:rsidRPr="00631F3A" w:rsidRDefault="00C5485F" w:rsidP="00853D55">
      <w:pPr>
        <w:pStyle w:val="1"/>
        <w:spacing w:line="480" w:lineRule="auto"/>
        <w:ind w:firstLine="0"/>
      </w:pPr>
      <w:r w:rsidRPr="00631F3A">
        <w:t xml:space="preserve">The findings </w:t>
      </w:r>
      <w:r w:rsidR="009C0D9F" w:rsidRPr="00631F3A">
        <w:t xml:space="preserve">for the </w:t>
      </w:r>
      <w:r w:rsidRPr="00631F3A">
        <w:t xml:space="preserve">male and female mice are presented in Tables </w:t>
      </w:r>
      <w:r w:rsidR="00834844" w:rsidRPr="00631F3A">
        <w:rPr>
          <w:rFonts w:hint="eastAsia"/>
        </w:rPr>
        <w:t>S20</w:t>
      </w:r>
      <w:r w:rsidR="00834844" w:rsidRPr="00631F3A">
        <w:t xml:space="preserve"> and </w:t>
      </w:r>
      <w:r w:rsidR="00834844" w:rsidRPr="00631F3A">
        <w:rPr>
          <w:rFonts w:hint="eastAsia"/>
        </w:rPr>
        <w:t>S21</w:t>
      </w:r>
      <w:r w:rsidRPr="00631F3A">
        <w:t>, respectively. No abnormal</w:t>
      </w:r>
      <w:r w:rsidR="009C0D9F" w:rsidRPr="00631F3A">
        <w:t xml:space="preserve">ities </w:t>
      </w:r>
      <w:r w:rsidRPr="00631F3A">
        <w:t xml:space="preserve">were </w:t>
      </w:r>
      <w:r w:rsidR="009C0D9F" w:rsidRPr="00631F3A">
        <w:t xml:space="preserve">observed </w:t>
      </w:r>
      <w:r w:rsidRPr="00631F3A">
        <w:t xml:space="preserve">in female or male mice </w:t>
      </w:r>
      <w:r w:rsidR="009C0D9F" w:rsidRPr="00631F3A">
        <w:t xml:space="preserve">of the physiological saline </w:t>
      </w:r>
      <w:r w:rsidRPr="00631F3A">
        <w:t xml:space="preserve">control group or the </w:t>
      </w:r>
      <w:r w:rsidR="009C0D9F" w:rsidRPr="00631F3A">
        <w:t xml:space="preserve">medium culture </w:t>
      </w:r>
      <w:r w:rsidRPr="00631F3A">
        <w:t xml:space="preserve">control group. </w:t>
      </w:r>
    </w:p>
    <w:p w:rsidR="00C5485F" w:rsidRPr="00631F3A" w:rsidRDefault="00C5485F" w:rsidP="00853D55">
      <w:pPr>
        <w:pStyle w:val="1"/>
        <w:spacing w:line="480" w:lineRule="auto"/>
        <w:ind w:firstLine="0"/>
      </w:pPr>
      <w:r w:rsidRPr="00631F3A">
        <w:t xml:space="preserve">Subcutaneous nodules were noted at the administration site in </w:t>
      </w:r>
      <w:r w:rsidR="009C0D9F" w:rsidRPr="00631F3A">
        <w:t xml:space="preserve">six </w:t>
      </w:r>
      <w:r w:rsidRPr="00631F3A">
        <w:t xml:space="preserve">male mice and </w:t>
      </w:r>
      <w:r w:rsidR="009C0D9F" w:rsidRPr="00631F3A">
        <w:t xml:space="preserve">five </w:t>
      </w:r>
      <w:r w:rsidRPr="00631F3A">
        <w:t xml:space="preserve">female mice </w:t>
      </w:r>
      <w:r w:rsidR="009C0D9F" w:rsidRPr="00631F3A">
        <w:t xml:space="preserve">of </w:t>
      </w:r>
      <w:r w:rsidRPr="00631F3A">
        <w:t xml:space="preserve">the CellSaic group. </w:t>
      </w:r>
    </w:p>
    <w:p w:rsidR="00486BF7" w:rsidRPr="00631F3A" w:rsidRDefault="00486BF7" w:rsidP="00853D55">
      <w:pPr>
        <w:pStyle w:val="1"/>
        <w:spacing w:line="480" w:lineRule="auto"/>
        <w:ind w:firstLine="0"/>
      </w:pPr>
    </w:p>
    <w:p w:rsidR="00C5485F" w:rsidRPr="00631F3A" w:rsidRDefault="00BB61BB" w:rsidP="00853D55">
      <w:pPr>
        <w:spacing w:line="480" w:lineRule="auto"/>
        <w:rPr>
          <w:rFonts w:ascii="Times New Roman" w:hAnsi="Times New Roman" w:cs="Times New Roman"/>
          <w:b/>
          <w:szCs w:val="21"/>
        </w:rPr>
      </w:pPr>
      <w:bookmarkStart w:id="24" w:name="_Toc474759229"/>
      <w:r w:rsidRPr="00631F3A">
        <w:rPr>
          <w:rFonts w:ascii="Times New Roman" w:hAnsi="Times New Roman" w:cs="Times New Roman"/>
          <w:b/>
          <w:szCs w:val="21"/>
        </w:rPr>
        <w:t>Measurement of o</w:t>
      </w:r>
      <w:r w:rsidR="00C5485F" w:rsidRPr="00631F3A">
        <w:rPr>
          <w:rFonts w:ascii="Times New Roman" w:hAnsi="Times New Roman" w:cs="Times New Roman"/>
          <w:b/>
          <w:szCs w:val="21"/>
        </w:rPr>
        <w:t>rgan weight</w:t>
      </w:r>
      <w:r w:rsidRPr="00631F3A">
        <w:rPr>
          <w:rFonts w:ascii="Times New Roman" w:hAnsi="Times New Roman" w:cs="Times New Roman"/>
          <w:b/>
          <w:szCs w:val="21"/>
        </w:rPr>
        <w:t>s</w:t>
      </w:r>
      <w:r w:rsidR="00C5485F" w:rsidRPr="00631F3A">
        <w:rPr>
          <w:rFonts w:ascii="Times New Roman" w:hAnsi="Times New Roman" w:cs="Times New Roman"/>
          <w:b/>
          <w:szCs w:val="21"/>
        </w:rPr>
        <w:t xml:space="preserve"> </w:t>
      </w:r>
      <w:bookmarkEnd w:id="24"/>
    </w:p>
    <w:p w:rsidR="00C5485F" w:rsidRPr="00631F3A" w:rsidRDefault="00C5485F" w:rsidP="00853D55">
      <w:pPr>
        <w:spacing w:line="480" w:lineRule="auto"/>
        <w:rPr>
          <w:rFonts w:ascii="Times New Roman" w:hAnsi="Times New Roman" w:cs="Times New Roman"/>
          <w:szCs w:val="21"/>
        </w:rPr>
      </w:pPr>
      <w:bookmarkStart w:id="25" w:name="_Toc474759230"/>
      <w:r w:rsidRPr="00631F3A">
        <w:rPr>
          <w:rFonts w:ascii="Times New Roman" w:hAnsi="Times New Roman" w:cs="Times New Roman"/>
          <w:szCs w:val="21"/>
        </w:rPr>
        <w:t>Day 28</w:t>
      </w:r>
      <w:bookmarkEnd w:id="25"/>
    </w:p>
    <w:p w:rsidR="00C5485F" w:rsidRPr="00631F3A" w:rsidRDefault="00C5485F" w:rsidP="00853D55">
      <w:pPr>
        <w:pStyle w:val="1"/>
        <w:spacing w:line="480" w:lineRule="auto"/>
        <w:ind w:firstLine="0"/>
      </w:pPr>
      <w:r w:rsidRPr="00631F3A">
        <w:t xml:space="preserve">The weights of organs </w:t>
      </w:r>
      <w:r w:rsidR="003A6D43" w:rsidRPr="00631F3A">
        <w:t xml:space="preserve">in </w:t>
      </w:r>
      <w:r w:rsidRPr="00631F3A">
        <w:t xml:space="preserve">male and female mice are presented in Tables </w:t>
      </w:r>
      <w:r w:rsidR="00834844" w:rsidRPr="00631F3A">
        <w:rPr>
          <w:rFonts w:hint="eastAsia"/>
        </w:rPr>
        <w:t>S22</w:t>
      </w:r>
      <w:r w:rsidR="00834844" w:rsidRPr="00631F3A">
        <w:t xml:space="preserve"> and </w:t>
      </w:r>
      <w:r w:rsidR="00834844" w:rsidRPr="00631F3A">
        <w:rPr>
          <w:rFonts w:hint="eastAsia"/>
        </w:rPr>
        <w:t>S23</w:t>
      </w:r>
      <w:r w:rsidRPr="00631F3A">
        <w:t xml:space="preserve">, respectively. The absolute and relative weights of </w:t>
      </w:r>
      <w:r w:rsidR="003A6D43" w:rsidRPr="00631F3A">
        <w:t>the epididymides</w:t>
      </w:r>
      <w:r w:rsidRPr="00631F3A">
        <w:t xml:space="preserve"> </w:t>
      </w:r>
      <w:r w:rsidR="003A6D43" w:rsidRPr="00631F3A">
        <w:t xml:space="preserve">in </w:t>
      </w:r>
      <w:r w:rsidRPr="00631F3A">
        <w:t xml:space="preserve">male mice were significantly higher in the </w:t>
      </w:r>
      <w:r w:rsidR="003A6D43" w:rsidRPr="00631F3A">
        <w:t xml:space="preserve">medium culture </w:t>
      </w:r>
      <w:r w:rsidRPr="00631F3A">
        <w:t xml:space="preserve">control group than those in the </w:t>
      </w:r>
      <w:r w:rsidR="003A6D43" w:rsidRPr="00631F3A">
        <w:t xml:space="preserve">physiological saline </w:t>
      </w:r>
      <w:r w:rsidRPr="00631F3A">
        <w:t>control group. In addition, the relative weight</w:t>
      </w:r>
      <w:r w:rsidR="003E0B1E" w:rsidRPr="00631F3A">
        <w:t>s</w:t>
      </w:r>
      <w:r w:rsidRPr="00631F3A">
        <w:t xml:space="preserve"> of salivary gland</w:t>
      </w:r>
      <w:r w:rsidR="003E0B1E" w:rsidRPr="00631F3A">
        <w:t>s</w:t>
      </w:r>
      <w:r w:rsidRPr="00631F3A">
        <w:t xml:space="preserve"> </w:t>
      </w:r>
      <w:r w:rsidR="003E0B1E" w:rsidRPr="00631F3A">
        <w:t xml:space="preserve">in </w:t>
      </w:r>
      <w:r w:rsidRPr="00631F3A">
        <w:t xml:space="preserve">female </w:t>
      </w:r>
      <w:r w:rsidRPr="00631F3A">
        <w:lastRenderedPageBreak/>
        <w:t xml:space="preserve">mice </w:t>
      </w:r>
      <w:r w:rsidR="003E0B1E" w:rsidRPr="00631F3A">
        <w:t xml:space="preserve">of </w:t>
      </w:r>
      <w:r w:rsidRPr="00631F3A">
        <w:t xml:space="preserve">the CellSaic group </w:t>
      </w:r>
      <w:r w:rsidR="003E0B1E" w:rsidRPr="00631F3A">
        <w:t xml:space="preserve">were </w:t>
      </w:r>
      <w:r w:rsidRPr="00631F3A">
        <w:t xml:space="preserve">significantly </w:t>
      </w:r>
      <w:r w:rsidR="000765D9" w:rsidRPr="00631F3A">
        <w:rPr>
          <w:rFonts w:hint="eastAsia"/>
        </w:rPr>
        <w:t>lower</w:t>
      </w:r>
      <w:r w:rsidR="000765D9" w:rsidRPr="00631F3A">
        <w:t xml:space="preserve"> </w:t>
      </w:r>
      <w:r w:rsidRPr="00631F3A">
        <w:t xml:space="preserve">than </w:t>
      </w:r>
      <w:r w:rsidR="003E0B1E" w:rsidRPr="00631F3A">
        <w:t xml:space="preserve">those </w:t>
      </w:r>
      <w:r w:rsidRPr="00631F3A">
        <w:t xml:space="preserve">in the </w:t>
      </w:r>
      <w:r w:rsidR="003E0B1E" w:rsidRPr="00631F3A">
        <w:t xml:space="preserve">physiological saline </w:t>
      </w:r>
      <w:r w:rsidRPr="00631F3A">
        <w:t xml:space="preserve">control group. Moreover, the absolute and relative weights of </w:t>
      </w:r>
      <w:r w:rsidR="00AA4240" w:rsidRPr="00631F3A">
        <w:t xml:space="preserve">the </w:t>
      </w:r>
      <w:r w:rsidRPr="00631F3A">
        <w:t>adrenal gland</w:t>
      </w:r>
      <w:r w:rsidR="00CA3C9C" w:rsidRPr="00631F3A">
        <w:rPr>
          <w:rFonts w:hint="eastAsia"/>
        </w:rPr>
        <w:t xml:space="preserve"> </w:t>
      </w:r>
      <w:r w:rsidR="00CA3C9C" w:rsidRPr="00631F3A">
        <w:t>in female mice of the CellSaic group</w:t>
      </w:r>
      <w:r w:rsidRPr="00631F3A">
        <w:t xml:space="preserve"> were significantly lower than those in the </w:t>
      </w:r>
      <w:r w:rsidR="00AA4240" w:rsidRPr="00631F3A">
        <w:t xml:space="preserve">culture medium </w:t>
      </w:r>
      <w:r w:rsidRPr="00631F3A">
        <w:t xml:space="preserve">control group. No significant intergroup difference was noted in other measured organs </w:t>
      </w:r>
      <w:r w:rsidR="00AA4240" w:rsidRPr="00631F3A">
        <w:t xml:space="preserve">between </w:t>
      </w:r>
      <w:r w:rsidRPr="00631F3A">
        <w:t xml:space="preserve">female or male mice. </w:t>
      </w:r>
    </w:p>
    <w:p w:rsidR="00C5485F" w:rsidRPr="00631F3A" w:rsidRDefault="00C5485F" w:rsidP="00853D55">
      <w:pPr>
        <w:spacing w:line="480" w:lineRule="auto"/>
        <w:rPr>
          <w:rFonts w:ascii="Times New Roman" w:hAnsi="Times New Roman" w:cs="Times New Roman"/>
          <w:szCs w:val="21"/>
        </w:rPr>
      </w:pPr>
      <w:bookmarkStart w:id="26" w:name="_Toc474759231"/>
      <w:r w:rsidRPr="00631F3A">
        <w:rPr>
          <w:rFonts w:ascii="Times New Roman" w:hAnsi="Times New Roman" w:cs="Times New Roman"/>
          <w:szCs w:val="21"/>
        </w:rPr>
        <w:t>Day 56</w:t>
      </w:r>
      <w:bookmarkEnd w:id="26"/>
    </w:p>
    <w:p w:rsidR="00C5485F" w:rsidRPr="00631F3A" w:rsidRDefault="00C5485F" w:rsidP="00853D55">
      <w:pPr>
        <w:pStyle w:val="1"/>
        <w:spacing w:line="480" w:lineRule="auto"/>
        <w:ind w:firstLine="0"/>
      </w:pPr>
      <w:r w:rsidRPr="00631F3A">
        <w:t xml:space="preserve">The weights of organs </w:t>
      </w:r>
      <w:r w:rsidR="001D6595" w:rsidRPr="00631F3A">
        <w:t xml:space="preserve">in </w:t>
      </w:r>
      <w:r w:rsidRPr="00631F3A">
        <w:t xml:space="preserve">male and female mice are presented in Tables </w:t>
      </w:r>
      <w:r w:rsidR="00834844" w:rsidRPr="00631F3A">
        <w:rPr>
          <w:rFonts w:hint="eastAsia"/>
        </w:rPr>
        <w:t>S24</w:t>
      </w:r>
      <w:r w:rsidR="00834844" w:rsidRPr="00631F3A">
        <w:t xml:space="preserve"> and </w:t>
      </w:r>
      <w:r w:rsidR="00834844" w:rsidRPr="00631F3A">
        <w:rPr>
          <w:rFonts w:hint="eastAsia"/>
        </w:rPr>
        <w:t>S25</w:t>
      </w:r>
      <w:r w:rsidRPr="00631F3A">
        <w:t xml:space="preserve">, respectively. The absolute weight of the liver </w:t>
      </w:r>
      <w:r w:rsidR="001D6595" w:rsidRPr="00631F3A">
        <w:t xml:space="preserve">in the </w:t>
      </w:r>
      <w:r w:rsidRPr="00631F3A">
        <w:t xml:space="preserve">male mice </w:t>
      </w:r>
      <w:r w:rsidR="001D6595" w:rsidRPr="00631F3A">
        <w:t>of</w:t>
      </w:r>
      <w:r w:rsidRPr="00631F3A">
        <w:t xml:space="preserve"> the CellSaic group was significantly lower than that in the </w:t>
      </w:r>
      <w:r w:rsidR="001D6595" w:rsidRPr="00631F3A">
        <w:t xml:space="preserve">physiological saline </w:t>
      </w:r>
      <w:r w:rsidRPr="00631F3A">
        <w:t xml:space="preserve">control group. Moreover, the absolute weight of the kidney was significantly lower than that in the control (culture medium) group. In addition, the relative weight of the heart </w:t>
      </w:r>
      <w:r w:rsidR="003C14D0" w:rsidRPr="00631F3A">
        <w:t xml:space="preserve">in the </w:t>
      </w:r>
      <w:r w:rsidRPr="00631F3A">
        <w:t xml:space="preserve">female mice </w:t>
      </w:r>
      <w:r w:rsidR="003C14D0" w:rsidRPr="00631F3A">
        <w:t xml:space="preserve">of </w:t>
      </w:r>
      <w:r w:rsidRPr="00631F3A">
        <w:t xml:space="preserve">the CellSaic group was significantly higher than that in the </w:t>
      </w:r>
      <w:r w:rsidR="003C14D0" w:rsidRPr="00631F3A">
        <w:t xml:space="preserve">culture medium </w:t>
      </w:r>
      <w:r w:rsidRPr="00631F3A">
        <w:t xml:space="preserve">control group. No significant intergroup difference was noted in other measured organs in female or male mice. </w:t>
      </w:r>
    </w:p>
    <w:p w:rsidR="00486BF7" w:rsidRPr="00631F3A" w:rsidRDefault="00486BF7" w:rsidP="00853D55">
      <w:pPr>
        <w:pStyle w:val="1"/>
        <w:spacing w:line="480" w:lineRule="auto"/>
        <w:ind w:firstLine="0"/>
      </w:pPr>
    </w:p>
    <w:p w:rsidR="00C5485F" w:rsidRPr="00631F3A" w:rsidRDefault="00C5485F" w:rsidP="00853D55">
      <w:pPr>
        <w:spacing w:line="480" w:lineRule="auto"/>
        <w:rPr>
          <w:rFonts w:ascii="Times New Roman" w:hAnsi="Times New Roman" w:cs="Times New Roman"/>
          <w:b/>
          <w:szCs w:val="21"/>
        </w:rPr>
      </w:pPr>
      <w:bookmarkStart w:id="27" w:name="_Toc474759232"/>
      <w:r w:rsidRPr="00631F3A">
        <w:rPr>
          <w:rFonts w:ascii="Times New Roman" w:hAnsi="Times New Roman" w:cs="Times New Roman"/>
          <w:b/>
          <w:szCs w:val="21"/>
        </w:rPr>
        <w:t>Histopathological examination</w:t>
      </w:r>
      <w:bookmarkEnd w:id="27"/>
    </w:p>
    <w:p w:rsidR="00C5485F" w:rsidRPr="00631F3A" w:rsidRDefault="00C5485F" w:rsidP="00853D55">
      <w:pPr>
        <w:spacing w:line="480" w:lineRule="auto"/>
        <w:rPr>
          <w:rFonts w:ascii="Times New Roman" w:hAnsi="Times New Roman" w:cs="Times New Roman"/>
          <w:szCs w:val="21"/>
        </w:rPr>
      </w:pPr>
      <w:bookmarkStart w:id="28" w:name="_Toc474759233"/>
      <w:r w:rsidRPr="00631F3A">
        <w:rPr>
          <w:rFonts w:ascii="Times New Roman" w:hAnsi="Times New Roman" w:cs="Times New Roman"/>
          <w:szCs w:val="21"/>
        </w:rPr>
        <w:t>Day 28</w:t>
      </w:r>
      <w:bookmarkEnd w:id="28"/>
    </w:p>
    <w:p w:rsidR="00C5485F" w:rsidRPr="00631F3A" w:rsidRDefault="00C5485F" w:rsidP="00853D55">
      <w:pPr>
        <w:pStyle w:val="1"/>
        <w:spacing w:line="480" w:lineRule="auto"/>
        <w:ind w:firstLine="0"/>
      </w:pPr>
      <w:r w:rsidRPr="00631F3A">
        <w:t xml:space="preserve">The findings </w:t>
      </w:r>
      <w:r w:rsidR="009C2152" w:rsidRPr="00631F3A">
        <w:t xml:space="preserve">for the </w:t>
      </w:r>
      <w:r w:rsidRPr="00631F3A">
        <w:t xml:space="preserve">male and female mice are presented in Tables </w:t>
      </w:r>
      <w:r w:rsidR="00834844" w:rsidRPr="00631F3A">
        <w:rPr>
          <w:rFonts w:hint="eastAsia"/>
        </w:rPr>
        <w:t xml:space="preserve">S26 </w:t>
      </w:r>
      <w:r w:rsidR="00834844" w:rsidRPr="00631F3A">
        <w:t xml:space="preserve">and </w:t>
      </w:r>
      <w:r w:rsidR="00834844" w:rsidRPr="00631F3A">
        <w:rPr>
          <w:rFonts w:hint="eastAsia"/>
        </w:rPr>
        <w:t>S27</w:t>
      </w:r>
      <w:r w:rsidR="0057579A" w:rsidRPr="00631F3A">
        <w:rPr>
          <w:rFonts w:hint="eastAsia"/>
        </w:rPr>
        <w:t>,</w:t>
      </w:r>
      <w:r w:rsidRPr="00631F3A">
        <w:t xml:space="preserve"> respectively. No abnormalities were </w:t>
      </w:r>
      <w:r w:rsidR="009C2152" w:rsidRPr="00631F3A">
        <w:t xml:space="preserve">observed </w:t>
      </w:r>
      <w:r w:rsidRPr="00631F3A">
        <w:t xml:space="preserve">in female or male mice </w:t>
      </w:r>
      <w:r w:rsidR="009C2152" w:rsidRPr="00631F3A">
        <w:t xml:space="preserve">of </w:t>
      </w:r>
      <w:r w:rsidRPr="00631F3A">
        <w:t xml:space="preserve">the </w:t>
      </w:r>
      <w:r w:rsidR="009C2152" w:rsidRPr="00631F3A">
        <w:t xml:space="preserve">physiological saline </w:t>
      </w:r>
      <w:r w:rsidRPr="00631F3A">
        <w:t>control</w:t>
      </w:r>
      <w:r w:rsidR="009C2152" w:rsidRPr="00631F3A">
        <w:t xml:space="preserve"> </w:t>
      </w:r>
      <w:r w:rsidRPr="00631F3A">
        <w:t xml:space="preserve">group or the </w:t>
      </w:r>
      <w:r w:rsidR="00371B8D" w:rsidRPr="00631F3A">
        <w:t xml:space="preserve">culture </w:t>
      </w:r>
      <w:r w:rsidR="009C2152" w:rsidRPr="00631F3A">
        <w:t xml:space="preserve">medium </w:t>
      </w:r>
      <w:r w:rsidRPr="00631F3A">
        <w:t xml:space="preserve">control group. </w:t>
      </w:r>
      <w:r w:rsidR="0091332B" w:rsidRPr="00631F3A">
        <w:t>A s</w:t>
      </w:r>
      <w:r w:rsidRPr="00631F3A">
        <w:t xml:space="preserve">pecimen-like remnant was </w:t>
      </w:r>
      <w:r w:rsidR="0091332B" w:rsidRPr="00631F3A">
        <w:t xml:space="preserve">found </w:t>
      </w:r>
      <w:r w:rsidRPr="00631F3A">
        <w:t xml:space="preserve">at the administration site </w:t>
      </w:r>
      <w:r w:rsidR="0091332B" w:rsidRPr="00631F3A">
        <w:t>of</w:t>
      </w:r>
      <w:r w:rsidRPr="00631F3A">
        <w:t xml:space="preserve"> </w:t>
      </w:r>
      <w:r w:rsidR="0091332B" w:rsidRPr="00631F3A">
        <w:t xml:space="preserve">five </w:t>
      </w:r>
      <w:r w:rsidRPr="00631F3A">
        <w:t xml:space="preserve">female and </w:t>
      </w:r>
      <w:r w:rsidR="0091332B" w:rsidRPr="00631F3A">
        <w:t xml:space="preserve">five </w:t>
      </w:r>
      <w:r w:rsidRPr="00631F3A">
        <w:t xml:space="preserve">male mice </w:t>
      </w:r>
      <w:r w:rsidR="00F77B1B" w:rsidRPr="00631F3A">
        <w:t>from</w:t>
      </w:r>
      <w:r w:rsidRPr="00631F3A">
        <w:t xml:space="preserve"> the CellSaic group. However, no tumor formation was </w:t>
      </w:r>
      <w:r w:rsidR="00B86431" w:rsidRPr="00631F3A">
        <w:t xml:space="preserve">observed </w:t>
      </w:r>
      <w:r w:rsidRPr="00631F3A">
        <w:t xml:space="preserve">at the site of </w:t>
      </w:r>
      <w:r w:rsidR="00B86431" w:rsidRPr="00631F3A">
        <w:t xml:space="preserve">the </w:t>
      </w:r>
      <w:r w:rsidRPr="00631F3A">
        <w:t xml:space="preserve">specimen-like remnant. </w:t>
      </w:r>
      <w:r w:rsidR="00945B4B" w:rsidRPr="00631F3A">
        <w:t>A specimen</w:t>
      </w:r>
      <w:r w:rsidRPr="00631F3A">
        <w:t xml:space="preserve">-like remnant was </w:t>
      </w:r>
      <w:r w:rsidR="00945B4B" w:rsidRPr="00631F3A">
        <w:t xml:space="preserve">observed </w:t>
      </w:r>
      <w:r w:rsidRPr="00631F3A">
        <w:t>in the mice</w:t>
      </w:r>
      <w:r w:rsidR="006769BD" w:rsidRPr="00631F3A">
        <w:t xml:space="preserve"> that had</w:t>
      </w:r>
      <w:r w:rsidRPr="00631F3A">
        <w:t xml:space="preserve"> subcutaneous nodules at the </w:t>
      </w:r>
      <w:r w:rsidR="00945B4B" w:rsidRPr="00631F3A">
        <w:t xml:space="preserve">site of </w:t>
      </w:r>
      <w:r w:rsidRPr="00631F3A">
        <w:t xml:space="preserve">administration at the time of </w:t>
      </w:r>
      <w:r w:rsidR="006769BD" w:rsidRPr="00631F3A">
        <w:t xml:space="preserve">the </w:t>
      </w:r>
      <w:r w:rsidR="00D33BEC" w:rsidRPr="00631F3A">
        <w:rPr>
          <w:rFonts w:hint="eastAsia"/>
        </w:rPr>
        <w:t>necropsy</w:t>
      </w:r>
      <w:r w:rsidRPr="00631F3A">
        <w:t xml:space="preserve">. No abnormalities were noted in other organs or tissues, and there was no tumor formation. </w:t>
      </w:r>
    </w:p>
    <w:p w:rsidR="00C5485F" w:rsidRPr="00631F3A" w:rsidRDefault="00C5485F" w:rsidP="00853D55">
      <w:pPr>
        <w:spacing w:line="480" w:lineRule="auto"/>
        <w:rPr>
          <w:rFonts w:ascii="Times New Roman" w:hAnsi="Times New Roman" w:cs="Times New Roman"/>
          <w:szCs w:val="21"/>
        </w:rPr>
      </w:pPr>
      <w:bookmarkStart w:id="29" w:name="_Toc474759234"/>
      <w:r w:rsidRPr="00631F3A">
        <w:rPr>
          <w:rFonts w:ascii="Times New Roman" w:hAnsi="Times New Roman" w:cs="Times New Roman"/>
          <w:szCs w:val="21"/>
        </w:rPr>
        <w:lastRenderedPageBreak/>
        <w:t>Day 56</w:t>
      </w:r>
      <w:bookmarkEnd w:id="29"/>
    </w:p>
    <w:p w:rsidR="00C5485F" w:rsidRPr="00631F3A" w:rsidRDefault="00C5485F" w:rsidP="00853D55">
      <w:pPr>
        <w:pStyle w:val="1"/>
        <w:spacing w:line="480" w:lineRule="auto"/>
        <w:ind w:firstLine="0"/>
      </w:pPr>
      <w:r w:rsidRPr="00631F3A">
        <w:t xml:space="preserve">The findings </w:t>
      </w:r>
      <w:r w:rsidR="00421242" w:rsidRPr="00631F3A">
        <w:t>for the</w:t>
      </w:r>
      <w:r w:rsidRPr="00631F3A">
        <w:t xml:space="preserve"> male and female mice are presented in Tables</w:t>
      </w:r>
      <w:r w:rsidR="00834844" w:rsidRPr="00631F3A">
        <w:rPr>
          <w:rFonts w:hint="eastAsia"/>
        </w:rPr>
        <w:t xml:space="preserve"> S28</w:t>
      </w:r>
      <w:r w:rsidR="00834844" w:rsidRPr="00631F3A">
        <w:t xml:space="preserve"> and </w:t>
      </w:r>
      <w:r w:rsidR="00834844" w:rsidRPr="00631F3A">
        <w:rPr>
          <w:rFonts w:hint="eastAsia"/>
        </w:rPr>
        <w:t>S29</w:t>
      </w:r>
      <w:r w:rsidR="00834844" w:rsidRPr="00631F3A">
        <w:t>,</w:t>
      </w:r>
      <w:r w:rsidRPr="00631F3A">
        <w:t xml:space="preserve"> respectively. A very mild cyst </w:t>
      </w:r>
      <w:r w:rsidR="003B09A5" w:rsidRPr="00631F3A">
        <w:t xml:space="preserve">was </w:t>
      </w:r>
      <w:r w:rsidR="00421242" w:rsidRPr="00631F3A">
        <w:t xml:space="preserve">observed </w:t>
      </w:r>
      <w:r w:rsidR="003B09A5" w:rsidRPr="00631F3A">
        <w:t xml:space="preserve">in the left kidney in </w:t>
      </w:r>
      <w:r w:rsidR="00421242" w:rsidRPr="00631F3A">
        <w:t xml:space="preserve">one </w:t>
      </w:r>
      <w:r w:rsidRPr="00631F3A">
        <w:t xml:space="preserve">female and </w:t>
      </w:r>
      <w:r w:rsidR="00421242" w:rsidRPr="00631F3A">
        <w:t xml:space="preserve">one </w:t>
      </w:r>
      <w:r w:rsidRPr="00631F3A">
        <w:t xml:space="preserve">male mouse </w:t>
      </w:r>
      <w:r w:rsidR="00421242" w:rsidRPr="00631F3A">
        <w:t>from</w:t>
      </w:r>
      <w:r w:rsidRPr="00631F3A">
        <w:t xml:space="preserve"> the </w:t>
      </w:r>
      <w:r w:rsidR="00421242" w:rsidRPr="00631F3A">
        <w:t xml:space="preserve">physiological saline </w:t>
      </w:r>
      <w:r w:rsidRPr="00631F3A">
        <w:t>control</w:t>
      </w:r>
      <w:r w:rsidR="00421242" w:rsidRPr="00631F3A">
        <w:t xml:space="preserve"> </w:t>
      </w:r>
      <w:r w:rsidRPr="00631F3A">
        <w:t>group</w:t>
      </w:r>
      <w:r w:rsidR="00622E80" w:rsidRPr="00631F3A">
        <w:t>;</w:t>
      </w:r>
      <w:r w:rsidRPr="00631F3A">
        <w:t xml:space="preserve"> </w:t>
      </w:r>
      <w:r w:rsidR="00622E80" w:rsidRPr="00631F3A">
        <w:t>m</w:t>
      </w:r>
      <w:r w:rsidRPr="00631F3A">
        <w:t>ild retinal dysplasia was noted in the right eyeball of a female mouse</w:t>
      </w:r>
      <w:r w:rsidR="00622E80" w:rsidRPr="00631F3A">
        <w:t xml:space="preserve"> from this same group</w:t>
      </w:r>
      <w:r w:rsidRPr="00631F3A">
        <w:t xml:space="preserve">. No abnormalities were </w:t>
      </w:r>
      <w:r w:rsidR="00A92504" w:rsidRPr="00631F3A">
        <w:t xml:space="preserve">detected </w:t>
      </w:r>
      <w:r w:rsidRPr="00631F3A">
        <w:t xml:space="preserve">in female or male mice </w:t>
      </w:r>
      <w:r w:rsidR="00A92504" w:rsidRPr="00631F3A">
        <w:t xml:space="preserve">of </w:t>
      </w:r>
      <w:r w:rsidRPr="00631F3A">
        <w:t xml:space="preserve">the </w:t>
      </w:r>
      <w:r w:rsidR="00A92504" w:rsidRPr="00631F3A">
        <w:t xml:space="preserve">culture medium </w:t>
      </w:r>
      <w:r w:rsidRPr="00631F3A">
        <w:t xml:space="preserve">control group. </w:t>
      </w:r>
      <w:r w:rsidR="00787B1E" w:rsidRPr="00631F3A">
        <w:t>A s</w:t>
      </w:r>
      <w:r w:rsidRPr="00631F3A">
        <w:t xml:space="preserve">pecimen-like remnant was </w:t>
      </w:r>
      <w:r w:rsidR="00787B1E" w:rsidRPr="00631F3A">
        <w:t xml:space="preserve">found </w:t>
      </w:r>
      <w:r w:rsidRPr="00631F3A">
        <w:t xml:space="preserve">at the administration site in </w:t>
      </w:r>
      <w:r w:rsidR="00787B1E" w:rsidRPr="00631F3A">
        <w:t xml:space="preserve">six </w:t>
      </w:r>
      <w:r w:rsidRPr="00631F3A">
        <w:t xml:space="preserve">male mice and </w:t>
      </w:r>
      <w:r w:rsidR="00787B1E" w:rsidRPr="00631F3A">
        <w:t>five</w:t>
      </w:r>
      <w:r w:rsidRPr="00631F3A">
        <w:t xml:space="preserve"> female mice </w:t>
      </w:r>
      <w:r w:rsidR="00787B1E" w:rsidRPr="00631F3A">
        <w:t xml:space="preserve">of </w:t>
      </w:r>
      <w:r w:rsidRPr="00631F3A">
        <w:t xml:space="preserve">the CellSaic group. However, no tumor formation was </w:t>
      </w:r>
      <w:r w:rsidR="00BB4CC0" w:rsidRPr="00631F3A">
        <w:t xml:space="preserve">observed </w:t>
      </w:r>
      <w:r w:rsidRPr="00631F3A">
        <w:t xml:space="preserve">at the site of </w:t>
      </w:r>
      <w:r w:rsidR="00BB4CC0" w:rsidRPr="00631F3A">
        <w:t xml:space="preserve">this </w:t>
      </w:r>
      <w:r w:rsidRPr="00631F3A">
        <w:t xml:space="preserve">specimen-like remnant. </w:t>
      </w:r>
      <w:r w:rsidR="00BB4CC0" w:rsidRPr="00631F3A">
        <w:t>A s</w:t>
      </w:r>
      <w:r w:rsidRPr="00631F3A">
        <w:t xml:space="preserve">pecimen-like remnant was </w:t>
      </w:r>
      <w:r w:rsidR="00BB4CC0" w:rsidRPr="00631F3A">
        <w:t xml:space="preserve">observed </w:t>
      </w:r>
      <w:r w:rsidRPr="00631F3A">
        <w:t xml:space="preserve">in the mice </w:t>
      </w:r>
      <w:r w:rsidR="00BB4CC0" w:rsidRPr="00631F3A">
        <w:t xml:space="preserve">that </w:t>
      </w:r>
      <w:r w:rsidRPr="00631F3A">
        <w:t xml:space="preserve">had subcutaneous nodules at the administration site at the time of </w:t>
      </w:r>
      <w:r w:rsidR="00BB4CC0" w:rsidRPr="00631F3A">
        <w:t xml:space="preserve">the </w:t>
      </w:r>
      <w:r w:rsidR="00D33BEC" w:rsidRPr="00631F3A">
        <w:rPr>
          <w:rFonts w:hint="eastAsia"/>
        </w:rPr>
        <w:t>necropsy</w:t>
      </w:r>
      <w:r w:rsidRPr="00631F3A">
        <w:t>. Fu</w:t>
      </w:r>
      <w:r w:rsidR="003B09A5" w:rsidRPr="00631F3A">
        <w:t>r</w:t>
      </w:r>
      <w:r w:rsidRPr="00631F3A">
        <w:t xml:space="preserve">thermore, very mild dilation of the seminiferous tubule in the left testis was noted in a male mouse, and a very mild cyst was </w:t>
      </w:r>
      <w:r w:rsidR="00BB4CC0" w:rsidRPr="00631F3A">
        <w:t xml:space="preserve">found </w:t>
      </w:r>
      <w:r w:rsidRPr="00631F3A">
        <w:t xml:space="preserve">in the anterior pituitary of a female mouse. No abnormalities were noted in other organs or tissues, and there was no tumor formation. </w:t>
      </w:r>
    </w:p>
    <w:p w:rsidR="00C5485F" w:rsidRPr="00631F3A" w:rsidRDefault="00C5485F" w:rsidP="00853D55">
      <w:pPr>
        <w:pStyle w:val="1"/>
        <w:spacing w:line="480" w:lineRule="auto"/>
      </w:pPr>
    </w:p>
    <w:p w:rsidR="00C5485F" w:rsidRPr="00860A43" w:rsidRDefault="00600A3A" w:rsidP="00853D55">
      <w:pPr>
        <w:spacing w:line="480" w:lineRule="auto"/>
        <w:rPr>
          <w:rFonts w:ascii="Times New Roman" w:eastAsia="MS PGothic" w:hAnsi="Times New Roman" w:cs="Times New Roman"/>
          <w:b/>
          <w:szCs w:val="21"/>
        </w:rPr>
      </w:pPr>
      <w:r w:rsidRPr="00860A43">
        <w:rPr>
          <w:rFonts w:ascii="Times New Roman" w:eastAsia="MS PGothic" w:hAnsi="Times New Roman" w:cs="Times New Roman"/>
          <w:b/>
          <w:szCs w:val="21"/>
        </w:rPr>
        <w:t>Fluorescent labeled hADSC CellSaics were detected in peritoneral cavity</w:t>
      </w:r>
    </w:p>
    <w:p w:rsidR="00D3101D" w:rsidRPr="00600A3A" w:rsidRDefault="00600A3A" w:rsidP="00853D55">
      <w:pPr>
        <w:spacing w:line="480" w:lineRule="auto"/>
        <w:rPr>
          <w:rFonts w:ascii="Times New Roman" w:eastAsia="MS PGothic" w:hAnsi="Times New Roman" w:cs="Times New Roman"/>
          <w:szCs w:val="21"/>
        </w:rPr>
      </w:pPr>
      <w:r>
        <w:rPr>
          <w:rFonts w:ascii="Times New Roman" w:eastAsia="MS PGothic" w:hAnsi="Times New Roman" w:cs="Times New Roman" w:hint="eastAsia"/>
          <w:szCs w:val="21"/>
        </w:rPr>
        <w:t>DiR-labeled hADSC Cellsaics were observed</w:t>
      </w:r>
      <w:r w:rsidR="001D063C">
        <w:rPr>
          <w:rFonts w:ascii="Times New Roman" w:eastAsia="MS PGothic" w:hAnsi="Times New Roman" w:cs="Times New Roman" w:hint="eastAsia"/>
          <w:szCs w:val="21"/>
        </w:rPr>
        <w:t xml:space="preserve"> as fluorescent spots</w:t>
      </w:r>
      <w:r>
        <w:rPr>
          <w:rFonts w:ascii="Times New Roman" w:eastAsia="MS PGothic" w:hAnsi="Times New Roman" w:cs="Times New Roman" w:hint="eastAsia"/>
          <w:szCs w:val="21"/>
        </w:rPr>
        <w:t xml:space="preserve"> on </w:t>
      </w:r>
      <w:r>
        <w:rPr>
          <w:rFonts w:ascii="Times New Roman" w:eastAsia="MS PGothic" w:hAnsi="Times New Roman" w:cs="Times New Roman"/>
          <w:szCs w:val="21"/>
        </w:rPr>
        <w:t>abdominal</w:t>
      </w:r>
      <w:r>
        <w:rPr>
          <w:rFonts w:ascii="Times New Roman" w:eastAsia="MS PGothic" w:hAnsi="Times New Roman" w:cs="Times New Roman" w:hint="eastAsia"/>
          <w:szCs w:val="21"/>
        </w:rPr>
        <w:t xml:space="preserve"> organ surface at day1, 3, 7 and 28 after administration. </w:t>
      </w:r>
    </w:p>
    <w:p w:rsidR="00D3101D" w:rsidRPr="00631F3A" w:rsidRDefault="00D3101D" w:rsidP="00853D55">
      <w:pPr>
        <w:spacing w:line="480" w:lineRule="auto"/>
        <w:rPr>
          <w:rFonts w:ascii="Times New Roman" w:eastAsia="MS PGothic" w:hAnsi="Times New Roman" w:cs="Times New Roman"/>
          <w:szCs w:val="21"/>
        </w:rPr>
      </w:pPr>
    </w:p>
    <w:p w:rsidR="00D3101D" w:rsidRPr="00631F3A" w:rsidRDefault="00D3101D" w:rsidP="00853D55">
      <w:pPr>
        <w:spacing w:line="480" w:lineRule="auto"/>
        <w:rPr>
          <w:rFonts w:ascii="Times New Roman" w:eastAsia="MS PGothic" w:hAnsi="Times New Roman" w:cs="Times New Roman"/>
          <w:szCs w:val="21"/>
        </w:rPr>
      </w:pPr>
    </w:p>
    <w:p w:rsidR="00D3101D" w:rsidRPr="00631F3A" w:rsidRDefault="00D3101D" w:rsidP="00853D55">
      <w:pPr>
        <w:spacing w:line="480" w:lineRule="auto"/>
        <w:rPr>
          <w:rFonts w:ascii="Times New Roman" w:eastAsia="MS PGothic" w:hAnsi="Times New Roman" w:cs="Times New Roman"/>
          <w:szCs w:val="21"/>
        </w:rPr>
      </w:pPr>
    </w:p>
    <w:p w:rsidR="00D3101D" w:rsidRPr="00631F3A" w:rsidRDefault="00D3101D" w:rsidP="00853D55">
      <w:pPr>
        <w:spacing w:line="480" w:lineRule="auto"/>
        <w:rPr>
          <w:rFonts w:ascii="Times New Roman" w:eastAsia="MS PGothic" w:hAnsi="Times New Roman" w:cs="Times New Roman"/>
          <w:b/>
          <w:szCs w:val="21"/>
        </w:rPr>
      </w:pPr>
    </w:p>
    <w:p w:rsidR="006D0D62" w:rsidRPr="00631F3A" w:rsidRDefault="006D0D62" w:rsidP="00853D55">
      <w:pPr>
        <w:spacing w:line="480" w:lineRule="auto"/>
        <w:jc w:val="left"/>
        <w:rPr>
          <w:rFonts w:ascii="Times New Roman" w:eastAsia="MS PGothic" w:hAnsi="Times New Roman" w:cs="Times New Roman"/>
          <w:b/>
          <w:szCs w:val="21"/>
        </w:rPr>
      </w:pPr>
      <w:r w:rsidRPr="00631F3A">
        <w:rPr>
          <w:rFonts w:ascii="Times New Roman" w:eastAsia="MS PGothic" w:hAnsi="Times New Roman" w:cs="Times New Roman" w:hint="eastAsia"/>
          <w:b/>
          <w:szCs w:val="21"/>
        </w:rPr>
        <w:t>Figure Legends</w:t>
      </w:r>
    </w:p>
    <w:p w:rsidR="006D0D62" w:rsidRPr="00631F3A" w:rsidRDefault="006D0D62" w:rsidP="00853D55">
      <w:pPr>
        <w:pStyle w:val="1"/>
        <w:spacing w:line="480" w:lineRule="auto"/>
        <w:ind w:firstLine="0"/>
        <w:jc w:val="left"/>
      </w:pPr>
    </w:p>
    <w:p w:rsidR="00935C0C" w:rsidRPr="00631F3A" w:rsidRDefault="006D0D62" w:rsidP="00853D55">
      <w:pPr>
        <w:pStyle w:val="1"/>
        <w:spacing w:line="480" w:lineRule="auto"/>
        <w:ind w:firstLine="0"/>
        <w:jc w:val="left"/>
      </w:pPr>
      <w:r w:rsidRPr="00631F3A">
        <w:rPr>
          <w:rFonts w:hint="eastAsia"/>
        </w:rPr>
        <w:t>Figure S1</w:t>
      </w:r>
      <w:r w:rsidR="00935C0C" w:rsidRPr="00631F3A">
        <w:rPr>
          <w:rFonts w:hint="eastAsia"/>
        </w:rPr>
        <w:t xml:space="preserve">  </w:t>
      </w:r>
      <w:r w:rsidRPr="00631F3A">
        <w:t xml:space="preserve">Body weights </w:t>
      </w:r>
      <w:r w:rsidRPr="00631F3A">
        <w:rPr>
          <w:rFonts w:hint="eastAsia"/>
        </w:rPr>
        <w:t>in</w:t>
      </w:r>
      <w:r w:rsidRPr="00631F3A">
        <w:t xml:space="preserve"> male mice. </w:t>
      </w:r>
    </w:p>
    <w:p w:rsidR="006D0D62" w:rsidRPr="00631F3A" w:rsidRDefault="006D0D62" w:rsidP="00853D55">
      <w:pPr>
        <w:pStyle w:val="1"/>
        <w:spacing w:line="480" w:lineRule="auto"/>
        <w:ind w:firstLine="0"/>
        <w:jc w:val="left"/>
      </w:pPr>
      <w:r w:rsidRPr="00631F3A">
        <w:t>Control (saline) group; circle, Control (culture media) group: square, CellSaic group; triangle.</w:t>
      </w:r>
    </w:p>
    <w:p w:rsidR="006D0D62" w:rsidRPr="00631F3A" w:rsidRDefault="006D0D62" w:rsidP="00853D55">
      <w:pPr>
        <w:pStyle w:val="1"/>
        <w:spacing w:line="480" w:lineRule="auto"/>
        <w:ind w:firstLine="0"/>
        <w:jc w:val="left"/>
      </w:pPr>
    </w:p>
    <w:p w:rsidR="006D0D62" w:rsidRPr="00631F3A" w:rsidRDefault="006D0D62" w:rsidP="00853D55">
      <w:pPr>
        <w:pStyle w:val="1"/>
        <w:spacing w:line="480" w:lineRule="auto"/>
        <w:ind w:firstLine="0"/>
        <w:jc w:val="left"/>
      </w:pPr>
    </w:p>
    <w:p w:rsidR="00935C0C" w:rsidRPr="00631F3A" w:rsidRDefault="006D0D62" w:rsidP="00853D55">
      <w:pPr>
        <w:pStyle w:val="1"/>
        <w:spacing w:line="480" w:lineRule="auto"/>
        <w:ind w:firstLine="0"/>
        <w:jc w:val="left"/>
      </w:pPr>
      <w:r w:rsidRPr="00631F3A">
        <w:rPr>
          <w:rFonts w:hint="eastAsia"/>
        </w:rPr>
        <w:t>Figure S2</w:t>
      </w:r>
      <w:r w:rsidR="00935C0C" w:rsidRPr="00631F3A">
        <w:rPr>
          <w:rFonts w:hint="eastAsia"/>
        </w:rPr>
        <w:t xml:space="preserve">  </w:t>
      </w:r>
      <w:r w:rsidRPr="00631F3A">
        <w:t xml:space="preserve">Body weights </w:t>
      </w:r>
      <w:r w:rsidRPr="00631F3A">
        <w:rPr>
          <w:rFonts w:hint="eastAsia"/>
        </w:rPr>
        <w:t>in</w:t>
      </w:r>
      <w:r w:rsidRPr="00631F3A">
        <w:t xml:space="preserve"> </w:t>
      </w:r>
      <w:r w:rsidRPr="00631F3A">
        <w:rPr>
          <w:rFonts w:hint="eastAsia"/>
        </w:rPr>
        <w:t>fe</w:t>
      </w:r>
      <w:r w:rsidRPr="00631F3A">
        <w:t xml:space="preserve">male mice. </w:t>
      </w:r>
    </w:p>
    <w:p w:rsidR="006D0D62" w:rsidRPr="00631F3A" w:rsidRDefault="006D0D62" w:rsidP="00853D55">
      <w:pPr>
        <w:pStyle w:val="1"/>
        <w:spacing w:line="480" w:lineRule="auto"/>
        <w:ind w:firstLine="0"/>
        <w:jc w:val="left"/>
      </w:pPr>
      <w:r w:rsidRPr="00631F3A">
        <w:t>Control (saline) group; circle, Control (culture media) group: square, CellSaic group; triangle.</w:t>
      </w:r>
    </w:p>
    <w:p w:rsidR="006D0D62" w:rsidRPr="00631F3A" w:rsidRDefault="006D0D62" w:rsidP="00853D55">
      <w:pPr>
        <w:pStyle w:val="1"/>
        <w:spacing w:line="480" w:lineRule="auto"/>
        <w:ind w:firstLine="0"/>
        <w:jc w:val="left"/>
      </w:pPr>
    </w:p>
    <w:p w:rsidR="006D0D62" w:rsidRPr="00631F3A" w:rsidRDefault="006D0D62" w:rsidP="00853D55">
      <w:pPr>
        <w:pStyle w:val="1"/>
        <w:spacing w:line="480" w:lineRule="auto"/>
        <w:ind w:firstLine="0"/>
        <w:jc w:val="left"/>
      </w:pPr>
    </w:p>
    <w:p w:rsidR="00935C0C" w:rsidRPr="00631F3A" w:rsidRDefault="006D0D62" w:rsidP="00853D55">
      <w:pPr>
        <w:pStyle w:val="1"/>
        <w:spacing w:line="480" w:lineRule="auto"/>
        <w:ind w:firstLine="0"/>
        <w:jc w:val="left"/>
      </w:pPr>
      <w:r w:rsidRPr="00631F3A">
        <w:rPr>
          <w:rFonts w:hint="eastAsia"/>
        </w:rPr>
        <w:t>Figure S3</w:t>
      </w:r>
      <w:r w:rsidR="00935C0C" w:rsidRPr="00631F3A">
        <w:rPr>
          <w:rFonts w:hint="eastAsia"/>
        </w:rPr>
        <w:t xml:space="preserve">  </w:t>
      </w:r>
      <w:r w:rsidRPr="00631F3A">
        <w:t xml:space="preserve">Food consumption in male mice. </w:t>
      </w:r>
    </w:p>
    <w:p w:rsidR="006D0D62" w:rsidRPr="00631F3A" w:rsidRDefault="006D0D62" w:rsidP="00853D55">
      <w:pPr>
        <w:pStyle w:val="1"/>
        <w:spacing w:line="480" w:lineRule="auto"/>
        <w:ind w:firstLine="0"/>
        <w:jc w:val="left"/>
      </w:pPr>
      <w:r w:rsidRPr="00631F3A">
        <w:t>Control (saline) group; circle, Control (culture media) group: square, CellSaic group; triangle.</w:t>
      </w:r>
      <w:r w:rsidR="001E78E2" w:rsidRPr="00631F3A">
        <w:rPr>
          <w:rFonts w:eastAsia="MS PGothic" w:hint="eastAsia"/>
        </w:rPr>
        <w:t xml:space="preserve"> CellSaic group was significantly different from the control (saline) group (*: </w:t>
      </w:r>
      <w:r w:rsidR="001E78E2" w:rsidRPr="00631F3A">
        <w:rPr>
          <w:rFonts w:eastAsia="MS PGothic"/>
        </w:rPr>
        <w:t>P &lt; 0.0</w:t>
      </w:r>
      <w:r w:rsidR="001E78E2" w:rsidRPr="00631F3A">
        <w:rPr>
          <w:rFonts w:eastAsia="MS PGothic" w:hint="eastAsia"/>
        </w:rPr>
        <w:t xml:space="preserve">5 by Turkey-Kramer test) and the control (culture madia) group (+: </w:t>
      </w:r>
      <w:r w:rsidR="001E78E2" w:rsidRPr="00631F3A">
        <w:rPr>
          <w:rFonts w:eastAsia="MS PGothic"/>
        </w:rPr>
        <w:t>P &lt; 0.0</w:t>
      </w:r>
      <w:r w:rsidR="001E78E2" w:rsidRPr="00631F3A">
        <w:rPr>
          <w:rFonts w:eastAsia="MS PGothic" w:hint="eastAsia"/>
        </w:rPr>
        <w:t>5 by Turkey-Kramer test).</w:t>
      </w:r>
    </w:p>
    <w:p w:rsidR="006D0D62" w:rsidRPr="00631F3A" w:rsidRDefault="006D0D62" w:rsidP="00853D55">
      <w:pPr>
        <w:pStyle w:val="1"/>
        <w:spacing w:line="480" w:lineRule="auto"/>
        <w:ind w:firstLine="0"/>
        <w:jc w:val="left"/>
      </w:pPr>
    </w:p>
    <w:p w:rsidR="006D0D62" w:rsidRPr="00631F3A" w:rsidRDefault="006D0D62" w:rsidP="00853D55">
      <w:pPr>
        <w:pStyle w:val="1"/>
        <w:spacing w:line="480" w:lineRule="auto"/>
        <w:ind w:firstLine="0"/>
        <w:jc w:val="left"/>
      </w:pPr>
    </w:p>
    <w:p w:rsidR="00935C0C" w:rsidRPr="00631F3A" w:rsidRDefault="006D0D62" w:rsidP="00853D55">
      <w:pPr>
        <w:pStyle w:val="1"/>
        <w:spacing w:line="480" w:lineRule="auto"/>
        <w:ind w:firstLine="0"/>
        <w:jc w:val="left"/>
      </w:pPr>
      <w:r w:rsidRPr="00631F3A">
        <w:rPr>
          <w:rFonts w:hint="eastAsia"/>
        </w:rPr>
        <w:t>Figure S4</w:t>
      </w:r>
      <w:r w:rsidR="00935C0C" w:rsidRPr="00631F3A">
        <w:rPr>
          <w:rFonts w:hint="eastAsia"/>
        </w:rPr>
        <w:t xml:space="preserve">  </w:t>
      </w:r>
      <w:r w:rsidRPr="00631F3A">
        <w:t xml:space="preserve">Food consumption in </w:t>
      </w:r>
      <w:r w:rsidRPr="00631F3A">
        <w:rPr>
          <w:rFonts w:hint="eastAsia"/>
        </w:rPr>
        <w:t>fe</w:t>
      </w:r>
      <w:r w:rsidRPr="00631F3A">
        <w:t xml:space="preserve">male mice. </w:t>
      </w:r>
    </w:p>
    <w:p w:rsidR="006D0D62" w:rsidRDefault="006D0D62" w:rsidP="00853D55">
      <w:pPr>
        <w:pStyle w:val="1"/>
        <w:spacing w:line="480" w:lineRule="auto"/>
        <w:ind w:firstLine="0"/>
        <w:jc w:val="left"/>
      </w:pPr>
      <w:r w:rsidRPr="00631F3A">
        <w:t>Control (saline) group; circle, Control (culture media) group: square, CellSaic group; triangle.</w:t>
      </w:r>
    </w:p>
    <w:p w:rsidR="00600A3A" w:rsidRDefault="00600A3A" w:rsidP="00853D55">
      <w:pPr>
        <w:pStyle w:val="1"/>
        <w:spacing w:line="480" w:lineRule="auto"/>
        <w:ind w:firstLine="0"/>
        <w:jc w:val="left"/>
      </w:pPr>
    </w:p>
    <w:p w:rsidR="00600A3A" w:rsidRPr="00631F3A" w:rsidRDefault="00600A3A" w:rsidP="00600A3A">
      <w:pPr>
        <w:pStyle w:val="1"/>
        <w:spacing w:line="480" w:lineRule="auto"/>
        <w:ind w:firstLine="0"/>
        <w:jc w:val="left"/>
      </w:pPr>
      <w:r>
        <w:rPr>
          <w:rFonts w:hint="eastAsia"/>
        </w:rPr>
        <w:t>Figure S5</w:t>
      </w:r>
      <w:r w:rsidRPr="00631F3A">
        <w:rPr>
          <w:rFonts w:hint="eastAsia"/>
        </w:rPr>
        <w:t xml:space="preserve">  </w:t>
      </w:r>
      <w:r>
        <w:rPr>
          <w:rFonts w:hint="eastAsia"/>
        </w:rPr>
        <w:t xml:space="preserve">Fluorescent labeled hADSC CellSaic detection by IVIS </w:t>
      </w:r>
    </w:p>
    <w:p w:rsidR="00600A3A" w:rsidRPr="00600A3A" w:rsidRDefault="00600A3A" w:rsidP="00853D55">
      <w:pPr>
        <w:pStyle w:val="1"/>
        <w:spacing w:line="480" w:lineRule="auto"/>
        <w:ind w:firstLine="0"/>
        <w:jc w:val="left"/>
      </w:pPr>
      <w:r>
        <w:rPr>
          <w:rFonts w:hint="eastAsia"/>
        </w:rPr>
        <w:t>DiR-labeled hADSC CellSaic</w:t>
      </w:r>
      <w:r w:rsidR="001D063C">
        <w:rPr>
          <w:rFonts w:hint="eastAsia"/>
        </w:rPr>
        <w:t>s</w:t>
      </w:r>
      <w:r>
        <w:rPr>
          <w:rFonts w:hint="eastAsia"/>
        </w:rPr>
        <w:t xml:space="preserve"> were injected intraperitoneally and fluorescent spots</w:t>
      </w:r>
      <w:r w:rsidR="001D063C">
        <w:rPr>
          <w:rFonts w:hint="eastAsia"/>
        </w:rPr>
        <w:t xml:space="preserve"> of DiR-labeled hADSC </w:t>
      </w:r>
      <w:r w:rsidR="001D063C">
        <w:rPr>
          <w:rFonts w:hint="eastAsia"/>
        </w:rPr>
        <w:lastRenderedPageBreak/>
        <w:t>CellSaics</w:t>
      </w:r>
      <w:r>
        <w:rPr>
          <w:rFonts w:hint="eastAsia"/>
        </w:rPr>
        <w:t xml:space="preserve"> were detected by IVIS imaging system at day1, 3, 7 and 28 after administration.</w:t>
      </w:r>
    </w:p>
    <w:p w:rsidR="006D0D62" w:rsidRPr="00631F3A" w:rsidRDefault="006D0D62" w:rsidP="00853D55">
      <w:pPr>
        <w:pStyle w:val="1"/>
        <w:spacing w:line="480" w:lineRule="auto"/>
        <w:ind w:firstLine="0"/>
        <w:jc w:val="left"/>
      </w:pPr>
    </w:p>
    <w:p w:rsidR="00702FC7" w:rsidRPr="00631F3A" w:rsidRDefault="00702FC7" w:rsidP="00853D55">
      <w:pPr>
        <w:pStyle w:val="1"/>
        <w:spacing w:line="480" w:lineRule="auto"/>
        <w:ind w:firstLine="0"/>
        <w:jc w:val="left"/>
      </w:pPr>
    </w:p>
    <w:p w:rsidR="00702FC7" w:rsidRPr="00631F3A" w:rsidRDefault="00702FC7" w:rsidP="00702FC7">
      <w:pPr>
        <w:pStyle w:val="1"/>
        <w:ind w:firstLine="0"/>
        <w:jc w:val="left"/>
      </w:pPr>
      <w:r w:rsidRPr="00631F3A">
        <w:rPr>
          <w:rFonts w:hint="eastAsia"/>
        </w:rPr>
        <w:t>Table S1. Items of urinalysis test</w:t>
      </w:r>
    </w:p>
    <w:p w:rsidR="00702FC7" w:rsidRPr="00631F3A" w:rsidRDefault="00702FC7" w:rsidP="00702FC7">
      <w:pPr>
        <w:pStyle w:val="1"/>
        <w:ind w:firstLine="0"/>
      </w:pPr>
    </w:p>
    <w:tbl>
      <w:tblPr>
        <w:tblW w:w="8007" w:type="dxa"/>
        <w:tblInd w:w="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8"/>
        <w:gridCol w:w="912"/>
        <w:gridCol w:w="1957"/>
        <w:gridCol w:w="3010"/>
      </w:tblGrid>
      <w:tr w:rsidR="00702FC7" w:rsidRPr="00631F3A" w:rsidTr="00CD58C6">
        <w:tc>
          <w:tcPr>
            <w:tcW w:w="2128" w:type="dxa"/>
            <w:tcBorders>
              <w:top w:val="single" w:sz="4" w:space="0" w:color="auto"/>
              <w:left w:val="single" w:sz="4" w:space="0" w:color="auto"/>
              <w:bottom w:val="single" w:sz="4" w:space="0" w:color="auto"/>
              <w:right w:val="single" w:sz="4" w:space="0" w:color="auto"/>
            </w:tcBorders>
            <w:vAlign w:val="center"/>
          </w:tcPr>
          <w:p w:rsidR="00702FC7" w:rsidRPr="00631F3A" w:rsidRDefault="00702FC7" w:rsidP="00CD58C6">
            <w:pPr>
              <w:pStyle w:val="a"/>
              <w:jc w:val="center"/>
              <w:rPr>
                <w:b/>
              </w:rPr>
            </w:pPr>
            <w:r w:rsidRPr="00631F3A">
              <w:t>Items</w:t>
            </w:r>
          </w:p>
        </w:tc>
        <w:tc>
          <w:tcPr>
            <w:tcW w:w="912" w:type="dxa"/>
            <w:tcBorders>
              <w:top w:val="single" w:sz="4" w:space="0" w:color="auto"/>
              <w:left w:val="single" w:sz="4" w:space="0" w:color="auto"/>
              <w:bottom w:val="single" w:sz="4" w:space="0" w:color="auto"/>
              <w:right w:val="single" w:sz="4" w:space="0" w:color="auto"/>
            </w:tcBorders>
            <w:vAlign w:val="center"/>
          </w:tcPr>
          <w:p w:rsidR="00702FC7" w:rsidRPr="00631F3A" w:rsidRDefault="00702FC7" w:rsidP="00CD58C6">
            <w:pPr>
              <w:pStyle w:val="a"/>
              <w:jc w:val="center"/>
              <w:rPr>
                <w:b/>
              </w:rPr>
            </w:pPr>
            <w:r w:rsidRPr="00631F3A">
              <w:t>Units</w:t>
            </w:r>
          </w:p>
        </w:tc>
        <w:tc>
          <w:tcPr>
            <w:tcW w:w="1957" w:type="dxa"/>
            <w:tcBorders>
              <w:top w:val="single" w:sz="4" w:space="0" w:color="auto"/>
              <w:left w:val="single" w:sz="4" w:space="0" w:color="auto"/>
              <w:bottom w:val="single" w:sz="4" w:space="0" w:color="auto"/>
              <w:right w:val="single" w:sz="4" w:space="0" w:color="auto"/>
            </w:tcBorders>
            <w:vAlign w:val="center"/>
          </w:tcPr>
          <w:p w:rsidR="00702FC7" w:rsidRPr="00631F3A" w:rsidRDefault="00702FC7" w:rsidP="00CD58C6">
            <w:pPr>
              <w:pStyle w:val="a"/>
              <w:jc w:val="center"/>
              <w:rPr>
                <w:b/>
              </w:rPr>
            </w:pPr>
            <w:r w:rsidRPr="00631F3A">
              <w:t>Measurement method</w:t>
            </w:r>
          </w:p>
        </w:tc>
        <w:tc>
          <w:tcPr>
            <w:tcW w:w="3010" w:type="dxa"/>
            <w:tcBorders>
              <w:top w:val="single" w:sz="4" w:space="0" w:color="auto"/>
              <w:left w:val="single" w:sz="4" w:space="0" w:color="auto"/>
              <w:bottom w:val="single" w:sz="4" w:space="0" w:color="auto"/>
              <w:right w:val="single" w:sz="4" w:space="0" w:color="auto"/>
            </w:tcBorders>
            <w:vAlign w:val="center"/>
          </w:tcPr>
          <w:p w:rsidR="00702FC7" w:rsidRPr="00631F3A" w:rsidRDefault="00702FC7" w:rsidP="00CD58C6">
            <w:pPr>
              <w:pStyle w:val="a"/>
              <w:jc w:val="center"/>
              <w:rPr>
                <w:b/>
              </w:rPr>
            </w:pPr>
            <w:r w:rsidRPr="00631F3A">
              <w:t>Equipment</w:t>
            </w:r>
          </w:p>
        </w:tc>
      </w:tr>
      <w:tr w:rsidR="00702FC7" w:rsidRPr="00631F3A" w:rsidTr="00CD58C6">
        <w:trPr>
          <w:trHeight w:val="174"/>
        </w:trPr>
        <w:tc>
          <w:tcPr>
            <w:tcW w:w="2128" w:type="dxa"/>
            <w:tcBorders>
              <w:top w:val="single" w:sz="4" w:space="0" w:color="auto"/>
              <w:left w:val="single" w:sz="4" w:space="0" w:color="auto"/>
              <w:bottom w:val="single" w:sz="4" w:space="0" w:color="auto"/>
              <w:right w:val="single" w:sz="4" w:space="0" w:color="auto"/>
            </w:tcBorders>
            <w:vAlign w:val="center"/>
          </w:tcPr>
          <w:p w:rsidR="00702FC7" w:rsidRPr="00631F3A" w:rsidRDefault="00702FC7" w:rsidP="00CD58C6">
            <w:pPr>
              <w:pStyle w:val="a"/>
              <w:rPr>
                <w:b/>
              </w:rPr>
            </w:pPr>
            <w:r w:rsidRPr="00631F3A">
              <w:t>Color tone</w:t>
            </w:r>
          </w:p>
        </w:tc>
        <w:tc>
          <w:tcPr>
            <w:tcW w:w="912" w:type="dxa"/>
            <w:tcBorders>
              <w:top w:val="single" w:sz="4" w:space="0" w:color="auto"/>
              <w:left w:val="single" w:sz="4" w:space="0" w:color="auto"/>
              <w:bottom w:val="single" w:sz="4" w:space="0" w:color="auto"/>
              <w:right w:val="single" w:sz="4" w:space="0" w:color="auto"/>
            </w:tcBorders>
            <w:vAlign w:val="center"/>
          </w:tcPr>
          <w:p w:rsidR="00702FC7" w:rsidRPr="00631F3A" w:rsidRDefault="00702FC7" w:rsidP="00CD58C6">
            <w:pPr>
              <w:pStyle w:val="a"/>
              <w:jc w:val="center"/>
              <w:rPr>
                <w:b/>
              </w:rPr>
            </w:pPr>
            <w:r w:rsidRPr="00631F3A">
              <w:t>–</w:t>
            </w:r>
          </w:p>
        </w:tc>
        <w:tc>
          <w:tcPr>
            <w:tcW w:w="1957" w:type="dxa"/>
            <w:tcBorders>
              <w:top w:val="single" w:sz="4" w:space="0" w:color="auto"/>
              <w:left w:val="single" w:sz="4" w:space="0" w:color="auto"/>
              <w:bottom w:val="single" w:sz="4" w:space="0" w:color="auto"/>
              <w:right w:val="single" w:sz="4" w:space="0" w:color="auto"/>
            </w:tcBorders>
            <w:vAlign w:val="center"/>
          </w:tcPr>
          <w:p w:rsidR="00702FC7" w:rsidRPr="00631F3A" w:rsidRDefault="00702FC7" w:rsidP="00CD58C6">
            <w:pPr>
              <w:pStyle w:val="a"/>
              <w:jc w:val="center"/>
              <w:rPr>
                <w:b/>
              </w:rPr>
            </w:pPr>
            <w:r w:rsidRPr="00631F3A">
              <w:t>Appearance evaluation</w:t>
            </w:r>
          </w:p>
        </w:tc>
        <w:tc>
          <w:tcPr>
            <w:tcW w:w="3010" w:type="dxa"/>
            <w:tcBorders>
              <w:top w:val="single" w:sz="4" w:space="0" w:color="auto"/>
              <w:left w:val="single" w:sz="4" w:space="0" w:color="auto"/>
              <w:bottom w:val="single" w:sz="4" w:space="0" w:color="auto"/>
              <w:right w:val="single" w:sz="4" w:space="0" w:color="auto"/>
            </w:tcBorders>
            <w:vAlign w:val="center"/>
          </w:tcPr>
          <w:p w:rsidR="00702FC7" w:rsidRPr="00631F3A" w:rsidRDefault="00702FC7" w:rsidP="00CD58C6">
            <w:pPr>
              <w:pStyle w:val="a"/>
              <w:rPr>
                <w:b/>
              </w:rPr>
            </w:pPr>
            <w:r w:rsidRPr="00631F3A">
              <w:t>–</w:t>
            </w:r>
          </w:p>
        </w:tc>
      </w:tr>
      <w:tr w:rsidR="00702FC7" w:rsidRPr="00631F3A" w:rsidTr="00CD58C6">
        <w:trPr>
          <w:cantSplit/>
        </w:trPr>
        <w:tc>
          <w:tcPr>
            <w:tcW w:w="2128" w:type="dxa"/>
            <w:tcBorders>
              <w:top w:val="single" w:sz="4" w:space="0" w:color="auto"/>
              <w:left w:val="single" w:sz="4" w:space="0" w:color="auto"/>
              <w:bottom w:val="nil"/>
              <w:right w:val="single" w:sz="4" w:space="0" w:color="auto"/>
            </w:tcBorders>
            <w:vAlign w:val="center"/>
          </w:tcPr>
          <w:p w:rsidR="00702FC7" w:rsidRPr="00631F3A" w:rsidRDefault="00702FC7" w:rsidP="00CD58C6">
            <w:pPr>
              <w:pStyle w:val="a"/>
              <w:rPr>
                <w:b/>
              </w:rPr>
            </w:pPr>
            <w:r w:rsidRPr="00631F3A">
              <w:t>pH</w:t>
            </w:r>
          </w:p>
        </w:tc>
        <w:tc>
          <w:tcPr>
            <w:tcW w:w="912" w:type="dxa"/>
            <w:tcBorders>
              <w:top w:val="single" w:sz="4" w:space="0" w:color="auto"/>
              <w:left w:val="single" w:sz="4" w:space="0" w:color="auto"/>
              <w:bottom w:val="nil"/>
              <w:right w:val="single" w:sz="4" w:space="0" w:color="auto"/>
            </w:tcBorders>
            <w:vAlign w:val="center"/>
          </w:tcPr>
          <w:p w:rsidR="00702FC7" w:rsidRPr="00631F3A" w:rsidRDefault="00702FC7" w:rsidP="00CD58C6">
            <w:pPr>
              <w:pStyle w:val="a"/>
              <w:jc w:val="center"/>
              <w:rPr>
                <w:b/>
              </w:rPr>
            </w:pPr>
            <w:r w:rsidRPr="00631F3A">
              <w:t>–</w:t>
            </w:r>
          </w:p>
        </w:tc>
        <w:tc>
          <w:tcPr>
            <w:tcW w:w="1957" w:type="dxa"/>
            <w:vMerge w:val="restart"/>
            <w:tcBorders>
              <w:top w:val="single" w:sz="4" w:space="0" w:color="auto"/>
              <w:left w:val="single" w:sz="4" w:space="0" w:color="auto"/>
              <w:right w:val="single" w:sz="4" w:space="0" w:color="auto"/>
            </w:tcBorders>
            <w:vAlign w:val="center"/>
          </w:tcPr>
          <w:p w:rsidR="00702FC7" w:rsidRPr="00631F3A" w:rsidRDefault="00702FC7" w:rsidP="00CD58C6">
            <w:pPr>
              <w:pStyle w:val="a"/>
              <w:jc w:val="center"/>
              <w:rPr>
                <w:b/>
              </w:rPr>
            </w:pPr>
            <w:r w:rsidRPr="00631F3A">
              <w:t>Urinalysis test strip</w:t>
            </w:r>
          </w:p>
        </w:tc>
        <w:tc>
          <w:tcPr>
            <w:tcW w:w="3010" w:type="dxa"/>
            <w:vMerge w:val="restart"/>
            <w:tcBorders>
              <w:top w:val="single" w:sz="4" w:space="0" w:color="auto"/>
              <w:left w:val="single" w:sz="4" w:space="0" w:color="auto"/>
              <w:right w:val="single" w:sz="4" w:space="0" w:color="auto"/>
            </w:tcBorders>
            <w:vAlign w:val="center"/>
          </w:tcPr>
          <w:p w:rsidR="00702FC7" w:rsidRPr="00631F3A" w:rsidRDefault="00702FC7" w:rsidP="00CD58C6">
            <w:pPr>
              <w:pStyle w:val="1"/>
              <w:ind w:firstLine="198"/>
              <w:jc w:val="left"/>
            </w:pPr>
            <w:r w:rsidRPr="00631F3A">
              <w:t>Urine chemistry analyzer*</w:t>
            </w:r>
          </w:p>
          <w:p w:rsidR="00702FC7" w:rsidRPr="00631F3A" w:rsidRDefault="00702FC7" w:rsidP="00CD58C6">
            <w:pPr>
              <w:pStyle w:val="1"/>
              <w:ind w:firstLine="198"/>
              <w:jc w:val="left"/>
            </w:pPr>
            <w:r w:rsidRPr="00631F3A">
              <w:t>CLINITEK Advantus</w:t>
            </w:r>
          </w:p>
          <w:p w:rsidR="00702FC7" w:rsidRPr="00631F3A" w:rsidRDefault="00702FC7" w:rsidP="00CD58C6">
            <w:pPr>
              <w:pStyle w:val="1"/>
              <w:ind w:firstLine="0"/>
              <w:jc w:val="left"/>
              <w:rPr>
                <w:b/>
              </w:rPr>
            </w:pPr>
            <w:r w:rsidRPr="00631F3A">
              <w:t>(Siemens Healthcare Diagnostics K.K.)</w:t>
            </w:r>
          </w:p>
        </w:tc>
      </w:tr>
      <w:tr w:rsidR="00702FC7" w:rsidRPr="00631F3A" w:rsidTr="00CD58C6">
        <w:trPr>
          <w:cantSplit/>
        </w:trPr>
        <w:tc>
          <w:tcPr>
            <w:tcW w:w="2128" w:type="dxa"/>
            <w:tcBorders>
              <w:top w:val="nil"/>
              <w:left w:val="single" w:sz="4" w:space="0" w:color="auto"/>
              <w:bottom w:val="nil"/>
              <w:right w:val="single" w:sz="4" w:space="0" w:color="auto"/>
            </w:tcBorders>
            <w:vAlign w:val="center"/>
          </w:tcPr>
          <w:p w:rsidR="00702FC7" w:rsidRPr="00631F3A" w:rsidRDefault="00702FC7" w:rsidP="00CD58C6">
            <w:pPr>
              <w:pStyle w:val="a"/>
              <w:rPr>
                <w:b/>
              </w:rPr>
            </w:pPr>
            <w:r w:rsidRPr="00631F3A">
              <w:t>Protein</w:t>
            </w:r>
          </w:p>
        </w:tc>
        <w:tc>
          <w:tcPr>
            <w:tcW w:w="912" w:type="dxa"/>
            <w:tcBorders>
              <w:top w:val="nil"/>
              <w:left w:val="single" w:sz="4" w:space="0" w:color="auto"/>
              <w:bottom w:val="nil"/>
              <w:right w:val="single" w:sz="4" w:space="0" w:color="auto"/>
            </w:tcBorders>
            <w:vAlign w:val="center"/>
          </w:tcPr>
          <w:p w:rsidR="00702FC7" w:rsidRPr="00631F3A" w:rsidRDefault="00702FC7" w:rsidP="00CD58C6">
            <w:pPr>
              <w:pStyle w:val="a"/>
              <w:jc w:val="center"/>
              <w:rPr>
                <w:b/>
              </w:rPr>
            </w:pPr>
            <w:r w:rsidRPr="00631F3A">
              <w:t>mg/dL</w:t>
            </w:r>
          </w:p>
        </w:tc>
        <w:tc>
          <w:tcPr>
            <w:tcW w:w="1957"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rPr>
                <w:rFonts w:ascii="Times New Roman" w:hAnsi="Times New Roman" w:cs="Times New Roman"/>
                <w:b/>
                <w:szCs w:val="21"/>
              </w:rPr>
            </w:pPr>
          </w:p>
        </w:tc>
        <w:tc>
          <w:tcPr>
            <w:tcW w:w="3010"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jc w:val="left"/>
              <w:rPr>
                <w:rFonts w:ascii="Times New Roman" w:hAnsi="Times New Roman" w:cs="Times New Roman"/>
                <w:b/>
                <w:szCs w:val="21"/>
              </w:rPr>
            </w:pPr>
          </w:p>
        </w:tc>
      </w:tr>
      <w:tr w:rsidR="00702FC7" w:rsidRPr="00631F3A" w:rsidTr="00CD58C6">
        <w:trPr>
          <w:cantSplit/>
        </w:trPr>
        <w:tc>
          <w:tcPr>
            <w:tcW w:w="2128" w:type="dxa"/>
            <w:tcBorders>
              <w:top w:val="nil"/>
              <w:left w:val="single" w:sz="4" w:space="0" w:color="auto"/>
              <w:bottom w:val="nil"/>
              <w:right w:val="single" w:sz="4" w:space="0" w:color="auto"/>
            </w:tcBorders>
            <w:vAlign w:val="center"/>
          </w:tcPr>
          <w:p w:rsidR="00702FC7" w:rsidRPr="00631F3A" w:rsidRDefault="00702FC7" w:rsidP="00CD58C6">
            <w:pPr>
              <w:pStyle w:val="a"/>
              <w:rPr>
                <w:b/>
              </w:rPr>
            </w:pPr>
            <w:r w:rsidRPr="00631F3A">
              <w:t>Glucose</w:t>
            </w:r>
          </w:p>
        </w:tc>
        <w:tc>
          <w:tcPr>
            <w:tcW w:w="912" w:type="dxa"/>
            <w:tcBorders>
              <w:top w:val="nil"/>
              <w:left w:val="single" w:sz="4" w:space="0" w:color="auto"/>
              <w:bottom w:val="nil"/>
              <w:right w:val="single" w:sz="4" w:space="0" w:color="auto"/>
            </w:tcBorders>
            <w:vAlign w:val="center"/>
          </w:tcPr>
          <w:p w:rsidR="00702FC7" w:rsidRPr="00631F3A" w:rsidRDefault="00702FC7" w:rsidP="00CD58C6">
            <w:pPr>
              <w:pStyle w:val="a"/>
              <w:jc w:val="center"/>
              <w:rPr>
                <w:b/>
              </w:rPr>
            </w:pPr>
            <w:r w:rsidRPr="00631F3A">
              <w:t>mg/dL</w:t>
            </w:r>
          </w:p>
        </w:tc>
        <w:tc>
          <w:tcPr>
            <w:tcW w:w="1957"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rPr>
                <w:rFonts w:ascii="Times New Roman" w:hAnsi="Times New Roman" w:cs="Times New Roman"/>
                <w:b/>
                <w:szCs w:val="21"/>
              </w:rPr>
            </w:pPr>
          </w:p>
        </w:tc>
        <w:tc>
          <w:tcPr>
            <w:tcW w:w="3010"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jc w:val="left"/>
              <w:rPr>
                <w:rFonts w:ascii="Times New Roman" w:hAnsi="Times New Roman" w:cs="Times New Roman"/>
                <w:b/>
                <w:szCs w:val="21"/>
              </w:rPr>
            </w:pPr>
          </w:p>
        </w:tc>
      </w:tr>
      <w:tr w:rsidR="00702FC7" w:rsidRPr="00631F3A" w:rsidTr="00CD58C6">
        <w:trPr>
          <w:cantSplit/>
        </w:trPr>
        <w:tc>
          <w:tcPr>
            <w:tcW w:w="2128" w:type="dxa"/>
            <w:tcBorders>
              <w:top w:val="nil"/>
              <w:left w:val="single" w:sz="4" w:space="0" w:color="auto"/>
              <w:bottom w:val="nil"/>
              <w:right w:val="single" w:sz="4" w:space="0" w:color="auto"/>
            </w:tcBorders>
            <w:vAlign w:val="center"/>
          </w:tcPr>
          <w:p w:rsidR="00702FC7" w:rsidRPr="00631F3A" w:rsidRDefault="00702FC7" w:rsidP="00CD58C6">
            <w:pPr>
              <w:pStyle w:val="a"/>
              <w:rPr>
                <w:b/>
              </w:rPr>
            </w:pPr>
            <w:r w:rsidRPr="00631F3A">
              <w:t>Ketone body</w:t>
            </w:r>
          </w:p>
        </w:tc>
        <w:tc>
          <w:tcPr>
            <w:tcW w:w="912" w:type="dxa"/>
            <w:tcBorders>
              <w:top w:val="nil"/>
              <w:left w:val="single" w:sz="4" w:space="0" w:color="auto"/>
              <w:bottom w:val="nil"/>
              <w:right w:val="single" w:sz="4" w:space="0" w:color="auto"/>
            </w:tcBorders>
            <w:vAlign w:val="center"/>
          </w:tcPr>
          <w:p w:rsidR="00702FC7" w:rsidRPr="00631F3A" w:rsidRDefault="00702FC7" w:rsidP="00CD58C6">
            <w:pPr>
              <w:pStyle w:val="a"/>
              <w:jc w:val="center"/>
              <w:rPr>
                <w:b/>
              </w:rPr>
            </w:pPr>
            <w:r w:rsidRPr="00631F3A">
              <w:t>–</w:t>
            </w:r>
          </w:p>
        </w:tc>
        <w:tc>
          <w:tcPr>
            <w:tcW w:w="1957"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rPr>
                <w:rFonts w:ascii="Times New Roman" w:hAnsi="Times New Roman" w:cs="Times New Roman"/>
                <w:b/>
                <w:szCs w:val="21"/>
              </w:rPr>
            </w:pPr>
          </w:p>
        </w:tc>
        <w:tc>
          <w:tcPr>
            <w:tcW w:w="3010"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jc w:val="left"/>
              <w:rPr>
                <w:rFonts w:ascii="Times New Roman" w:hAnsi="Times New Roman" w:cs="Times New Roman"/>
                <w:b/>
                <w:szCs w:val="21"/>
              </w:rPr>
            </w:pPr>
          </w:p>
        </w:tc>
      </w:tr>
      <w:tr w:rsidR="00702FC7" w:rsidRPr="00631F3A" w:rsidTr="00CD58C6">
        <w:trPr>
          <w:cantSplit/>
        </w:trPr>
        <w:tc>
          <w:tcPr>
            <w:tcW w:w="2128" w:type="dxa"/>
            <w:tcBorders>
              <w:top w:val="nil"/>
              <w:left w:val="single" w:sz="4" w:space="0" w:color="auto"/>
              <w:bottom w:val="nil"/>
              <w:right w:val="single" w:sz="4" w:space="0" w:color="auto"/>
            </w:tcBorders>
            <w:vAlign w:val="center"/>
          </w:tcPr>
          <w:p w:rsidR="00702FC7" w:rsidRPr="00631F3A" w:rsidRDefault="00702FC7" w:rsidP="00CD58C6">
            <w:pPr>
              <w:pStyle w:val="a"/>
              <w:rPr>
                <w:b/>
              </w:rPr>
            </w:pPr>
            <w:r w:rsidRPr="00631F3A">
              <w:t>Bilirubin</w:t>
            </w:r>
          </w:p>
        </w:tc>
        <w:tc>
          <w:tcPr>
            <w:tcW w:w="912" w:type="dxa"/>
            <w:tcBorders>
              <w:top w:val="nil"/>
              <w:left w:val="single" w:sz="4" w:space="0" w:color="auto"/>
              <w:bottom w:val="nil"/>
              <w:right w:val="single" w:sz="4" w:space="0" w:color="auto"/>
            </w:tcBorders>
            <w:vAlign w:val="center"/>
          </w:tcPr>
          <w:p w:rsidR="00702FC7" w:rsidRPr="00631F3A" w:rsidRDefault="00702FC7" w:rsidP="00CD58C6">
            <w:pPr>
              <w:pStyle w:val="a"/>
              <w:jc w:val="center"/>
              <w:rPr>
                <w:b/>
              </w:rPr>
            </w:pPr>
            <w:r w:rsidRPr="00631F3A">
              <w:t>-</w:t>
            </w:r>
          </w:p>
        </w:tc>
        <w:tc>
          <w:tcPr>
            <w:tcW w:w="1957"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rPr>
                <w:rFonts w:ascii="Times New Roman" w:hAnsi="Times New Roman" w:cs="Times New Roman"/>
                <w:b/>
                <w:szCs w:val="21"/>
              </w:rPr>
            </w:pPr>
          </w:p>
        </w:tc>
        <w:tc>
          <w:tcPr>
            <w:tcW w:w="3010"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jc w:val="left"/>
              <w:rPr>
                <w:rFonts w:ascii="Times New Roman" w:hAnsi="Times New Roman" w:cs="Times New Roman"/>
                <w:b/>
                <w:szCs w:val="21"/>
              </w:rPr>
            </w:pPr>
          </w:p>
        </w:tc>
      </w:tr>
      <w:tr w:rsidR="00702FC7" w:rsidRPr="00631F3A" w:rsidTr="00CD58C6">
        <w:trPr>
          <w:cantSplit/>
        </w:trPr>
        <w:tc>
          <w:tcPr>
            <w:tcW w:w="2128" w:type="dxa"/>
            <w:tcBorders>
              <w:top w:val="nil"/>
              <w:left w:val="single" w:sz="4" w:space="0" w:color="auto"/>
              <w:bottom w:val="nil"/>
              <w:right w:val="single" w:sz="4" w:space="0" w:color="auto"/>
            </w:tcBorders>
            <w:vAlign w:val="center"/>
          </w:tcPr>
          <w:p w:rsidR="00702FC7" w:rsidRPr="00631F3A" w:rsidRDefault="00702FC7" w:rsidP="00CD58C6">
            <w:pPr>
              <w:pStyle w:val="a"/>
              <w:rPr>
                <w:b/>
              </w:rPr>
            </w:pPr>
            <w:r w:rsidRPr="00631F3A">
              <w:t>Occult blood</w:t>
            </w:r>
          </w:p>
        </w:tc>
        <w:tc>
          <w:tcPr>
            <w:tcW w:w="912" w:type="dxa"/>
            <w:tcBorders>
              <w:top w:val="nil"/>
              <w:left w:val="single" w:sz="4" w:space="0" w:color="auto"/>
              <w:bottom w:val="nil"/>
              <w:right w:val="single" w:sz="4" w:space="0" w:color="auto"/>
            </w:tcBorders>
            <w:vAlign w:val="center"/>
          </w:tcPr>
          <w:p w:rsidR="00702FC7" w:rsidRPr="00631F3A" w:rsidRDefault="00702FC7" w:rsidP="00CD58C6">
            <w:pPr>
              <w:pStyle w:val="a"/>
              <w:jc w:val="center"/>
              <w:rPr>
                <w:b/>
              </w:rPr>
            </w:pPr>
            <w:r w:rsidRPr="00631F3A">
              <w:t>–</w:t>
            </w:r>
          </w:p>
        </w:tc>
        <w:tc>
          <w:tcPr>
            <w:tcW w:w="1957"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rPr>
                <w:rFonts w:ascii="Times New Roman" w:hAnsi="Times New Roman" w:cs="Times New Roman"/>
                <w:b/>
                <w:szCs w:val="21"/>
              </w:rPr>
            </w:pPr>
          </w:p>
        </w:tc>
        <w:tc>
          <w:tcPr>
            <w:tcW w:w="3010" w:type="dxa"/>
            <w:vMerge/>
            <w:tcBorders>
              <w:left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jc w:val="left"/>
              <w:rPr>
                <w:rFonts w:ascii="Times New Roman" w:hAnsi="Times New Roman" w:cs="Times New Roman"/>
                <w:b/>
                <w:szCs w:val="21"/>
              </w:rPr>
            </w:pPr>
          </w:p>
        </w:tc>
      </w:tr>
      <w:tr w:rsidR="00702FC7" w:rsidRPr="00631F3A" w:rsidTr="00CD58C6">
        <w:trPr>
          <w:cantSplit/>
        </w:trPr>
        <w:tc>
          <w:tcPr>
            <w:tcW w:w="2128" w:type="dxa"/>
            <w:tcBorders>
              <w:top w:val="nil"/>
              <w:left w:val="single" w:sz="4" w:space="0" w:color="auto"/>
              <w:bottom w:val="single" w:sz="4" w:space="0" w:color="auto"/>
              <w:right w:val="single" w:sz="4" w:space="0" w:color="auto"/>
            </w:tcBorders>
            <w:vAlign w:val="center"/>
          </w:tcPr>
          <w:p w:rsidR="00702FC7" w:rsidRPr="00631F3A" w:rsidRDefault="00702FC7" w:rsidP="00CD58C6">
            <w:pPr>
              <w:pStyle w:val="a"/>
              <w:rPr>
                <w:b/>
              </w:rPr>
            </w:pPr>
            <w:r w:rsidRPr="00631F3A">
              <w:t>Urobilinogen</w:t>
            </w:r>
          </w:p>
        </w:tc>
        <w:tc>
          <w:tcPr>
            <w:tcW w:w="912" w:type="dxa"/>
            <w:tcBorders>
              <w:top w:val="nil"/>
              <w:left w:val="single" w:sz="4" w:space="0" w:color="auto"/>
              <w:bottom w:val="single" w:sz="4" w:space="0" w:color="auto"/>
              <w:right w:val="single" w:sz="4" w:space="0" w:color="auto"/>
            </w:tcBorders>
            <w:vAlign w:val="center"/>
          </w:tcPr>
          <w:p w:rsidR="00702FC7" w:rsidRPr="00631F3A" w:rsidRDefault="00702FC7" w:rsidP="00CD58C6">
            <w:pPr>
              <w:pStyle w:val="1"/>
              <w:ind w:firstLine="0"/>
              <w:jc w:val="center"/>
              <w:rPr>
                <w:b/>
              </w:rPr>
            </w:pPr>
            <w:r w:rsidRPr="00631F3A">
              <w:t>E.U./dL</w:t>
            </w:r>
          </w:p>
        </w:tc>
        <w:tc>
          <w:tcPr>
            <w:tcW w:w="1957" w:type="dxa"/>
            <w:vMerge/>
            <w:tcBorders>
              <w:left w:val="single" w:sz="4" w:space="0" w:color="auto"/>
              <w:bottom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rPr>
                <w:rFonts w:ascii="Times New Roman" w:hAnsi="Times New Roman" w:cs="Times New Roman"/>
                <w:b/>
                <w:szCs w:val="21"/>
              </w:rPr>
            </w:pPr>
          </w:p>
        </w:tc>
        <w:tc>
          <w:tcPr>
            <w:tcW w:w="3010" w:type="dxa"/>
            <w:vMerge/>
            <w:tcBorders>
              <w:left w:val="single" w:sz="4" w:space="0" w:color="auto"/>
              <w:bottom w:val="single" w:sz="4" w:space="0" w:color="auto"/>
              <w:right w:val="single" w:sz="4" w:space="0" w:color="auto"/>
            </w:tcBorders>
          </w:tcPr>
          <w:p w:rsidR="00702FC7" w:rsidRPr="00631F3A" w:rsidRDefault="00702FC7" w:rsidP="005C0EDC">
            <w:pPr>
              <w:autoSpaceDE w:val="0"/>
              <w:autoSpaceDN w:val="0"/>
              <w:spacing w:beforeLines="10" w:before="36" w:afterLines="10" w:after="36" w:line="260" w:lineRule="exact"/>
              <w:jc w:val="left"/>
              <w:rPr>
                <w:rFonts w:ascii="Times New Roman" w:hAnsi="Times New Roman" w:cs="Times New Roman"/>
                <w:b/>
                <w:szCs w:val="21"/>
              </w:rPr>
            </w:pPr>
          </w:p>
        </w:tc>
      </w:tr>
    </w:tbl>
    <w:p w:rsidR="00702FC7" w:rsidRPr="00631F3A" w:rsidRDefault="00702FC7" w:rsidP="00702FC7">
      <w:pPr>
        <w:pStyle w:val="a"/>
        <w:ind w:firstLineChars="150" w:firstLine="315"/>
      </w:pPr>
      <w:r w:rsidRPr="00631F3A">
        <w:t xml:space="preserve">*: Visual evaluation was performed when the volume of urine was small. </w:t>
      </w:r>
    </w:p>
    <w:p w:rsidR="00702FC7" w:rsidRPr="00631F3A" w:rsidRDefault="00702FC7" w:rsidP="00702FC7">
      <w:pPr>
        <w:pStyle w:val="a"/>
        <w:ind w:firstLineChars="150" w:firstLine="315"/>
      </w:pPr>
    </w:p>
    <w:p w:rsidR="00702FC7" w:rsidRPr="00631F3A" w:rsidRDefault="00702FC7" w:rsidP="00702FC7">
      <w:pPr>
        <w:spacing w:line="480" w:lineRule="auto"/>
        <w:rPr>
          <w:rFonts w:ascii="Times New Roman" w:hAnsi="Times New Roman" w:cs="Times New Roman"/>
          <w:b/>
          <w:szCs w:val="21"/>
        </w:rPr>
      </w:pPr>
    </w:p>
    <w:p w:rsidR="00702FC7" w:rsidRPr="00631F3A" w:rsidRDefault="00702FC7" w:rsidP="00702FC7">
      <w:pPr>
        <w:pStyle w:val="1"/>
        <w:ind w:firstLine="0"/>
      </w:pPr>
      <w:r w:rsidRPr="00631F3A">
        <w:rPr>
          <w:rFonts w:hint="eastAsia"/>
        </w:rPr>
        <w:t>Table S2. Items of hematological test</w:t>
      </w:r>
    </w:p>
    <w:p w:rsidR="00702FC7" w:rsidRPr="00631F3A" w:rsidRDefault="00702FC7" w:rsidP="00702FC7">
      <w:pPr>
        <w:pStyle w:val="a"/>
        <w:ind w:firstLineChars="150" w:firstLine="315"/>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402"/>
        <w:gridCol w:w="851"/>
        <w:gridCol w:w="2977"/>
        <w:gridCol w:w="2126"/>
      </w:tblGrid>
      <w:tr w:rsidR="00702FC7" w:rsidRPr="00631F3A" w:rsidTr="00CD58C6">
        <w:tc>
          <w:tcPr>
            <w:tcW w:w="3402" w:type="dxa"/>
            <w:tcBorders>
              <w:top w:val="single" w:sz="6" w:space="0" w:color="auto"/>
              <w:left w:val="single" w:sz="6" w:space="0" w:color="auto"/>
              <w:bottom w:val="single" w:sz="6" w:space="0" w:color="auto"/>
              <w:right w:val="single" w:sz="6" w:space="0" w:color="auto"/>
            </w:tcBorders>
          </w:tcPr>
          <w:p w:rsidR="00702FC7" w:rsidRPr="00631F3A" w:rsidRDefault="00702FC7" w:rsidP="00CD58C6">
            <w:pPr>
              <w:pStyle w:val="a"/>
              <w:rPr>
                <w:b/>
              </w:rPr>
            </w:pPr>
            <w:r w:rsidRPr="00631F3A">
              <w:t>Items</w:t>
            </w:r>
          </w:p>
        </w:tc>
        <w:tc>
          <w:tcPr>
            <w:tcW w:w="851" w:type="dxa"/>
            <w:tcBorders>
              <w:top w:val="single" w:sz="6" w:space="0" w:color="auto"/>
              <w:left w:val="single" w:sz="6" w:space="0" w:color="auto"/>
              <w:bottom w:val="single" w:sz="6" w:space="0" w:color="auto"/>
              <w:right w:val="single" w:sz="6" w:space="0" w:color="auto"/>
            </w:tcBorders>
          </w:tcPr>
          <w:p w:rsidR="00702FC7" w:rsidRPr="00631F3A" w:rsidRDefault="00702FC7" w:rsidP="00CD58C6">
            <w:pPr>
              <w:pStyle w:val="a"/>
              <w:jc w:val="center"/>
              <w:rPr>
                <w:b/>
              </w:rPr>
            </w:pPr>
            <w:r w:rsidRPr="00631F3A">
              <w:t>Unit</w:t>
            </w:r>
          </w:p>
        </w:tc>
        <w:tc>
          <w:tcPr>
            <w:tcW w:w="2977" w:type="dxa"/>
            <w:tcBorders>
              <w:top w:val="single" w:sz="6" w:space="0" w:color="auto"/>
              <w:left w:val="single" w:sz="6" w:space="0" w:color="auto"/>
              <w:bottom w:val="single" w:sz="6" w:space="0" w:color="auto"/>
              <w:right w:val="single" w:sz="6" w:space="0" w:color="auto"/>
            </w:tcBorders>
          </w:tcPr>
          <w:p w:rsidR="00702FC7" w:rsidRPr="00631F3A" w:rsidRDefault="00702FC7" w:rsidP="00CD58C6">
            <w:pPr>
              <w:pStyle w:val="a"/>
              <w:jc w:val="center"/>
              <w:rPr>
                <w:b/>
              </w:rPr>
            </w:pPr>
            <w:r w:rsidRPr="00631F3A">
              <w:t>Measurement method</w:t>
            </w:r>
          </w:p>
        </w:tc>
        <w:tc>
          <w:tcPr>
            <w:tcW w:w="2126" w:type="dxa"/>
            <w:tcBorders>
              <w:top w:val="single" w:sz="6" w:space="0" w:color="auto"/>
              <w:left w:val="single" w:sz="6" w:space="0" w:color="auto"/>
              <w:bottom w:val="single" w:sz="6" w:space="0" w:color="auto"/>
              <w:right w:val="single" w:sz="6" w:space="0" w:color="auto"/>
            </w:tcBorders>
          </w:tcPr>
          <w:p w:rsidR="00702FC7" w:rsidRPr="00631F3A" w:rsidRDefault="00702FC7" w:rsidP="00CD58C6">
            <w:pPr>
              <w:pStyle w:val="a"/>
              <w:jc w:val="center"/>
              <w:rPr>
                <w:b/>
              </w:rPr>
            </w:pPr>
            <w:r w:rsidRPr="00631F3A">
              <w:t>Equipment</w:t>
            </w:r>
          </w:p>
        </w:tc>
      </w:tr>
      <w:tr w:rsidR="00702FC7" w:rsidRPr="00631F3A" w:rsidTr="00CD58C6">
        <w:trPr>
          <w:cantSplit/>
          <w:trHeight w:val="543"/>
        </w:trPr>
        <w:tc>
          <w:tcPr>
            <w:tcW w:w="3402" w:type="dxa"/>
            <w:tcBorders>
              <w:top w:val="single" w:sz="6" w:space="0" w:color="auto"/>
              <w:left w:val="single" w:sz="6" w:space="0" w:color="auto"/>
              <w:bottom w:val="nil"/>
              <w:right w:val="single" w:sz="6" w:space="0" w:color="auto"/>
            </w:tcBorders>
            <w:vAlign w:val="center"/>
          </w:tcPr>
          <w:p w:rsidR="00702FC7" w:rsidRPr="00631F3A" w:rsidRDefault="00702FC7" w:rsidP="00CD58C6">
            <w:pPr>
              <w:pStyle w:val="a"/>
              <w:rPr>
                <w:b/>
              </w:rPr>
            </w:pPr>
            <w:r w:rsidRPr="00631F3A">
              <w:t>Red blood cell count (RBC)</w:t>
            </w:r>
          </w:p>
        </w:tc>
        <w:tc>
          <w:tcPr>
            <w:tcW w:w="851" w:type="dxa"/>
            <w:tcBorders>
              <w:top w:val="single" w:sz="6" w:space="0" w:color="auto"/>
              <w:left w:val="single" w:sz="6" w:space="0" w:color="auto"/>
              <w:bottom w:val="nil"/>
              <w:right w:val="single" w:sz="6" w:space="0" w:color="auto"/>
            </w:tcBorders>
            <w:vAlign w:val="center"/>
          </w:tcPr>
          <w:p w:rsidR="00702FC7" w:rsidRPr="00631F3A" w:rsidRDefault="00702FC7" w:rsidP="00CD58C6">
            <w:pPr>
              <w:pStyle w:val="a"/>
              <w:jc w:val="center"/>
              <w:rPr>
                <w:b/>
              </w:rPr>
            </w:pPr>
            <w:r w:rsidRPr="00631F3A">
              <w:t>10</w:t>
            </w:r>
            <w:r w:rsidRPr="00631F3A">
              <w:rPr>
                <w:vertAlign w:val="superscript"/>
              </w:rPr>
              <w:t>4</w:t>
            </w:r>
            <w:r w:rsidRPr="00631F3A">
              <w:t>/µL</w:t>
            </w:r>
          </w:p>
        </w:tc>
        <w:tc>
          <w:tcPr>
            <w:tcW w:w="2977" w:type="dxa"/>
            <w:tcBorders>
              <w:top w:val="single" w:sz="6" w:space="0" w:color="auto"/>
              <w:left w:val="single" w:sz="6" w:space="0" w:color="auto"/>
              <w:bottom w:val="nil"/>
              <w:right w:val="single" w:sz="6" w:space="0" w:color="auto"/>
            </w:tcBorders>
            <w:vAlign w:val="center"/>
          </w:tcPr>
          <w:p w:rsidR="00702FC7" w:rsidRPr="00631F3A" w:rsidRDefault="00702FC7" w:rsidP="00CD58C6">
            <w:pPr>
              <w:pStyle w:val="a"/>
              <w:rPr>
                <w:b/>
              </w:rPr>
            </w:pPr>
            <w:r w:rsidRPr="00631F3A">
              <w:t>Sheath flow DC detection method</w:t>
            </w:r>
          </w:p>
        </w:tc>
        <w:tc>
          <w:tcPr>
            <w:tcW w:w="2126" w:type="dxa"/>
            <w:vMerge w:val="restart"/>
            <w:tcBorders>
              <w:top w:val="single" w:sz="6" w:space="0" w:color="auto"/>
              <w:left w:val="single" w:sz="6" w:space="0" w:color="auto"/>
              <w:right w:val="single" w:sz="6" w:space="0" w:color="auto"/>
            </w:tcBorders>
            <w:vAlign w:val="center"/>
          </w:tcPr>
          <w:p w:rsidR="00702FC7" w:rsidRPr="00631F3A" w:rsidRDefault="00702FC7" w:rsidP="00CD58C6">
            <w:pPr>
              <w:pStyle w:val="a"/>
            </w:pPr>
            <w:r w:rsidRPr="00631F3A">
              <w:t>Automated hematology analyzer</w:t>
            </w:r>
          </w:p>
          <w:p w:rsidR="00702FC7" w:rsidRPr="00631F3A" w:rsidRDefault="00702FC7" w:rsidP="00CD58C6">
            <w:pPr>
              <w:pStyle w:val="a"/>
            </w:pPr>
            <w:r w:rsidRPr="00631F3A">
              <w:t>XT-2000iV</w:t>
            </w:r>
          </w:p>
          <w:p w:rsidR="00702FC7" w:rsidRPr="00631F3A" w:rsidRDefault="00702FC7" w:rsidP="00CD58C6">
            <w:pPr>
              <w:pStyle w:val="a"/>
            </w:pPr>
            <w:r w:rsidRPr="00631F3A">
              <w:t>(Sysmex Corporation)</w:t>
            </w:r>
          </w:p>
          <w:p w:rsidR="00702FC7" w:rsidRPr="00631F3A" w:rsidRDefault="00702FC7" w:rsidP="00CD58C6">
            <w:pPr>
              <w:pStyle w:val="a"/>
              <w:rPr>
                <w:b/>
              </w:rPr>
            </w:pPr>
          </w:p>
        </w:tc>
      </w:tr>
      <w:tr w:rsidR="00702FC7" w:rsidRPr="00631F3A" w:rsidTr="00CD58C6">
        <w:trPr>
          <w:cantSplit/>
          <w:trHeight w:val="435"/>
        </w:trPr>
        <w:tc>
          <w:tcPr>
            <w:tcW w:w="3402"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Hemoglobin level (HGB)</w:t>
            </w:r>
          </w:p>
        </w:tc>
        <w:tc>
          <w:tcPr>
            <w:tcW w:w="851" w:type="dxa"/>
            <w:tcBorders>
              <w:top w:val="nil"/>
              <w:left w:val="single" w:sz="6" w:space="0" w:color="auto"/>
              <w:bottom w:val="nil"/>
              <w:right w:val="single" w:sz="6" w:space="0" w:color="auto"/>
            </w:tcBorders>
            <w:vAlign w:val="center"/>
          </w:tcPr>
          <w:p w:rsidR="00702FC7" w:rsidRPr="00631F3A" w:rsidRDefault="00702FC7" w:rsidP="00CD58C6">
            <w:pPr>
              <w:pStyle w:val="a"/>
              <w:jc w:val="center"/>
              <w:rPr>
                <w:b/>
              </w:rPr>
            </w:pPr>
            <w:r w:rsidRPr="00631F3A">
              <w:t>g/dL</w:t>
            </w:r>
          </w:p>
        </w:tc>
        <w:tc>
          <w:tcPr>
            <w:tcW w:w="2977"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Sodium lauryl sulfate (SLS) hemoglobin method</w:t>
            </w:r>
          </w:p>
        </w:tc>
        <w:tc>
          <w:tcPr>
            <w:tcW w:w="2126" w:type="dxa"/>
            <w:vMerge/>
            <w:tcBorders>
              <w:left w:val="single" w:sz="6" w:space="0" w:color="auto"/>
              <w:right w:val="single" w:sz="6" w:space="0" w:color="auto"/>
            </w:tcBorders>
            <w:vAlign w:val="center"/>
          </w:tcPr>
          <w:p w:rsidR="00702FC7" w:rsidRPr="00631F3A" w:rsidRDefault="00702FC7" w:rsidP="00CD58C6">
            <w:pPr>
              <w:pStyle w:val="a"/>
              <w:rPr>
                <w:b/>
              </w:rPr>
            </w:pPr>
          </w:p>
        </w:tc>
      </w:tr>
      <w:tr w:rsidR="00702FC7" w:rsidRPr="00631F3A" w:rsidTr="00CD58C6">
        <w:trPr>
          <w:cantSplit/>
          <w:trHeight w:val="427"/>
        </w:trPr>
        <w:tc>
          <w:tcPr>
            <w:tcW w:w="3402"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Hematocrit level (HCT)</w:t>
            </w:r>
          </w:p>
        </w:tc>
        <w:tc>
          <w:tcPr>
            <w:tcW w:w="851" w:type="dxa"/>
            <w:tcBorders>
              <w:top w:val="nil"/>
              <w:left w:val="single" w:sz="6" w:space="0" w:color="auto"/>
              <w:bottom w:val="nil"/>
              <w:right w:val="single" w:sz="6" w:space="0" w:color="auto"/>
            </w:tcBorders>
            <w:vAlign w:val="center"/>
          </w:tcPr>
          <w:p w:rsidR="00702FC7" w:rsidRPr="00631F3A" w:rsidRDefault="00702FC7" w:rsidP="00CD58C6">
            <w:pPr>
              <w:pStyle w:val="a"/>
              <w:jc w:val="center"/>
              <w:rPr>
                <w:b/>
              </w:rPr>
            </w:pPr>
            <w:r w:rsidRPr="00631F3A">
              <w:t>%</w:t>
            </w:r>
          </w:p>
        </w:tc>
        <w:tc>
          <w:tcPr>
            <w:tcW w:w="2977"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Erythrocyte pulse wave high value detection method</w:t>
            </w:r>
          </w:p>
        </w:tc>
        <w:tc>
          <w:tcPr>
            <w:tcW w:w="2126" w:type="dxa"/>
            <w:vMerge/>
            <w:tcBorders>
              <w:left w:val="single" w:sz="6" w:space="0" w:color="auto"/>
              <w:right w:val="single" w:sz="6" w:space="0" w:color="auto"/>
            </w:tcBorders>
            <w:vAlign w:val="center"/>
          </w:tcPr>
          <w:p w:rsidR="00702FC7" w:rsidRPr="00631F3A" w:rsidRDefault="00702FC7" w:rsidP="00CD58C6">
            <w:pPr>
              <w:pStyle w:val="a"/>
              <w:rPr>
                <w:b/>
              </w:rPr>
            </w:pPr>
          </w:p>
        </w:tc>
      </w:tr>
      <w:tr w:rsidR="00702FC7" w:rsidRPr="00631F3A" w:rsidTr="00CD58C6">
        <w:trPr>
          <w:cantSplit/>
          <w:trHeight w:val="577"/>
        </w:trPr>
        <w:tc>
          <w:tcPr>
            <w:tcW w:w="3402"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Platelet count (PLT)</w:t>
            </w:r>
          </w:p>
        </w:tc>
        <w:tc>
          <w:tcPr>
            <w:tcW w:w="851" w:type="dxa"/>
            <w:tcBorders>
              <w:top w:val="nil"/>
              <w:left w:val="single" w:sz="6" w:space="0" w:color="auto"/>
              <w:bottom w:val="nil"/>
              <w:right w:val="single" w:sz="6" w:space="0" w:color="auto"/>
            </w:tcBorders>
            <w:vAlign w:val="center"/>
          </w:tcPr>
          <w:p w:rsidR="00702FC7" w:rsidRPr="00631F3A" w:rsidRDefault="00702FC7" w:rsidP="00CD58C6">
            <w:pPr>
              <w:pStyle w:val="a"/>
              <w:jc w:val="center"/>
              <w:rPr>
                <w:b/>
              </w:rPr>
            </w:pPr>
            <w:r w:rsidRPr="00631F3A">
              <w:t>10</w:t>
            </w:r>
            <w:r w:rsidRPr="00631F3A">
              <w:rPr>
                <w:vertAlign w:val="superscript"/>
              </w:rPr>
              <w:t>4</w:t>
            </w:r>
            <w:r w:rsidRPr="00631F3A">
              <w:t>/µL</w:t>
            </w:r>
          </w:p>
        </w:tc>
        <w:tc>
          <w:tcPr>
            <w:tcW w:w="2977"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Sheath flow DC detection method</w:t>
            </w:r>
          </w:p>
        </w:tc>
        <w:tc>
          <w:tcPr>
            <w:tcW w:w="2126" w:type="dxa"/>
            <w:vMerge/>
            <w:tcBorders>
              <w:left w:val="single" w:sz="6" w:space="0" w:color="auto"/>
              <w:right w:val="single" w:sz="6" w:space="0" w:color="auto"/>
            </w:tcBorders>
            <w:vAlign w:val="center"/>
          </w:tcPr>
          <w:p w:rsidR="00702FC7" w:rsidRPr="00631F3A" w:rsidRDefault="00702FC7" w:rsidP="00CD58C6">
            <w:pPr>
              <w:pStyle w:val="a"/>
              <w:rPr>
                <w:b/>
              </w:rPr>
            </w:pPr>
          </w:p>
        </w:tc>
      </w:tr>
      <w:tr w:rsidR="00702FC7" w:rsidRPr="00631F3A" w:rsidTr="00CD58C6">
        <w:trPr>
          <w:cantSplit/>
          <w:trHeight w:val="470"/>
        </w:trPr>
        <w:tc>
          <w:tcPr>
            <w:tcW w:w="3402"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Mean corpuscular volume (MCV)</w:t>
            </w:r>
          </w:p>
        </w:tc>
        <w:tc>
          <w:tcPr>
            <w:tcW w:w="851" w:type="dxa"/>
            <w:tcBorders>
              <w:top w:val="nil"/>
              <w:left w:val="single" w:sz="6" w:space="0" w:color="auto"/>
              <w:bottom w:val="nil"/>
              <w:right w:val="single" w:sz="6" w:space="0" w:color="auto"/>
            </w:tcBorders>
            <w:vAlign w:val="center"/>
          </w:tcPr>
          <w:p w:rsidR="00702FC7" w:rsidRPr="00631F3A" w:rsidRDefault="00702FC7" w:rsidP="00CD58C6">
            <w:pPr>
              <w:pStyle w:val="a"/>
              <w:jc w:val="center"/>
              <w:rPr>
                <w:b/>
              </w:rPr>
            </w:pPr>
            <w:r w:rsidRPr="00631F3A">
              <w:t>fL</w:t>
            </w:r>
          </w:p>
        </w:tc>
        <w:tc>
          <w:tcPr>
            <w:tcW w:w="2977"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Calculated from RBC and HCT</w:t>
            </w:r>
          </w:p>
        </w:tc>
        <w:tc>
          <w:tcPr>
            <w:tcW w:w="2126" w:type="dxa"/>
            <w:vMerge/>
            <w:tcBorders>
              <w:left w:val="single" w:sz="6" w:space="0" w:color="auto"/>
              <w:right w:val="single" w:sz="6" w:space="0" w:color="auto"/>
            </w:tcBorders>
            <w:vAlign w:val="center"/>
          </w:tcPr>
          <w:p w:rsidR="00702FC7" w:rsidRPr="00631F3A" w:rsidRDefault="00702FC7" w:rsidP="00CD58C6">
            <w:pPr>
              <w:pStyle w:val="a"/>
              <w:rPr>
                <w:b/>
              </w:rPr>
            </w:pPr>
          </w:p>
        </w:tc>
      </w:tr>
      <w:tr w:rsidR="00702FC7" w:rsidRPr="00631F3A" w:rsidTr="00CD58C6">
        <w:trPr>
          <w:cantSplit/>
          <w:trHeight w:val="363"/>
        </w:trPr>
        <w:tc>
          <w:tcPr>
            <w:tcW w:w="3402"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Mean corpuscular hemoglobin (MCH)</w:t>
            </w:r>
          </w:p>
        </w:tc>
        <w:tc>
          <w:tcPr>
            <w:tcW w:w="851" w:type="dxa"/>
            <w:tcBorders>
              <w:top w:val="nil"/>
              <w:left w:val="single" w:sz="6" w:space="0" w:color="auto"/>
              <w:bottom w:val="nil"/>
              <w:right w:val="single" w:sz="6" w:space="0" w:color="auto"/>
            </w:tcBorders>
            <w:vAlign w:val="center"/>
          </w:tcPr>
          <w:p w:rsidR="00702FC7" w:rsidRPr="00631F3A" w:rsidRDefault="00702FC7" w:rsidP="00CD58C6">
            <w:pPr>
              <w:pStyle w:val="a"/>
              <w:jc w:val="center"/>
              <w:rPr>
                <w:b/>
              </w:rPr>
            </w:pPr>
            <w:r w:rsidRPr="00631F3A">
              <w:t>pg</w:t>
            </w:r>
          </w:p>
        </w:tc>
        <w:tc>
          <w:tcPr>
            <w:tcW w:w="2977" w:type="dxa"/>
            <w:tcBorders>
              <w:top w:val="nil"/>
              <w:left w:val="single" w:sz="6" w:space="0" w:color="auto"/>
              <w:bottom w:val="nil"/>
              <w:right w:val="single" w:sz="6" w:space="0" w:color="auto"/>
            </w:tcBorders>
            <w:vAlign w:val="center"/>
          </w:tcPr>
          <w:p w:rsidR="00702FC7" w:rsidRPr="00631F3A" w:rsidRDefault="00702FC7" w:rsidP="00CD58C6">
            <w:pPr>
              <w:pStyle w:val="a"/>
              <w:rPr>
                <w:b/>
              </w:rPr>
            </w:pPr>
            <w:r w:rsidRPr="00631F3A">
              <w:t>Calculated from RBC and HGB</w:t>
            </w:r>
          </w:p>
        </w:tc>
        <w:tc>
          <w:tcPr>
            <w:tcW w:w="2126" w:type="dxa"/>
            <w:vMerge/>
            <w:tcBorders>
              <w:left w:val="single" w:sz="6" w:space="0" w:color="auto"/>
              <w:right w:val="single" w:sz="6" w:space="0" w:color="auto"/>
            </w:tcBorders>
            <w:vAlign w:val="center"/>
          </w:tcPr>
          <w:p w:rsidR="00702FC7" w:rsidRPr="00631F3A" w:rsidRDefault="00702FC7" w:rsidP="00CD58C6">
            <w:pPr>
              <w:pStyle w:val="a"/>
              <w:rPr>
                <w:b/>
              </w:rPr>
            </w:pPr>
          </w:p>
        </w:tc>
      </w:tr>
      <w:tr w:rsidR="00702FC7" w:rsidRPr="00631F3A" w:rsidTr="00CD58C6">
        <w:trPr>
          <w:cantSplit/>
        </w:trPr>
        <w:tc>
          <w:tcPr>
            <w:tcW w:w="3402" w:type="dxa"/>
            <w:tcBorders>
              <w:top w:val="nil"/>
              <w:left w:val="single" w:sz="6" w:space="0" w:color="auto"/>
              <w:bottom w:val="single" w:sz="4" w:space="0" w:color="auto"/>
              <w:right w:val="single" w:sz="6" w:space="0" w:color="auto"/>
            </w:tcBorders>
            <w:vAlign w:val="center"/>
          </w:tcPr>
          <w:p w:rsidR="00702FC7" w:rsidRPr="00631F3A" w:rsidRDefault="00702FC7" w:rsidP="00CD58C6">
            <w:pPr>
              <w:pStyle w:val="a"/>
              <w:rPr>
                <w:b/>
              </w:rPr>
            </w:pPr>
            <w:r w:rsidRPr="00631F3A">
              <w:t>Mean corpuscular hemoglobin concentration (MCHC)</w:t>
            </w:r>
          </w:p>
        </w:tc>
        <w:tc>
          <w:tcPr>
            <w:tcW w:w="851" w:type="dxa"/>
            <w:tcBorders>
              <w:top w:val="nil"/>
              <w:left w:val="single" w:sz="6" w:space="0" w:color="auto"/>
              <w:bottom w:val="single" w:sz="4" w:space="0" w:color="auto"/>
              <w:right w:val="single" w:sz="6" w:space="0" w:color="auto"/>
            </w:tcBorders>
            <w:vAlign w:val="center"/>
          </w:tcPr>
          <w:p w:rsidR="00702FC7" w:rsidRPr="00631F3A" w:rsidRDefault="00702FC7" w:rsidP="00CD58C6">
            <w:pPr>
              <w:pStyle w:val="a"/>
              <w:jc w:val="center"/>
              <w:rPr>
                <w:b/>
              </w:rPr>
            </w:pPr>
            <w:r w:rsidRPr="00631F3A">
              <w:t>g/dL</w:t>
            </w:r>
          </w:p>
        </w:tc>
        <w:tc>
          <w:tcPr>
            <w:tcW w:w="2977" w:type="dxa"/>
            <w:tcBorders>
              <w:top w:val="nil"/>
              <w:left w:val="single" w:sz="6" w:space="0" w:color="auto"/>
              <w:bottom w:val="single" w:sz="4" w:space="0" w:color="auto"/>
              <w:right w:val="single" w:sz="6" w:space="0" w:color="auto"/>
            </w:tcBorders>
            <w:vAlign w:val="center"/>
          </w:tcPr>
          <w:p w:rsidR="00702FC7" w:rsidRPr="00631F3A" w:rsidRDefault="00702FC7" w:rsidP="00CD58C6">
            <w:pPr>
              <w:pStyle w:val="a"/>
              <w:rPr>
                <w:b/>
              </w:rPr>
            </w:pPr>
            <w:r w:rsidRPr="00631F3A">
              <w:t>Calculated from HCT and HGB</w:t>
            </w:r>
          </w:p>
        </w:tc>
        <w:tc>
          <w:tcPr>
            <w:tcW w:w="2126" w:type="dxa"/>
            <w:vMerge/>
            <w:tcBorders>
              <w:left w:val="single" w:sz="6" w:space="0" w:color="auto"/>
              <w:right w:val="single" w:sz="6" w:space="0" w:color="auto"/>
            </w:tcBorders>
            <w:vAlign w:val="center"/>
          </w:tcPr>
          <w:p w:rsidR="00702FC7" w:rsidRPr="00631F3A" w:rsidRDefault="00702FC7" w:rsidP="00CD58C6">
            <w:pPr>
              <w:pStyle w:val="a"/>
              <w:rPr>
                <w:b/>
              </w:rPr>
            </w:pPr>
          </w:p>
        </w:tc>
      </w:tr>
      <w:tr w:rsidR="00702FC7" w:rsidRPr="00631F3A" w:rsidTr="00CD58C6">
        <w:trPr>
          <w:cantSplit/>
        </w:trPr>
        <w:tc>
          <w:tcPr>
            <w:tcW w:w="3402" w:type="dxa"/>
            <w:tcBorders>
              <w:top w:val="single" w:sz="4" w:space="0" w:color="auto"/>
              <w:left w:val="single" w:sz="6" w:space="0" w:color="auto"/>
              <w:bottom w:val="nil"/>
              <w:right w:val="single" w:sz="6" w:space="0" w:color="auto"/>
            </w:tcBorders>
            <w:vAlign w:val="center"/>
          </w:tcPr>
          <w:p w:rsidR="00702FC7" w:rsidRPr="00631F3A" w:rsidRDefault="00702FC7" w:rsidP="00CD58C6">
            <w:pPr>
              <w:pStyle w:val="1"/>
              <w:ind w:firstLine="0"/>
              <w:rPr>
                <w:b/>
              </w:rPr>
            </w:pPr>
            <w:r w:rsidRPr="00631F3A">
              <w:t>White blood cell count (WBC)</w:t>
            </w:r>
          </w:p>
        </w:tc>
        <w:tc>
          <w:tcPr>
            <w:tcW w:w="851" w:type="dxa"/>
            <w:tcBorders>
              <w:top w:val="single" w:sz="4" w:space="0" w:color="auto"/>
              <w:left w:val="single" w:sz="6" w:space="0" w:color="auto"/>
              <w:bottom w:val="nil"/>
              <w:right w:val="single" w:sz="6" w:space="0" w:color="auto"/>
            </w:tcBorders>
            <w:vAlign w:val="center"/>
          </w:tcPr>
          <w:p w:rsidR="00702FC7" w:rsidRPr="00631F3A" w:rsidRDefault="00702FC7" w:rsidP="00CD58C6">
            <w:pPr>
              <w:pStyle w:val="1"/>
              <w:ind w:firstLine="0"/>
              <w:jc w:val="center"/>
              <w:rPr>
                <w:b/>
              </w:rPr>
            </w:pPr>
            <w:r w:rsidRPr="00631F3A">
              <w:t>10</w:t>
            </w:r>
            <w:r w:rsidRPr="00631F3A">
              <w:rPr>
                <w:vertAlign w:val="superscript"/>
              </w:rPr>
              <w:t>2</w:t>
            </w:r>
            <w:r w:rsidRPr="00631F3A">
              <w:t>/μL</w:t>
            </w:r>
          </w:p>
        </w:tc>
        <w:tc>
          <w:tcPr>
            <w:tcW w:w="2977" w:type="dxa"/>
            <w:vMerge w:val="restart"/>
            <w:tcBorders>
              <w:top w:val="single" w:sz="4" w:space="0" w:color="auto"/>
              <w:left w:val="single" w:sz="6" w:space="0" w:color="auto"/>
              <w:right w:val="single" w:sz="6" w:space="0" w:color="auto"/>
            </w:tcBorders>
            <w:vAlign w:val="center"/>
          </w:tcPr>
          <w:p w:rsidR="00702FC7" w:rsidRPr="00631F3A" w:rsidRDefault="00702FC7" w:rsidP="00CD58C6">
            <w:pPr>
              <w:pStyle w:val="a"/>
              <w:rPr>
                <w:b/>
              </w:rPr>
            </w:pPr>
            <w:r w:rsidRPr="00631F3A">
              <w:t>Flow cytometry method</w:t>
            </w:r>
          </w:p>
        </w:tc>
        <w:tc>
          <w:tcPr>
            <w:tcW w:w="2126" w:type="dxa"/>
            <w:vMerge/>
            <w:tcBorders>
              <w:left w:val="single" w:sz="6" w:space="0" w:color="auto"/>
              <w:right w:val="single" w:sz="6" w:space="0" w:color="auto"/>
            </w:tcBorders>
            <w:vAlign w:val="center"/>
          </w:tcPr>
          <w:p w:rsidR="00702FC7" w:rsidRPr="00631F3A" w:rsidRDefault="00702FC7" w:rsidP="00CD58C6">
            <w:pPr>
              <w:pStyle w:val="a"/>
              <w:rPr>
                <w:b/>
              </w:rPr>
            </w:pPr>
          </w:p>
        </w:tc>
      </w:tr>
      <w:tr w:rsidR="00702FC7" w:rsidRPr="00631F3A" w:rsidTr="00CD58C6">
        <w:trPr>
          <w:cantSplit/>
        </w:trPr>
        <w:tc>
          <w:tcPr>
            <w:tcW w:w="3402" w:type="dxa"/>
            <w:tcBorders>
              <w:top w:val="nil"/>
              <w:left w:val="single" w:sz="6" w:space="0" w:color="auto"/>
              <w:bottom w:val="nil"/>
              <w:right w:val="single" w:sz="6" w:space="0" w:color="auto"/>
            </w:tcBorders>
            <w:vAlign w:val="center"/>
          </w:tcPr>
          <w:p w:rsidR="00702FC7" w:rsidRPr="00631F3A" w:rsidRDefault="00702FC7" w:rsidP="00CD58C6">
            <w:pPr>
              <w:pStyle w:val="1"/>
              <w:ind w:firstLine="0"/>
              <w:rPr>
                <w:b/>
              </w:rPr>
            </w:pPr>
            <w:r w:rsidRPr="00631F3A">
              <w:lastRenderedPageBreak/>
              <w:t>Leukocyte classification</w:t>
            </w:r>
          </w:p>
        </w:tc>
        <w:tc>
          <w:tcPr>
            <w:tcW w:w="851" w:type="dxa"/>
            <w:tcBorders>
              <w:top w:val="nil"/>
              <w:left w:val="single" w:sz="6" w:space="0" w:color="auto"/>
              <w:bottom w:val="nil"/>
              <w:right w:val="single" w:sz="6" w:space="0" w:color="auto"/>
            </w:tcBorders>
            <w:vAlign w:val="center"/>
          </w:tcPr>
          <w:p w:rsidR="00702FC7" w:rsidRPr="00631F3A" w:rsidRDefault="00702FC7" w:rsidP="00CD58C6">
            <w:pPr>
              <w:pStyle w:val="1"/>
              <w:ind w:firstLine="0"/>
              <w:jc w:val="center"/>
              <w:rPr>
                <w:b/>
              </w:rPr>
            </w:pPr>
            <w:r w:rsidRPr="00631F3A">
              <w:t>% and 10</w:t>
            </w:r>
            <w:r w:rsidRPr="00631F3A">
              <w:rPr>
                <w:vertAlign w:val="superscript"/>
              </w:rPr>
              <w:t>2</w:t>
            </w:r>
            <w:r w:rsidRPr="00631F3A">
              <w:t>/μL</w:t>
            </w:r>
          </w:p>
        </w:tc>
        <w:tc>
          <w:tcPr>
            <w:tcW w:w="2977" w:type="dxa"/>
            <w:vMerge/>
            <w:tcBorders>
              <w:left w:val="single" w:sz="6" w:space="0" w:color="auto"/>
              <w:right w:val="single" w:sz="6" w:space="0" w:color="auto"/>
            </w:tcBorders>
          </w:tcPr>
          <w:p w:rsidR="00702FC7" w:rsidRPr="00631F3A" w:rsidRDefault="00702FC7" w:rsidP="00CD58C6">
            <w:pPr>
              <w:pStyle w:val="a"/>
              <w:rPr>
                <w:b/>
              </w:rPr>
            </w:pPr>
          </w:p>
        </w:tc>
        <w:tc>
          <w:tcPr>
            <w:tcW w:w="2126" w:type="dxa"/>
            <w:vMerge/>
            <w:tcBorders>
              <w:left w:val="single" w:sz="6" w:space="0" w:color="auto"/>
              <w:right w:val="single" w:sz="6" w:space="0" w:color="auto"/>
            </w:tcBorders>
            <w:vAlign w:val="center"/>
          </w:tcPr>
          <w:p w:rsidR="00702FC7" w:rsidRPr="00631F3A" w:rsidRDefault="00702FC7" w:rsidP="00CD58C6">
            <w:pPr>
              <w:pStyle w:val="a"/>
              <w:rPr>
                <w:b/>
              </w:rPr>
            </w:pPr>
          </w:p>
        </w:tc>
      </w:tr>
      <w:tr w:rsidR="00702FC7" w:rsidRPr="00631F3A" w:rsidTr="00CD58C6">
        <w:trPr>
          <w:cantSplit/>
          <w:trHeight w:val="425"/>
        </w:trPr>
        <w:tc>
          <w:tcPr>
            <w:tcW w:w="3402" w:type="dxa"/>
            <w:tcBorders>
              <w:top w:val="nil"/>
              <w:left w:val="single" w:sz="6" w:space="0" w:color="auto"/>
              <w:bottom w:val="single" w:sz="4" w:space="0" w:color="FFFFFF"/>
              <w:right w:val="single" w:sz="6" w:space="0" w:color="auto"/>
            </w:tcBorders>
            <w:vAlign w:val="center"/>
          </w:tcPr>
          <w:p w:rsidR="00702FC7" w:rsidRPr="00631F3A" w:rsidRDefault="00702FC7" w:rsidP="00CD58C6">
            <w:pPr>
              <w:pStyle w:val="1"/>
              <w:ind w:firstLine="0"/>
              <w:rPr>
                <w:b/>
              </w:rPr>
            </w:pPr>
            <w:r w:rsidRPr="00631F3A">
              <w:t>Reticulocyte ratio (RET)</w:t>
            </w:r>
          </w:p>
        </w:tc>
        <w:tc>
          <w:tcPr>
            <w:tcW w:w="851" w:type="dxa"/>
            <w:tcBorders>
              <w:top w:val="nil"/>
              <w:left w:val="single" w:sz="6" w:space="0" w:color="auto"/>
              <w:bottom w:val="single" w:sz="4" w:space="0" w:color="FFFFFF"/>
              <w:right w:val="single" w:sz="6" w:space="0" w:color="auto"/>
            </w:tcBorders>
            <w:vAlign w:val="center"/>
          </w:tcPr>
          <w:p w:rsidR="00702FC7" w:rsidRPr="00631F3A" w:rsidRDefault="00702FC7" w:rsidP="00CD58C6">
            <w:pPr>
              <w:pStyle w:val="1"/>
              <w:ind w:firstLine="0"/>
              <w:jc w:val="center"/>
              <w:rPr>
                <w:b/>
              </w:rPr>
            </w:pPr>
            <w:r w:rsidRPr="00631F3A">
              <w:t>%</w:t>
            </w:r>
          </w:p>
        </w:tc>
        <w:tc>
          <w:tcPr>
            <w:tcW w:w="2977" w:type="dxa"/>
            <w:vMerge/>
            <w:tcBorders>
              <w:left w:val="single" w:sz="6" w:space="0" w:color="auto"/>
              <w:right w:val="single" w:sz="6" w:space="0" w:color="auto"/>
            </w:tcBorders>
          </w:tcPr>
          <w:p w:rsidR="00702FC7" w:rsidRPr="00631F3A" w:rsidRDefault="00702FC7" w:rsidP="00CD58C6">
            <w:pPr>
              <w:pStyle w:val="a"/>
              <w:rPr>
                <w:b/>
              </w:rPr>
            </w:pPr>
          </w:p>
        </w:tc>
        <w:tc>
          <w:tcPr>
            <w:tcW w:w="2126" w:type="dxa"/>
            <w:vMerge/>
            <w:tcBorders>
              <w:left w:val="single" w:sz="6" w:space="0" w:color="auto"/>
              <w:right w:val="single" w:sz="6" w:space="0" w:color="auto"/>
            </w:tcBorders>
            <w:vAlign w:val="center"/>
          </w:tcPr>
          <w:p w:rsidR="00702FC7" w:rsidRPr="00631F3A" w:rsidRDefault="00702FC7" w:rsidP="00CD58C6">
            <w:pPr>
              <w:pStyle w:val="a"/>
              <w:rPr>
                <w:b/>
              </w:rPr>
            </w:pPr>
          </w:p>
        </w:tc>
      </w:tr>
      <w:tr w:rsidR="00702FC7" w:rsidRPr="00631F3A" w:rsidTr="00CD58C6">
        <w:trPr>
          <w:cantSplit/>
          <w:trHeight w:val="425"/>
        </w:trPr>
        <w:tc>
          <w:tcPr>
            <w:tcW w:w="3402" w:type="dxa"/>
            <w:tcBorders>
              <w:top w:val="single" w:sz="4" w:space="0" w:color="FFFFFF"/>
              <w:left w:val="single" w:sz="6" w:space="0" w:color="auto"/>
              <w:bottom w:val="single" w:sz="4" w:space="0" w:color="auto"/>
              <w:right w:val="single" w:sz="6" w:space="0" w:color="auto"/>
            </w:tcBorders>
            <w:vAlign w:val="center"/>
          </w:tcPr>
          <w:p w:rsidR="00702FC7" w:rsidRPr="00631F3A" w:rsidRDefault="00702FC7" w:rsidP="00CD58C6">
            <w:pPr>
              <w:pStyle w:val="1"/>
              <w:ind w:firstLine="0"/>
              <w:rPr>
                <w:b/>
              </w:rPr>
            </w:pPr>
            <w:r w:rsidRPr="00631F3A">
              <w:t>Reticulocyte count (RET)</w:t>
            </w:r>
          </w:p>
        </w:tc>
        <w:tc>
          <w:tcPr>
            <w:tcW w:w="851" w:type="dxa"/>
            <w:tcBorders>
              <w:top w:val="single" w:sz="4" w:space="0" w:color="FFFFFF"/>
              <w:left w:val="single" w:sz="6" w:space="0" w:color="auto"/>
              <w:bottom w:val="single" w:sz="4" w:space="0" w:color="auto"/>
              <w:right w:val="single" w:sz="6" w:space="0" w:color="auto"/>
            </w:tcBorders>
            <w:vAlign w:val="center"/>
          </w:tcPr>
          <w:p w:rsidR="00702FC7" w:rsidRPr="00631F3A" w:rsidRDefault="00702FC7" w:rsidP="00CD58C6">
            <w:pPr>
              <w:pStyle w:val="1"/>
              <w:ind w:firstLine="0"/>
              <w:jc w:val="center"/>
              <w:rPr>
                <w:b/>
              </w:rPr>
            </w:pPr>
            <w:r w:rsidRPr="00631F3A">
              <w:t>10</w:t>
            </w:r>
            <w:r w:rsidRPr="00631F3A">
              <w:rPr>
                <w:vertAlign w:val="superscript"/>
              </w:rPr>
              <w:t>4</w:t>
            </w:r>
            <w:r w:rsidRPr="00631F3A">
              <w:t>/μL</w:t>
            </w:r>
          </w:p>
        </w:tc>
        <w:tc>
          <w:tcPr>
            <w:tcW w:w="2977" w:type="dxa"/>
            <w:vMerge/>
            <w:tcBorders>
              <w:left w:val="single" w:sz="6" w:space="0" w:color="auto"/>
              <w:bottom w:val="single" w:sz="4" w:space="0" w:color="auto"/>
              <w:right w:val="single" w:sz="6" w:space="0" w:color="auto"/>
            </w:tcBorders>
          </w:tcPr>
          <w:p w:rsidR="00702FC7" w:rsidRPr="00631F3A" w:rsidRDefault="00702FC7" w:rsidP="00CD58C6">
            <w:pPr>
              <w:pStyle w:val="a"/>
              <w:rPr>
                <w:b/>
              </w:rPr>
            </w:pPr>
          </w:p>
        </w:tc>
        <w:tc>
          <w:tcPr>
            <w:tcW w:w="2126" w:type="dxa"/>
            <w:vMerge/>
            <w:tcBorders>
              <w:left w:val="single" w:sz="6" w:space="0" w:color="auto"/>
              <w:bottom w:val="single" w:sz="4" w:space="0" w:color="auto"/>
              <w:right w:val="single" w:sz="6" w:space="0" w:color="auto"/>
            </w:tcBorders>
            <w:vAlign w:val="center"/>
          </w:tcPr>
          <w:p w:rsidR="00702FC7" w:rsidRPr="00631F3A" w:rsidRDefault="00702FC7" w:rsidP="00CD58C6">
            <w:pPr>
              <w:pStyle w:val="a"/>
              <w:rPr>
                <w:b/>
              </w:rPr>
            </w:pPr>
          </w:p>
        </w:tc>
      </w:tr>
    </w:tbl>
    <w:p w:rsidR="00702FC7" w:rsidRPr="00631F3A" w:rsidRDefault="00702FC7" w:rsidP="00702FC7">
      <w:pPr>
        <w:pStyle w:val="a"/>
      </w:pPr>
    </w:p>
    <w:p w:rsidR="00702FC7" w:rsidRPr="00631F3A" w:rsidRDefault="00702FC7" w:rsidP="00702FC7">
      <w:pPr>
        <w:pStyle w:val="1"/>
        <w:ind w:firstLine="0"/>
        <w:jc w:val="left"/>
      </w:pPr>
      <w:r w:rsidRPr="00631F3A">
        <w:rPr>
          <w:rFonts w:hint="eastAsia"/>
        </w:rPr>
        <w:t>Table S3. Irems of blood biochemistry test</w:t>
      </w:r>
    </w:p>
    <w:tbl>
      <w:tblPr>
        <w:tblW w:w="9348"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27"/>
        <w:gridCol w:w="859"/>
        <w:gridCol w:w="3385"/>
        <w:gridCol w:w="2977"/>
      </w:tblGrid>
      <w:tr w:rsidR="00702FC7" w:rsidRPr="00631F3A" w:rsidTr="00CD58C6">
        <w:trPr>
          <w:trHeight w:val="243"/>
        </w:trPr>
        <w:tc>
          <w:tcPr>
            <w:tcW w:w="2127" w:type="dxa"/>
            <w:vAlign w:val="center"/>
          </w:tcPr>
          <w:p w:rsidR="00702FC7" w:rsidRPr="00631F3A" w:rsidRDefault="00702FC7" w:rsidP="00CD58C6">
            <w:pPr>
              <w:pStyle w:val="a"/>
              <w:jc w:val="center"/>
              <w:rPr>
                <w:b/>
              </w:rPr>
            </w:pPr>
            <w:r w:rsidRPr="00631F3A">
              <w:t>Item</w:t>
            </w:r>
          </w:p>
        </w:tc>
        <w:tc>
          <w:tcPr>
            <w:tcW w:w="859" w:type="dxa"/>
            <w:vAlign w:val="center"/>
          </w:tcPr>
          <w:p w:rsidR="00702FC7" w:rsidRPr="00631F3A" w:rsidRDefault="00702FC7" w:rsidP="00CD58C6">
            <w:pPr>
              <w:pStyle w:val="a"/>
              <w:jc w:val="center"/>
              <w:rPr>
                <w:b/>
              </w:rPr>
            </w:pPr>
            <w:r w:rsidRPr="00631F3A">
              <w:t>Unit</w:t>
            </w:r>
          </w:p>
        </w:tc>
        <w:tc>
          <w:tcPr>
            <w:tcW w:w="3385" w:type="dxa"/>
            <w:vAlign w:val="center"/>
          </w:tcPr>
          <w:p w:rsidR="00702FC7" w:rsidRPr="00631F3A" w:rsidRDefault="00702FC7" w:rsidP="00CD58C6">
            <w:pPr>
              <w:pStyle w:val="a"/>
              <w:jc w:val="center"/>
              <w:rPr>
                <w:b/>
              </w:rPr>
            </w:pPr>
            <w:r w:rsidRPr="00631F3A">
              <w:t>Measurement method</w:t>
            </w:r>
          </w:p>
        </w:tc>
        <w:tc>
          <w:tcPr>
            <w:tcW w:w="2977" w:type="dxa"/>
            <w:vAlign w:val="center"/>
          </w:tcPr>
          <w:p w:rsidR="00702FC7" w:rsidRPr="00631F3A" w:rsidRDefault="00702FC7" w:rsidP="00CD58C6">
            <w:pPr>
              <w:pStyle w:val="a"/>
              <w:jc w:val="center"/>
              <w:rPr>
                <w:b/>
              </w:rPr>
            </w:pPr>
            <w:r w:rsidRPr="00631F3A">
              <w:t>Equipment</w:t>
            </w:r>
          </w:p>
        </w:tc>
      </w:tr>
      <w:tr w:rsidR="00702FC7" w:rsidRPr="00631F3A" w:rsidTr="00CD58C6">
        <w:trPr>
          <w:cantSplit/>
          <w:trHeight w:val="668"/>
        </w:trPr>
        <w:tc>
          <w:tcPr>
            <w:tcW w:w="2127" w:type="dxa"/>
            <w:tcBorders>
              <w:bottom w:val="nil"/>
            </w:tcBorders>
          </w:tcPr>
          <w:p w:rsidR="00702FC7" w:rsidRPr="00631F3A" w:rsidRDefault="00702FC7" w:rsidP="00CD58C6">
            <w:pPr>
              <w:pStyle w:val="a"/>
              <w:jc w:val="left"/>
              <w:rPr>
                <w:b/>
              </w:rPr>
            </w:pPr>
            <w:r w:rsidRPr="00631F3A">
              <w:t>AST</w:t>
            </w:r>
          </w:p>
        </w:tc>
        <w:tc>
          <w:tcPr>
            <w:tcW w:w="859" w:type="dxa"/>
            <w:tcBorders>
              <w:bottom w:val="nil"/>
            </w:tcBorders>
          </w:tcPr>
          <w:p w:rsidR="00702FC7" w:rsidRPr="00631F3A" w:rsidRDefault="00702FC7" w:rsidP="00CD58C6">
            <w:pPr>
              <w:pStyle w:val="a"/>
              <w:jc w:val="center"/>
              <w:rPr>
                <w:b/>
              </w:rPr>
            </w:pPr>
            <w:r w:rsidRPr="00631F3A">
              <w:t>IU/L</w:t>
            </w:r>
          </w:p>
        </w:tc>
        <w:tc>
          <w:tcPr>
            <w:tcW w:w="3385" w:type="dxa"/>
            <w:tcBorders>
              <w:bottom w:val="nil"/>
            </w:tcBorders>
          </w:tcPr>
          <w:p w:rsidR="00702FC7" w:rsidRPr="00631F3A" w:rsidRDefault="00702FC7" w:rsidP="00CD58C6">
            <w:pPr>
              <w:pStyle w:val="a"/>
              <w:jc w:val="left"/>
            </w:pPr>
            <w:r w:rsidRPr="00631F3A">
              <w:t>Malate dehydrogenase-UV assay</w:t>
            </w:r>
          </w:p>
          <w:p w:rsidR="00702FC7" w:rsidRPr="00631F3A" w:rsidRDefault="00702FC7" w:rsidP="00CD58C6">
            <w:pPr>
              <w:pStyle w:val="a"/>
              <w:jc w:val="left"/>
              <w:rPr>
                <w:b/>
              </w:rPr>
            </w:pPr>
            <w:r w:rsidRPr="00631F3A">
              <w:t>(JSCC Reference Method)</w:t>
            </w:r>
          </w:p>
        </w:tc>
        <w:tc>
          <w:tcPr>
            <w:tcW w:w="2977" w:type="dxa"/>
            <w:vMerge w:val="restart"/>
            <w:vAlign w:val="center"/>
          </w:tcPr>
          <w:p w:rsidR="00702FC7" w:rsidRPr="00631F3A" w:rsidRDefault="00702FC7" w:rsidP="00CD58C6">
            <w:pPr>
              <w:pStyle w:val="a"/>
            </w:pPr>
          </w:p>
          <w:p w:rsidR="00702FC7" w:rsidRPr="00631F3A" w:rsidRDefault="00702FC7" w:rsidP="00CD58C6">
            <w:pPr>
              <w:pStyle w:val="a"/>
            </w:pPr>
          </w:p>
          <w:p w:rsidR="00702FC7" w:rsidRPr="00631F3A" w:rsidRDefault="00702FC7" w:rsidP="00CD58C6">
            <w:pPr>
              <w:pStyle w:val="a"/>
            </w:pPr>
          </w:p>
          <w:p w:rsidR="00702FC7" w:rsidRPr="00631F3A" w:rsidRDefault="00702FC7" w:rsidP="00CD58C6">
            <w:pPr>
              <w:pStyle w:val="a"/>
            </w:pPr>
            <w:r w:rsidRPr="00631F3A">
              <w:t>Biochemistry autoanalyzer</w:t>
            </w:r>
          </w:p>
          <w:p w:rsidR="00702FC7" w:rsidRPr="00631F3A" w:rsidRDefault="00702FC7" w:rsidP="00CD58C6">
            <w:pPr>
              <w:pStyle w:val="a"/>
            </w:pPr>
            <w:r w:rsidRPr="00631F3A">
              <w:t>AU 480</w:t>
            </w:r>
          </w:p>
          <w:p w:rsidR="00702FC7" w:rsidRPr="00631F3A" w:rsidRDefault="00702FC7" w:rsidP="00CD58C6">
            <w:pPr>
              <w:pStyle w:val="a"/>
              <w:ind w:left="210" w:hangingChars="100" w:hanging="210"/>
              <w:rPr>
                <w:b/>
              </w:rPr>
            </w:pPr>
            <w:r w:rsidRPr="00631F3A">
              <w:t>(Beckman Coulter, Inc.)</w:t>
            </w:r>
            <w:r w:rsidRPr="00631F3A">
              <w:br/>
            </w:r>
          </w:p>
        </w:tc>
      </w:tr>
      <w:tr w:rsidR="00702FC7" w:rsidRPr="00631F3A" w:rsidTr="00CD58C6">
        <w:trPr>
          <w:cantSplit/>
          <w:trHeight w:val="668"/>
        </w:trPr>
        <w:tc>
          <w:tcPr>
            <w:tcW w:w="2127" w:type="dxa"/>
            <w:tcBorders>
              <w:top w:val="nil"/>
              <w:bottom w:val="nil"/>
            </w:tcBorders>
          </w:tcPr>
          <w:p w:rsidR="00702FC7" w:rsidRPr="00631F3A" w:rsidRDefault="00702FC7" w:rsidP="00CD58C6">
            <w:pPr>
              <w:pStyle w:val="a"/>
              <w:jc w:val="left"/>
              <w:rPr>
                <w:b/>
              </w:rPr>
            </w:pPr>
            <w:r w:rsidRPr="00631F3A">
              <w:t>ALT</w:t>
            </w:r>
          </w:p>
        </w:tc>
        <w:tc>
          <w:tcPr>
            <w:tcW w:w="859" w:type="dxa"/>
            <w:tcBorders>
              <w:top w:val="nil"/>
              <w:bottom w:val="nil"/>
            </w:tcBorders>
          </w:tcPr>
          <w:p w:rsidR="00702FC7" w:rsidRPr="00631F3A" w:rsidRDefault="00702FC7" w:rsidP="00CD58C6">
            <w:pPr>
              <w:pStyle w:val="a"/>
              <w:jc w:val="center"/>
              <w:rPr>
                <w:b/>
              </w:rPr>
            </w:pPr>
            <w:r w:rsidRPr="00631F3A">
              <w:t>IU/L</w:t>
            </w:r>
          </w:p>
        </w:tc>
        <w:tc>
          <w:tcPr>
            <w:tcW w:w="3385" w:type="dxa"/>
            <w:tcBorders>
              <w:top w:val="nil"/>
              <w:bottom w:val="nil"/>
            </w:tcBorders>
          </w:tcPr>
          <w:p w:rsidR="00702FC7" w:rsidRPr="00631F3A" w:rsidRDefault="00702FC7" w:rsidP="00CD58C6">
            <w:pPr>
              <w:pStyle w:val="a"/>
              <w:jc w:val="left"/>
            </w:pPr>
            <w:r w:rsidRPr="00631F3A">
              <w:t>Lactate dehydrogenase-UV assay</w:t>
            </w:r>
          </w:p>
          <w:p w:rsidR="00702FC7" w:rsidRPr="00631F3A" w:rsidRDefault="00702FC7" w:rsidP="00CD58C6">
            <w:pPr>
              <w:pStyle w:val="a"/>
              <w:jc w:val="left"/>
              <w:rPr>
                <w:b/>
              </w:rPr>
            </w:pPr>
            <w:r w:rsidRPr="00631F3A">
              <w:t>(JSCC Reference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668"/>
        </w:trPr>
        <w:tc>
          <w:tcPr>
            <w:tcW w:w="2127" w:type="dxa"/>
            <w:tcBorders>
              <w:top w:val="nil"/>
              <w:bottom w:val="nil"/>
            </w:tcBorders>
          </w:tcPr>
          <w:p w:rsidR="00702FC7" w:rsidRPr="00631F3A" w:rsidRDefault="00702FC7" w:rsidP="00CD58C6">
            <w:pPr>
              <w:pStyle w:val="a"/>
              <w:jc w:val="left"/>
              <w:rPr>
                <w:b/>
              </w:rPr>
            </w:pPr>
            <w:r w:rsidRPr="00631F3A">
              <w:t>ALP</w:t>
            </w:r>
          </w:p>
        </w:tc>
        <w:tc>
          <w:tcPr>
            <w:tcW w:w="859" w:type="dxa"/>
            <w:tcBorders>
              <w:top w:val="nil"/>
              <w:bottom w:val="nil"/>
            </w:tcBorders>
          </w:tcPr>
          <w:p w:rsidR="00702FC7" w:rsidRPr="00631F3A" w:rsidRDefault="00702FC7" w:rsidP="00CD58C6">
            <w:pPr>
              <w:pStyle w:val="a"/>
              <w:jc w:val="center"/>
              <w:rPr>
                <w:b/>
              </w:rPr>
            </w:pPr>
            <w:r w:rsidRPr="00631F3A">
              <w:t>IU/L</w:t>
            </w:r>
          </w:p>
        </w:tc>
        <w:tc>
          <w:tcPr>
            <w:tcW w:w="3385" w:type="dxa"/>
            <w:tcBorders>
              <w:top w:val="nil"/>
              <w:bottom w:val="nil"/>
            </w:tcBorders>
          </w:tcPr>
          <w:p w:rsidR="00702FC7" w:rsidRPr="00631F3A" w:rsidRDefault="00702FC7" w:rsidP="00CD58C6">
            <w:pPr>
              <w:pStyle w:val="a"/>
              <w:jc w:val="left"/>
            </w:pPr>
            <w:r w:rsidRPr="00631F3A">
              <w:t>P-nitrophenyl acetate assay</w:t>
            </w:r>
          </w:p>
          <w:p w:rsidR="00702FC7" w:rsidRPr="00631F3A" w:rsidRDefault="00702FC7" w:rsidP="00CD58C6">
            <w:pPr>
              <w:pStyle w:val="a"/>
              <w:jc w:val="left"/>
              <w:rPr>
                <w:b/>
              </w:rPr>
            </w:pPr>
            <w:r w:rsidRPr="00631F3A">
              <w:t>(JSCC Reference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370"/>
        </w:trPr>
        <w:tc>
          <w:tcPr>
            <w:tcW w:w="2127" w:type="dxa"/>
            <w:tcBorders>
              <w:top w:val="nil"/>
              <w:bottom w:val="nil"/>
            </w:tcBorders>
          </w:tcPr>
          <w:p w:rsidR="00702FC7" w:rsidRPr="00631F3A" w:rsidRDefault="00702FC7" w:rsidP="00CD58C6">
            <w:pPr>
              <w:pStyle w:val="a"/>
              <w:jc w:val="left"/>
              <w:rPr>
                <w:b/>
              </w:rPr>
            </w:pPr>
            <w:r w:rsidRPr="00631F3A">
              <w:t>Total cholesterol (T-Cho)</w:t>
            </w:r>
          </w:p>
        </w:tc>
        <w:tc>
          <w:tcPr>
            <w:tcW w:w="859" w:type="dxa"/>
            <w:tcBorders>
              <w:top w:val="nil"/>
              <w:bottom w:val="nil"/>
            </w:tcBorders>
          </w:tcPr>
          <w:p w:rsidR="00702FC7" w:rsidRPr="00631F3A" w:rsidRDefault="00702FC7" w:rsidP="00CD58C6">
            <w:pPr>
              <w:pStyle w:val="a"/>
              <w:jc w:val="center"/>
              <w:rPr>
                <w:b/>
              </w:rPr>
            </w:pPr>
            <w:r w:rsidRPr="00631F3A">
              <w:t>mg/dL</w:t>
            </w:r>
          </w:p>
        </w:tc>
        <w:tc>
          <w:tcPr>
            <w:tcW w:w="3385" w:type="dxa"/>
            <w:tcBorders>
              <w:top w:val="nil"/>
              <w:bottom w:val="nil"/>
            </w:tcBorders>
          </w:tcPr>
          <w:p w:rsidR="00702FC7" w:rsidRPr="00631F3A" w:rsidRDefault="00702FC7" w:rsidP="00CD58C6">
            <w:pPr>
              <w:pStyle w:val="a"/>
              <w:jc w:val="left"/>
              <w:rPr>
                <w:b/>
              </w:rPr>
            </w:pPr>
            <w:r w:rsidRPr="00631F3A">
              <w:t>Cholesterol oxidase-HMMPS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668"/>
        </w:trPr>
        <w:tc>
          <w:tcPr>
            <w:tcW w:w="2127" w:type="dxa"/>
            <w:tcBorders>
              <w:top w:val="nil"/>
              <w:bottom w:val="nil"/>
            </w:tcBorders>
          </w:tcPr>
          <w:p w:rsidR="00702FC7" w:rsidRPr="00631F3A" w:rsidRDefault="00702FC7" w:rsidP="00CD58C6">
            <w:pPr>
              <w:pStyle w:val="a"/>
              <w:jc w:val="left"/>
              <w:rPr>
                <w:b/>
              </w:rPr>
            </w:pPr>
            <w:r w:rsidRPr="00631F3A">
              <w:t>Triglyceride (TG)</w:t>
            </w:r>
          </w:p>
        </w:tc>
        <w:tc>
          <w:tcPr>
            <w:tcW w:w="859" w:type="dxa"/>
            <w:tcBorders>
              <w:top w:val="nil"/>
              <w:bottom w:val="nil"/>
            </w:tcBorders>
          </w:tcPr>
          <w:p w:rsidR="00702FC7" w:rsidRPr="00631F3A" w:rsidRDefault="00702FC7" w:rsidP="00CD58C6">
            <w:pPr>
              <w:pStyle w:val="a"/>
              <w:jc w:val="center"/>
              <w:rPr>
                <w:b/>
              </w:rPr>
            </w:pPr>
            <w:r w:rsidRPr="00631F3A">
              <w:t>mg/dL</w:t>
            </w:r>
          </w:p>
        </w:tc>
        <w:tc>
          <w:tcPr>
            <w:tcW w:w="3385" w:type="dxa"/>
            <w:tcBorders>
              <w:top w:val="nil"/>
              <w:bottom w:val="nil"/>
            </w:tcBorders>
          </w:tcPr>
          <w:p w:rsidR="00702FC7" w:rsidRPr="00631F3A" w:rsidRDefault="00702FC7" w:rsidP="00CD58C6">
            <w:pPr>
              <w:pStyle w:val="a"/>
              <w:jc w:val="left"/>
            </w:pPr>
            <w:r w:rsidRPr="00631F3A">
              <w:t>Glycerol-3-phosphate oxidase-HMMPS method</w:t>
            </w:r>
          </w:p>
          <w:p w:rsidR="00702FC7" w:rsidRPr="00631F3A" w:rsidRDefault="00702FC7" w:rsidP="00CD58C6">
            <w:pPr>
              <w:pStyle w:val="a"/>
              <w:jc w:val="left"/>
              <w:rPr>
                <w:b/>
              </w:rPr>
            </w:pPr>
            <w:r w:rsidRPr="00631F3A">
              <w:t>(Glycerol elimination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296"/>
        </w:trPr>
        <w:tc>
          <w:tcPr>
            <w:tcW w:w="2127" w:type="dxa"/>
            <w:tcBorders>
              <w:top w:val="nil"/>
              <w:bottom w:val="nil"/>
            </w:tcBorders>
          </w:tcPr>
          <w:p w:rsidR="00702FC7" w:rsidRPr="00631F3A" w:rsidRDefault="00702FC7" w:rsidP="00CD58C6">
            <w:pPr>
              <w:pStyle w:val="a"/>
              <w:jc w:val="left"/>
              <w:rPr>
                <w:b/>
              </w:rPr>
            </w:pPr>
            <w:r w:rsidRPr="00631F3A">
              <w:t>Total protein (TP)</w:t>
            </w:r>
          </w:p>
        </w:tc>
        <w:tc>
          <w:tcPr>
            <w:tcW w:w="859" w:type="dxa"/>
            <w:tcBorders>
              <w:top w:val="nil"/>
              <w:bottom w:val="nil"/>
            </w:tcBorders>
          </w:tcPr>
          <w:p w:rsidR="00702FC7" w:rsidRPr="00631F3A" w:rsidRDefault="00702FC7" w:rsidP="00CD58C6">
            <w:pPr>
              <w:pStyle w:val="a"/>
              <w:jc w:val="center"/>
              <w:rPr>
                <w:b/>
              </w:rPr>
            </w:pPr>
            <w:r w:rsidRPr="00631F3A">
              <w:t>g/dL</w:t>
            </w:r>
          </w:p>
        </w:tc>
        <w:tc>
          <w:tcPr>
            <w:tcW w:w="3385" w:type="dxa"/>
            <w:tcBorders>
              <w:top w:val="nil"/>
              <w:bottom w:val="nil"/>
            </w:tcBorders>
          </w:tcPr>
          <w:p w:rsidR="00702FC7" w:rsidRPr="00631F3A" w:rsidRDefault="00702FC7" w:rsidP="00CD58C6">
            <w:pPr>
              <w:pStyle w:val="a"/>
              <w:jc w:val="left"/>
              <w:rPr>
                <w:b/>
              </w:rPr>
            </w:pPr>
            <w:r w:rsidRPr="00631F3A">
              <w:t>Biuret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294"/>
        </w:trPr>
        <w:tc>
          <w:tcPr>
            <w:tcW w:w="2127" w:type="dxa"/>
            <w:tcBorders>
              <w:top w:val="nil"/>
              <w:bottom w:val="nil"/>
            </w:tcBorders>
          </w:tcPr>
          <w:p w:rsidR="00702FC7" w:rsidRPr="00631F3A" w:rsidRDefault="00702FC7" w:rsidP="00CD58C6">
            <w:pPr>
              <w:pStyle w:val="a"/>
              <w:jc w:val="left"/>
              <w:rPr>
                <w:b/>
              </w:rPr>
            </w:pPr>
            <w:r w:rsidRPr="00631F3A">
              <w:t>Albumin (Alb)</w:t>
            </w:r>
          </w:p>
        </w:tc>
        <w:tc>
          <w:tcPr>
            <w:tcW w:w="859" w:type="dxa"/>
            <w:tcBorders>
              <w:top w:val="nil"/>
              <w:bottom w:val="nil"/>
            </w:tcBorders>
          </w:tcPr>
          <w:p w:rsidR="00702FC7" w:rsidRPr="00631F3A" w:rsidRDefault="00702FC7" w:rsidP="00CD58C6">
            <w:pPr>
              <w:pStyle w:val="a"/>
              <w:jc w:val="center"/>
              <w:rPr>
                <w:b/>
              </w:rPr>
            </w:pPr>
            <w:r w:rsidRPr="00631F3A">
              <w:t>g/dL</w:t>
            </w:r>
          </w:p>
        </w:tc>
        <w:tc>
          <w:tcPr>
            <w:tcW w:w="3385" w:type="dxa"/>
            <w:tcBorders>
              <w:top w:val="nil"/>
              <w:bottom w:val="nil"/>
            </w:tcBorders>
          </w:tcPr>
          <w:p w:rsidR="00702FC7" w:rsidRPr="00631F3A" w:rsidRDefault="00702FC7" w:rsidP="00CD58C6">
            <w:pPr>
              <w:pStyle w:val="a"/>
              <w:jc w:val="left"/>
              <w:rPr>
                <w:b/>
              </w:rPr>
            </w:pPr>
            <w:r w:rsidRPr="00631F3A">
              <w:t>Bromocresol green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294"/>
        </w:trPr>
        <w:tc>
          <w:tcPr>
            <w:tcW w:w="2127" w:type="dxa"/>
            <w:tcBorders>
              <w:top w:val="nil"/>
              <w:bottom w:val="nil"/>
            </w:tcBorders>
          </w:tcPr>
          <w:p w:rsidR="00702FC7" w:rsidRPr="00631F3A" w:rsidRDefault="00702FC7" w:rsidP="00CD58C6">
            <w:pPr>
              <w:pStyle w:val="a"/>
              <w:jc w:val="left"/>
              <w:rPr>
                <w:b/>
              </w:rPr>
            </w:pPr>
            <w:r w:rsidRPr="00631F3A">
              <w:t>A/G</w:t>
            </w:r>
          </w:p>
        </w:tc>
        <w:tc>
          <w:tcPr>
            <w:tcW w:w="859" w:type="dxa"/>
            <w:tcBorders>
              <w:top w:val="nil"/>
              <w:bottom w:val="nil"/>
            </w:tcBorders>
          </w:tcPr>
          <w:p w:rsidR="00702FC7" w:rsidRPr="00631F3A" w:rsidRDefault="00702FC7" w:rsidP="00CD58C6">
            <w:pPr>
              <w:pStyle w:val="a"/>
              <w:jc w:val="center"/>
              <w:rPr>
                <w:b/>
              </w:rPr>
            </w:pPr>
            <w:r w:rsidRPr="00631F3A">
              <w:t>-</w:t>
            </w:r>
          </w:p>
        </w:tc>
        <w:tc>
          <w:tcPr>
            <w:tcW w:w="3385" w:type="dxa"/>
            <w:tcBorders>
              <w:top w:val="nil"/>
              <w:bottom w:val="nil"/>
            </w:tcBorders>
          </w:tcPr>
          <w:p w:rsidR="00702FC7" w:rsidRPr="00631F3A" w:rsidRDefault="00702FC7" w:rsidP="00CD58C6">
            <w:pPr>
              <w:pStyle w:val="a"/>
              <w:jc w:val="left"/>
              <w:rPr>
                <w:b/>
              </w:rPr>
            </w:pPr>
            <w:r w:rsidRPr="00631F3A">
              <w:t>Calculated from total protein and albumin level</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294"/>
        </w:trPr>
        <w:tc>
          <w:tcPr>
            <w:tcW w:w="2127" w:type="dxa"/>
            <w:tcBorders>
              <w:top w:val="nil"/>
              <w:bottom w:val="nil"/>
            </w:tcBorders>
          </w:tcPr>
          <w:p w:rsidR="00702FC7" w:rsidRPr="00631F3A" w:rsidRDefault="00702FC7" w:rsidP="00CD58C6">
            <w:pPr>
              <w:pStyle w:val="a"/>
              <w:jc w:val="left"/>
              <w:rPr>
                <w:b/>
              </w:rPr>
            </w:pPr>
            <w:r w:rsidRPr="00631F3A">
              <w:t>Urea nitrogen (UN)</w:t>
            </w:r>
          </w:p>
        </w:tc>
        <w:tc>
          <w:tcPr>
            <w:tcW w:w="859" w:type="dxa"/>
            <w:tcBorders>
              <w:top w:val="nil"/>
              <w:bottom w:val="nil"/>
            </w:tcBorders>
          </w:tcPr>
          <w:p w:rsidR="00702FC7" w:rsidRPr="00631F3A" w:rsidRDefault="00702FC7" w:rsidP="00CD58C6">
            <w:pPr>
              <w:pStyle w:val="a"/>
              <w:jc w:val="center"/>
              <w:rPr>
                <w:b/>
              </w:rPr>
            </w:pPr>
            <w:r w:rsidRPr="00631F3A">
              <w:t>mg/dL</w:t>
            </w:r>
          </w:p>
        </w:tc>
        <w:tc>
          <w:tcPr>
            <w:tcW w:w="3385" w:type="dxa"/>
            <w:tcBorders>
              <w:top w:val="nil"/>
              <w:bottom w:val="nil"/>
            </w:tcBorders>
          </w:tcPr>
          <w:p w:rsidR="00702FC7" w:rsidRPr="00631F3A" w:rsidRDefault="00702FC7" w:rsidP="00CD58C6">
            <w:pPr>
              <w:pStyle w:val="a"/>
              <w:jc w:val="left"/>
              <w:rPr>
                <w:b/>
              </w:rPr>
            </w:pPr>
            <w:r w:rsidRPr="00631F3A">
              <w:t>Urease/glutamate dehydrogenase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668"/>
        </w:trPr>
        <w:tc>
          <w:tcPr>
            <w:tcW w:w="2127" w:type="dxa"/>
            <w:tcBorders>
              <w:top w:val="nil"/>
              <w:bottom w:val="nil"/>
            </w:tcBorders>
          </w:tcPr>
          <w:p w:rsidR="00702FC7" w:rsidRPr="00631F3A" w:rsidRDefault="00702FC7" w:rsidP="00CD58C6">
            <w:pPr>
              <w:pStyle w:val="a"/>
              <w:jc w:val="left"/>
              <w:rPr>
                <w:b/>
              </w:rPr>
            </w:pPr>
            <w:r w:rsidRPr="00631F3A">
              <w:t>Creatinine (CRE)</w:t>
            </w:r>
          </w:p>
        </w:tc>
        <w:tc>
          <w:tcPr>
            <w:tcW w:w="859" w:type="dxa"/>
            <w:tcBorders>
              <w:top w:val="nil"/>
              <w:bottom w:val="nil"/>
            </w:tcBorders>
          </w:tcPr>
          <w:p w:rsidR="00702FC7" w:rsidRPr="00631F3A" w:rsidRDefault="00702FC7" w:rsidP="00CD58C6">
            <w:pPr>
              <w:pStyle w:val="a"/>
              <w:jc w:val="center"/>
              <w:rPr>
                <w:b/>
              </w:rPr>
            </w:pPr>
            <w:r w:rsidRPr="00631F3A">
              <w:t>mg/dL</w:t>
            </w:r>
          </w:p>
        </w:tc>
        <w:tc>
          <w:tcPr>
            <w:tcW w:w="3385" w:type="dxa"/>
            <w:tcBorders>
              <w:top w:val="nil"/>
              <w:bottom w:val="nil"/>
            </w:tcBorders>
          </w:tcPr>
          <w:p w:rsidR="00702FC7" w:rsidRPr="00631F3A" w:rsidRDefault="00702FC7" w:rsidP="00CD58C6">
            <w:pPr>
              <w:pStyle w:val="a"/>
              <w:jc w:val="left"/>
            </w:pPr>
            <w:r w:rsidRPr="00631F3A">
              <w:t>Creatininase-</w:t>
            </w:r>
          </w:p>
          <w:p w:rsidR="00702FC7" w:rsidRPr="00631F3A" w:rsidRDefault="00702FC7" w:rsidP="00CD58C6">
            <w:pPr>
              <w:pStyle w:val="a"/>
              <w:jc w:val="left"/>
              <w:rPr>
                <w:b/>
              </w:rPr>
            </w:pPr>
            <w:r w:rsidRPr="00631F3A">
              <w:t>HMMPS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262"/>
        </w:trPr>
        <w:tc>
          <w:tcPr>
            <w:tcW w:w="2127" w:type="dxa"/>
            <w:tcBorders>
              <w:top w:val="nil"/>
              <w:bottom w:val="nil"/>
            </w:tcBorders>
          </w:tcPr>
          <w:p w:rsidR="00702FC7" w:rsidRPr="00631F3A" w:rsidRDefault="00702FC7" w:rsidP="00CD58C6">
            <w:pPr>
              <w:pStyle w:val="a"/>
              <w:jc w:val="left"/>
              <w:rPr>
                <w:b/>
              </w:rPr>
            </w:pPr>
            <w:r w:rsidRPr="00631F3A">
              <w:t>Total bilirubin (T-Bil)</w:t>
            </w:r>
          </w:p>
        </w:tc>
        <w:tc>
          <w:tcPr>
            <w:tcW w:w="859" w:type="dxa"/>
            <w:tcBorders>
              <w:top w:val="nil"/>
              <w:bottom w:val="nil"/>
            </w:tcBorders>
          </w:tcPr>
          <w:p w:rsidR="00702FC7" w:rsidRPr="00631F3A" w:rsidRDefault="00702FC7" w:rsidP="00CD58C6">
            <w:pPr>
              <w:pStyle w:val="a"/>
              <w:jc w:val="center"/>
              <w:rPr>
                <w:b/>
              </w:rPr>
            </w:pPr>
            <w:r w:rsidRPr="00631F3A">
              <w:t>mg/dL</w:t>
            </w:r>
          </w:p>
        </w:tc>
        <w:tc>
          <w:tcPr>
            <w:tcW w:w="3385" w:type="dxa"/>
            <w:tcBorders>
              <w:top w:val="nil"/>
              <w:bottom w:val="nil"/>
            </w:tcBorders>
          </w:tcPr>
          <w:p w:rsidR="00702FC7" w:rsidRPr="00631F3A" w:rsidRDefault="00702FC7" w:rsidP="00CD58C6">
            <w:pPr>
              <w:pStyle w:val="a"/>
              <w:jc w:val="left"/>
              <w:rPr>
                <w:b/>
              </w:rPr>
            </w:pPr>
            <w:r w:rsidRPr="00631F3A">
              <w:t>Biochemical oxygen demand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360"/>
        </w:trPr>
        <w:tc>
          <w:tcPr>
            <w:tcW w:w="2127" w:type="dxa"/>
            <w:vMerge w:val="restart"/>
            <w:tcBorders>
              <w:top w:val="nil"/>
            </w:tcBorders>
          </w:tcPr>
          <w:p w:rsidR="00702FC7" w:rsidRPr="00631F3A" w:rsidRDefault="00702FC7" w:rsidP="00CD58C6">
            <w:pPr>
              <w:pStyle w:val="a"/>
              <w:jc w:val="left"/>
              <w:rPr>
                <w:b/>
              </w:rPr>
            </w:pPr>
            <w:r w:rsidRPr="00631F3A">
              <w:t>Glucose (Glu)</w:t>
            </w:r>
          </w:p>
        </w:tc>
        <w:tc>
          <w:tcPr>
            <w:tcW w:w="859" w:type="dxa"/>
            <w:vMerge w:val="restart"/>
            <w:tcBorders>
              <w:top w:val="nil"/>
            </w:tcBorders>
          </w:tcPr>
          <w:p w:rsidR="00702FC7" w:rsidRPr="00631F3A" w:rsidRDefault="00702FC7" w:rsidP="00CD58C6">
            <w:pPr>
              <w:pStyle w:val="a"/>
              <w:jc w:val="center"/>
              <w:rPr>
                <w:b/>
              </w:rPr>
            </w:pPr>
            <w:r w:rsidRPr="00631F3A">
              <w:t>mg/dL</w:t>
            </w:r>
          </w:p>
        </w:tc>
        <w:tc>
          <w:tcPr>
            <w:tcW w:w="3385" w:type="dxa"/>
            <w:vMerge w:val="restart"/>
            <w:tcBorders>
              <w:top w:val="nil"/>
            </w:tcBorders>
          </w:tcPr>
          <w:p w:rsidR="00702FC7" w:rsidRPr="00631F3A" w:rsidRDefault="00702FC7" w:rsidP="00CD58C6">
            <w:pPr>
              <w:pStyle w:val="a"/>
              <w:jc w:val="left"/>
            </w:pPr>
            <w:r w:rsidRPr="00631F3A">
              <w:t>Hexokinase-</w:t>
            </w:r>
          </w:p>
          <w:p w:rsidR="00702FC7" w:rsidRPr="00631F3A" w:rsidRDefault="00702FC7" w:rsidP="00CD58C6">
            <w:pPr>
              <w:pStyle w:val="a"/>
              <w:jc w:val="left"/>
              <w:rPr>
                <w:b/>
              </w:rPr>
            </w:pPr>
            <w:r w:rsidRPr="00631F3A">
              <w:t>glucose 6 phosphate dehydrogenase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360"/>
        </w:trPr>
        <w:tc>
          <w:tcPr>
            <w:tcW w:w="2127" w:type="dxa"/>
            <w:vMerge/>
            <w:tcBorders>
              <w:bottom w:val="nil"/>
            </w:tcBorders>
          </w:tcPr>
          <w:p w:rsidR="00702FC7" w:rsidRPr="00631F3A" w:rsidRDefault="00702FC7" w:rsidP="00CD58C6">
            <w:pPr>
              <w:autoSpaceDE w:val="0"/>
              <w:autoSpaceDN w:val="0"/>
              <w:jc w:val="left"/>
              <w:rPr>
                <w:rFonts w:ascii="Times New Roman" w:hAnsi="Times New Roman" w:cs="Times New Roman"/>
                <w:b/>
                <w:szCs w:val="21"/>
              </w:rPr>
            </w:pPr>
          </w:p>
        </w:tc>
        <w:tc>
          <w:tcPr>
            <w:tcW w:w="859" w:type="dxa"/>
            <w:vMerge/>
            <w:tcBorders>
              <w:bottom w:val="nil"/>
            </w:tcBorders>
          </w:tcPr>
          <w:p w:rsidR="00702FC7" w:rsidRPr="00631F3A" w:rsidRDefault="00702FC7" w:rsidP="00CD58C6">
            <w:pPr>
              <w:autoSpaceDE w:val="0"/>
              <w:autoSpaceDN w:val="0"/>
              <w:jc w:val="center"/>
              <w:rPr>
                <w:rFonts w:ascii="Times New Roman" w:hAnsi="Times New Roman" w:cs="Times New Roman"/>
                <w:b/>
                <w:szCs w:val="21"/>
              </w:rPr>
            </w:pPr>
          </w:p>
        </w:tc>
        <w:tc>
          <w:tcPr>
            <w:tcW w:w="3385" w:type="dxa"/>
            <w:vMerge/>
            <w:tcBorders>
              <w:bottom w:val="nil"/>
            </w:tcBorders>
          </w:tcPr>
          <w:p w:rsidR="00702FC7" w:rsidRPr="00631F3A" w:rsidRDefault="00702FC7" w:rsidP="00CD58C6">
            <w:pPr>
              <w:autoSpaceDE w:val="0"/>
              <w:autoSpaceDN w:val="0"/>
              <w:jc w:val="left"/>
              <w:rPr>
                <w:rFonts w:ascii="Times New Roman" w:hAnsi="Times New Roman" w:cs="Times New Roman"/>
                <w:b/>
                <w:szCs w:val="21"/>
              </w:rPr>
            </w:pP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296"/>
        </w:trPr>
        <w:tc>
          <w:tcPr>
            <w:tcW w:w="2127" w:type="dxa"/>
            <w:tcBorders>
              <w:top w:val="nil"/>
              <w:bottom w:val="nil"/>
            </w:tcBorders>
          </w:tcPr>
          <w:p w:rsidR="00702FC7" w:rsidRPr="00631F3A" w:rsidRDefault="00702FC7" w:rsidP="00CD58C6">
            <w:pPr>
              <w:pStyle w:val="a"/>
              <w:jc w:val="left"/>
              <w:rPr>
                <w:b/>
              </w:rPr>
            </w:pPr>
            <w:r w:rsidRPr="00631F3A">
              <w:t>Inorganic phosphorus (IP)</w:t>
            </w:r>
          </w:p>
        </w:tc>
        <w:tc>
          <w:tcPr>
            <w:tcW w:w="859" w:type="dxa"/>
            <w:tcBorders>
              <w:top w:val="nil"/>
              <w:bottom w:val="nil"/>
            </w:tcBorders>
          </w:tcPr>
          <w:p w:rsidR="00702FC7" w:rsidRPr="00631F3A" w:rsidRDefault="00702FC7" w:rsidP="00CD58C6">
            <w:pPr>
              <w:pStyle w:val="a"/>
              <w:jc w:val="center"/>
              <w:rPr>
                <w:b/>
              </w:rPr>
            </w:pPr>
            <w:r w:rsidRPr="00631F3A">
              <w:t>mg/dL</w:t>
            </w:r>
          </w:p>
        </w:tc>
        <w:tc>
          <w:tcPr>
            <w:tcW w:w="3385" w:type="dxa"/>
            <w:tcBorders>
              <w:top w:val="nil"/>
              <w:bottom w:val="nil"/>
            </w:tcBorders>
          </w:tcPr>
          <w:p w:rsidR="00702FC7" w:rsidRPr="00631F3A" w:rsidRDefault="00702FC7" w:rsidP="00CD58C6">
            <w:pPr>
              <w:pStyle w:val="a"/>
              <w:jc w:val="left"/>
              <w:rPr>
                <w:b/>
              </w:rPr>
            </w:pPr>
            <w:r w:rsidRPr="00631F3A">
              <w:t>Purine nucleoside phosphorylase-xanthine dehydrogenase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280"/>
        </w:trPr>
        <w:tc>
          <w:tcPr>
            <w:tcW w:w="2127" w:type="dxa"/>
            <w:tcBorders>
              <w:top w:val="nil"/>
              <w:bottom w:val="nil"/>
            </w:tcBorders>
          </w:tcPr>
          <w:p w:rsidR="00702FC7" w:rsidRPr="00631F3A" w:rsidRDefault="00702FC7" w:rsidP="00CD58C6">
            <w:pPr>
              <w:pStyle w:val="a"/>
              <w:jc w:val="left"/>
              <w:rPr>
                <w:b/>
              </w:rPr>
            </w:pPr>
            <w:r w:rsidRPr="00631F3A">
              <w:t>Calcium (Ca)</w:t>
            </w:r>
          </w:p>
        </w:tc>
        <w:tc>
          <w:tcPr>
            <w:tcW w:w="859" w:type="dxa"/>
            <w:tcBorders>
              <w:top w:val="nil"/>
              <w:bottom w:val="nil"/>
            </w:tcBorders>
          </w:tcPr>
          <w:p w:rsidR="00702FC7" w:rsidRPr="00631F3A" w:rsidRDefault="00702FC7" w:rsidP="00CD58C6">
            <w:pPr>
              <w:pStyle w:val="a"/>
              <w:jc w:val="center"/>
              <w:rPr>
                <w:b/>
              </w:rPr>
            </w:pPr>
            <w:r w:rsidRPr="00631F3A">
              <w:t>mg/dL</w:t>
            </w:r>
          </w:p>
        </w:tc>
        <w:tc>
          <w:tcPr>
            <w:tcW w:w="3385" w:type="dxa"/>
            <w:tcBorders>
              <w:top w:val="nil"/>
              <w:bottom w:val="nil"/>
            </w:tcBorders>
          </w:tcPr>
          <w:p w:rsidR="00702FC7" w:rsidRPr="00631F3A" w:rsidRDefault="00702FC7" w:rsidP="00CD58C6">
            <w:pPr>
              <w:pStyle w:val="a"/>
              <w:jc w:val="left"/>
              <w:rPr>
                <w:b/>
              </w:rPr>
            </w:pPr>
            <w:r w:rsidRPr="00631F3A">
              <w:t>O</w:t>
            </w:r>
            <w:r w:rsidRPr="00631F3A">
              <w:rPr>
                <w:rFonts w:hint="eastAsia"/>
              </w:rPr>
              <w:t xml:space="preserve"> </w:t>
            </w:r>
            <w:r w:rsidRPr="00631F3A">
              <w:t>cresolphthalein complexion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320"/>
        </w:trPr>
        <w:tc>
          <w:tcPr>
            <w:tcW w:w="2127" w:type="dxa"/>
            <w:tcBorders>
              <w:top w:val="nil"/>
              <w:bottom w:val="nil"/>
            </w:tcBorders>
          </w:tcPr>
          <w:p w:rsidR="00702FC7" w:rsidRPr="00631F3A" w:rsidRDefault="00702FC7" w:rsidP="00CD58C6">
            <w:pPr>
              <w:pStyle w:val="a"/>
              <w:jc w:val="left"/>
              <w:rPr>
                <w:b/>
              </w:rPr>
            </w:pPr>
            <w:r w:rsidRPr="00631F3A">
              <w:t>Sodium (Na)</w:t>
            </w:r>
          </w:p>
        </w:tc>
        <w:tc>
          <w:tcPr>
            <w:tcW w:w="859" w:type="dxa"/>
            <w:tcBorders>
              <w:top w:val="nil"/>
              <w:bottom w:val="nil"/>
            </w:tcBorders>
          </w:tcPr>
          <w:p w:rsidR="00702FC7" w:rsidRPr="00631F3A" w:rsidRDefault="00702FC7" w:rsidP="00CD58C6">
            <w:pPr>
              <w:pStyle w:val="a"/>
              <w:jc w:val="center"/>
              <w:rPr>
                <w:b/>
              </w:rPr>
            </w:pPr>
            <w:r w:rsidRPr="00631F3A">
              <w:t>mEq/L</w:t>
            </w:r>
          </w:p>
        </w:tc>
        <w:tc>
          <w:tcPr>
            <w:tcW w:w="3385" w:type="dxa"/>
            <w:tcBorders>
              <w:top w:val="nil"/>
              <w:bottom w:val="nil"/>
            </w:tcBorders>
          </w:tcPr>
          <w:p w:rsidR="00702FC7" w:rsidRPr="00631F3A" w:rsidRDefault="00702FC7" w:rsidP="00CD58C6">
            <w:pPr>
              <w:pStyle w:val="a"/>
              <w:jc w:val="left"/>
              <w:rPr>
                <w:b/>
              </w:rPr>
            </w:pPr>
            <w:r w:rsidRPr="00631F3A">
              <w:t>Ion selective electrode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631F3A" w:rsidTr="00CD58C6">
        <w:trPr>
          <w:cantSplit/>
          <w:trHeight w:val="124"/>
        </w:trPr>
        <w:tc>
          <w:tcPr>
            <w:tcW w:w="2127" w:type="dxa"/>
            <w:tcBorders>
              <w:top w:val="nil"/>
              <w:bottom w:val="nil"/>
            </w:tcBorders>
          </w:tcPr>
          <w:p w:rsidR="00702FC7" w:rsidRPr="00631F3A" w:rsidRDefault="00702FC7" w:rsidP="00CD58C6">
            <w:pPr>
              <w:pStyle w:val="a"/>
              <w:jc w:val="left"/>
              <w:rPr>
                <w:b/>
              </w:rPr>
            </w:pPr>
            <w:r w:rsidRPr="00631F3A">
              <w:t>Potassium (K)</w:t>
            </w:r>
          </w:p>
        </w:tc>
        <w:tc>
          <w:tcPr>
            <w:tcW w:w="859" w:type="dxa"/>
            <w:tcBorders>
              <w:top w:val="nil"/>
              <w:bottom w:val="nil"/>
            </w:tcBorders>
          </w:tcPr>
          <w:p w:rsidR="00702FC7" w:rsidRPr="00631F3A" w:rsidRDefault="00702FC7" w:rsidP="00CD58C6">
            <w:pPr>
              <w:pStyle w:val="a"/>
              <w:jc w:val="center"/>
              <w:rPr>
                <w:b/>
              </w:rPr>
            </w:pPr>
            <w:r w:rsidRPr="00631F3A">
              <w:t>mEq/L</w:t>
            </w:r>
          </w:p>
        </w:tc>
        <w:tc>
          <w:tcPr>
            <w:tcW w:w="3385" w:type="dxa"/>
            <w:tcBorders>
              <w:top w:val="nil"/>
              <w:bottom w:val="nil"/>
            </w:tcBorders>
          </w:tcPr>
          <w:p w:rsidR="00702FC7" w:rsidRPr="00631F3A" w:rsidRDefault="00702FC7" w:rsidP="00CD58C6">
            <w:pPr>
              <w:pStyle w:val="a"/>
              <w:jc w:val="left"/>
              <w:rPr>
                <w:b/>
              </w:rPr>
            </w:pPr>
            <w:r w:rsidRPr="00631F3A">
              <w:t>Ion selective electrode method</w:t>
            </w:r>
          </w:p>
        </w:tc>
        <w:tc>
          <w:tcPr>
            <w:tcW w:w="2977" w:type="dxa"/>
            <w:vMerge/>
            <w:vAlign w:val="center"/>
          </w:tcPr>
          <w:p w:rsidR="00702FC7" w:rsidRPr="00631F3A" w:rsidRDefault="00702FC7" w:rsidP="00CD58C6">
            <w:pPr>
              <w:autoSpaceDE w:val="0"/>
              <w:autoSpaceDN w:val="0"/>
              <w:rPr>
                <w:rFonts w:ascii="Times New Roman" w:hAnsi="Times New Roman" w:cs="Times New Roman"/>
                <w:b/>
                <w:szCs w:val="21"/>
              </w:rPr>
            </w:pPr>
          </w:p>
        </w:tc>
      </w:tr>
      <w:tr w:rsidR="00702FC7" w:rsidRPr="00800C5E" w:rsidTr="00CD58C6">
        <w:trPr>
          <w:cantSplit/>
          <w:trHeight w:val="317"/>
        </w:trPr>
        <w:tc>
          <w:tcPr>
            <w:tcW w:w="2127" w:type="dxa"/>
            <w:tcBorders>
              <w:top w:val="nil"/>
            </w:tcBorders>
          </w:tcPr>
          <w:p w:rsidR="00702FC7" w:rsidRPr="00631F3A" w:rsidRDefault="00702FC7" w:rsidP="00CD58C6">
            <w:pPr>
              <w:pStyle w:val="a"/>
              <w:jc w:val="left"/>
              <w:rPr>
                <w:b/>
              </w:rPr>
            </w:pPr>
            <w:r w:rsidRPr="00631F3A">
              <w:t>Chlorine (Cl)</w:t>
            </w:r>
          </w:p>
        </w:tc>
        <w:tc>
          <w:tcPr>
            <w:tcW w:w="859" w:type="dxa"/>
            <w:tcBorders>
              <w:top w:val="nil"/>
            </w:tcBorders>
          </w:tcPr>
          <w:p w:rsidR="00702FC7" w:rsidRPr="00631F3A" w:rsidRDefault="00702FC7" w:rsidP="00CD58C6">
            <w:pPr>
              <w:pStyle w:val="a"/>
              <w:jc w:val="center"/>
              <w:rPr>
                <w:b/>
              </w:rPr>
            </w:pPr>
            <w:r w:rsidRPr="00631F3A">
              <w:t>mEq/L</w:t>
            </w:r>
          </w:p>
        </w:tc>
        <w:tc>
          <w:tcPr>
            <w:tcW w:w="3385" w:type="dxa"/>
            <w:tcBorders>
              <w:top w:val="nil"/>
            </w:tcBorders>
          </w:tcPr>
          <w:p w:rsidR="00702FC7" w:rsidRPr="00800C5E" w:rsidRDefault="00702FC7" w:rsidP="00CD58C6">
            <w:pPr>
              <w:pStyle w:val="a"/>
              <w:jc w:val="left"/>
              <w:rPr>
                <w:b/>
              </w:rPr>
            </w:pPr>
            <w:r w:rsidRPr="00631F3A">
              <w:t>Ion selective electrode method</w:t>
            </w:r>
          </w:p>
        </w:tc>
        <w:tc>
          <w:tcPr>
            <w:tcW w:w="2977" w:type="dxa"/>
            <w:vMerge/>
            <w:vAlign w:val="center"/>
          </w:tcPr>
          <w:p w:rsidR="00702FC7" w:rsidRPr="00800C5E" w:rsidRDefault="00702FC7" w:rsidP="00CD58C6">
            <w:pPr>
              <w:autoSpaceDE w:val="0"/>
              <w:autoSpaceDN w:val="0"/>
              <w:rPr>
                <w:rFonts w:ascii="Times New Roman" w:hAnsi="Times New Roman" w:cs="Times New Roman"/>
                <w:b/>
                <w:szCs w:val="21"/>
              </w:rPr>
            </w:pPr>
          </w:p>
        </w:tc>
      </w:tr>
    </w:tbl>
    <w:p w:rsidR="00702FC7" w:rsidRPr="00702FC7" w:rsidRDefault="00702FC7" w:rsidP="00702FC7">
      <w:pPr>
        <w:spacing w:line="480" w:lineRule="auto"/>
        <w:jc w:val="left"/>
        <w:rPr>
          <w:rFonts w:ascii="Times New Roman" w:eastAsia="MS PGothic" w:hAnsi="Times New Roman" w:cs="Times New Roman"/>
          <w:szCs w:val="21"/>
        </w:rPr>
      </w:pPr>
    </w:p>
    <w:p w:rsidR="006D0D62" w:rsidRDefault="006D0D62" w:rsidP="00853D55">
      <w:pPr>
        <w:spacing w:line="480" w:lineRule="auto"/>
        <w:jc w:val="left"/>
        <w:rPr>
          <w:rFonts w:ascii="Times New Roman" w:eastAsia="MS PGothic" w:hAnsi="Times New Roman" w:cs="Times New Roman"/>
          <w:szCs w:val="21"/>
        </w:rPr>
      </w:pPr>
    </w:p>
    <w:p w:rsidR="00B063D1" w:rsidRPr="00800C5E" w:rsidRDefault="00B063D1" w:rsidP="00B063D1">
      <w:pPr>
        <w:jc w:val="left"/>
        <w:rPr>
          <w:rFonts w:ascii="Times New Roman" w:eastAsia="MS PGothic" w:hAnsi="Times New Roman" w:cs="Times New Roman"/>
          <w:szCs w:val="21"/>
        </w:rPr>
      </w:pPr>
    </w:p>
    <w:p w:rsidR="00B063D1" w:rsidRPr="00B063D1" w:rsidRDefault="00B063D1" w:rsidP="00853D55">
      <w:pPr>
        <w:spacing w:line="480" w:lineRule="auto"/>
        <w:jc w:val="left"/>
        <w:rPr>
          <w:rFonts w:ascii="Times New Roman" w:eastAsia="MS PGothic" w:hAnsi="Times New Roman" w:cs="Times New Roman"/>
          <w:szCs w:val="21"/>
        </w:rPr>
      </w:pPr>
    </w:p>
    <w:sectPr w:rsidR="00B063D1" w:rsidRPr="00B063D1" w:rsidSect="00B063D1">
      <w:pgSz w:w="11906" w:h="16838"/>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C5EE1C" w16cid:durableId="1DC6DB14"/>
  <w16cid:commentId w16cid:paraId="7DB727EA" w16cid:durableId="1DC6DB15"/>
  <w16cid:commentId w16cid:paraId="22D6B705" w16cid:durableId="1DC6DB16"/>
  <w16cid:commentId w16cid:paraId="723B2A40" w16cid:durableId="1DC6DB17"/>
  <w16cid:commentId w16cid:paraId="0D509783" w16cid:durableId="1DC6DE1A"/>
  <w16cid:commentId w16cid:paraId="316A87F4" w16cid:durableId="1DC6DB18"/>
  <w16cid:commentId w16cid:paraId="5072E2E6" w16cid:durableId="1DC6DB19"/>
  <w16cid:commentId w16cid:paraId="5865CD7B" w16cid:durableId="1DC6DB1A"/>
  <w16cid:commentId w16cid:paraId="0D1B94F8" w16cid:durableId="1DC6DB1B"/>
  <w16cid:commentId w16cid:paraId="786B4DC0" w16cid:durableId="1DC6DB1C"/>
  <w16cid:commentId w16cid:paraId="6231CB01" w16cid:durableId="1DC6DB1D"/>
  <w16cid:commentId w16cid:paraId="0A8D9684" w16cid:durableId="1DC6DB1E"/>
  <w16cid:commentId w16cid:paraId="62FC0147" w16cid:durableId="1DC6DB1F"/>
  <w16cid:commentId w16cid:paraId="1F7002B2" w16cid:durableId="1DC6DB20"/>
  <w16cid:commentId w16cid:paraId="4E0BF730" w16cid:durableId="1DC6DB21"/>
  <w16cid:commentId w16cid:paraId="0F046F72" w16cid:durableId="1DC6DB22"/>
  <w16cid:commentId w16cid:paraId="6BBA27ED" w16cid:durableId="1DC6DB23"/>
  <w16cid:commentId w16cid:paraId="73C9A95F" w16cid:durableId="1DC6DB24"/>
  <w16cid:commentId w16cid:paraId="42FFF9E7" w16cid:durableId="1DC6DB25"/>
  <w16cid:commentId w16cid:paraId="5E89AFE4" w16cid:durableId="1DC6DB26"/>
  <w16cid:commentId w16cid:paraId="6AD42652" w16cid:durableId="1DC6DB27"/>
  <w16cid:commentId w16cid:paraId="4EB9EFF0" w16cid:durableId="1DC6DB28"/>
  <w16cid:commentId w16cid:paraId="3C66620E" w16cid:durableId="1DC6DB29"/>
  <w16cid:commentId w16cid:paraId="08DCD88B" w16cid:durableId="1DC6DB2A"/>
  <w16cid:commentId w16cid:paraId="1FB8A3BC" w16cid:durableId="1DC6DB2B"/>
  <w16cid:commentId w16cid:paraId="0E9B639A" w16cid:durableId="1DC6DB2C"/>
  <w16cid:commentId w16cid:paraId="3DAA6A26" w16cid:durableId="1DC6DB2D"/>
  <w16cid:commentId w16cid:paraId="325B0FA9" w16cid:durableId="1DC6DB2E"/>
  <w16cid:commentId w16cid:paraId="5BAD5918" w16cid:durableId="1DC6DB2F"/>
  <w16cid:commentId w16cid:paraId="1D5B4251" w16cid:durableId="1DC6DB30"/>
  <w16cid:commentId w16cid:paraId="1416527E" w16cid:durableId="1DC6DB31"/>
  <w16cid:commentId w16cid:paraId="11ABF1AC" w16cid:durableId="1DC6DB32"/>
  <w16cid:commentId w16cid:paraId="7EB3E8AB" w16cid:durableId="1DC6DB33"/>
  <w16cid:commentId w16cid:paraId="68DE8B8B" w16cid:durableId="1DC6DB34"/>
  <w16cid:commentId w16cid:paraId="1D843863" w16cid:durableId="1DC6DB35"/>
  <w16cid:commentId w16cid:paraId="11FE85BE" w16cid:durableId="1DC6DB36"/>
  <w16cid:commentId w16cid:paraId="5C77FE2F" w16cid:durableId="1DC6DB37"/>
  <w16cid:commentId w16cid:paraId="77FBBA13" w16cid:durableId="1DC6DB38"/>
  <w16cid:commentId w16cid:paraId="2F2AB6C6" w16cid:durableId="1DC6DB3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5BB" w:rsidRDefault="009C35BB" w:rsidP="008153EA">
      <w:r>
        <w:separator/>
      </w:r>
    </w:p>
  </w:endnote>
  <w:endnote w:type="continuationSeparator" w:id="0">
    <w:p w:rsidR="009C35BB" w:rsidRDefault="009C35BB" w:rsidP="00815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roman"/>
    <w:pitch w:val="fixed"/>
    <w:sig w:usb0="E00002FF" w:usb1="6AC7FDFB" w:usb2="00000012" w:usb3="00000000" w:csb0="0002009F" w:csb1="00000000"/>
  </w:font>
  <w:font w:name="MS PGothic">
    <w:altName w:val="?l?r ?o?S?V?b?N"/>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5BB" w:rsidRDefault="009C35BB" w:rsidP="008153EA">
      <w:r>
        <w:separator/>
      </w:r>
    </w:p>
  </w:footnote>
  <w:footnote w:type="continuationSeparator" w:id="0">
    <w:p w:rsidR="009C35BB" w:rsidRDefault="009C35BB" w:rsidP="008153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1E0"/>
    <w:multiLevelType w:val="hybridMultilevel"/>
    <w:tmpl w:val="C91AA0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444E4"/>
    <w:multiLevelType w:val="hybridMultilevel"/>
    <w:tmpl w:val="F3AE1E34"/>
    <w:lvl w:ilvl="0" w:tplc="5E5A21D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A709C9"/>
    <w:multiLevelType w:val="hybridMultilevel"/>
    <w:tmpl w:val="182A4C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5DD5316"/>
    <w:multiLevelType w:val="hybridMultilevel"/>
    <w:tmpl w:val="34365BAE"/>
    <w:lvl w:ilvl="0" w:tplc="570020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49D1765"/>
    <w:multiLevelType w:val="hybridMultilevel"/>
    <w:tmpl w:val="AFA27B1A"/>
    <w:lvl w:ilvl="0" w:tplc="EC82EB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ED2669"/>
    <w:multiLevelType w:val="multilevel"/>
    <w:tmpl w:val="532E6D74"/>
    <w:lvl w:ilvl="0">
      <w:start w:val="1"/>
      <w:numFmt w:val="decimal"/>
      <w:pStyle w:val="Heading1"/>
      <w:lvlText w:val="%1."/>
      <w:lvlJc w:val="left"/>
      <w:pPr>
        <w:tabs>
          <w:tab w:val="num" w:pos="567"/>
        </w:tabs>
        <w:ind w:left="567" w:hanging="567"/>
      </w:pPr>
      <w:rPr>
        <w:rFonts w:ascii="Arial" w:eastAsia="MS Gothic" w:hAnsi="Arial" w:hint="default"/>
        <w:b w:val="0"/>
        <w:i w:val="0"/>
        <w:snapToGrid/>
        <w:spacing w:val="0"/>
        <w:w w:val="100"/>
        <w:kern w:val="21"/>
        <w:position w:val="0"/>
        <w:sz w:val="24"/>
      </w:rPr>
    </w:lvl>
    <w:lvl w:ilvl="1">
      <w:start w:val="1"/>
      <w:numFmt w:val="decimal"/>
      <w:pStyle w:val="Heading2"/>
      <w:lvlText w:val="%1.%2."/>
      <w:lvlJc w:val="left"/>
      <w:pPr>
        <w:tabs>
          <w:tab w:val="num" w:pos="851"/>
        </w:tabs>
        <w:ind w:left="851" w:hanging="851"/>
      </w:pPr>
      <w:rPr>
        <w:rFonts w:ascii="Arial" w:eastAsia="MS Gothic" w:hAnsi="Arial" w:hint="default"/>
        <w:b w:val="0"/>
        <w:i w:val="0"/>
        <w:snapToGrid/>
        <w:spacing w:val="0"/>
        <w:w w:val="100"/>
        <w:kern w:val="21"/>
        <w:position w:val="0"/>
        <w:sz w:val="24"/>
      </w:rPr>
    </w:lvl>
    <w:lvl w:ilvl="2">
      <w:start w:val="1"/>
      <w:numFmt w:val="decimal"/>
      <w:pStyle w:val="Heading3"/>
      <w:lvlText w:val="%1.%2.%3."/>
      <w:lvlJc w:val="left"/>
      <w:pPr>
        <w:tabs>
          <w:tab w:val="num" w:pos="1134"/>
        </w:tabs>
        <w:ind w:left="1134" w:hanging="1134"/>
      </w:pPr>
      <w:rPr>
        <w:rFonts w:ascii="Arial" w:eastAsia="MS Gothic" w:hAnsi="Arial" w:hint="default"/>
        <w:b w:val="0"/>
        <w:i w:val="0"/>
        <w:snapToGrid/>
        <w:spacing w:val="0"/>
        <w:w w:val="100"/>
        <w:kern w:val="21"/>
        <w:position w:val="0"/>
        <w:sz w:val="21"/>
      </w:rPr>
    </w:lvl>
    <w:lvl w:ilvl="3">
      <w:start w:val="1"/>
      <w:numFmt w:val="decimal"/>
      <w:pStyle w:val="Heading4"/>
      <w:lvlText w:val="%1.%2.%3.%4."/>
      <w:lvlJc w:val="left"/>
      <w:pPr>
        <w:tabs>
          <w:tab w:val="num" w:pos="1418"/>
        </w:tabs>
        <w:ind w:left="1418" w:hanging="1418"/>
      </w:pPr>
      <w:rPr>
        <w:rFonts w:ascii="Arial" w:eastAsia="MS Gothic" w:hAnsi="Arial" w:hint="default"/>
        <w:b w:val="0"/>
        <w:i w:val="0"/>
        <w:snapToGrid/>
        <w:spacing w:val="0"/>
        <w:w w:val="100"/>
        <w:kern w:val="21"/>
        <w:position w:val="0"/>
        <w:sz w:val="21"/>
      </w:rPr>
    </w:lvl>
    <w:lvl w:ilvl="4">
      <w:start w:val="1"/>
      <w:numFmt w:val="decimal"/>
      <w:pStyle w:val="Heading5"/>
      <w:lvlText w:val="%1.%2.%3.%4.%5."/>
      <w:lvlJc w:val="left"/>
      <w:pPr>
        <w:tabs>
          <w:tab w:val="num" w:pos="1701"/>
        </w:tabs>
        <w:ind w:left="1701" w:hanging="1701"/>
      </w:pPr>
      <w:rPr>
        <w:rFonts w:ascii="Arial" w:eastAsia="MS Gothic" w:hAnsi="Arial" w:hint="default"/>
        <w:b w:val="0"/>
        <w:i w:val="0"/>
        <w:snapToGrid/>
        <w:spacing w:val="0"/>
        <w:w w:val="100"/>
        <w:kern w:val="21"/>
        <w:position w:val="0"/>
        <w:sz w:val="21"/>
      </w:rPr>
    </w:lvl>
    <w:lvl w:ilvl="5">
      <w:start w:val="1"/>
      <w:numFmt w:val="decimal"/>
      <w:pStyle w:val="Heading6"/>
      <w:lvlText w:val="%1.%2.%3.%4.%5.%6."/>
      <w:lvlJc w:val="left"/>
      <w:pPr>
        <w:tabs>
          <w:tab w:val="num" w:pos="1985"/>
        </w:tabs>
        <w:ind w:left="1985" w:hanging="1985"/>
      </w:pPr>
      <w:rPr>
        <w:rFonts w:hint="eastAsia"/>
      </w:rPr>
    </w:lvl>
    <w:lvl w:ilvl="6">
      <w:start w:val="1"/>
      <w:numFmt w:val="decimal"/>
      <w:pStyle w:val="Heading7"/>
      <w:lvlText w:val="%1.%2.%3.%4.%5.%6.%7."/>
      <w:lvlJc w:val="left"/>
      <w:pPr>
        <w:tabs>
          <w:tab w:val="num" w:pos="2268"/>
        </w:tabs>
        <w:ind w:left="2268" w:hanging="2268"/>
      </w:pPr>
      <w:rPr>
        <w:rFonts w:hint="eastAsia"/>
      </w:rPr>
    </w:lvl>
    <w:lvl w:ilvl="7">
      <w:start w:val="1"/>
      <w:numFmt w:val="decimal"/>
      <w:pStyle w:val="Heading8"/>
      <w:lvlText w:val="%1.%2.%3.%4.%5.%6.%7.%8."/>
      <w:lvlJc w:val="left"/>
      <w:pPr>
        <w:tabs>
          <w:tab w:val="num" w:pos="2552"/>
        </w:tabs>
        <w:ind w:left="2552" w:hanging="2552"/>
      </w:pPr>
      <w:rPr>
        <w:rFonts w:hint="eastAsia"/>
      </w:rPr>
    </w:lvl>
    <w:lvl w:ilvl="8">
      <w:start w:val="1"/>
      <w:numFmt w:val="decimal"/>
      <w:pStyle w:val="Heading9"/>
      <w:lvlText w:val="%1.%2.%3.%4.%5.%6.%7.%8.%9."/>
      <w:lvlJc w:val="left"/>
      <w:pPr>
        <w:tabs>
          <w:tab w:val="num" w:pos="2835"/>
        </w:tabs>
        <w:ind w:left="2835" w:hanging="2835"/>
      </w:pPr>
      <w:rPr>
        <w:rFonts w:hint="eastAsia"/>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93"/>
    <w:rsid w:val="0000170E"/>
    <w:rsid w:val="00004578"/>
    <w:rsid w:val="000047CE"/>
    <w:rsid w:val="000136B8"/>
    <w:rsid w:val="00016146"/>
    <w:rsid w:val="00016988"/>
    <w:rsid w:val="00020AAC"/>
    <w:rsid w:val="000271D6"/>
    <w:rsid w:val="00027F82"/>
    <w:rsid w:val="00032080"/>
    <w:rsid w:val="00041943"/>
    <w:rsid w:val="000432E5"/>
    <w:rsid w:val="000469D8"/>
    <w:rsid w:val="00046C49"/>
    <w:rsid w:val="000534FF"/>
    <w:rsid w:val="00054C6D"/>
    <w:rsid w:val="00056D52"/>
    <w:rsid w:val="000570FA"/>
    <w:rsid w:val="00057CB9"/>
    <w:rsid w:val="00060CE4"/>
    <w:rsid w:val="000651FF"/>
    <w:rsid w:val="00067FBA"/>
    <w:rsid w:val="000765D9"/>
    <w:rsid w:val="00081F3C"/>
    <w:rsid w:val="00082F87"/>
    <w:rsid w:val="00084867"/>
    <w:rsid w:val="0008487C"/>
    <w:rsid w:val="00085A0A"/>
    <w:rsid w:val="00090E35"/>
    <w:rsid w:val="00092BE3"/>
    <w:rsid w:val="000A20B5"/>
    <w:rsid w:val="000A2FA6"/>
    <w:rsid w:val="000A4E04"/>
    <w:rsid w:val="000C3D8B"/>
    <w:rsid w:val="000D0497"/>
    <w:rsid w:val="000D0689"/>
    <w:rsid w:val="000D28A3"/>
    <w:rsid w:val="000D58E2"/>
    <w:rsid w:val="000E43CC"/>
    <w:rsid w:val="000F25B4"/>
    <w:rsid w:val="000F398D"/>
    <w:rsid w:val="000F3F3C"/>
    <w:rsid w:val="00104731"/>
    <w:rsid w:val="0010717F"/>
    <w:rsid w:val="00110C64"/>
    <w:rsid w:val="00110F11"/>
    <w:rsid w:val="001158B9"/>
    <w:rsid w:val="00117DFC"/>
    <w:rsid w:val="00125540"/>
    <w:rsid w:val="001256DE"/>
    <w:rsid w:val="001315CA"/>
    <w:rsid w:val="00133D1F"/>
    <w:rsid w:val="001341ED"/>
    <w:rsid w:val="0013541C"/>
    <w:rsid w:val="0013674F"/>
    <w:rsid w:val="001411BB"/>
    <w:rsid w:val="001543F2"/>
    <w:rsid w:val="001546FB"/>
    <w:rsid w:val="00155A72"/>
    <w:rsid w:val="00155B74"/>
    <w:rsid w:val="0016003A"/>
    <w:rsid w:val="001613F6"/>
    <w:rsid w:val="00165F1E"/>
    <w:rsid w:val="00170064"/>
    <w:rsid w:val="00172949"/>
    <w:rsid w:val="00181202"/>
    <w:rsid w:val="001853DD"/>
    <w:rsid w:val="001934CB"/>
    <w:rsid w:val="00195340"/>
    <w:rsid w:val="001A070F"/>
    <w:rsid w:val="001A3C9B"/>
    <w:rsid w:val="001A61FE"/>
    <w:rsid w:val="001B3E26"/>
    <w:rsid w:val="001B6A34"/>
    <w:rsid w:val="001C7F7E"/>
    <w:rsid w:val="001D063C"/>
    <w:rsid w:val="001D3A5D"/>
    <w:rsid w:val="001D459B"/>
    <w:rsid w:val="001D6595"/>
    <w:rsid w:val="001E00E5"/>
    <w:rsid w:val="001E0828"/>
    <w:rsid w:val="001E0CD9"/>
    <w:rsid w:val="001E32A5"/>
    <w:rsid w:val="001E489C"/>
    <w:rsid w:val="001E78E2"/>
    <w:rsid w:val="001E7E83"/>
    <w:rsid w:val="001F0056"/>
    <w:rsid w:val="001F714B"/>
    <w:rsid w:val="00203DF6"/>
    <w:rsid w:val="002112F8"/>
    <w:rsid w:val="002247C7"/>
    <w:rsid w:val="00226333"/>
    <w:rsid w:val="002269F8"/>
    <w:rsid w:val="00230B95"/>
    <w:rsid w:val="0023261C"/>
    <w:rsid w:val="002349C5"/>
    <w:rsid w:val="00234D58"/>
    <w:rsid w:val="0023501E"/>
    <w:rsid w:val="00235D3E"/>
    <w:rsid w:val="00242610"/>
    <w:rsid w:val="00242937"/>
    <w:rsid w:val="00245E7A"/>
    <w:rsid w:val="002507BE"/>
    <w:rsid w:val="00250966"/>
    <w:rsid w:val="00254752"/>
    <w:rsid w:val="00262296"/>
    <w:rsid w:val="00273F93"/>
    <w:rsid w:val="0028191F"/>
    <w:rsid w:val="00282D61"/>
    <w:rsid w:val="00286C73"/>
    <w:rsid w:val="00286D9E"/>
    <w:rsid w:val="00293826"/>
    <w:rsid w:val="00293C8E"/>
    <w:rsid w:val="002A0F38"/>
    <w:rsid w:val="002A12A3"/>
    <w:rsid w:val="002B2AEE"/>
    <w:rsid w:val="002B5866"/>
    <w:rsid w:val="002C0F01"/>
    <w:rsid w:val="002C65F9"/>
    <w:rsid w:val="002D7FAC"/>
    <w:rsid w:val="002E1CF8"/>
    <w:rsid w:val="002F158D"/>
    <w:rsid w:val="002F1DA4"/>
    <w:rsid w:val="00313839"/>
    <w:rsid w:val="00316B69"/>
    <w:rsid w:val="00323AE5"/>
    <w:rsid w:val="00326ED6"/>
    <w:rsid w:val="00327479"/>
    <w:rsid w:val="003274B6"/>
    <w:rsid w:val="00333717"/>
    <w:rsid w:val="00333A35"/>
    <w:rsid w:val="00335402"/>
    <w:rsid w:val="00337E63"/>
    <w:rsid w:val="00346A0F"/>
    <w:rsid w:val="00351747"/>
    <w:rsid w:val="00354EBB"/>
    <w:rsid w:val="00360232"/>
    <w:rsid w:val="00360865"/>
    <w:rsid w:val="00360990"/>
    <w:rsid w:val="00362120"/>
    <w:rsid w:val="003636FB"/>
    <w:rsid w:val="00365214"/>
    <w:rsid w:val="00371B8D"/>
    <w:rsid w:val="003730D8"/>
    <w:rsid w:val="00376F84"/>
    <w:rsid w:val="003819C5"/>
    <w:rsid w:val="003929AF"/>
    <w:rsid w:val="00397A01"/>
    <w:rsid w:val="00397A9D"/>
    <w:rsid w:val="003A1BB6"/>
    <w:rsid w:val="003A6D43"/>
    <w:rsid w:val="003A7567"/>
    <w:rsid w:val="003A7FCB"/>
    <w:rsid w:val="003B09A5"/>
    <w:rsid w:val="003C0955"/>
    <w:rsid w:val="003C14D0"/>
    <w:rsid w:val="003D6534"/>
    <w:rsid w:val="003D76D5"/>
    <w:rsid w:val="003E0B1E"/>
    <w:rsid w:val="003E13D1"/>
    <w:rsid w:val="003E5BD9"/>
    <w:rsid w:val="003E60BB"/>
    <w:rsid w:val="003F4B95"/>
    <w:rsid w:val="0040244C"/>
    <w:rsid w:val="0040275E"/>
    <w:rsid w:val="00402B40"/>
    <w:rsid w:val="00403C63"/>
    <w:rsid w:val="004102FE"/>
    <w:rsid w:val="00411BC8"/>
    <w:rsid w:val="00413D44"/>
    <w:rsid w:val="00421242"/>
    <w:rsid w:val="00422591"/>
    <w:rsid w:val="00422D2C"/>
    <w:rsid w:val="004240B2"/>
    <w:rsid w:val="00425E14"/>
    <w:rsid w:val="0042744E"/>
    <w:rsid w:val="00431573"/>
    <w:rsid w:val="00433201"/>
    <w:rsid w:val="0044056A"/>
    <w:rsid w:val="00440702"/>
    <w:rsid w:val="00444BF8"/>
    <w:rsid w:val="00452661"/>
    <w:rsid w:val="00457A3C"/>
    <w:rsid w:val="00460543"/>
    <w:rsid w:val="00461198"/>
    <w:rsid w:val="0046276A"/>
    <w:rsid w:val="0046398F"/>
    <w:rsid w:val="00470CED"/>
    <w:rsid w:val="00473120"/>
    <w:rsid w:val="00474DF2"/>
    <w:rsid w:val="00475681"/>
    <w:rsid w:val="00483252"/>
    <w:rsid w:val="0048463E"/>
    <w:rsid w:val="00486642"/>
    <w:rsid w:val="00486BF7"/>
    <w:rsid w:val="0048718D"/>
    <w:rsid w:val="00487FA0"/>
    <w:rsid w:val="0049456D"/>
    <w:rsid w:val="00494A06"/>
    <w:rsid w:val="00496013"/>
    <w:rsid w:val="00496E1B"/>
    <w:rsid w:val="004A1C8C"/>
    <w:rsid w:val="004A2026"/>
    <w:rsid w:val="004A25A2"/>
    <w:rsid w:val="004A5B12"/>
    <w:rsid w:val="004A7102"/>
    <w:rsid w:val="004B0DD6"/>
    <w:rsid w:val="004B2574"/>
    <w:rsid w:val="004B4418"/>
    <w:rsid w:val="004B4A67"/>
    <w:rsid w:val="004B7110"/>
    <w:rsid w:val="004C4FFF"/>
    <w:rsid w:val="004C5536"/>
    <w:rsid w:val="004C671A"/>
    <w:rsid w:val="004C7077"/>
    <w:rsid w:val="004C74FF"/>
    <w:rsid w:val="004C76E6"/>
    <w:rsid w:val="004D49B8"/>
    <w:rsid w:val="004E102D"/>
    <w:rsid w:val="004E2161"/>
    <w:rsid w:val="004E72A3"/>
    <w:rsid w:val="00506AB3"/>
    <w:rsid w:val="00513AA0"/>
    <w:rsid w:val="00517537"/>
    <w:rsid w:val="005262DE"/>
    <w:rsid w:val="005306FB"/>
    <w:rsid w:val="005308FF"/>
    <w:rsid w:val="005377E0"/>
    <w:rsid w:val="005408C3"/>
    <w:rsid w:val="005500E3"/>
    <w:rsid w:val="0055424C"/>
    <w:rsid w:val="00555FE6"/>
    <w:rsid w:val="00562BDA"/>
    <w:rsid w:val="00564682"/>
    <w:rsid w:val="00564EFD"/>
    <w:rsid w:val="00566A20"/>
    <w:rsid w:val="00570D36"/>
    <w:rsid w:val="00571639"/>
    <w:rsid w:val="0057579A"/>
    <w:rsid w:val="00577B0B"/>
    <w:rsid w:val="00584A5F"/>
    <w:rsid w:val="00586F2D"/>
    <w:rsid w:val="0058776A"/>
    <w:rsid w:val="00594241"/>
    <w:rsid w:val="0059537C"/>
    <w:rsid w:val="00596716"/>
    <w:rsid w:val="005A0EEE"/>
    <w:rsid w:val="005A2873"/>
    <w:rsid w:val="005A3D12"/>
    <w:rsid w:val="005C0EDC"/>
    <w:rsid w:val="005C3479"/>
    <w:rsid w:val="005C6CB1"/>
    <w:rsid w:val="005D1CE4"/>
    <w:rsid w:val="005E1E85"/>
    <w:rsid w:val="005E269B"/>
    <w:rsid w:val="005E3F43"/>
    <w:rsid w:val="005F2064"/>
    <w:rsid w:val="005F2223"/>
    <w:rsid w:val="005F32B2"/>
    <w:rsid w:val="005F42E3"/>
    <w:rsid w:val="005F7DE2"/>
    <w:rsid w:val="00600A3A"/>
    <w:rsid w:val="00601740"/>
    <w:rsid w:val="006055CE"/>
    <w:rsid w:val="00615CF2"/>
    <w:rsid w:val="006214EC"/>
    <w:rsid w:val="00622DC8"/>
    <w:rsid w:val="00622E80"/>
    <w:rsid w:val="00627A56"/>
    <w:rsid w:val="00627D37"/>
    <w:rsid w:val="00631F3A"/>
    <w:rsid w:val="00637461"/>
    <w:rsid w:val="00637D65"/>
    <w:rsid w:val="0064079F"/>
    <w:rsid w:val="00642B3C"/>
    <w:rsid w:val="00642F93"/>
    <w:rsid w:val="006558CA"/>
    <w:rsid w:val="00656480"/>
    <w:rsid w:val="0065734A"/>
    <w:rsid w:val="006603FE"/>
    <w:rsid w:val="006647F3"/>
    <w:rsid w:val="00670126"/>
    <w:rsid w:val="00671469"/>
    <w:rsid w:val="0067340F"/>
    <w:rsid w:val="006769BD"/>
    <w:rsid w:val="006810D5"/>
    <w:rsid w:val="00681E39"/>
    <w:rsid w:val="00686018"/>
    <w:rsid w:val="00694C4E"/>
    <w:rsid w:val="006A2FE8"/>
    <w:rsid w:val="006A38EA"/>
    <w:rsid w:val="006B1FD2"/>
    <w:rsid w:val="006C016D"/>
    <w:rsid w:val="006C0ED0"/>
    <w:rsid w:val="006C3373"/>
    <w:rsid w:val="006D0D62"/>
    <w:rsid w:val="006D5B4A"/>
    <w:rsid w:val="006D741D"/>
    <w:rsid w:val="006E4926"/>
    <w:rsid w:val="006E661D"/>
    <w:rsid w:val="006F0A0C"/>
    <w:rsid w:val="006F1102"/>
    <w:rsid w:val="006F376D"/>
    <w:rsid w:val="006F3C54"/>
    <w:rsid w:val="006F54FC"/>
    <w:rsid w:val="006F7BA4"/>
    <w:rsid w:val="00702FC7"/>
    <w:rsid w:val="00704C02"/>
    <w:rsid w:val="00705458"/>
    <w:rsid w:val="00711608"/>
    <w:rsid w:val="007128AD"/>
    <w:rsid w:val="00717250"/>
    <w:rsid w:val="00717512"/>
    <w:rsid w:val="0072019E"/>
    <w:rsid w:val="00724E06"/>
    <w:rsid w:val="00726DA8"/>
    <w:rsid w:val="0073201F"/>
    <w:rsid w:val="00734F5F"/>
    <w:rsid w:val="00743698"/>
    <w:rsid w:val="00747395"/>
    <w:rsid w:val="00750FFD"/>
    <w:rsid w:val="00752C16"/>
    <w:rsid w:val="0076472D"/>
    <w:rsid w:val="007703E2"/>
    <w:rsid w:val="00773429"/>
    <w:rsid w:val="00776102"/>
    <w:rsid w:val="00781813"/>
    <w:rsid w:val="0078231F"/>
    <w:rsid w:val="007878B1"/>
    <w:rsid w:val="00787B1E"/>
    <w:rsid w:val="0079224A"/>
    <w:rsid w:val="00792592"/>
    <w:rsid w:val="00792EB9"/>
    <w:rsid w:val="007966CC"/>
    <w:rsid w:val="007B7AED"/>
    <w:rsid w:val="007C1530"/>
    <w:rsid w:val="007C619C"/>
    <w:rsid w:val="007C63F2"/>
    <w:rsid w:val="007D2767"/>
    <w:rsid w:val="007D46E8"/>
    <w:rsid w:val="007E0669"/>
    <w:rsid w:val="007E74C8"/>
    <w:rsid w:val="007F089B"/>
    <w:rsid w:val="007F1554"/>
    <w:rsid w:val="007F1D0D"/>
    <w:rsid w:val="007F2C9E"/>
    <w:rsid w:val="007F61EA"/>
    <w:rsid w:val="00800C5E"/>
    <w:rsid w:val="0080679F"/>
    <w:rsid w:val="00810CA2"/>
    <w:rsid w:val="00811F55"/>
    <w:rsid w:val="00812FAC"/>
    <w:rsid w:val="00814750"/>
    <w:rsid w:val="008153EA"/>
    <w:rsid w:val="00826885"/>
    <w:rsid w:val="00827EE3"/>
    <w:rsid w:val="00834844"/>
    <w:rsid w:val="00840E67"/>
    <w:rsid w:val="00844551"/>
    <w:rsid w:val="008464FE"/>
    <w:rsid w:val="00851BE5"/>
    <w:rsid w:val="00853D55"/>
    <w:rsid w:val="008548A3"/>
    <w:rsid w:val="008572E3"/>
    <w:rsid w:val="00857362"/>
    <w:rsid w:val="00860A43"/>
    <w:rsid w:val="0086173D"/>
    <w:rsid w:val="00861F2D"/>
    <w:rsid w:val="008622B6"/>
    <w:rsid w:val="008642C4"/>
    <w:rsid w:val="00870253"/>
    <w:rsid w:val="00871014"/>
    <w:rsid w:val="0087253A"/>
    <w:rsid w:val="00875BBD"/>
    <w:rsid w:val="00880130"/>
    <w:rsid w:val="00880523"/>
    <w:rsid w:val="00883607"/>
    <w:rsid w:val="00883AD0"/>
    <w:rsid w:val="008876B7"/>
    <w:rsid w:val="008900A4"/>
    <w:rsid w:val="00897723"/>
    <w:rsid w:val="00897B32"/>
    <w:rsid w:val="008A7280"/>
    <w:rsid w:val="008C6CD5"/>
    <w:rsid w:val="008D7EC2"/>
    <w:rsid w:val="008E0555"/>
    <w:rsid w:val="008E13C6"/>
    <w:rsid w:val="008E2A90"/>
    <w:rsid w:val="008E3527"/>
    <w:rsid w:val="008E7B1D"/>
    <w:rsid w:val="008F02FF"/>
    <w:rsid w:val="008F6FF2"/>
    <w:rsid w:val="00904CC3"/>
    <w:rsid w:val="00912983"/>
    <w:rsid w:val="00912A73"/>
    <w:rsid w:val="0091332B"/>
    <w:rsid w:val="00913B67"/>
    <w:rsid w:val="0091404F"/>
    <w:rsid w:val="009152C0"/>
    <w:rsid w:val="00915B1C"/>
    <w:rsid w:val="009220A4"/>
    <w:rsid w:val="0093083A"/>
    <w:rsid w:val="00933963"/>
    <w:rsid w:val="00935C0C"/>
    <w:rsid w:val="00940EA7"/>
    <w:rsid w:val="00944672"/>
    <w:rsid w:val="00945318"/>
    <w:rsid w:val="00945B4B"/>
    <w:rsid w:val="00950BD2"/>
    <w:rsid w:val="009518B5"/>
    <w:rsid w:val="00954244"/>
    <w:rsid w:val="0097081A"/>
    <w:rsid w:val="00986845"/>
    <w:rsid w:val="009A0BB9"/>
    <w:rsid w:val="009A1556"/>
    <w:rsid w:val="009A2D0D"/>
    <w:rsid w:val="009A47B6"/>
    <w:rsid w:val="009A53F3"/>
    <w:rsid w:val="009B1A05"/>
    <w:rsid w:val="009B4DCA"/>
    <w:rsid w:val="009B550C"/>
    <w:rsid w:val="009B5942"/>
    <w:rsid w:val="009B74E0"/>
    <w:rsid w:val="009C06F6"/>
    <w:rsid w:val="009C0D9F"/>
    <w:rsid w:val="009C2152"/>
    <w:rsid w:val="009C35BB"/>
    <w:rsid w:val="009C3CDD"/>
    <w:rsid w:val="009C4516"/>
    <w:rsid w:val="009C4E7F"/>
    <w:rsid w:val="009C7902"/>
    <w:rsid w:val="009D0715"/>
    <w:rsid w:val="009D45E4"/>
    <w:rsid w:val="009D7B48"/>
    <w:rsid w:val="009E1A4E"/>
    <w:rsid w:val="009E446F"/>
    <w:rsid w:val="009E65CA"/>
    <w:rsid w:val="009F2D07"/>
    <w:rsid w:val="009F508B"/>
    <w:rsid w:val="009F6519"/>
    <w:rsid w:val="00A01C1B"/>
    <w:rsid w:val="00A11DDC"/>
    <w:rsid w:val="00A12785"/>
    <w:rsid w:val="00A13413"/>
    <w:rsid w:val="00A140C9"/>
    <w:rsid w:val="00A219B1"/>
    <w:rsid w:val="00A3196D"/>
    <w:rsid w:val="00A31FAC"/>
    <w:rsid w:val="00A330CF"/>
    <w:rsid w:val="00A41D3F"/>
    <w:rsid w:val="00A45293"/>
    <w:rsid w:val="00A4743B"/>
    <w:rsid w:val="00A50259"/>
    <w:rsid w:val="00A538C2"/>
    <w:rsid w:val="00A545E0"/>
    <w:rsid w:val="00A54870"/>
    <w:rsid w:val="00A55D21"/>
    <w:rsid w:val="00A72FB1"/>
    <w:rsid w:val="00A835B7"/>
    <w:rsid w:val="00A83F5E"/>
    <w:rsid w:val="00A84789"/>
    <w:rsid w:val="00A90C68"/>
    <w:rsid w:val="00A92504"/>
    <w:rsid w:val="00A94804"/>
    <w:rsid w:val="00AA3D33"/>
    <w:rsid w:val="00AA4240"/>
    <w:rsid w:val="00AB0813"/>
    <w:rsid w:val="00AB23B8"/>
    <w:rsid w:val="00AB3979"/>
    <w:rsid w:val="00AC023E"/>
    <w:rsid w:val="00AC0AAE"/>
    <w:rsid w:val="00AD4844"/>
    <w:rsid w:val="00AD670C"/>
    <w:rsid w:val="00AE204F"/>
    <w:rsid w:val="00AE6B99"/>
    <w:rsid w:val="00AF157D"/>
    <w:rsid w:val="00AF2159"/>
    <w:rsid w:val="00AF393A"/>
    <w:rsid w:val="00B00092"/>
    <w:rsid w:val="00B063D1"/>
    <w:rsid w:val="00B10EAB"/>
    <w:rsid w:val="00B1689A"/>
    <w:rsid w:val="00B2591F"/>
    <w:rsid w:val="00B30294"/>
    <w:rsid w:val="00B30699"/>
    <w:rsid w:val="00B31C60"/>
    <w:rsid w:val="00B347F7"/>
    <w:rsid w:val="00B4243B"/>
    <w:rsid w:val="00B43169"/>
    <w:rsid w:val="00B4744B"/>
    <w:rsid w:val="00B54BAC"/>
    <w:rsid w:val="00B60CCF"/>
    <w:rsid w:val="00B6428C"/>
    <w:rsid w:val="00B6482F"/>
    <w:rsid w:val="00B653D4"/>
    <w:rsid w:val="00B734F7"/>
    <w:rsid w:val="00B77EF7"/>
    <w:rsid w:val="00B80B3B"/>
    <w:rsid w:val="00B81025"/>
    <w:rsid w:val="00B8121B"/>
    <w:rsid w:val="00B83ABC"/>
    <w:rsid w:val="00B840FF"/>
    <w:rsid w:val="00B85355"/>
    <w:rsid w:val="00B85B6D"/>
    <w:rsid w:val="00B86431"/>
    <w:rsid w:val="00B92EE6"/>
    <w:rsid w:val="00B9579A"/>
    <w:rsid w:val="00B95C44"/>
    <w:rsid w:val="00B97529"/>
    <w:rsid w:val="00BA1289"/>
    <w:rsid w:val="00BA1E97"/>
    <w:rsid w:val="00BA23C4"/>
    <w:rsid w:val="00BA51D7"/>
    <w:rsid w:val="00BA5328"/>
    <w:rsid w:val="00BB352D"/>
    <w:rsid w:val="00BB4CC0"/>
    <w:rsid w:val="00BB61BB"/>
    <w:rsid w:val="00BC0229"/>
    <w:rsid w:val="00BC24C5"/>
    <w:rsid w:val="00BD0EC4"/>
    <w:rsid w:val="00BD2FF4"/>
    <w:rsid w:val="00BD4530"/>
    <w:rsid w:val="00BD5316"/>
    <w:rsid w:val="00BE25B5"/>
    <w:rsid w:val="00BE2FD2"/>
    <w:rsid w:val="00BE4075"/>
    <w:rsid w:val="00BE550B"/>
    <w:rsid w:val="00BF292A"/>
    <w:rsid w:val="00BF677E"/>
    <w:rsid w:val="00C01409"/>
    <w:rsid w:val="00C05E9E"/>
    <w:rsid w:val="00C130F6"/>
    <w:rsid w:val="00C1778F"/>
    <w:rsid w:val="00C210D2"/>
    <w:rsid w:val="00C2409E"/>
    <w:rsid w:val="00C24D07"/>
    <w:rsid w:val="00C30925"/>
    <w:rsid w:val="00C31ADF"/>
    <w:rsid w:val="00C42F4C"/>
    <w:rsid w:val="00C441A4"/>
    <w:rsid w:val="00C47602"/>
    <w:rsid w:val="00C50C80"/>
    <w:rsid w:val="00C5485F"/>
    <w:rsid w:val="00C54C43"/>
    <w:rsid w:val="00C561F0"/>
    <w:rsid w:val="00C64B58"/>
    <w:rsid w:val="00C7071F"/>
    <w:rsid w:val="00C72272"/>
    <w:rsid w:val="00C80164"/>
    <w:rsid w:val="00C81D1E"/>
    <w:rsid w:val="00C825A4"/>
    <w:rsid w:val="00C85513"/>
    <w:rsid w:val="00C914D4"/>
    <w:rsid w:val="00C94470"/>
    <w:rsid w:val="00C972A1"/>
    <w:rsid w:val="00CA3C9C"/>
    <w:rsid w:val="00CA71D5"/>
    <w:rsid w:val="00CB34A3"/>
    <w:rsid w:val="00CC0E54"/>
    <w:rsid w:val="00CC25B6"/>
    <w:rsid w:val="00CC628B"/>
    <w:rsid w:val="00CC64B1"/>
    <w:rsid w:val="00CC6FB8"/>
    <w:rsid w:val="00CD3B42"/>
    <w:rsid w:val="00CD61B5"/>
    <w:rsid w:val="00CD7304"/>
    <w:rsid w:val="00CE2F6B"/>
    <w:rsid w:val="00CE6734"/>
    <w:rsid w:val="00CE7667"/>
    <w:rsid w:val="00CF5FA0"/>
    <w:rsid w:val="00D00CD8"/>
    <w:rsid w:val="00D06E90"/>
    <w:rsid w:val="00D133F8"/>
    <w:rsid w:val="00D14987"/>
    <w:rsid w:val="00D1621C"/>
    <w:rsid w:val="00D24FF0"/>
    <w:rsid w:val="00D308B1"/>
    <w:rsid w:val="00D3101D"/>
    <w:rsid w:val="00D33BEC"/>
    <w:rsid w:val="00D33CCD"/>
    <w:rsid w:val="00D3763D"/>
    <w:rsid w:val="00D37E14"/>
    <w:rsid w:val="00D40D31"/>
    <w:rsid w:val="00D43E77"/>
    <w:rsid w:val="00D4489F"/>
    <w:rsid w:val="00D45992"/>
    <w:rsid w:val="00D52002"/>
    <w:rsid w:val="00D53E60"/>
    <w:rsid w:val="00D70625"/>
    <w:rsid w:val="00D81B64"/>
    <w:rsid w:val="00D82AE6"/>
    <w:rsid w:val="00D82DE9"/>
    <w:rsid w:val="00D905F8"/>
    <w:rsid w:val="00D90BE4"/>
    <w:rsid w:val="00D911DD"/>
    <w:rsid w:val="00D93FB9"/>
    <w:rsid w:val="00D943C2"/>
    <w:rsid w:val="00D949B0"/>
    <w:rsid w:val="00DA1BE3"/>
    <w:rsid w:val="00DA558A"/>
    <w:rsid w:val="00DB2CFC"/>
    <w:rsid w:val="00DB6828"/>
    <w:rsid w:val="00DC2E3E"/>
    <w:rsid w:val="00DD0411"/>
    <w:rsid w:val="00DD08AC"/>
    <w:rsid w:val="00DD0E98"/>
    <w:rsid w:val="00DD148D"/>
    <w:rsid w:val="00DD45A7"/>
    <w:rsid w:val="00DE5866"/>
    <w:rsid w:val="00DE7AFD"/>
    <w:rsid w:val="00DE7CB1"/>
    <w:rsid w:val="00DF0042"/>
    <w:rsid w:val="00DF2ED3"/>
    <w:rsid w:val="00DF6961"/>
    <w:rsid w:val="00E007C6"/>
    <w:rsid w:val="00E00E41"/>
    <w:rsid w:val="00E139D6"/>
    <w:rsid w:val="00E165EE"/>
    <w:rsid w:val="00E16630"/>
    <w:rsid w:val="00E169B4"/>
    <w:rsid w:val="00E20117"/>
    <w:rsid w:val="00E21953"/>
    <w:rsid w:val="00E2387B"/>
    <w:rsid w:val="00E247C4"/>
    <w:rsid w:val="00E26854"/>
    <w:rsid w:val="00E3402C"/>
    <w:rsid w:val="00E41F5F"/>
    <w:rsid w:val="00E42F99"/>
    <w:rsid w:val="00E45CC0"/>
    <w:rsid w:val="00E5141F"/>
    <w:rsid w:val="00E54ABC"/>
    <w:rsid w:val="00E57ACF"/>
    <w:rsid w:val="00E628F3"/>
    <w:rsid w:val="00E67873"/>
    <w:rsid w:val="00E714A2"/>
    <w:rsid w:val="00E720F1"/>
    <w:rsid w:val="00E743AF"/>
    <w:rsid w:val="00E75A93"/>
    <w:rsid w:val="00E77C0E"/>
    <w:rsid w:val="00E8085C"/>
    <w:rsid w:val="00E85AEB"/>
    <w:rsid w:val="00E9163C"/>
    <w:rsid w:val="00E93164"/>
    <w:rsid w:val="00E94AE3"/>
    <w:rsid w:val="00EA37F6"/>
    <w:rsid w:val="00EB1196"/>
    <w:rsid w:val="00EB2044"/>
    <w:rsid w:val="00EB2A83"/>
    <w:rsid w:val="00EB5EF2"/>
    <w:rsid w:val="00EC35C7"/>
    <w:rsid w:val="00EC43A8"/>
    <w:rsid w:val="00ED1199"/>
    <w:rsid w:val="00ED374B"/>
    <w:rsid w:val="00EE0ACB"/>
    <w:rsid w:val="00EE5131"/>
    <w:rsid w:val="00EE79BB"/>
    <w:rsid w:val="00EF1C41"/>
    <w:rsid w:val="00EF25E1"/>
    <w:rsid w:val="00EF3940"/>
    <w:rsid w:val="00EF433B"/>
    <w:rsid w:val="00EF5A97"/>
    <w:rsid w:val="00EF6CD9"/>
    <w:rsid w:val="00F011C2"/>
    <w:rsid w:val="00F0671C"/>
    <w:rsid w:val="00F06F40"/>
    <w:rsid w:val="00F0772D"/>
    <w:rsid w:val="00F10AF1"/>
    <w:rsid w:val="00F110FE"/>
    <w:rsid w:val="00F217C7"/>
    <w:rsid w:val="00F2433D"/>
    <w:rsid w:val="00F2761F"/>
    <w:rsid w:val="00F34CA8"/>
    <w:rsid w:val="00F37F47"/>
    <w:rsid w:val="00F4239A"/>
    <w:rsid w:val="00F45049"/>
    <w:rsid w:val="00F46F59"/>
    <w:rsid w:val="00F51CBA"/>
    <w:rsid w:val="00F5419C"/>
    <w:rsid w:val="00F56E70"/>
    <w:rsid w:val="00F613AE"/>
    <w:rsid w:val="00F62B16"/>
    <w:rsid w:val="00F63F60"/>
    <w:rsid w:val="00F72FEF"/>
    <w:rsid w:val="00F7578A"/>
    <w:rsid w:val="00F77B1B"/>
    <w:rsid w:val="00F922E1"/>
    <w:rsid w:val="00F931EA"/>
    <w:rsid w:val="00F95446"/>
    <w:rsid w:val="00F96379"/>
    <w:rsid w:val="00FA62BA"/>
    <w:rsid w:val="00FB201F"/>
    <w:rsid w:val="00FB3BCE"/>
    <w:rsid w:val="00FB44E7"/>
    <w:rsid w:val="00FB5B3D"/>
    <w:rsid w:val="00FB6EA6"/>
    <w:rsid w:val="00FC49DC"/>
    <w:rsid w:val="00FE0DA2"/>
    <w:rsid w:val="00FE2464"/>
    <w:rsid w:val="00FE57CF"/>
    <w:rsid w:val="00FE5A62"/>
    <w:rsid w:val="00FF0C33"/>
    <w:rsid w:val="00FF516B"/>
    <w:rsid w:val="00FF5AB3"/>
    <w:rsid w:val="00FF63C6"/>
    <w:rsid w:val="00FF7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5:docId w15:val="{348C1C59-1C77-460B-851E-4D562DBC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a"/>
    <w:next w:val="1"/>
    <w:link w:val="10"/>
    <w:qFormat/>
    <w:rsid w:val="00C5485F"/>
    <w:pPr>
      <w:keepNext/>
      <w:numPr>
        <w:numId w:val="5"/>
      </w:numPr>
      <w:tabs>
        <w:tab w:val="clear" w:pos="567"/>
      </w:tabs>
      <w:spacing w:before="60"/>
      <w:ind w:left="420" w:hanging="420"/>
      <w:outlineLvl w:val="0"/>
    </w:pPr>
    <w:rPr>
      <w:rFonts w:ascii="Arial" w:eastAsia="MS Gothic" w:hAnsi="Arial"/>
      <w:sz w:val="24"/>
    </w:rPr>
  </w:style>
  <w:style w:type="paragraph" w:styleId="Heading2">
    <w:name w:val="heading 2"/>
    <w:basedOn w:val="Heading1"/>
    <w:next w:val="1"/>
    <w:link w:val="2"/>
    <w:qFormat/>
    <w:rsid w:val="00C5485F"/>
    <w:pPr>
      <w:numPr>
        <w:ilvl w:val="1"/>
      </w:numPr>
      <w:tabs>
        <w:tab w:val="clear" w:pos="851"/>
      </w:tabs>
      <w:ind w:left="840" w:hanging="420"/>
      <w:jc w:val="left"/>
      <w:outlineLvl w:val="1"/>
    </w:pPr>
  </w:style>
  <w:style w:type="paragraph" w:styleId="Heading3">
    <w:name w:val="heading 3"/>
    <w:basedOn w:val="Heading2"/>
    <w:next w:val="1"/>
    <w:link w:val="3"/>
    <w:qFormat/>
    <w:rsid w:val="00C5485F"/>
    <w:pPr>
      <w:keepLines/>
      <w:numPr>
        <w:ilvl w:val="2"/>
      </w:numPr>
      <w:tabs>
        <w:tab w:val="clear" w:pos="1134"/>
      </w:tabs>
      <w:ind w:left="1260" w:hanging="420"/>
      <w:outlineLvl w:val="2"/>
    </w:pPr>
    <w:rPr>
      <w:sz w:val="21"/>
    </w:rPr>
  </w:style>
  <w:style w:type="paragraph" w:styleId="Heading4">
    <w:name w:val="heading 4"/>
    <w:basedOn w:val="Heading3"/>
    <w:next w:val="1"/>
    <w:link w:val="4"/>
    <w:qFormat/>
    <w:rsid w:val="00C5485F"/>
    <w:pPr>
      <w:widowControl/>
      <w:numPr>
        <w:ilvl w:val="3"/>
      </w:numPr>
      <w:tabs>
        <w:tab w:val="clear" w:pos="1418"/>
      </w:tabs>
      <w:autoSpaceDE w:val="0"/>
      <w:autoSpaceDN w:val="0"/>
      <w:adjustRightInd w:val="0"/>
      <w:ind w:left="1680" w:hanging="420"/>
      <w:outlineLvl w:val="3"/>
    </w:pPr>
    <w:rPr>
      <w:bCs/>
      <w:snapToGrid w:val="0"/>
    </w:rPr>
  </w:style>
  <w:style w:type="paragraph" w:styleId="Heading5">
    <w:name w:val="heading 5"/>
    <w:basedOn w:val="Heading3"/>
    <w:next w:val="1"/>
    <w:link w:val="5"/>
    <w:qFormat/>
    <w:rsid w:val="00C5485F"/>
    <w:pPr>
      <w:numPr>
        <w:ilvl w:val="4"/>
      </w:numPr>
      <w:tabs>
        <w:tab w:val="clear" w:pos="1701"/>
      </w:tabs>
      <w:ind w:left="2100" w:hanging="420"/>
      <w:outlineLvl w:val="4"/>
    </w:pPr>
  </w:style>
  <w:style w:type="paragraph" w:styleId="Heading6">
    <w:name w:val="heading 6"/>
    <w:basedOn w:val="Heading3"/>
    <w:next w:val="1"/>
    <w:link w:val="6"/>
    <w:qFormat/>
    <w:rsid w:val="00C5485F"/>
    <w:pPr>
      <w:numPr>
        <w:ilvl w:val="5"/>
      </w:numPr>
      <w:tabs>
        <w:tab w:val="clear" w:pos="1985"/>
      </w:tabs>
      <w:ind w:left="2520" w:hanging="420"/>
      <w:outlineLvl w:val="5"/>
    </w:pPr>
    <w:rPr>
      <w:bCs/>
    </w:rPr>
  </w:style>
  <w:style w:type="paragraph" w:styleId="Heading7">
    <w:name w:val="heading 7"/>
    <w:basedOn w:val="Heading3"/>
    <w:next w:val="1"/>
    <w:link w:val="7"/>
    <w:qFormat/>
    <w:rsid w:val="00C5485F"/>
    <w:pPr>
      <w:numPr>
        <w:ilvl w:val="6"/>
      </w:numPr>
      <w:tabs>
        <w:tab w:val="clear" w:pos="2268"/>
      </w:tabs>
      <w:ind w:left="2940" w:hanging="420"/>
      <w:outlineLvl w:val="6"/>
    </w:pPr>
  </w:style>
  <w:style w:type="paragraph" w:styleId="Heading8">
    <w:name w:val="heading 8"/>
    <w:basedOn w:val="Heading3"/>
    <w:next w:val="1"/>
    <w:link w:val="8"/>
    <w:qFormat/>
    <w:rsid w:val="00C5485F"/>
    <w:pPr>
      <w:numPr>
        <w:ilvl w:val="7"/>
      </w:numPr>
      <w:tabs>
        <w:tab w:val="clear" w:pos="2552"/>
      </w:tabs>
      <w:ind w:left="3360" w:hanging="420"/>
      <w:outlineLvl w:val="7"/>
    </w:pPr>
  </w:style>
  <w:style w:type="paragraph" w:styleId="Heading9">
    <w:name w:val="heading 9"/>
    <w:basedOn w:val="Heading3"/>
    <w:next w:val="1"/>
    <w:link w:val="9"/>
    <w:qFormat/>
    <w:rsid w:val="00C5485F"/>
    <w:pPr>
      <w:numPr>
        <w:ilvl w:val="8"/>
      </w:numPr>
      <w:tabs>
        <w:tab w:val="clear" w:pos="2835"/>
      </w:tabs>
      <w:ind w:left="3780" w:hanging="4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0"/>
    <w:uiPriority w:val="99"/>
    <w:unhideWhenUsed/>
    <w:rsid w:val="008153EA"/>
    <w:pPr>
      <w:tabs>
        <w:tab w:val="center" w:pos="4252"/>
        <w:tab w:val="right" w:pos="8504"/>
      </w:tabs>
      <w:snapToGrid w:val="0"/>
    </w:pPr>
  </w:style>
  <w:style w:type="character" w:customStyle="1" w:styleId="a0">
    <w:name w:val="ヘッダー (文字)"/>
    <w:basedOn w:val="DefaultParagraphFont"/>
    <w:link w:val="Header"/>
    <w:uiPriority w:val="99"/>
    <w:rsid w:val="008153EA"/>
  </w:style>
  <w:style w:type="paragraph" w:styleId="Footer">
    <w:name w:val="footer"/>
    <w:basedOn w:val="Normal"/>
    <w:link w:val="a1"/>
    <w:uiPriority w:val="99"/>
    <w:unhideWhenUsed/>
    <w:rsid w:val="008153EA"/>
    <w:pPr>
      <w:tabs>
        <w:tab w:val="center" w:pos="4252"/>
        <w:tab w:val="right" w:pos="8504"/>
      </w:tabs>
      <w:snapToGrid w:val="0"/>
    </w:pPr>
  </w:style>
  <w:style w:type="character" w:customStyle="1" w:styleId="a1">
    <w:name w:val="フッター (文字)"/>
    <w:basedOn w:val="DefaultParagraphFont"/>
    <w:link w:val="Footer"/>
    <w:uiPriority w:val="99"/>
    <w:rsid w:val="008153EA"/>
  </w:style>
  <w:style w:type="paragraph" w:styleId="ListParagraph">
    <w:name w:val="List Paragraph"/>
    <w:basedOn w:val="Normal"/>
    <w:uiPriority w:val="34"/>
    <w:qFormat/>
    <w:rsid w:val="009C4E7F"/>
    <w:pPr>
      <w:ind w:leftChars="400" w:left="840"/>
    </w:pPr>
  </w:style>
  <w:style w:type="paragraph" w:styleId="BalloonText">
    <w:name w:val="Balloon Text"/>
    <w:basedOn w:val="Normal"/>
    <w:link w:val="a2"/>
    <w:uiPriority w:val="99"/>
    <w:semiHidden/>
    <w:unhideWhenUsed/>
    <w:rsid w:val="005C3479"/>
    <w:rPr>
      <w:rFonts w:asciiTheme="majorHAnsi" w:eastAsiaTheme="majorEastAsia" w:hAnsiTheme="majorHAnsi" w:cstheme="majorBidi"/>
      <w:sz w:val="18"/>
      <w:szCs w:val="18"/>
    </w:rPr>
  </w:style>
  <w:style w:type="character" w:customStyle="1" w:styleId="a2">
    <w:name w:val="吹き出し (文字)"/>
    <w:basedOn w:val="DefaultParagraphFont"/>
    <w:link w:val="BalloonText"/>
    <w:uiPriority w:val="99"/>
    <w:semiHidden/>
    <w:rsid w:val="005C3479"/>
    <w:rPr>
      <w:rFonts w:asciiTheme="majorHAnsi" w:eastAsiaTheme="majorEastAsia" w:hAnsiTheme="majorHAnsi" w:cstheme="majorBidi"/>
      <w:sz w:val="18"/>
      <w:szCs w:val="18"/>
    </w:rPr>
  </w:style>
  <w:style w:type="character" w:customStyle="1" w:styleId="10">
    <w:name w:val="見出し 1 (文字)"/>
    <w:basedOn w:val="DefaultParagraphFont"/>
    <w:link w:val="Heading1"/>
    <w:rsid w:val="00C5485F"/>
    <w:rPr>
      <w:rFonts w:ascii="Arial" w:eastAsia="MS Gothic" w:hAnsi="Arial" w:cs="Times New Roman"/>
      <w:color w:val="000000"/>
      <w:kern w:val="0"/>
      <w:sz w:val="24"/>
      <w:szCs w:val="21"/>
    </w:rPr>
  </w:style>
  <w:style w:type="character" w:customStyle="1" w:styleId="2">
    <w:name w:val="見出し 2 (文字)"/>
    <w:basedOn w:val="DefaultParagraphFont"/>
    <w:link w:val="Heading2"/>
    <w:rsid w:val="00C5485F"/>
    <w:rPr>
      <w:rFonts w:ascii="Arial" w:eastAsia="MS Gothic" w:hAnsi="Arial" w:cs="Times New Roman"/>
      <w:color w:val="000000"/>
      <w:kern w:val="0"/>
      <w:sz w:val="24"/>
      <w:szCs w:val="21"/>
    </w:rPr>
  </w:style>
  <w:style w:type="character" w:customStyle="1" w:styleId="3">
    <w:name w:val="見出し 3 (文字)"/>
    <w:basedOn w:val="DefaultParagraphFont"/>
    <w:link w:val="Heading3"/>
    <w:rsid w:val="00C5485F"/>
    <w:rPr>
      <w:rFonts w:ascii="Arial" w:eastAsia="MS Gothic" w:hAnsi="Arial" w:cs="Times New Roman"/>
      <w:color w:val="000000"/>
      <w:kern w:val="0"/>
      <w:szCs w:val="21"/>
    </w:rPr>
  </w:style>
  <w:style w:type="character" w:customStyle="1" w:styleId="4">
    <w:name w:val="見出し 4 (文字)"/>
    <w:basedOn w:val="DefaultParagraphFont"/>
    <w:link w:val="Heading4"/>
    <w:rsid w:val="00C5485F"/>
    <w:rPr>
      <w:rFonts w:ascii="Arial" w:eastAsia="MS Gothic" w:hAnsi="Arial" w:cs="Times New Roman"/>
      <w:bCs/>
      <w:snapToGrid w:val="0"/>
      <w:color w:val="000000"/>
      <w:kern w:val="0"/>
      <w:szCs w:val="21"/>
    </w:rPr>
  </w:style>
  <w:style w:type="character" w:customStyle="1" w:styleId="5">
    <w:name w:val="見出し 5 (文字)"/>
    <w:basedOn w:val="DefaultParagraphFont"/>
    <w:link w:val="Heading5"/>
    <w:rsid w:val="00C5485F"/>
    <w:rPr>
      <w:rFonts w:ascii="Arial" w:eastAsia="MS Gothic" w:hAnsi="Arial" w:cs="Times New Roman"/>
      <w:color w:val="000000"/>
      <w:kern w:val="0"/>
      <w:szCs w:val="21"/>
    </w:rPr>
  </w:style>
  <w:style w:type="character" w:customStyle="1" w:styleId="6">
    <w:name w:val="見出し 6 (文字)"/>
    <w:basedOn w:val="DefaultParagraphFont"/>
    <w:link w:val="Heading6"/>
    <w:rsid w:val="00C5485F"/>
    <w:rPr>
      <w:rFonts w:ascii="Arial" w:eastAsia="MS Gothic" w:hAnsi="Arial" w:cs="Times New Roman"/>
      <w:bCs/>
      <w:color w:val="000000"/>
      <w:kern w:val="0"/>
      <w:szCs w:val="21"/>
    </w:rPr>
  </w:style>
  <w:style w:type="character" w:customStyle="1" w:styleId="7">
    <w:name w:val="見出し 7 (文字)"/>
    <w:basedOn w:val="DefaultParagraphFont"/>
    <w:link w:val="Heading7"/>
    <w:rsid w:val="00C5485F"/>
    <w:rPr>
      <w:rFonts w:ascii="Arial" w:eastAsia="MS Gothic" w:hAnsi="Arial" w:cs="Times New Roman"/>
      <w:color w:val="000000"/>
      <w:kern w:val="0"/>
      <w:szCs w:val="21"/>
    </w:rPr>
  </w:style>
  <w:style w:type="character" w:customStyle="1" w:styleId="8">
    <w:name w:val="見出し 8 (文字)"/>
    <w:basedOn w:val="DefaultParagraphFont"/>
    <w:link w:val="Heading8"/>
    <w:rsid w:val="00C5485F"/>
    <w:rPr>
      <w:rFonts w:ascii="Arial" w:eastAsia="MS Gothic" w:hAnsi="Arial" w:cs="Times New Roman"/>
      <w:color w:val="000000"/>
      <w:kern w:val="0"/>
      <w:szCs w:val="21"/>
    </w:rPr>
  </w:style>
  <w:style w:type="character" w:customStyle="1" w:styleId="9">
    <w:name w:val="見出し 9 (文字)"/>
    <w:basedOn w:val="DefaultParagraphFont"/>
    <w:link w:val="Heading9"/>
    <w:rsid w:val="00C5485F"/>
    <w:rPr>
      <w:rFonts w:ascii="Arial" w:eastAsia="MS Gothic" w:hAnsi="Arial" w:cs="Times New Roman"/>
      <w:color w:val="000000"/>
      <w:kern w:val="0"/>
      <w:szCs w:val="21"/>
    </w:rPr>
  </w:style>
  <w:style w:type="paragraph" w:customStyle="1" w:styleId="a">
    <w:name w:val="本 文"/>
    <w:basedOn w:val="Normal"/>
    <w:link w:val="a3"/>
    <w:rsid w:val="00C5485F"/>
    <w:rPr>
      <w:rFonts w:ascii="Times New Roman" w:eastAsia="MS Mincho" w:hAnsi="Times New Roman" w:cs="Times New Roman"/>
      <w:color w:val="000000"/>
      <w:kern w:val="0"/>
      <w:szCs w:val="21"/>
    </w:rPr>
  </w:style>
  <w:style w:type="paragraph" w:customStyle="1" w:styleId="1">
    <w:name w:val="本 文1字下げ"/>
    <w:basedOn w:val="a"/>
    <w:link w:val="11"/>
    <w:rsid w:val="00C5485F"/>
    <w:pPr>
      <w:ind w:firstLine="199"/>
    </w:pPr>
  </w:style>
  <w:style w:type="character" w:customStyle="1" w:styleId="a3">
    <w:name w:val="本 文 (文字)"/>
    <w:link w:val="a"/>
    <w:rsid w:val="00C5485F"/>
    <w:rPr>
      <w:rFonts w:ascii="Times New Roman" w:eastAsia="MS Mincho" w:hAnsi="Times New Roman" w:cs="Times New Roman"/>
      <w:color w:val="000000"/>
      <w:kern w:val="0"/>
      <w:szCs w:val="21"/>
    </w:rPr>
  </w:style>
  <w:style w:type="character" w:customStyle="1" w:styleId="11">
    <w:name w:val="本 文1字下げ (文字)"/>
    <w:link w:val="1"/>
    <w:locked/>
    <w:rsid w:val="00C5485F"/>
    <w:rPr>
      <w:rFonts w:ascii="Times New Roman" w:eastAsia="MS Mincho" w:hAnsi="Times New Roman" w:cs="Times New Roman"/>
      <w:color w:val="000000"/>
      <w:kern w:val="0"/>
      <w:szCs w:val="21"/>
    </w:rPr>
  </w:style>
  <w:style w:type="character" w:styleId="CommentReference">
    <w:name w:val="annotation reference"/>
    <w:basedOn w:val="DefaultParagraphFont"/>
    <w:uiPriority w:val="99"/>
    <w:semiHidden/>
    <w:unhideWhenUsed/>
    <w:rsid w:val="005408C3"/>
    <w:rPr>
      <w:sz w:val="18"/>
      <w:szCs w:val="18"/>
    </w:rPr>
  </w:style>
  <w:style w:type="paragraph" w:styleId="CommentText">
    <w:name w:val="annotation text"/>
    <w:basedOn w:val="Normal"/>
    <w:link w:val="a4"/>
    <w:uiPriority w:val="99"/>
    <w:unhideWhenUsed/>
    <w:rsid w:val="005408C3"/>
    <w:rPr>
      <w:sz w:val="24"/>
      <w:szCs w:val="24"/>
    </w:rPr>
  </w:style>
  <w:style w:type="character" w:customStyle="1" w:styleId="a4">
    <w:name w:val="コメント文字列 (文字)"/>
    <w:basedOn w:val="DefaultParagraphFont"/>
    <w:link w:val="CommentText"/>
    <w:uiPriority w:val="99"/>
    <w:rsid w:val="005408C3"/>
    <w:rPr>
      <w:sz w:val="24"/>
      <w:szCs w:val="24"/>
    </w:rPr>
  </w:style>
  <w:style w:type="paragraph" w:styleId="CommentSubject">
    <w:name w:val="annotation subject"/>
    <w:basedOn w:val="CommentText"/>
    <w:next w:val="CommentText"/>
    <w:link w:val="a5"/>
    <w:uiPriority w:val="99"/>
    <w:semiHidden/>
    <w:unhideWhenUsed/>
    <w:rsid w:val="005408C3"/>
    <w:rPr>
      <w:b/>
      <w:bCs/>
      <w:sz w:val="20"/>
      <w:szCs w:val="20"/>
    </w:rPr>
  </w:style>
  <w:style w:type="character" w:customStyle="1" w:styleId="a5">
    <w:name w:val="コメント内容 (文字)"/>
    <w:basedOn w:val="a4"/>
    <w:link w:val="CommentSubject"/>
    <w:uiPriority w:val="99"/>
    <w:semiHidden/>
    <w:rsid w:val="005408C3"/>
    <w:rPr>
      <w:b/>
      <w:bCs/>
      <w:sz w:val="20"/>
      <w:szCs w:val="20"/>
    </w:rPr>
  </w:style>
  <w:style w:type="paragraph" w:styleId="Revision">
    <w:name w:val="Revision"/>
    <w:hidden/>
    <w:uiPriority w:val="99"/>
    <w:semiHidden/>
    <w:rsid w:val="00CD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64375">
      <w:bodyDiv w:val="1"/>
      <w:marLeft w:val="0"/>
      <w:marRight w:val="0"/>
      <w:marTop w:val="0"/>
      <w:marBottom w:val="0"/>
      <w:divBdr>
        <w:top w:val="none" w:sz="0" w:space="0" w:color="auto"/>
        <w:left w:val="none" w:sz="0" w:space="0" w:color="auto"/>
        <w:bottom w:val="none" w:sz="0" w:space="0" w:color="auto"/>
        <w:right w:val="none" w:sz="0" w:space="0" w:color="auto"/>
      </w:divBdr>
    </w:div>
    <w:div w:id="363747689">
      <w:bodyDiv w:val="1"/>
      <w:marLeft w:val="0"/>
      <w:marRight w:val="0"/>
      <w:marTop w:val="0"/>
      <w:marBottom w:val="0"/>
      <w:divBdr>
        <w:top w:val="none" w:sz="0" w:space="0" w:color="auto"/>
        <w:left w:val="none" w:sz="0" w:space="0" w:color="auto"/>
        <w:bottom w:val="none" w:sz="0" w:space="0" w:color="auto"/>
        <w:right w:val="none" w:sz="0" w:space="0" w:color="auto"/>
      </w:divBdr>
    </w:div>
    <w:div w:id="431317458">
      <w:bodyDiv w:val="1"/>
      <w:marLeft w:val="0"/>
      <w:marRight w:val="0"/>
      <w:marTop w:val="0"/>
      <w:marBottom w:val="0"/>
      <w:divBdr>
        <w:top w:val="none" w:sz="0" w:space="0" w:color="auto"/>
        <w:left w:val="none" w:sz="0" w:space="0" w:color="auto"/>
        <w:bottom w:val="none" w:sz="0" w:space="0" w:color="auto"/>
        <w:right w:val="none" w:sz="0" w:space="0" w:color="auto"/>
      </w:divBdr>
    </w:div>
    <w:div w:id="616839532">
      <w:bodyDiv w:val="1"/>
      <w:marLeft w:val="0"/>
      <w:marRight w:val="0"/>
      <w:marTop w:val="0"/>
      <w:marBottom w:val="0"/>
      <w:divBdr>
        <w:top w:val="none" w:sz="0" w:space="0" w:color="auto"/>
        <w:left w:val="none" w:sz="0" w:space="0" w:color="auto"/>
        <w:bottom w:val="none" w:sz="0" w:space="0" w:color="auto"/>
        <w:right w:val="none" w:sz="0" w:space="0" w:color="auto"/>
      </w:divBdr>
    </w:div>
    <w:div w:id="1121535948">
      <w:bodyDiv w:val="1"/>
      <w:marLeft w:val="0"/>
      <w:marRight w:val="0"/>
      <w:marTop w:val="0"/>
      <w:marBottom w:val="0"/>
      <w:divBdr>
        <w:top w:val="none" w:sz="0" w:space="0" w:color="auto"/>
        <w:left w:val="none" w:sz="0" w:space="0" w:color="auto"/>
        <w:bottom w:val="none" w:sz="0" w:space="0" w:color="auto"/>
        <w:right w:val="none" w:sz="0" w:space="0" w:color="auto"/>
      </w:divBdr>
      <w:divsChild>
        <w:div w:id="1111318372">
          <w:marLeft w:val="0"/>
          <w:marRight w:val="0"/>
          <w:marTop w:val="0"/>
          <w:marBottom w:val="0"/>
          <w:divBdr>
            <w:top w:val="none" w:sz="0" w:space="0" w:color="auto"/>
            <w:left w:val="none" w:sz="0" w:space="0" w:color="auto"/>
            <w:bottom w:val="none" w:sz="0" w:space="0" w:color="auto"/>
            <w:right w:val="none" w:sz="0" w:space="0" w:color="auto"/>
          </w:divBdr>
        </w:div>
        <w:div w:id="884831524">
          <w:marLeft w:val="0"/>
          <w:marRight w:val="0"/>
          <w:marTop w:val="0"/>
          <w:marBottom w:val="0"/>
          <w:divBdr>
            <w:top w:val="none" w:sz="0" w:space="0" w:color="auto"/>
            <w:left w:val="none" w:sz="0" w:space="0" w:color="auto"/>
            <w:bottom w:val="none" w:sz="0" w:space="0" w:color="auto"/>
            <w:right w:val="none" w:sz="0" w:space="0" w:color="auto"/>
          </w:divBdr>
        </w:div>
        <w:div w:id="342249996">
          <w:marLeft w:val="0"/>
          <w:marRight w:val="0"/>
          <w:marTop w:val="0"/>
          <w:marBottom w:val="0"/>
          <w:divBdr>
            <w:top w:val="none" w:sz="0" w:space="0" w:color="auto"/>
            <w:left w:val="none" w:sz="0" w:space="0" w:color="auto"/>
            <w:bottom w:val="none" w:sz="0" w:space="0" w:color="auto"/>
            <w:right w:val="none" w:sz="0" w:space="0" w:color="auto"/>
          </w:divBdr>
        </w:div>
        <w:div w:id="598103955">
          <w:marLeft w:val="0"/>
          <w:marRight w:val="0"/>
          <w:marTop w:val="0"/>
          <w:marBottom w:val="0"/>
          <w:divBdr>
            <w:top w:val="none" w:sz="0" w:space="0" w:color="auto"/>
            <w:left w:val="none" w:sz="0" w:space="0" w:color="auto"/>
            <w:bottom w:val="none" w:sz="0" w:space="0" w:color="auto"/>
            <w:right w:val="none" w:sz="0" w:space="0" w:color="auto"/>
          </w:divBdr>
        </w:div>
        <w:div w:id="1027678676">
          <w:marLeft w:val="0"/>
          <w:marRight w:val="0"/>
          <w:marTop w:val="0"/>
          <w:marBottom w:val="0"/>
          <w:divBdr>
            <w:top w:val="none" w:sz="0" w:space="0" w:color="auto"/>
            <w:left w:val="none" w:sz="0" w:space="0" w:color="auto"/>
            <w:bottom w:val="none" w:sz="0" w:space="0" w:color="auto"/>
            <w:right w:val="none" w:sz="0" w:space="0" w:color="auto"/>
          </w:divBdr>
        </w:div>
      </w:divsChild>
    </w:div>
    <w:div w:id="1824660838">
      <w:bodyDiv w:val="1"/>
      <w:marLeft w:val="0"/>
      <w:marRight w:val="0"/>
      <w:marTop w:val="0"/>
      <w:marBottom w:val="0"/>
      <w:divBdr>
        <w:top w:val="none" w:sz="0" w:space="0" w:color="auto"/>
        <w:left w:val="none" w:sz="0" w:space="0" w:color="auto"/>
        <w:bottom w:val="none" w:sz="0" w:space="0" w:color="auto"/>
        <w:right w:val="none" w:sz="0" w:space="0" w:color="auto"/>
      </w:divBdr>
    </w:div>
    <w:div w:id="18402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D0213-2652-4DE5-AA83-659E2B5C7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2787</Words>
  <Characters>15888</Characters>
  <Application>Microsoft Office Word</Application>
  <DocSecurity>0</DocSecurity>
  <Lines>132</Lines>
  <Paragraphs>37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富士フイルム株式会社</Company>
  <LinksUpToDate>false</LinksUpToDate>
  <CharactersWithSpaces>18638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健太郎</dc:creator>
  <cp:lastModifiedBy>Neha Jaiswal</cp:lastModifiedBy>
  <cp:revision>3</cp:revision>
  <cp:lastPrinted>2018-04-20T03:11:00Z</cp:lastPrinted>
  <dcterms:created xsi:type="dcterms:W3CDTF">2018-11-21T06:20:00Z</dcterms:created>
  <dcterms:modified xsi:type="dcterms:W3CDTF">2018-11-21T06:20:00Z</dcterms:modified>
</cp:coreProperties>
</file>