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F2" w:rsidRPr="00AE4CDE" w:rsidRDefault="00AE4CDE" w:rsidP="00F90BC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E4CDE">
        <w:rPr>
          <w:rFonts w:ascii="Arial" w:hAnsi="Arial" w:cs="Arial"/>
          <w:sz w:val="18"/>
          <w:szCs w:val="18"/>
        </w:rPr>
        <w:t>Supplementary file 2</w:t>
      </w:r>
      <w:r w:rsidR="00374B0E">
        <w:rPr>
          <w:rFonts w:ascii="Arial" w:hAnsi="Arial" w:cs="Arial"/>
          <w:sz w:val="18"/>
          <w:szCs w:val="18"/>
        </w:rPr>
        <w:t>: D</w:t>
      </w:r>
      <w:r>
        <w:rPr>
          <w:rFonts w:ascii="Arial" w:hAnsi="Arial" w:cs="Arial"/>
          <w:sz w:val="18"/>
          <w:szCs w:val="18"/>
        </w:rPr>
        <w:t>erivation</w:t>
      </w:r>
      <w:r w:rsidR="00431AEB">
        <w:rPr>
          <w:rFonts w:ascii="Arial" w:hAnsi="Arial" w:cs="Arial"/>
          <w:sz w:val="18"/>
          <w:szCs w:val="18"/>
        </w:rPr>
        <w:t xml:space="preserve"> of final indicator set (n=30</w:t>
      </w:r>
      <w:r w:rsidR="00374B0E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from original candidate indicators</w:t>
      </w:r>
      <w:r w:rsidR="00374B0E">
        <w:rPr>
          <w:rFonts w:ascii="Arial" w:hAnsi="Arial" w:cs="Arial"/>
          <w:sz w:val="18"/>
          <w:szCs w:val="18"/>
        </w:rPr>
        <w:t>, including indicators combined during RAM round 3</w:t>
      </w:r>
      <w:r w:rsidR="00E05D8D" w:rsidRPr="00AE4CDE">
        <w:rPr>
          <w:rFonts w:ascii="Arial" w:hAnsi="Arial" w:cs="Arial"/>
          <w:sz w:val="18"/>
          <w:szCs w:val="18"/>
        </w:rPr>
        <w:t xml:space="preserve">  </w:t>
      </w:r>
    </w:p>
    <w:tbl>
      <w:tblPr>
        <w:tblW w:w="14743" w:type="dxa"/>
        <w:tblInd w:w="-14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765"/>
        <w:gridCol w:w="2410"/>
      </w:tblGrid>
      <w:tr w:rsidR="00374B0E" w:rsidRPr="00677A91" w:rsidTr="002667C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74B0E" w:rsidRPr="00677A91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B0E" w:rsidRPr="00677A91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Final i</w:t>
            </w:r>
            <w:r w:rsidRPr="00677A91">
              <w:rPr>
                <w:rFonts w:ascii="Arial" w:hAnsi="Arial" w:cs="Arial"/>
                <w:b/>
                <w:sz w:val="18"/>
                <w:szCs w:val="18"/>
              </w:rPr>
              <w:t>ndicator description foll</w:t>
            </w:r>
            <w:r>
              <w:rPr>
                <w:rFonts w:ascii="Arial" w:hAnsi="Arial" w:cs="Arial"/>
                <w:b/>
                <w:sz w:val="18"/>
                <w:szCs w:val="18"/>
              </w:rPr>
              <w:t>owing phase three of RAND/UCLA Appropriateness M</w:t>
            </w:r>
            <w:r w:rsidRPr="00677A91">
              <w:rPr>
                <w:rFonts w:ascii="Arial" w:hAnsi="Arial" w:cs="Arial"/>
                <w:b/>
                <w:sz w:val="18"/>
                <w:szCs w:val="18"/>
              </w:rPr>
              <w:t xml:space="preserve">ethod </w:t>
            </w:r>
          </w:p>
          <w:p w:rsidR="00374B0E" w:rsidRPr="00677A91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4B0E" w:rsidRPr="00677A91" w:rsidRDefault="00374B0E" w:rsidP="002667C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Original</w:t>
            </w:r>
            <w:r w:rsidR="002667C7">
              <w:rPr>
                <w:rFonts w:ascii="Arial" w:hAnsi="Arial" w:cs="Arial"/>
                <w:b/>
                <w:sz w:val="18"/>
                <w:szCs w:val="18"/>
              </w:rPr>
              <w:t xml:space="preserve"> (combined)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candidate </w:t>
            </w:r>
            <w:r w:rsidR="002667C7">
              <w:rPr>
                <w:rFonts w:ascii="Arial" w:hAnsi="Arial" w:cs="Arial"/>
                <w:b/>
                <w:sz w:val="18"/>
                <w:szCs w:val="18"/>
              </w:rPr>
              <w:t>indicators</w:t>
            </w:r>
          </w:p>
        </w:tc>
      </w:tr>
      <w:tr w:rsidR="00374B0E" w:rsidRPr="00677A91" w:rsidTr="002667C7">
        <w:tc>
          <w:tcPr>
            <w:tcW w:w="568" w:type="dxa"/>
            <w:tcBorders>
              <w:top w:val="single" w:sz="4" w:space="0" w:color="auto"/>
              <w:right w:val="nil"/>
            </w:tcBorders>
          </w:tcPr>
          <w:p w:rsidR="00374B0E" w:rsidRPr="00677A91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right w:val="nil"/>
            </w:tcBorders>
          </w:tcPr>
          <w:p w:rsidR="00374B0E" w:rsidRPr="00677A91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 Physical</w:t>
            </w:r>
            <w:r w:rsidRPr="00677A9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r w:rsidRPr="00677A91">
              <w:rPr>
                <w:rFonts w:ascii="Arial" w:hAnsi="Arial" w:cs="Arial"/>
                <w:b/>
                <w:sz w:val="18"/>
                <w:szCs w:val="18"/>
              </w:rPr>
              <w:t xml:space="preserve">care and support, assessment and treatment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</w:tcPr>
          <w:p w:rsidR="00374B0E" w:rsidRPr="00677A91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4B0E" w:rsidRPr="00D11438" w:rsidTr="002667C7">
        <w:tc>
          <w:tcPr>
            <w:tcW w:w="568" w:type="dxa"/>
            <w:tcBorders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438">
              <w:rPr>
                <w:rFonts w:ascii="Arial" w:hAnsi="Arial" w:cs="Arial"/>
                <w:color w:val="000000"/>
                <w:sz w:val="18"/>
                <w:szCs w:val="18"/>
              </w:rPr>
              <w:t>A1</w:t>
            </w:r>
          </w:p>
        </w:tc>
        <w:tc>
          <w:tcPr>
            <w:tcW w:w="11765" w:type="dxa"/>
            <w:tcBorders>
              <w:left w:val="nil"/>
              <w:right w:val="nil"/>
            </w:tcBorders>
          </w:tcPr>
          <w:p w:rsidR="00374B0E" w:rsidRPr="00D27D04" w:rsidRDefault="00D27D04" w:rsidP="00F90B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D04">
              <w:rPr>
                <w:rFonts w:ascii="Arial" w:hAnsi="Arial" w:cs="Arial"/>
                <w:color w:val="000000"/>
                <w:sz w:val="18"/>
                <w:szCs w:val="18"/>
              </w:rPr>
              <w:t>Proportion</w:t>
            </w:r>
            <w:r w:rsidR="00374B0E" w:rsidRPr="00D27D04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374B0E" w:rsidRPr="00D27D04">
              <w:rPr>
                <w:rFonts w:ascii="Arial" w:hAnsi="Arial" w:cs="Arial"/>
                <w:sz w:val="18"/>
                <w:szCs w:val="18"/>
              </w:rPr>
              <w:t xml:space="preserve">service users </w:t>
            </w:r>
            <w:r w:rsidR="00374B0E" w:rsidRPr="00D27D04">
              <w:rPr>
                <w:rFonts w:ascii="Arial" w:hAnsi="Arial" w:cs="Arial"/>
                <w:color w:val="000000"/>
                <w:sz w:val="18"/>
                <w:szCs w:val="18"/>
              </w:rPr>
              <w:t xml:space="preserve">with assessment of pain severity at screening using a valid measure 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#01</w:t>
            </w:r>
          </w:p>
        </w:tc>
      </w:tr>
      <w:tr w:rsidR="00374B0E" w:rsidRPr="00D11438" w:rsidTr="002667C7">
        <w:tc>
          <w:tcPr>
            <w:tcW w:w="568" w:type="dxa"/>
            <w:tcBorders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438"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11765" w:type="dxa"/>
            <w:tcBorders>
              <w:left w:val="nil"/>
              <w:right w:val="nil"/>
            </w:tcBorders>
          </w:tcPr>
          <w:p w:rsidR="00374B0E" w:rsidRPr="00D11438" w:rsidRDefault="00D27D04" w:rsidP="00DF1F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27D04">
              <w:rPr>
                <w:rFonts w:ascii="Arial" w:hAnsi="Arial" w:cs="Arial"/>
                <w:color w:val="000000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 moderate or severe pain assessed to explore possible causes of pain 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#03,#10,#11</w:t>
            </w:r>
          </w:p>
        </w:tc>
      </w:tr>
      <w:tr w:rsidR="00374B0E" w:rsidRPr="00D11438" w:rsidTr="002667C7">
        <w:tc>
          <w:tcPr>
            <w:tcW w:w="568" w:type="dxa"/>
            <w:tcBorders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438"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11765" w:type="dxa"/>
            <w:tcBorders>
              <w:left w:val="nil"/>
              <w:right w:val="nil"/>
            </w:tcBorders>
          </w:tcPr>
          <w:p w:rsidR="00374B0E" w:rsidRPr="00D11438" w:rsidRDefault="00D27D04" w:rsidP="00F40CA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7D04">
              <w:rPr>
                <w:rFonts w:ascii="Arial" w:hAnsi="Arial" w:cs="Arial"/>
                <w:color w:val="000000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 assessment of breathlessness at screening using a valid</w:t>
            </w:r>
            <w:r w:rsidR="00374B0E" w:rsidRPr="00D11438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#12</w:t>
            </w:r>
          </w:p>
        </w:tc>
      </w:tr>
      <w:tr w:rsidR="00374B0E" w:rsidRPr="00D11438" w:rsidTr="002667C7">
        <w:tc>
          <w:tcPr>
            <w:tcW w:w="568" w:type="dxa"/>
            <w:tcBorders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1438"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11765" w:type="dxa"/>
            <w:tcBorders>
              <w:left w:val="nil"/>
              <w:right w:val="nil"/>
            </w:tcBorders>
          </w:tcPr>
          <w:p w:rsidR="00374B0E" w:rsidRPr="00D11438" w:rsidRDefault="00D27D04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7D04">
              <w:rPr>
                <w:rFonts w:ascii="Arial" w:hAnsi="Arial" w:cs="Arial"/>
                <w:color w:val="000000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 assessment of fatigue </w:t>
            </w:r>
            <w:r w:rsidR="00374B0E" w:rsidRPr="00D11438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en-GB"/>
              </w:rPr>
              <w:t>at screening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using a valid</w:t>
            </w:r>
            <w:r w:rsidR="00374B0E" w:rsidRPr="00D11438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#24</w:t>
            </w:r>
          </w:p>
        </w:tc>
      </w:tr>
      <w:tr w:rsidR="00374B0E" w:rsidRPr="00D11438" w:rsidTr="002667C7"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374B0E" w:rsidRPr="00D11438" w:rsidRDefault="00374B0E" w:rsidP="00F21B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11765" w:type="dxa"/>
            <w:tcBorders>
              <w:left w:val="nil"/>
              <w:bottom w:val="single" w:sz="4" w:space="0" w:color="auto"/>
              <w:right w:val="nil"/>
            </w:tcBorders>
          </w:tcPr>
          <w:p w:rsidR="00374B0E" w:rsidRPr="00D11438" w:rsidRDefault="00D27D04" w:rsidP="00F21BB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7D04">
              <w:rPr>
                <w:rFonts w:ascii="Arial" w:hAnsi="Arial" w:cs="Arial"/>
                <w:color w:val="000000"/>
                <w:sz w:val="18"/>
                <w:szCs w:val="18"/>
              </w:rPr>
              <w:t>Proportion</w:t>
            </w:r>
            <w:r w:rsidRPr="00D114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of service users with assessment of functional status to identify daily activity limitations completed before a multidisciplinary care plan 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374B0E" w:rsidRPr="00D11438" w:rsidRDefault="00374B0E" w:rsidP="00F21BB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#30</w:t>
            </w:r>
          </w:p>
        </w:tc>
      </w:tr>
      <w:tr w:rsidR="00374B0E" w:rsidRPr="00F21BB2" w:rsidTr="002667C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374B0E" w:rsidRPr="00F21BB2" w:rsidRDefault="00374B0E" w:rsidP="00F90B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F21BB2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1BB2">
              <w:rPr>
                <w:rFonts w:ascii="Arial" w:hAnsi="Arial" w:cs="Arial"/>
                <w:b/>
                <w:sz w:val="18"/>
                <w:szCs w:val="18"/>
              </w:rPr>
              <w:t>B. Psychological care and support, assessment and treatment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F21BB2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4B0E" w:rsidRPr="00D11438" w:rsidTr="002667C7">
        <w:tc>
          <w:tcPr>
            <w:tcW w:w="568" w:type="dxa"/>
            <w:tcBorders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B6</w:t>
            </w:r>
          </w:p>
        </w:tc>
        <w:tc>
          <w:tcPr>
            <w:tcW w:w="11765" w:type="dxa"/>
            <w:tcBorders>
              <w:left w:val="nil"/>
              <w:bottom w:val="nil"/>
              <w:right w:val="nil"/>
            </w:tcBorders>
          </w:tcPr>
          <w:p w:rsidR="00374B0E" w:rsidRPr="00D11438" w:rsidRDefault="00D27D04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7D04">
              <w:rPr>
                <w:rFonts w:ascii="Arial" w:hAnsi="Arial" w:cs="Arial"/>
                <w:color w:val="000000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screened for depression at screening using a valid measure</w:t>
            </w:r>
            <w:r w:rsidR="00374B0E" w:rsidRPr="00D1143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#38</w:t>
            </w:r>
          </w:p>
        </w:tc>
      </w:tr>
      <w:tr w:rsidR="00374B0E" w:rsidRPr="00D11438" w:rsidTr="002667C7">
        <w:tc>
          <w:tcPr>
            <w:tcW w:w="568" w:type="dxa"/>
            <w:tcBorders>
              <w:top w:val="nil"/>
              <w:right w:val="nil"/>
            </w:tcBorders>
          </w:tcPr>
          <w:p w:rsidR="00374B0E" w:rsidRPr="00D11438" w:rsidRDefault="00374B0E" w:rsidP="002057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B7</w:t>
            </w:r>
          </w:p>
        </w:tc>
        <w:tc>
          <w:tcPr>
            <w:tcW w:w="11765" w:type="dxa"/>
            <w:tcBorders>
              <w:top w:val="nil"/>
              <w:left w:val="nil"/>
              <w:right w:val="nil"/>
            </w:tcBorders>
          </w:tcPr>
          <w:p w:rsidR="00374B0E" w:rsidRPr="00D11438" w:rsidRDefault="00D27D04" w:rsidP="002057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7D04">
              <w:rPr>
                <w:rFonts w:ascii="Arial" w:hAnsi="Arial" w:cs="Arial"/>
                <w:color w:val="000000"/>
                <w:sz w:val="18"/>
                <w:szCs w:val="18"/>
              </w:rPr>
              <w:t>Proportion</w:t>
            </w:r>
            <w:r w:rsidRPr="00D114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of service users screened for anxiety at screening using a valid measure 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20578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#41</w:t>
            </w:r>
          </w:p>
        </w:tc>
      </w:tr>
      <w:tr w:rsidR="00374B0E" w:rsidRPr="00D11438" w:rsidTr="002667C7"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374B0E" w:rsidRPr="00D11438" w:rsidRDefault="00374B0E" w:rsidP="00F21BB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en-GB"/>
              </w:rPr>
              <w:t>B8</w:t>
            </w:r>
          </w:p>
        </w:tc>
        <w:tc>
          <w:tcPr>
            <w:tcW w:w="11765" w:type="dxa"/>
            <w:tcBorders>
              <w:left w:val="nil"/>
              <w:bottom w:val="single" w:sz="4" w:space="0" w:color="auto"/>
              <w:right w:val="nil"/>
            </w:tcBorders>
          </w:tcPr>
          <w:p w:rsidR="00374B0E" w:rsidRPr="00D11438" w:rsidRDefault="00D27D04" w:rsidP="00F21BB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7D04">
              <w:rPr>
                <w:rFonts w:ascii="Arial" w:hAnsi="Arial" w:cs="Arial"/>
                <w:color w:val="000000"/>
                <w:sz w:val="18"/>
                <w:szCs w:val="18"/>
              </w:rPr>
              <w:t>Proportion</w:t>
            </w:r>
            <w:r w:rsidRPr="00D11438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r w:rsidR="00374B0E" w:rsidRPr="00D11438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en-GB"/>
              </w:rPr>
              <w:t xml:space="preserve">of 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service users </w:t>
            </w:r>
            <w:r w:rsidR="00374B0E" w:rsidRPr="00D11438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en-GB"/>
              </w:rPr>
              <w:t>with assessment of cognitive functioning</w:t>
            </w:r>
            <w:r w:rsidR="00374B0E" w:rsidRPr="00D1143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374B0E" w:rsidRPr="00D11438" w:rsidRDefault="00374B0E" w:rsidP="00F21B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en-GB"/>
              </w:rPr>
              <w:t>#55</w:t>
            </w:r>
          </w:p>
        </w:tc>
      </w:tr>
      <w:tr w:rsidR="00374B0E" w:rsidRPr="00F21BB2" w:rsidTr="002667C7">
        <w:tc>
          <w:tcPr>
            <w:tcW w:w="568" w:type="dxa"/>
            <w:tcBorders>
              <w:top w:val="nil"/>
              <w:right w:val="nil"/>
            </w:tcBorders>
          </w:tcPr>
          <w:p w:rsidR="00374B0E" w:rsidRPr="00F21BB2" w:rsidRDefault="00374B0E" w:rsidP="00F90B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nil"/>
              <w:left w:val="nil"/>
              <w:right w:val="nil"/>
            </w:tcBorders>
          </w:tcPr>
          <w:p w:rsidR="00374B0E" w:rsidRPr="00F21BB2" w:rsidRDefault="00374B0E" w:rsidP="00654D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21BB2">
              <w:rPr>
                <w:rFonts w:ascii="Arial" w:hAnsi="Arial" w:cs="Arial"/>
                <w:b/>
                <w:sz w:val="18"/>
                <w:szCs w:val="18"/>
              </w:rPr>
              <w:t>C. Spiritual and emotional care and support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4B0E" w:rsidRPr="00F21BB2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4B0E" w:rsidRPr="00D11438" w:rsidTr="002667C7"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0E" w:rsidRPr="00D11438" w:rsidRDefault="00D27D04" w:rsidP="00654DA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27D04">
              <w:rPr>
                <w:rFonts w:ascii="Arial" w:hAnsi="Arial" w:cs="Arial"/>
                <w:color w:val="000000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 documentation of a spiritual </w:t>
            </w:r>
            <w:r w:rsidR="00374B0E" w:rsidRPr="00D11438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aspects of care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discussion or assessment completed before a multidisciplinary care plan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#68;#71</w:t>
            </w:r>
            <w:r w:rsidRPr="00D11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4B0E" w:rsidRPr="00BE692C" w:rsidTr="002667C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374B0E" w:rsidRPr="00BE692C" w:rsidRDefault="00374B0E" w:rsidP="00F90BC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BE692C" w:rsidRDefault="00374B0E" w:rsidP="0020578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692C">
              <w:rPr>
                <w:rFonts w:ascii="Arial" w:hAnsi="Arial" w:cs="Arial"/>
                <w:b/>
                <w:sz w:val="18"/>
                <w:szCs w:val="18"/>
              </w:rPr>
              <w:t>D. Information and Communication with Service Users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BE692C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4B0E" w:rsidRPr="00D11438" w:rsidTr="002667C7">
        <w:tc>
          <w:tcPr>
            <w:tcW w:w="568" w:type="dxa"/>
            <w:tcBorders>
              <w:right w:val="nil"/>
            </w:tcBorders>
          </w:tcPr>
          <w:p w:rsidR="00374B0E" w:rsidRPr="00D11438" w:rsidRDefault="00374B0E" w:rsidP="0062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D10</w:t>
            </w:r>
          </w:p>
        </w:tc>
        <w:tc>
          <w:tcPr>
            <w:tcW w:w="11765" w:type="dxa"/>
            <w:tcBorders>
              <w:left w:val="nil"/>
              <w:right w:val="nil"/>
            </w:tcBorders>
          </w:tcPr>
          <w:p w:rsidR="00374B0E" w:rsidRPr="00D11438" w:rsidRDefault="00D27D04" w:rsidP="0062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Proportion of service users who report that they are 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>provided with sufficient, appropriately tailored information or advice on their condition and on intervention options to support decisions on agreed care planning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74B0E" w:rsidRPr="00D11438" w:rsidRDefault="00374B0E" w:rsidP="0062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#177,#179</w:t>
            </w:r>
          </w:p>
        </w:tc>
      </w:tr>
      <w:tr w:rsidR="00374B0E" w:rsidRPr="00D11438" w:rsidTr="002667C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E</w:t>
            </w:r>
            <w:r w:rsidRPr="00D11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. Co-ordination and continuity of care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B0E" w:rsidRPr="00D11438" w:rsidTr="002667C7">
        <w:tc>
          <w:tcPr>
            <w:tcW w:w="568" w:type="dxa"/>
            <w:tcBorders>
              <w:top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E11</w:t>
            </w:r>
          </w:p>
        </w:tc>
        <w:tc>
          <w:tcPr>
            <w:tcW w:w="11765" w:type="dxa"/>
            <w:tcBorders>
              <w:top w:val="nil"/>
              <w:left w:val="nil"/>
              <w:right w:val="nil"/>
            </w:tcBorders>
          </w:tcPr>
          <w:p w:rsidR="00374B0E" w:rsidRPr="00D11438" w:rsidRDefault="00D27D04" w:rsidP="006251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Proportion 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of service users with a comprehensive needs assessment completed before a multidisciplinary care plan to identify main symptoms and concerns and their effect   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#59,#85,#109</w:t>
            </w:r>
          </w:p>
        </w:tc>
      </w:tr>
      <w:tr w:rsidR="00374B0E" w:rsidRPr="00D11438" w:rsidTr="002667C7">
        <w:tc>
          <w:tcPr>
            <w:tcW w:w="568" w:type="dxa"/>
            <w:tcBorders>
              <w:top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E12</w:t>
            </w:r>
          </w:p>
        </w:tc>
        <w:tc>
          <w:tcPr>
            <w:tcW w:w="11765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886B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2C">
              <w:rPr>
                <w:rFonts w:ascii="Arial" w:hAnsi="Arial" w:cs="Arial"/>
                <w:sz w:val="18"/>
                <w:szCs w:val="18"/>
              </w:rPr>
              <w:t>Service has a written care pathway for assessment and management of moderate or severe pain including appropriate onward referral routes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#10,#11</w:t>
            </w:r>
          </w:p>
        </w:tc>
      </w:tr>
      <w:tr w:rsidR="00374B0E" w:rsidRPr="00D11438" w:rsidTr="002667C7">
        <w:tc>
          <w:tcPr>
            <w:tcW w:w="568" w:type="dxa"/>
            <w:tcBorders>
              <w:bottom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E13</w:t>
            </w:r>
          </w:p>
        </w:tc>
        <w:tc>
          <w:tcPr>
            <w:tcW w:w="11765" w:type="dxa"/>
            <w:tcBorders>
              <w:left w:val="nil"/>
              <w:bottom w:val="nil"/>
              <w:right w:val="nil"/>
            </w:tcBorders>
          </w:tcPr>
          <w:p w:rsidR="00374B0E" w:rsidRPr="001A0448" w:rsidRDefault="00D27D04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Proportion 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of service users with documentation of re-assessment at regular review in line with time points agreed in </w:t>
            </w:r>
            <w:r w:rsidR="00374B0E">
              <w:rPr>
                <w:rFonts w:ascii="Arial" w:hAnsi="Arial" w:cs="Arial"/>
                <w:sz w:val="18"/>
                <w:szCs w:val="18"/>
              </w:rPr>
              <w:t>the multidisciplinary care plan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#128,#136,#137,#147</w:t>
            </w:r>
          </w:p>
        </w:tc>
      </w:tr>
      <w:tr w:rsidR="00374B0E" w:rsidRPr="00D11438" w:rsidTr="002667C7"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B0E" w:rsidRDefault="00374B0E" w:rsidP="006251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E14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2C">
              <w:rPr>
                <w:rFonts w:ascii="Arial" w:hAnsi="Arial" w:cs="Arial"/>
                <w:sz w:val="18"/>
                <w:szCs w:val="18"/>
              </w:rPr>
              <w:t>Service has a written standard operating procedure defining timeframes for time to initial contact, completion of needs assessment and multidisciplinary care plan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#33, #94</w:t>
            </w:r>
          </w:p>
        </w:tc>
      </w:tr>
      <w:tr w:rsidR="00374B0E" w:rsidRPr="00D11438" w:rsidTr="002667C7"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E15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</w:tcPr>
          <w:p w:rsidR="00374B0E" w:rsidRPr="00D11438" w:rsidRDefault="00D27D04" w:rsidP="006251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 documentation of appropriate intervention in line with the agreed, multidisciplinary care plan  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438">
              <w:rPr>
                <w:rFonts w:ascii="Arial" w:hAnsi="Arial" w:cs="Arial"/>
                <w:sz w:val="18"/>
                <w:szCs w:val="18"/>
              </w:rPr>
              <w:t xml:space="preserve">#39, </w:t>
            </w:r>
            <w:r>
              <w:rPr>
                <w:rFonts w:ascii="Arial" w:hAnsi="Arial" w:cs="Arial"/>
                <w:sz w:val="18"/>
                <w:szCs w:val="18"/>
              </w:rPr>
              <w:t>#70, #76</w:t>
            </w:r>
            <w:r w:rsidRPr="00D1143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74B0E" w:rsidRPr="00D11438" w:rsidTr="002667C7">
        <w:tc>
          <w:tcPr>
            <w:tcW w:w="568" w:type="dxa"/>
            <w:tcBorders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E16</w:t>
            </w:r>
          </w:p>
        </w:tc>
        <w:tc>
          <w:tcPr>
            <w:tcW w:w="11765" w:type="dxa"/>
            <w:tcBorders>
              <w:left w:val="nil"/>
              <w:right w:val="nil"/>
            </w:tcBorders>
          </w:tcPr>
          <w:p w:rsidR="00374B0E" w:rsidRPr="00D11438" w:rsidRDefault="00D27D04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 documented communication between the service and the General Practitioner providing information on care needs and the agreed care plans  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#77,#135</w:t>
            </w:r>
          </w:p>
        </w:tc>
      </w:tr>
      <w:tr w:rsidR="00374B0E" w:rsidRPr="00D11438" w:rsidTr="002667C7">
        <w:tc>
          <w:tcPr>
            <w:tcW w:w="568" w:type="dxa"/>
            <w:tcBorders>
              <w:right w:val="nil"/>
            </w:tcBorders>
          </w:tcPr>
          <w:p w:rsidR="00374B0E" w:rsidRPr="00D11438" w:rsidRDefault="00374B0E" w:rsidP="0062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E17</w:t>
            </w:r>
          </w:p>
        </w:tc>
        <w:tc>
          <w:tcPr>
            <w:tcW w:w="11765" w:type="dxa"/>
            <w:tcBorders>
              <w:left w:val="nil"/>
              <w:right w:val="nil"/>
            </w:tcBorders>
          </w:tcPr>
          <w:p w:rsidR="00374B0E" w:rsidRPr="00D11438" w:rsidRDefault="00D27D04" w:rsidP="0062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 a care plan available as specified by the service’s written standard operating procedure for development and usage of multidisciplinary care plans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74B0E" w:rsidRPr="00D11438" w:rsidRDefault="00374B0E" w:rsidP="0062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438">
              <w:rPr>
                <w:rFonts w:ascii="Arial" w:hAnsi="Arial" w:cs="Arial"/>
                <w:sz w:val="18"/>
                <w:szCs w:val="18"/>
              </w:rPr>
              <w:t>#129,</w:t>
            </w:r>
            <w:r>
              <w:rPr>
                <w:rFonts w:ascii="Arial" w:hAnsi="Arial" w:cs="Arial"/>
                <w:sz w:val="18"/>
                <w:szCs w:val="18"/>
              </w:rPr>
              <w:t>#141</w:t>
            </w:r>
          </w:p>
        </w:tc>
      </w:tr>
      <w:tr w:rsidR="00374B0E" w:rsidRPr="00D11438" w:rsidTr="002667C7">
        <w:tc>
          <w:tcPr>
            <w:tcW w:w="568" w:type="dxa"/>
            <w:tcBorders>
              <w:bottom w:val="nil"/>
              <w:right w:val="nil"/>
            </w:tcBorders>
          </w:tcPr>
          <w:p w:rsidR="00374B0E" w:rsidRPr="00D11438" w:rsidRDefault="00374B0E" w:rsidP="006251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E18</w:t>
            </w:r>
          </w:p>
        </w:tc>
        <w:tc>
          <w:tcPr>
            <w:tcW w:w="11765" w:type="dxa"/>
            <w:tcBorders>
              <w:left w:val="nil"/>
              <w:bottom w:val="nil"/>
              <w:right w:val="nil"/>
            </w:tcBorders>
          </w:tcPr>
          <w:p w:rsidR="00374B0E" w:rsidRPr="00D11438" w:rsidRDefault="00D27D04" w:rsidP="0062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 documented evidence of being offered the opportunity for completion of advance care planning  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#178</w:t>
            </w:r>
          </w:p>
        </w:tc>
      </w:tr>
      <w:tr w:rsidR="00374B0E" w:rsidRPr="00D11438" w:rsidTr="002667C7"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E19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0E" w:rsidRPr="00D11438" w:rsidRDefault="00D27D04" w:rsidP="006251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 quality of life </w:t>
            </w:r>
            <w:r w:rsidR="00374B0E" w:rsidRPr="00D11438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en-GB"/>
              </w:rPr>
              <w:t>assessed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using a valid measure at screening and at regular review in line with time points agreed in the multidisciplinary care plan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#51</w:t>
            </w:r>
          </w:p>
        </w:tc>
      </w:tr>
      <w:tr w:rsidR="00374B0E" w:rsidRPr="00D11438" w:rsidTr="002667C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1A0448" w:rsidRDefault="00374B0E" w:rsidP="00886B2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44334">
              <w:rPr>
                <w:rFonts w:ascii="Arial" w:hAnsi="Arial" w:cs="Arial"/>
                <w:b/>
                <w:sz w:val="18"/>
                <w:szCs w:val="18"/>
              </w:rPr>
              <w:t>F. Care planning, goal setting and shared decision making with service users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B0E" w:rsidRPr="00D11438" w:rsidTr="002667C7">
        <w:tc>
          <w:tcPr>
            <w:tcW w:w="568" w:type="dxa"/>
            <w:tcBorders>
              <w:top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F20</w:t>
            </w:r>
          </w:p>
        </w:tc>
        <w:tc>
          <w:tcPr>
            <w:tcW w:w="11765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886B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334">
              <w:rPr>
                <w:rFonts w:ascii="Arial" w:hAnsi="Arial" w:cs="Arial"/>
                <w:sz w:val="18"/>
                <w:szCs w:val="18"/>
              </w:rPr>
              <w:t>Service has a written standard operating procedure for development and usage of multidisciplinary care plans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#109</w:t>
            </w:r>
          </w:p>
        </w:tc>
      </w:tr>
      <w:tr w:rsidR="00374B0E" w:rsidRPr="00D11438" w:rsidTr="002667C7">
        <w:tc>
          <w:tcPr>
            <w:tcW w:w="568" w:type="dxa"/>
            <w:tcBorders>
              <w:top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F2</w:t>
            </w:r>
            <w:r w:rsidRPr="00D1143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65" w:type="dxa"/>
            <w:tcBorders>
              <w:top w:val="nil"/>
              <w:left w:val="nil"/>
              <w:right w:val="nil"/>
            </w:tcBorders>
          </w:tcPr>
          <w:p w:rsidR="00374B0E" w:rsidRPr="00D11438" w:rsidRDefault="00D27D04" w:rsidP="006251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 documentation of main care goals in the multidisciplinary care plan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2667C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#32,#33,#45,#69,#94,#113</w:t>
            </w:r>
            <w:r w:rsidRPr="00D114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74B0E" w:rsidRPr="00D11438" w:rsidTr="002667C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G</w:t>
            </w:r>
            <w:r w:rsidRPr="00D11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. Evidence of effectiveness, outcome assessment and measurement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B0E" w:rsidRPr="00D11438" w:rsidTr="002667C7">
        <w:tc>
          <w:tcPr>
            <w:tcW w:w="568" w:type="dxa"/>
            <w:tcBorders>
              <w:top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G22</w:t>
            </w:r>
          </w:p>
        </w:tc>
        <w:tc>
          <w:tcPr>
            <w:tcW w:w="11765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4334">
              <w:rPr>
                <w:rFonts w:ascii="Arial" w:hAnsi="Arial" w:cs="Arial"/>
                <w:sz w:val="18"/>
                <w:szCs w:val="18"/>
              </w:rPr>
              <w:t>Service has a written policy for reviewing and updating standard operating procedures and care pathways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800844" w:rsidRPr="002667C7" w:rsidRDefault="00800844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74B0E" w:rsidRPr="00D11438" w:rsidTr="002667C7">
        <w:tc>
          <w:tcPr>
            <w:tcW w:w="568" w:type="dxa"/>
            <w:tcBorders>
              <w:top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G23</w:t>
            </w:r>
          </w:p>
        </w:tc>
        <w:tc>
          <w:tcPr>
            <w:tcW w:w="11765" w:type="dxa"/>
            <w:tcBorders>
              <w:top w:val="nil"/>
              <w:left w:val="nil"/>
              <w:right w:val="nil"/>
            </w:tcBorders>
          </w:tcPr>
          <w:p w:rsidR="00374B0E" w:rsidRPr="00D11438" w:rsidRDefault="00090086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</w:t>
            </w:r>
            <w:r w:rsidR="00374B0E" w:rsidRPr="00944C2C">
              <w:rPr>
                <w:rFonts w:ascii="Arial" w:hAnsi="Arial" w:cs="Arial"/>
                <w:sz w:val="18"/>
                <w:szCs w:val="18"/>
              </w:rPr>
              <w:t xml:space="preserve"> of service users re-assessed at regular review who report that main care goals are met in line with the multidisciplinary care plan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#14,#26,#29,#40</w:t>
            </w:r>
          </w:p>
        </w:tc>
      </w:tr>
      <w:tr w:rsidR="00374B0E" w:rsidRPr="00D11438" w:rsidTr="002667C7">
        <w:tc>
          <w:tcPr>
            <w:tcW w:w="568" w:type="dxa"/>
            <w:tcBorders>
              <w:top w:val="nil"/>
              <w:right w:val="nil"/>
            </w:tcBorders>
          </w:tcPr>
          <w:p w:rsidR="00374B0E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G24</w:t>
            </w:r>
          </w:p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G25</w:t>
            </w:r>
          </w:p>
        </w:tc>
        <w:tc>
          <w:tcPr>
            <w:tcW w:w="11765" w:type="dxa"/>
            <w:tcBorders>
              <w:top w:val="nil"/>
              <w:left w:val="nil"/>
              <w:right w:val="nil"/>
            </w:tcBorders>
          </w:tcPr>
          <w:p w:rsidR="00374B0E" w:rsidRPr="00D11438" w:rsidRDefault="00090086" w:rsidP="00F90BC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Proportion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of service users with</w:t>
            </w:r>
            <w:r w:rsidR="00374B0E" w:rsidRPr="00D1143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assessment of satisfaction with overall care and support performed using a valid measure</w:t>
            </w:r>
          </w:p>
          <w:p w:rsidR="00374B0E" w:rsidRPr="00D11438" w:rsidRDefault="00090086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Proportion</w:t>
            </w:r>
            <w:r w:rsidR="00374B0E" w:rsidRPr="00D11438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of service users with assessment of satisfaction with involvement in shared decision making</w:t>
            </w:r>
            <w:r w:rsidR="00374B0E" w:rsidRPr="00D11438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#37</w:t>
            </w:r>
          </w:p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438">
              <w:rPr>
                <w:rFonts w:ascii="Arial" w:hAnsi="Arial" w:cs="Arial"/>
                <w:sz w:val="18"/>
                <w:szCs w:val="18"/>
              </w:rPr>
              <w:t>#106, #108, #116</w:t>
            </w:r>
          </w:p>
        </w:tc>
      </w:tr>
      <w:tr w:rsidR="00374B0E" w:rsidRPr="00D11438" w:rsidTr="002667C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H</w:t>
            </w:r>
            <w:r w:rsidRPr="00D1143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. Staff training and education, service and professional development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B0E" w:rsidRPr="00D11438" w:rsidTr="002667C7"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H26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0E" w:rsidRPr="00D11438" w:rsidRDefault="00800844" w:rsidP="0080084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Extent to which staff have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 access to training around core components of care as part of continuing education and personal development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#164</w:t>
            </w:r>
          </w:p>
        </w:tc>
      </w:tr>
      <w:tr w:rsidR="00374B0E" w:rsidRPr="00D11438" w:rsidTr="002667C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944C2C" w:rsidRDefault="00374B0E" w:rsidP="00944C2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944C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I.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 xml:space="preserve"> </w:t>
            </w:r>
            <w:r w:rsidRPr="00944C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Access to services and service environment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B0E" w:rsidRPr="00D11438" w:rsidTr="002667C7">
        <w:tc>
          <w:tcPr>
            <w:tcW w:w="568" w:type="dxa"/>
            <w:tcBorders>
              <w:top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I27</w:t>
            </w:r>
          </w:p>
        </w:tc>
        <w:tc>
          <w:tcPr>
            <w:tcW w:w="11765" w:type="dxa"/>
            <w:tcBorders>
              <w:top w:val="nil"/>
              <w:left w:val="nil"/>
              <w:right w:val="nil"/>
            </w:tcBorders>
          </w:tcPr>
          <w:p w:rsidR="00374B0E" w:rsidRPr="00D11438" w:rsidRDefault="00090086" w:rsidP="0009008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Proportion of </w:t>
            </w:r>
            <w:r w:rsidRPr="00090086">
              <w:rPr>
                <w:rFonts w:ascii="Arial" w:hAnsi="Arial" w:cs="Arial"/>
                <w:sz w:val="18"/>
                <w:szCs w:val="18"/>
              </w:rPr>
              <w:t xml:space="preserve">service users with a record of time in days </w:t>
            </w:r>
            <w:r w:rsidR="00374B0E" w:rsidRPr="00D11438">
              <w:rPr>
                <w:rFonts w:ascii="Arial" w:hAnsi="Arial" w:cs="Arial"/>
                <w:sz w:val="18"/>
                <w:szCs w:val="18"/>
              </w:rPr>
              <w:t xml:space="preserve">from referral date to first attendance date offered by service 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374B0E" w:rsidRPr="00D11438" w:rsidRDefault="00374B0E" w:rsidP="006251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#134</w:t>
            </w:r>
          </w:p>
        </w:tc>
      </w:tr>
      <w:tr w:rsidR="00374B0E" w:rsidRPr="00D11438" w:rsidTr="002667C7">
        <w:tc>
          <w:tcPr>
            <w:tcW w:w="568" w:type="dxa"/>
            <w:tcBorders>
              <w:right w:val="nil"/>
            </w:tcBorders>
          </w:tcPr>
          <w:p w:rsidR="00374B0E" w:rsidRPr="00D11438" w:rsidRDefault="00374B0E" w:rsidP="0062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I28</w:t>
            </w:r>
          </w:p>
        </w:tc>
        <w:tc>
          <w:tcPr>
            <w:tcW w:w="11765" w:type="dxa"/>
            <w:tcBorders>
              <w:left w:val="nil"/>
              <w:right w:val="nil"/>
            </w:tcBorders>
          </w:tcPr>
          <w:p w:rsidR="00374B0E" w:rsidRPr="00800844" w:rsidRDefault="00800844" w:rsidP="0062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0844">
              <w:rPr>
                <w:rFonts w:ascii="Arial" w:hAnsi="Arial" w:cs="Arial"/>
                <w:sz w:val="18"/>
                <w:szCs w:val="18"/>
              </w:rPr>
              <w:t>T</w:t>
            </w:r>
            <w:r w:rsidR="00374B0E" w:rsidRPr="00800844">
              <w:rPr>
                <w:rFonts w:ascii="Arial" w:hAnsi="Arial" w:cs="Arial"/>
                <w:sz w:val="18"/>
                <w:szCs w:val="18"/>
              </w:rPr>
              <w:t>he service provides suitable equipment and settings to deliver care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74B0E" w:rsidRPr="00D11438" w:rsidRDefault="00374B0E" w:rsidP="00625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#92,#173</w:t>
            </w:r>
          </w:p>
        </w:tc>
      </w:tr>
      <w:tr w:rsidR="00374B0E" w:rsidRPr="00944C2C" w:rsidTr="002667C7"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374B0E" w:rsidRPr="00944C2C" w:rsidRDefault="00374B0E" w:rsidP="00F90B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I29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0E" w:rsidRPr="00800844" w:rsidRDefault="00374B0E" w:rsidP="00F90B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  <w:r w:rsidRPr="0080084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Service has a written policy for defining standards for equipment and settings which are available for delivery of care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B0E" w:rsidRPr="00944C2C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#92</w:t>
            </w:r>
          </w:p>
        </w:tc>
      </w:tr>
      <w:tr w:rsidR="00374B0E" w:rsidRPr="00D11438" w:rsidTr="002667C7"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</w:pP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800844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0084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en-GB"/>
              </w:rPr>
              <w:t>J. Societal, ethical and legal aspects of care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B0E" w:rsidRPr="00677A91" w:rsidTr="002667C7"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J30</w:t>
            </w:r>
          </w:p>
        </w:tc>
        <w:tc>
          <w:tcPr>
            <w:tcW w:w="11765" w:type="dxa"/>
            <w:tcBorders>
              <w:left w:val="nil"/>
              <w:bottom w:val="single" w:sz="4" w:space="0" w:color="auto"/>
              <w:right w:val="nil"/>
            </w:tcBorders>
          </w:tcPr>
          <w:p w:rsidR="00374B0E" w:rsidRPr="00944C2C" w:rsidRDefault="00374B0E" w:rsidP="00944C2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438">
              <w:rPr>
                <w:rFonts w:ascii="Arial" w:hAnsi="Arial" w:cs="Arial"/>
                <w:sz w:val="18"/>
                <w:szCs w:val="18"/>
              </w:rPr>
              <w:t>Number of service users with correctly completed documentation of informed consent to treatment or medical interventi</w:t>
            </w:r>
            <w:r>
              <w:rPr>
                <w:rFonts w:ascii="Arial" w:hAnsi="Arial" w:cs="Arial"/>
                <w:sz w:val="18"/>
                <w:szCs w:val="18"/>
              </w:rPr>
              <w:t xml:space="preserve">on  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374B0E" w:rsidRPr="00D11438" w:rsidRDefault="00374B0E" w:rsidP="00F90BC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#180</w:t>
            </w:r>
          </w:p>
        </w:tc>
      </w:tr>
    </w:tbl>
    <w:p w:rsidR="00BE3EDA" w:rsidRDefault="00BE3EDA" w:rsidP="002667C7">
      <w:pPr>
        <w:rPr>
          <w:rFonts w:ascii="Arial" w:hAnsi="Arial" w:cs="Arial"/>
          <w:b/>
          <w:sz w:val="18"/>
          <w:szCs w:val="18"/>
        </w:rPr>
      </w:pPr>
    </w:p>
    <w:sectPr w:rsidR="00BE3EDA" w:rsidSect="00AE4C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1F0" w:rsidRDefault="005131F0" w:rsidP="002667C7">
      <w:pPr>
        <w:spacing w:after="0" w:line="240" w:lineRule="auto"/>
      </w:pPr>
      <w:r>
        <w:separator/>
      </w:r>
    </w:p>
  </w:endnote>
  <w:endnote w:type="continuationSeparator" w:id="0">
    <w:p w:rsidR="005131F0" w:rsidRDefault="005131F0" w:rsidP="0026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1F0" w:rsidRDefault="005131F0" w:rsidP="002667C7">
      <w:pPr>
        <w:spacing w:after="0" w:line="240" w:lineRule="auto"/>
      </w:pPr>
      <w:r>
        <w:separator/>
      </w:r>
    </w:p>
  </w:footnote>
  <w:footnote w:type="continuationSeparator" w:id="0">
    <w:p w:rsidR="005131F0" w:rsidRDefault="005131F0" w:rsidP="00266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F79"/>
    <w:multiLevelType w:val="hybridMultilevel"/>
    <w:tmpl w:val="32E87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26B43"/>
    <w:multiLevelType w:val="hybridMultilevel"/>
    <w:tmpl w:val="1B923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83D"/>
    <w:multiLevelType w:val="hybridMultilevel"/>
    <w:tmpl w:val="C1821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0E3F"/>
    <w:multiLevelType w:val="hybridMultilevel"/>
    <w:tmpl w:val="43A2E9FE"/>
    <w:lvl w:ilvl="0" w:tplc="D1F079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71B31"/>
    <w:multiLevelType w:val="multilevel"/>
    <w:tmpl w:val="AAD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6DB0"/>
    <w:multiLevelType w:val="hybridMultilevel"/>
    <w:tmpl w:val="88C67E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83372"/>
    <w:multiLevelType w:val="hybridMultilevel"/>
    <w:tmpl w:val="7D16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93564"/>
    <w:multiLevelType w:val="hybridMultilevel"/>
    <w:tmpl w:val="D910F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4628B"/>
    <w:multiLevelType w:val="hybridMultilevel"/>
    <w:tmpl w:val="2D1C05E8"/>
    <w:lvl w:ilvl="0" w:tplc="9A84423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D67AC"/>
    <w:multiLevelType w:val="hybridMultilevel"/>
    <w:tmpl w:val="66426456"/>
    <w:lvl w:ilvl="0" w:tplc="F176CD1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B3A54"/>
    <w:multiLevelType w:val="multilevel"/>
    <w:tmpl w:val="AAB0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F740A"/>
    <w:multiLevelType w:val="multilevel"/>
    <w:tmpl w:val="D512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7B1ED1"/>
    <w:multiLevelType w:val="hybridMultilevel"/>
    <w:tmpl w:val="F9CCCCDC"/>
    <w:lvl w:ilvl="0" w:tplc="121C1DF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64B3C"/>
    <w:multiLevelType w:val="multilevel"/>
    <w:tmpl w:val="E83A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87329A"/>
    <w:multiLevelType w:val="hybridMultilevel"/>
    <w:tmpl w:val="CCA09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E5D81"/>
    <w:multiLevelType w:val="hybridMultilevel"/>
    <w:tmpl w:val="517C5C22"/>
    <w:lvl w:ilvl="0" w:tplc="812E43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95693"/>
    <w:multiLevelType w:val="hybridMultilevel"/>
    <w:tmpl w:val="5B4CD9E0"/>
    <w:lvl w:ilvl="0" w:tplc="F4D8CE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84320"/>
    <w:multiLevelType w:val="hybridMultilevel"/>
    <w:tmpl w:val="4A701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A4876"/>
    <w:multiLevelType w:val="hybridMultilevel"/>
    <w:tmpl w:val="1822486C"/>
    <w:lvl w:ilvl="0" w:tplc="E390C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A5BC3"/>
    <w:multiLevelType w:val="hybridMultilevel"/>
    <w:tmpl w:val="F62EF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27B76"/>
    <w:multiLevelType w:val="hybridMultilevel"/>
    <w:tmpl w:val="236C5F0C"/>
    <w:lvl w:ilvl="0" w:tplc="D8B8CC2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D219A8"/>
    <w:multiLevelType w:val="hybridMultilevel"/>
    <w:tmpl w:val="A8DEBC1C"/>
    <w:lvl w:ilvl="0" w:tplc="61E8727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07A92"/>
    <w:multiLevelType w:val="hybridMultilevel"/>
    <w:tmpl w:val="CBC00070"/>
    <w:lvl w:ilvl="0" w:tplc="E7BEE2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FEB"/>
    <w:multiLevelType w:val="hybridMultilevel"/>
    <w:tmpl w:val="8E2CD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1287B"/>
    <w:multiLevelType w:val="multilevel"/>
    <w:tmpl w:val="55BEC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20657E"/>
    <w:multiLevelType w:val="hybridMultilevel"/>
    <w:tmpl w:val="AD285E14"/>
    <w:lvl w:ilvl="0" w:tplc="029C58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72FEC"/>
    <w:multiLevelType w:val="hybridMultilevel"/>
    <w:tmpl w:val="06CC1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16A5D"/>
    <w:multiLevelType w:val="hybridMultilevel"/>
    <w:tmpl w:val="E76486A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4995"/>
    <w:multiLevelType w:val="hybridMultilevel"/>
    <w:tmpl w:val="C1543DD0"/>
    <w:lvl w:ilvl="0" w:tplc="B0C04B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13114"/>
    <w:multiLevelType w:val="hybridMultilevel"/>
    <w:tmpl w:val="13AAA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C1E42"/>
    <w:multiLevelType w:val="hybridMultilevel"/>
    <w:tmpl w:val="59A2F6CC"/>
    <w:lvl w:ilvl="0" w:tplc="F2EABF74">
      <w:start w:val="1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934B0"/>
    <w:multiLevelType w:val="hybridMultilevel"/>
    <w:tmpl w:val="B7245418"/>
    <w:lvl w:ilvl="0" w:tplc="27F2CD4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0753E"/>
    <w:multiLevelType w:val="hybridMultilevel"/>
    <w:tmpl w:val="3B2A4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7"/>
  </w:num>
  <w:num w:numId="4">
    <w:abstractNumId w:val="30"/>
  </w:num>
  <w:num w:numId="5">
    <w:abstractNumId w:val="32"/>
  </w:num>
  <w:num w:numId="6">
    <w:abstractNumId w:val="3"/>
  </w:num>
  <w:num w:numId="7">
    <w:abstractNumId w:val="16"/>
  </w:num>
  <w:num w:numId="8">
    <w:abstractNumId w:val="25"/>
  </w:num>
  <w:num w:numId="9">
    <w:abstractNumId w:val="5"/>
  </w:num>
  <w:num w:numId="10">
    <w:abstractNumId w:val="15"/>
  </w:num>
  <w:num w:numId="11">
    <w:abstractNumId w:val="21"/>
  </w:num>
  <w:num w:numId="12">
    <w:abstractNumId w:val="9"/>
  </w:num>
  <w:num w:numId="13">
    <w:abstractNumId w:val="20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  <w:num w:numId="18">
    <w:abstractNumId w:val="24"/>
  </w:num>
  <w:num w:numId="19">
    <w:abstractNumId w:val="17"/>
  </w:num>
  <w:num w:numId="20">
    <w:abstractNumId w:val="6"/>
  </w:num>
  <w:num w:numId="21">
    <w:abstractNumId w:val="19"/>
  </w:num>
  <w:num w:numId="22">
    <w:abstractNumId w:val="29"/>
  </w:num>
  <w:num w:numId="23">
    <w:abstractNumId w:val="14"/>
  </w:num>
  <w:num w:numId="24">
    <w:abstractNumId w:val="23"/>
  </w:num>
  <w:num w:numId="25">
    <w:abstractNumId w:val="0"/>
  </w:num>
  <w:num w:numId="26">
    <w:abstractNumId w:val="2"/>
  </w:num>
  <w:num w:numId="27">
    <w:abstractNumId w:val="22"/>
  </w:num>
  <w:num w:numId="28">
    <w:abstractNumId w:val="26"/>
  </w:num>
  <w:num w:numId="29">
    <w:abstractNumId w:val="1"/>
  </w:num>
  <w:num w:numId="30">
    <w:abstractNumId w:val="8"/>
  </w:num>
  <w:num w:numId="31">
    <w:abstractNumId w:val="31"/>
  </w:num>
  <w:num w:numId="32">
    <w:abstractNumId w:val="2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4B"/>
    <w:rsid w:val="00000CA8"/>
    <w:rsid w:val="00044334"/>
    <w:rsid w:val="0004614F"/>
    <w:rsid w:val="00076244"/>
    <w:rsid w:val="00090086"/>
    <w:rsid w:val="000C278D"/>
    <w:rsid w:val="000E50BA"/>
    <w:rsid w:val="0015065E"/>
    <w:rsid w:val="00174C1D"/>
    <w:rsid w:val="001A0448"/>
    <w:rsid w:val="001D46F0"/>
    <w:rsid w:val="00205787"/>
    <w:rsid w:val="002667C7"/>
    <w:rsid w:val="00305DFA"/>
    <w:rsid w:val="00314599"/>
    <w:rsid w:val="00374B0E"/>
    <w:rsid w:val="003D33DE"/>
    <w:rsid w:val="00431AEB"/>
    <w:rsid w:val="00453BD3"/>
    <w:rsid w:val="004A726E"/>
    <w:rsid w:val="004C70D5"/>
    <w:rsid w:val="005131F0"/>
    <w:rsid w:val="005E57BD"/>
    <w:rsid w:val="0065361B"/>
    <w:rsid w:val="00654DA5"/>
    <w:rsid w:val="00661334"/>
    <w:rsid w:val="00677A91"/>
    <w:rsid w:val="00744A38"/>
    <w:rsid w:val="00762280"/>
    <w:rsid w:val="00800844"/>
    <w:rsid w:val="00886B2F"/>
    <w:rsid w:val="009007B3"/>
    <w:rsid w:val="00936200"/>
    <w:rsid w:val="00944C2C"/>
    <w:rsid w:val="0096360C"/>
    <w:rsid w:val="00970AD1"/>
    <w:rsid w:val="009B019D"/>
    <w:rsid w:val="009C48F7"/>
    <w:rsid w:val="00AB282D"/>
    <w:rsid w:val="00AD3586"/>
    <w:rsid w:val="00AE4CDE"/>
    <w:rsid w:val="00B23539"/>
    <w:rsid w:val="00B61B9F"/>
    <w:rsid w:val="00BE1349"/>
    <w:rsid w:val="00BE3EDA"/>
    <w:rsid w:val="00BE692C"/>
    <w:rsid w:val="00C733AF"/>
    <w:rsid w:val="00C805F2"/>
    <w:rsid w:val="00D11438"/>
    <w:rsid w:val="00D27D04"/>
    <w:rsid w:val="00D45F9A"/>
    <w:rsid w:val="00D6356A"/>
    <w:rsid w:val="00DB1430"/>
    <w:rsid w:val="00DF1FE7"/>
    <w:rsid w:val="00E05D8D"/>
    <w:rsid w:val="00E279D8"/>
    <w:rsid w:val="00E40F52"/>
    <w:rsid w:val="00E62467"/>
    <w:rsid w:val="00E9509E"/>
    <w:rsid w:val="00EA371D"/>
    <w:rsid w:val="00EB6BF1"/>
    <w:rsid w:val="00EF6320"/>
    <w:rsid w:val="00F21BB2"/>
    <w:rsid w:val="00F40CA6"/>
    <w:rsid w:val="00F56F4B"/>
    <w:rsid w:val="00F749B4"/>
    <w:rsid w:val="00F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DCEAD"/>
  <w15:chartTrackingRefBased/>
  <w15:docId w15:val="{E7EBBB56-57CE-4ADB-B8BA-AAE61E9E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4B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E05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B2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D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D8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282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D8D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0762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B282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B282D"/>
  </w:style>
  <w:style w:type="character" w:customStyle="1" w:styleId="highlight">
    <w:name w:val="highlight"/>
    <w:basedOn w:val="DefaultParagraphFont"/>
    <w:rsid w:val="00AB282D"/>
  </w:style>
  <w:style w:type="paragraph" w:customStyle="1" w:styleId="Title5">
    <w:name w:val="Title5"/>
    <w:basedOn w:val="Normal"/>
    <w:rsid w:val="00AB2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B282D"/>
    <w:rPr>
      <w:b/>
      <w:bCs/>
    </w:rPr>
  </w:style>
  <w:style w:type="paragraph" w:styleId="ListParagraph">
    <w:name w:val="List Paragraph"/>
    <w:basedOn w:val="Normal"/>
    <w:uiPriority w:val="34"/>
    <w:qFormat/>
    <w:rsid w:val="00AB282D"/>
    <w:pPr>
      <w:spacing w:after="200" w:line="276" w:lineRule="auto"/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5D8D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5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GB"/>
    </w:rPr>
  </w:style>
  <w:style w:type="character" w:customStyle="1" w:styleId="HTMLPreformattedChar1">
    <w:name w:val="HTML Preformatted Char1"/>
    <w:basedOn w:val="DefaultParagraphFont"/>
    <w:uiPriority w:val="99"/>
    <w:semiHidden/>
    <w:rsid w:val="00E05D8D"/>
    <w:rPr>
      <w:rFonts w:ascii="Consolas" w:hAnsi="Consolas"/>
      <w:sz w:val="20"/>
      <w:szCs w:val="20"/>
      <w:lang w:val="en-GB"/>
    </w:rPr>
  </w:style>
  <w:style w:type="paragraph" w:customStyle="1" w:styleId="Default">
    <w:name w:val="Default"/>
    <w:rsid w:val="00E05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Pa35">
    <w:name w:val="Pa35"/>
    <w:basedOn w:val="Default"/>
    <w:next w:val="Default"/>
    <w:uiPriority w:val="99"/>
    <w:rsid w:val="00E05D8D"/>
    <w:pPr>
      <w:spacing w:line="281" w:lineRule="atLeast"/>
    </w:pPr>
    <w:rPr>
      <w:color w:val="auto"/>
    </w:rPr>
  </w:style>
  <w:style w:type="paragraph" w:customStyle="1" w:styleId="Pa33">
    <w:name w:val="Pa33"/>
    <w:basedOn w:val="Default"/>
    <w:next w:val="Default"/>
    <w:uiPriority w:val="99"/>
    <w:rsid w:val="00E05D8D"/>
    <w:pPr>
      <w:spacing w:line="28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8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0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D8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05D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D8D"/>
    <w:rPr>
      <w:lang w:val="en-GB"/>
    </w:rPr>
  </w:style>
  <w:style w:type="character" w:styleId="Hyperlink">
    <w:name w:val="Hyperlink"/>
    <w:basedOn w:val="DefaultParagraphFont"/>
    <w:unhideWhenUsed/>
    <w:rsid w:val="00E05D8D"/>
    <w:rPr>
      <w:color w:val="0000FF"/>
      <w:u w:val="single"/>
    </w:rPr>
  </w:style>
  <w:style w:type="character" w:customStyle="1" w:styleId="jrnl">
    <w:name w:val="jrnl"/>
    <w:basedOn w:val="DefaultParagraphFont"/>
    <w:rsid w:val="00E05D8D"/>
  </w:style>
  <w:style w:type="character" w:styleId="Emphasis">
    <w:name w:val="Emphasis"/>
    <w:qFormat/>
    <w:rsid w:val="00E05D8D"/>
    <w:rPr>
      <w:i/>
      <w:iCs/>
    </w:rPr>
  </w:style>
  <w:style w:type="character" w:customStyle="1" w:styleId="fn">
    <w:name w:val="fn"/>
    <w:rsid w:val="00E05D8D"/>
  </w:style>
  <w:style w:type="character" w:styleId="CommentReference">
    <w:name w:val="annotation reference"/>
    <w:basedOn w:val="DefaultParagraphFont"/>
    <w:uiPriority w:val="99"/>
    <w:semiHidden/>
    <w:unhideWhenUsed/>
    <w:rsid w:val="00E05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D8D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Sean</dc:creator>
  <cp:keywords/>
  <dc:description/>
  <cp:lastModifiedBy>Noleen McCorry</cp:lastModifiedBy>
  <cp:revision>5</cp:revision>
  <cp:lastPrinted>2017-11-24T15:25:00Z</cp:lastPrinted>
  <dcterms:created xsi:type="dcterms:W3CDTF">2018-01-18T21:33:00Z</dcterms:created>
  <dcterms:modified xsi:type="dcterms:W3CDTF">2018-02-12T22:40:00Z</dcterms:modified>
</cp:coreProperties>
</file>