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5D47" w14:textId="77777777" w:rsidR="00E344F3" w:rsidRPr="002C0890" w:rsidRDefault="00E344F3" w:rsidP="00E344F3">
      <w:pPr>
        <w:jc w:val="center"/>
        <w:outlineLvl w:val="0"/>
        <w:rPr>
          <w:b/>
        </w:rPr>
      </w:pPr>
      <w:r w:rsidRPr="002C0890">
        <w:rPr>
          <w:b/>
        </w:rPr>
        <w:t>Appendix</w:t>
      </w:r>
    </w:p>
    <w:p w14:paraId="3A75419D" w14:textId="77777777" w:rsidR="00E344F3" w:rsidRDefault="00E344F3" w:rsidP="00E344F3">
      <w:pPr>
        <w:rPr>
          <w:b/>
        </w:rPr>
      </w:pPr>
    </w:p>
    <w:p w14:paraId="3F62EF30" w14:textId="77777777" w:rsidR="00E344F3" w:rsidRDefault="00E344F3" w:rsidP="00527158">
      <w:pPr>
        <w:spacing w:line="480" w:lineRule="auto"/>
        <w:ind w:firstLine="720"/>
      </w:pPr>
      <w:bookmarkStart w:id="0" w:name="_GoBack"/>
      <w:r>
        <w:t xml:space="preserve">Table A1 reports the descriptive statistics for the Index of Consumer Sentiment (ICS) and media tone along with the “extra-economic” versions of each.  Figures A1 and A2 show how the predicted versions of the ICS and media tone compare to the actual, observed values.  (Figure 2 in the main text shows the two extra-economic series.)  Figure A3 shows the impulse response function results from the VAR models discussed in Footnote 16 of the main text.   </w:t>
      </w:r>
    </w:p>
    <w:p w14:paraId="517EE565" w14:textId="77777777" w:rsidR="00E344F3" w:rsidRDefault="00E344F3" w:rsidP="00527158">
      <w:pPr>
        <w:spacing w:line="480" w:lineRule="auto"/>
        <w:ind w:firstLine="720"/>
      </w:pPr>
      <w:r>
        <w:t xml:space="preserve">As discussed in the main text, we constructed the extra-economic versions by first regressing ICS and media tone on a comprehensive set of economic indicators with lags 0, 1, and 2.  To consider the possibility that the lag structure we used influenced our findings, we replicated the models in Table 1 and Table 2 with two additional lag structures (one lags 0 and 1, and another with lags 0, 1, 2, and 3).  </w:t>
      </w:r>
    </w:p>
    <w:p w14:paraId="0C332F2F" w14:textId="77777777" w:rsidR="00E344F3" w:rsidRDefault="00E344F3" w:rsidP="00527158">
      <w:pPr>
        <w:spacing w:line="480" w:lineRule="auto"/>
        <w:ind w:firstLine="720"/>
      </w:pPr>
      <w:r>
        <w:t xml:space="preserve">In Table A2, for each of the three lag structures, the ICS and Tone columns show the </w:t>
      </w:r>
      <w:proofErr w:type="spellStart"/>
      <w:r>
        <w:t>Akaike’s</w:t>
      </w:r>
      <w:proofErr w:type="spellEnd"/>
      <w:r>
        <w:t xml:space="preserve"> i</w:t>
      </w:r>
      <w:r w:rsidRPr="004633AF">
        <w:t xml:space="preserve">nformation criterion </w:t>
      </w:r>
      <w:r>
        <w:t xml:space="preserve">(AIC) </w:t>
      </w:r>
      <w:r w:rsidRPr="004633AF">
        <w:t>and Bayesian information criterion</w:t>
      </w:r>
      <w:r>
        <w:t xml:space="preserve"> (BIC) for the “saturated” models of ICS and media tone, where we perform block F-tests on each dependent variable as a function of a range of economic indicators.  The final column shows the resulting coefficients and standard errors from each lag specification when evaluating the relationship between “extra-economic” media tone and “extra-economic” ICS. The first row shows the results from the lag structure we employ in the paper (lags 0, 1, 2), with the AIC and BIC values apply to the results shown in Table 1, and the coefficient and standard error for “extra-economic” tone corresponding with the results shown in Table 2.  The second and third rows show that neither of the other lag specifications produce consistently smaller AIC/BIC values.  </w:t>
      </w:r>
      <w:r w:rsidRPr="007771C2">
        <w:t>Note that the BIC penalizes more for over-fitting the data, which was our goal here, while the AIC selects a less parsimonious model. The “best” lag length choice is not clear from the diagnostics</w:t>
      </w:r>
      <w:r>
        <w:t xml:space="preserve">, </w:t>
      </w:r>
      <w:r>
        <w:lastRenderedPageBreak/>
        <w:t>making our choice of lag-length as sensible as the alternatives.  Yet</w:t>
      </w:r>
      <w:r w:rsidRPr="007771C2">
        <w:t xml:space="preserve"> what is clear is that the decision </w:t>
      </w:r>
      <w:r>
        <w:t>has</w:t>
      </w:r>
      <w:r w:rsidRPr="007771C2">
        <w:t xml:space="preserve"> </w:t>
      </w:r>
      <w:r>
        <w:t xml:space="preserve">no </w:t>
      </w:r>
      <w:r w:rsidRPr="007771C2">
        <w:t>practical co</w:t>
      </w:r>
      <w:r>
        <w:t>nsequence for the magnitude</w:t>
      </w:r>
      <w:r w:rsidRPr="007771C2">
        <w:t xml:space="preserve"> of the </w:t>
      </w:r>
      <w:r>
        <w:t xml:space="preserve">estimated </w:t>
      </w:r>
      <w:r w:rsidRPr="007771C2">
        <w:t xml:space="preserve">effect </w:t>
      </w:r>
      <w:r>
        <w:t xml:space="preserve">of saturated tone on saturated ICS </w:t>
      </w:r>
      <w:r w:rsidRPr="007771C2">
        <w:t>(the differences are statistically indistinguishable)</w:t>
      </w:r>
      <w:r>
        <w:t>,</w:t>
      </w:r>
      <w:r w:rsidRPr="007771C2">
        <w:t xml:space="preserve"> nor</w:t>
      </w:r>
      <w:r>
        <w:t xml:space="preserve"> does it affect our inference regarding</w:t>
      </w:r>
      <w:r w:rsidRPr="007771C2">
        <w:t xml:space="preserve"> the null hypothesis. </w:t>
      </w:r>
    </w:p>
    <w:p w14:paraId="22A5C93C" w14:textId="77777777" w:rsidR="00E344F3" w:rsidRPr="0029547F" w:rsidRDefault="00E344F3" w:rsidP="00527158">
      <w:pPr>
        <w:spacing w:line="480" w:lineRule="auto"/>
        <w:ind w:firstLine="720"/>
      </w:pPr>
      <w:r>
        <w:t xml:space="preserve">We also considered the possibility of including key political events and contexts in the model of extra-economic ICS (Table 2).  Table A3 replicates the results of the same model shown in Table 2, but this time including those variables, following De </w:t>
      </w:r>
      <w:proofErr w:type="spellStart"/>
      <w:r>
        <w:t>Boef</w:t>
      </w:r>
      <w:proofErr w:type="spellEnd"/>
      <w:r>
        <w:t xml:space="preserve"> and </w:t>
      </w:r>
      <w:proofErr w:type="spellStart"/>
      <w:r>
        <w:t>Kellstedt</w:t>
      </w:r>
      <w:proofErr w:type="spellEnd"/>
      <w:r>
        <w:t xml:space="preserve"> (2004) and updated through 2014.  The “events” variable captures major events, both positive and negative, that could affect consumer sentiment.  The “election” variable is a counter variable that tracks the lead up to presidential elections, set at 0 except for the months of February to November during presidential election years, when it increases sequentially from 1 to 10 and then dropping back down to 1 in August the year following the election.  The “election quarter” variable is binary, set at 1 during the months of the quarter surrounding each presidential election (October-December), and 0 otherwise.  The “Democrat president” variable is binary, set at 1 during all periods when the president is a Democrat, and 0 otherwise.  When we estimate the model, the parameter estimate for the effect of extra-economic media tone (.176) is almost identical to the one reported in Table 2 from the model that does not include the set of event variables (.187).</w:t>
      </w:r>
    </w:p>
    <w:p w14:paraId="4D25CE40" w14:textId="77777777" w:rsidR="00E344F3" w:rsidRPr="007771C2" w:rsidRDefault="00E344F3" w:rsidP="00527158">
      <w:pPr>
        <w:spacing w:line="480" w:lineRule="auto"/>
        <w:ind w:firstLine="720"/>
      </w:pPr>
    </w:p>
    <w:bookmarkEnd w:id="0"/>
    <w:p w14:paraId="3E6643B8" w14:textId="77777777" w:rsidR="00E344F3" w:rsidRDefault="00E344F3" w:rsidP="00E344F3">
      <w:pPr>
        <w:rPr>
          <w:b/>
        </w:rPr>
      </w:pPr>
    </w:p>
    <w:p w14:paraId="7440B4D8" w14:textId="77777777" w:rsidR="00E344F3" w:rsidRPr="00827168" w:rsidRDefault="00E344F3" w:rsidP="00E344F3">
      <w:pPr>
        <w:rPr>
          <w:b/>
        </w:rPr>
      </w:pPr>
      <w:r>
        <w:rPr>
          <w:b/>
        </w:rPr>
        <w:br w:type="page"/>
      </w:r>
      <w:r w:rsidRPr="00315838">
        <w:rPr>
          <w:b/>
        </w:rPr>
        <w:lastRenderedPageBreak/>
        <w:t xml:space="preserve">Table </w:t>
      </w:r>
      <w:r>
        <w:rPr>
          <w:b/>
        </w:rPr>
        <w:t>A1</w:t>
      </w:r>
      <w:r w:rsidRPr="00315838">
        <w:rPr>
          <w:b/>
        </w:rPr>
        <w:t xml:space="preserve">. </w:t>
      </w:r>
      <w:r>
        <w:rPr>
          <w:b/>
        </w:rPr>
        <w:t>Descriptive Statistics, 1980-2014</w:t>
      </w:r>
    </w:p>
    <w:p w14:paraId="7166BBDA" w14:textId="77777777" w:rsidR="00E344F3" w:rsidRPr="00A46F6A" w:rsidRDefault="00E344F3" w:rsidP="00E344F3">
      <w:pPr>
        <w:keepNext/>
        <w:keepLines/>
        <w:autoSpaceDE w:val="0"/>
        <w:autoSpaceDN w:val="0"/>
        <w:adjustRightInd w:val="0"/>
      </w:pPr>
    </w:p>
    <w:tbl>
      <w:tblPr>
        <w:tblW w:w="4981" w:type="pct"/>
        <w:tblInd w:w="108" w:type="dxa"/>
        <w:tblLayout w:type="fixed"/>
        <w:tblLook w:val="0000" w:firstRow="0" w:lastRow="0" w:firstColumn="0" w:lastColumn="0" w:noHBand="0" w:noVBand="0"/>
      </w:tblPr>
      <w:tblGrid>
        <w:gridCol w:w="3617"/>
        <w:gridCol w:w="1141"/>
        <w:gridCol w:w="1141"/>
        <w:gridCol w:w="1141"/>
        <w:gridCol w:w="1141"/>
        <w:gridCol w:w="1143"/>
      </w:tblGrid>
      <w:tr w:rsidR="00E344F3" w:rsidRPr="00A46F6A" w14:paraId="5945046B" w14:textId="77777777" w:rsidTr="004B1AF4">
        <w:tc>
          <w:tcPr>
            <w:tcW w:w="1939" w:type="pct"/>
            <w:tcBorders>
              <w:top w:val="single" w:sz="4" w:space="0" w:color="auto"/>
              <w:left w:val="nil"/>
              <w:bottom w:val="nil"/>
              <w:right w:val="nil"/>
            </w:tcBorders>
          </w:tcPr>
          <w:p w14:paraId="0D417DEE" w14:textId="77777777" w:rsidR="00E344F3" w:rsidRPr="00A46F6A" w:rsidRDefault="00E344F3" w:rsidP="004B1AF4">
            <w:pPr>
              <w:keepNext/>
              <w:keepLines/>
              <w:autoSpaceDE w:val="0"/>
              <w:autoSpaceDN w:val="0"/>
              <w:adjustRightInd w:val="0"/>
            </w:pPr>
          </w:p>
        </w:tc>
        <w:tc>
          <w:tcPr>
            <w:tcW w:w="612" w:type="pct"/>
            <w:tcBorders>
              <w:top w:val="single" w:sz="4" w:space="0" w:color="auto"/>
              <w:left w:val="nil"/>
              <w:bottom w:val="nil"/>
              <w:right w:val="nil"/>
            </w:tcBorders>
          </w:tcPr>
          <w:p w14:paraId="2488BDF3" w14:textId="77777777" w:rsidR="00E344F3" w:rsidRPr="00A46F6A" w:rsidRDefault="00E344F3" w:rsidP="004B1AF4">
            <w:pPr>
              <w:keepNext/>
              <w:keepLines/>
              <w:autoSpaceDE w:val="0"/>
              <w:autoSpaceDN w:val="0"/>
              <w:adjustRightInd w:val="0"/>
              <w:jc w:val="center"/>
            </w:pPr>
          </w:p>
        </w:tc>
        <w:tc>
          <w:tcPr>
            <w:tcW w:w="612" w:type="pct"/>
            <w:tcBorders>
              <w:top w:val="single" w:sz="4" w:space="0" w:color="auto"/>
              <w:left w:val="nil"/>
              <w:bottom w:val="nil"/>
              <w:right w:val="nil"/>
            </w:tcBorders>
          </w:tcPr>
          <w:p w14:paraId="2CEBC661" w14:textId="77777777" w:rsidR="00E344F3" w:rsidRPr="00A46F6A" w:rsidRDefault="00E344F3" w:rsidP="004B1AF4">
            <w:pPr>
              <w:keepNext/>
              <w:keepLines/>
              <w:autoSpaceDE w:val="0"/>
              <w:autoSpaceDN w:val="0"/>
              <w:adjustRightInd w:val="0"/>
              <w:jc w:val="center"/>
            </w:pPr>
          </w:p>
        </w:tc>
        <w:tc>
          <w:tcPr>
            <w:tcW w:w="612" w:type="pct"/>
            <w:tcBorders>
              <w:top w:val="single" w:sz="4" w:space="0" w:color="auto"/>
              <w:left w:val="nil"/>
              <w:bottom w:val="nil"/>
              <w:right w:val="nil"/>
            </w:tcBorders>
          </w:tcPr>
          <w:p w14:paraId="6C264C6E" w14:textId="77777777" w:rsidR="00E344F3" w:rsidRPr="00A46F6A" w:rsidRDefault="00E344F3" w:rsidP="004B1AF4">
            <w:pPr>
              <w:keepNext/>
              <w:keepLines/>
              <w:autoSpaceDE w:val="0"/>
              <w:autoSpaceDN w:val="0"/>
              <w:adjustRightInd w:val="0"/>
              <w:jc w:val="center"/>
            </w:pPr>
          </w:p>
        </w:tc>
        <w:tc>
          <w:tcPr>
            <w:tcW w:w="612" w:type="pct"/>
            <w:tcBorders>
              <w:top w:val="single" w:sz="4" w:space="0" w:color="auto"/>
              <w:left w:val="nil"/>
              <w:bottom w:val="nil"/>
              <w:right w:val="nil"/>
            </w:tcBorders>
          </w:tcPr>
          <w:p w14:paraId="144F05F5" w14:textId="77777777" w:rsidR="00E344F3" w:rsidRPr="00A46F6A" w:rsidRDefault="00E344F3" w:rsidP="004B1AF4">
            <w:pPr>
              <w:keepNext/>
              <w:keepLines/>
              <w:autoSpaceDE w:val="0"/>
              <w:autoSpaceDN w:val="0"/>
              <w:adjustRightInd w:val="0"/>
              <w:jc w:val="center"/>
            </w:pPr>
          </w:p>
        </w:tc>
        <w:tc>
          <w:tcPr>
            <w:tcW w:w="613" w:type="pct"/>
            <w:tcBorders>
              <w:top w:val="single" w:sz="4" w:space="0" w:color="auto"/>
              <w:left w:val="nil"/>
              <w:bottom w:val="nil"/>
              <w:right w:val="nil"/>
            </w:tcBorders>
          </w:tcPr>
          <w:p w14:paraId="36A4545B" w14:textId="77777777" w:rsidR="00E344F3" w:rsidRPr="00A46F6A" w:rsidRDefault="00E344F3" w:rsidP="004B1AF4">
            <w:pPr>
              <w:keepNext/>
              <w:keepLines/>
              <w:autoSpaceDE w:val="0"/>
              <w:autoSpaceDN w:val="0"/>
              <w:adjustRightInd w:val="0"/>
              <w:jc w:val="center"/>
            </w:pPr>
          </w:p>
        </w:tc>
      </w:tr>
      <w:tr w:rsidR="00E344F3" w:rsidRPr="00A46F6A" w14:paraId="08C0F9AA" w14:textId="77777777" w:rsidTr="004B1AF4">
        <w:tc>
          <w:tcPr>
            <w:tcW w:w="1939" w:type="pct"/>
            <w:tcBorders>
              <w:top w:val="nil"/>
              <w:left w:val="nil"/>
              <w:bottom w:val="nil"/>
              <w:right w:val="nil"/>
            </w:tcBorders>
          </w:tcPr>
          <w:p w14:paraId="47C76326" w14:textId="77777777" w:rsidR="00E344F3" w:rsidRPr="00A46F6A" w:rsidRDefault="00E344F3" w:rsidP="004B1AF4">
            <w:pPr>
              <w:keepNext/>
              <w:keepLines/>
              <w:autoSpaceDE w:val="0"/>
              <w:autoSpaceDN w:val="0"/>
              <w:adjustRightInd w:val="0"/>
            </w:pPr>
          </w:p>
        </w:tc>
        <w:tc>
          <w:tcPr>
            <w:tcW w:w="612" w:type="pct"/>
            <w:tcBorders>
              <w:top w:val="nil"/>
              <w:left w:val="nil"/>
              <w:bottom w:val="nil"/>
              <w:right w:val="nil"/>
            </w:tcBorders>
          </w:tcPr>
          <w:p w14:paraId="47338052" w14:textId="77777777" w:rsidR="00E344F3" w:rsidRPr="00A46F6A" w:rsidRDefault="00E344F3" w:rsidP="004B1AF4">
            <w:pPr>
              <w:keepNext/>
              <w:keepLines/>
              <w:autoSpaceDE w:val="0"/>
              <w:autoSpaceDN w:val="0"/>
              <w:adjustRightInd w:val="0"/>
              <w:jc w:val="center"/>
            </w:pPr>
            <w:proofErr w:type="spellStart"/>
            <w:r>
              <w:t>Obs</w:t>
            </w:r>
            <w:proofErr w:type="spellEnd"/>
          </w:p>
        </w:tc>
        <w:tc>
          <w:tcPr>
            <w:tcW w:w="612" w:type="pct"/>
            <w:tcBorders>
              <w:top w:val="nil"/>
              <w:left w:val="nil"/>
              <w:bottom w:val="nil"/>
              <w:right w:val="nil"/>
            </w:tcBorders>
          </w:tcPr>
          <w:p w14:paraId="1DCEA9A0" w14:textId="77777777" w:rsidR="00E344F3" w:rsidRDefault="00E344F3" w:rsidP="004B1AF4">
            <w:pPr>
              <w:keepNext/>
              <w:keepLines/>
              <w:autoSpaceDE w:val="0"/>
              <w:autoSpaceDN w:val="0"/>
              <w:adjustRightInd w:val="0"/>
              <w:jc w:val="center"/>
            </w:pPr>
            <w:r>
              <w:t>Mean</w:t>
            </w:r>
          </w:p>
        </w:tc>
        <w:tc>
          <w:tcPr>
            <w:tcW w:w="612" w:type="pct"/>
            <w:tcBorders>
              <w:top w:val="nil"/>
              <w:left w:val="nil"/>
              <w:bottom w:val="nil"/>
              <w:right w:val="nil"/>
            </w:tcBorders>
          </w:tcPr>
          <w:p w14:paraId="1C4E1ED1" w14:textId="77777777" w:rsidR="00E344F3" w:rsidRDefault="00E344F3" w:rsidP="004B1AF4">
            <w:pPr>
              <w:keepNext/>
              <w:keepLines/>
              <w:autoSpaceDE w:val="0"/>
              <w:autoSpaceDN w:val="0"/>
              <w:adjustRightInd w:val="0"/>
              <w:jc w:val="center"/>
            </w:pPr>
            <w:proofErr w:type="spellStart"/>
            <w:r>
              <w:t>Std</w:t>
            </w:r>
            <w:proofErr w:type="spellEnd"/>
            <w:r>
              <w:t xml:space="preserve"> Dev</w:t>
            </w:r>
          </w:p>
        </w:tc>
        <w:tc>
          <w:tcPr>
            <w:tcW w:w="612" w:type="pct"/>
            <w:tcBorders>
              <w:top w:val="nil"/>
              <w:left w:val="nil"/>
              <w:bottom w:val="nil"/>
              <w:right w:val="nil"/>
            </w:tcBorders>
          </w:tcPr>
          <w:p w14:paraId="7C00FA89" w14:textId="77777777" w:rsidR="00E344F3" w:rsidRDefault="00E344F3" w:rsidP="004B1AF4">
            <w:pPr>
              <w:keepNext/>
              <w:keepLines/>
              <w:autoSpaceDE w:val="0"/>
              <w:autoSpaceDN w:val="0"/>
              <w:adjustRightInd w:val="0"/>
              <w:jc w:val="center"/>
            </w:pPr>
            <w:r>
              <w:t>Min</w:t>
            </w:r>
          </w:p>
        </w:tc>
        <w:tc>
          <w:tcPr>
            <w:tcW w:w="613" w:type="pct"/>
            <w:tcBorders>
              <w:top w:val="nil"/>
              <w:left w:val="nil"/>
              <w:bottom w:val="nil"/>
              <w:right w:val="nil"/>
            </w:tcBorders>
          </w:tcPr>
          <w:p w14:paraId="4C9845F7" w14:textId="77777777" w:rsidR="00E344F3" w:rsidRDefault="00E344F3" w:rsidP="004B1AF4">
            <w:pPr>
              <w:keepNext/>
              <w:keepLines/>
              <w:autoSpaceDE w:val="0"/>
              <w:autoSpaceDN w:val="0"/>
              <w:adjustRightInd w:val="0"/>
              <w:jc w:val="center"/>
            </w:pPr>
            <w:r>
              <w:t>Max</w:t>
            </w:r>
          </w:p>
        </w:tc>
      </w:tr>
      <w:tr w:rsidR="00E344F3" w:rsidRPr="00A46F6A" w14:paraId="32139D5F" w14:textId="77777777" w:rsidTr="004B1AF4">
        <w:tc>
          <w:tcPr>
            <w:tcW w:w="1939" w:type="pct"/>
            <w:tcBorders>
              <w:top w:val="single" w:sz="4" w:space="0" w:color="auto"/>
              <w:left w:val="nil"/>
              <w:bottom w:val="nil"/>
              <w:right w:val="nil"/>
            </w:tcBorders>
          </w:tcPr>
          <w:p w14:paraId="6E369591" w14:textId="77777777" w:rsidR="00E344F3" w:rsidRPr="00A46F6A" w:rsidRDefault="00E344F3" w:rsidP="004B1AF4">
            <w:pPr>
              <w:keepNext/>
              <w:keepLines/>
              <w:autoSpaceDE w:val="0"/>
              <w:autoSpaceDN w:val="0"/>
              <w:adjustRightInd w:val="0"/>
              <w:ind w:left="342" w:hanging="360"/>
            </w:pPr>
            <w:r>
              <w:t>Index of Consumer Sentiment (ICS)</w:t>
            </w:r>
          </w:p>
        </w:tc>
        <w:tc>
          <w:tcPr>
            <w:tcW w:w="612" w:type="pct"/>
            <w:tcBorders>
              <w:top w:val="single" w:sz="4" w:space="0" w:color="auto"/>
              <w:left w:val="nil"/>
              <w:bottom w:val="nil"/>
              <w:right w:val="nil"/>
            </w:tcBorders>
          </w:tcPr>
          <w:p w14:paraId="3F14DF53" w14:textId="77777777" w:rsidR="00E344F3" w:rsidRPr="00A46F6A" w:rsidRDefault="00E344F3" w:rsidP="004B1AF4">
            <w:pPr>
              <w:keepNext/>
              <w:keepLines/>
              <w:autoSpaceDE w:val="0"/>
              <w:autoSpaceDN w:val="0"/>
              <w:adjustRightInd w:val="0"/>
              <w:jc w:val="center"/>
            </w:pPr>
            <w:r>
              <w:t>420</w:t>
            </w:r>
          </w:p>
        </w:tc>
        <w:tc>
          <w:tcPr>
            <w:tcW w:w="612" w:type="pct"/>
            <w:tcBorders>
              <w:top w:val="single" w:sz="4" w:space="0" w:color="auto"/>
              <w:left w:val="nil"/>
              <w:bottom w:val="nil"/>
              <w:right w:val="nil"/>
            </w:tcBorders>
          </w:tcPr>
          <w:p w14:paraId="1EC8528A" w14:textId="77777777" w:rsidR="00E344F3" w:rsidRDefault="00E344F3" w:rsidP="004B1AF4">
            <w:pPr>
              <w:keepNext/>
              <w:keepLines/>
              <w:autoSpaceDE w:val="0"/>
              <w:autoSpaceDN w:val="0"/>
              <w:adjustRightInd w:val="0"/>
              <w:jc w:val="center"/>
            </w:pPr>
            <w:r>
              <w:t>85.82</w:t>
            </w:r>
          </w:p>
        </w:tc>
        <w:tc>
          <w:tcPr>
            <w:tcW w:w="612" w:type="pct"/>
            <w:tcBorders>
              <w:top w:val="single" w:sz="4" w:space="0" w:color="auto"/>
              <w:left w:val="nil"/>
              <w:bottom w:val="nil"/>
              <w:right w:val="nil"/>
            </w:tcBorders>
          </w:tcPr>
          <w:p w14:paraId="06133461" w14:textId="77777777" w:rsidR="00E344F3" w:rsidRDefault="00E344F3" w:rsidP="004B1AF4">
            <w:pPr>
              <w:keepNext/>
              <w:keepLines/>
              <w:autoSpaceDE w:val="0"/>
              <w:autoSpaceDN w:val="0"/>
              <w:adjustRightInd w:val="0"/>
              <w:jc w:val="center"/>
            </w:pPr>
            <w:r>
              <w:t>12.82</w:t>
            </w:r>
          </w:p>
        </w:tc>
        <w:tc>
          <w:tcPr>
            <w:tcW w:w="612" w:type="pct"/>
            <w:tcBorders>
              <w:top w:val="single" w:sz="4" w:space="0" w:color="auto"/>
              <w:left w:val="nil"/>
              <w:bottom w:val="nil"/>
              <w:right w:val="nil"/>
            </w:tcBorders>
          </w:tcPr>
          <w:p w14:paraId="29CD2237" w14:textId="77777777" w:rsidR="00E344F3" w:rsidRDefault="00E344F3" w:rsidP="004B1AF4">
            <w:pPr>
              <w:keepNext/>
              <w:keepLines/>
              <w:autoSpaceDE w:val="0"/>
              <w:autoSpaceDN w:val="0"/>
              <w:adjustRightInd w:val="0"/>
              <w:jc w:val="center"/>
            </w:pPr>
            <w:r>
              <w:t>51.7</w:t>
            </w:r>
          </w:p>
        </w:tc>
        <w:tc>
          <w:tcPr>
            <w:tcW w:w="613" w:type="pct"/>
            <w:tcBorders>
              <w:top w:val="single" w:sz="4" w:space="0" w:color="auto"/>
              <w:left w:val="nil"/>
              <w:bottom w:val="nil"/>
              <w:right w:val="nil"/>
            </w:tcBorders>
          </w:tcPr>
          <w:p w14:paraId="3DA65B91" w14:textId="77777777" w:rsidR="00E344F3" w:rsidRDefault="00E344F3" w:rsidP="004B1AF4">
            <w:pPr>
              <w:keepNext/>
              <w:keepLines/>
              <w:autoSpaceDE w:val="0"/>
              <w:autoSpaceDN w:val="0"/>
              <w:adjustRightInd w:val="0"/>
              <w:jc w:val="center"/>
            </w:pPr>
            <w:r>
              <w:t>112</w:t>
            </w:r>
          </w:p>
        </w:tc>
      </w:tr>
      <w:tr w:rsidR="00E344F3" w:rsidRPr="00311206" w14:paraId="5FFCEF8A" w14:textId="77777777" w:rsidTr="004B1AF4">
        <w:tc>
          <w:tcPr>
            <w:tcW w:w="1939" w:type="pct"/>
            <w:tcBorders>
              <w:top w:val="nil"/>
              <w:left w:val="nil"/>
              <w:right w:val="nil"/>
            </w:tcBorders>
          </w:tcPr>
          <w:p w14:paraId="35891B3B" w14:textId="77777777" w:rsidR="00E344F3" w:rsidRPr="00311206" w:rsidRDefault="00E344F3" w:rsidP="004B1AF4">
            <w:pPr>
              <w:keepNext/>
              <w:keepLines/>
              <w:autoSpaceDE w:val="0"/>
              <w:autoSpaceDN w:val="0"/>
              <w:adjustRightInd w:val="0"/>
            </w:pPr>
          </w:p>
        </w:tc>
        <w:tc>
          <w:tcPr>
            <w:tcW w:w="612" w:type="pct"/>
            <w:tcBorders>
              <w:top w:val="nil"/>
              <w:left w:val="nil"/>
              <w:right w:val="nil"/>
            </w:tcBorders>
          </w:tcPr>
          <w:p w14:paraId="67E6787A" w14:textId="77777777" w:rsidR="00E344F3" w:rsidRPr="00311206" w:rsidRDefault="00E344F3" w:rsidP="004B1AF4">
            <w:pPr>
              <w:keepNext/>
              <w:keepLines/>
              <w:autoSpaceDE w:val="0"/>
              <w:autoSpaceDN w:val="0"/>
              <w:adjustRightInd w:val="0"/>
              <w:jc w:val="center"/>
            </w:pPr>
          </w:p>
        </w:tc>
        <w:tc>
          <w:tcPr>
            <w:tcW w:w="612" w:type="pct"/>
            <w:tcBorders>
              <w:top w:val="nil"/>
              <w:left w:val="nil"/>
              <w:right w:val="nil"/>
            </w:tcBorders>
          </w:tcPr>
          <w:p w14:paraId="0FA8DC8E" w14:textId="77777777" w:rsidR="00E344F3" w:rsidRPr="00311206" w:rsidRDefault="00E344F3" w:rsidP="004B1AF4">
            <w:pPr>
              <w:keepNext/>
              <w:keepLines/>
              <w:autoSpaceDE w:val="0"/>
              <w:autoSpaceDN w:val="0"/>
              <w:adjustRightInd w:val="0"/>
              <w:jc w:val="center"/>
            </w:pPr>
          </w:p>
        </w:tc>
        <w:tc>
          <w:tcPr>
            <w:tcW w:w="612" w:type="pct"/>
            <w:tcBorders>
              <w:top w:val="nil"/>
              <w:left w:val="nil"/>
              <w:right w:val="nil"/>
            </w:tcBorders>
          </w:tcPr>
          <w:p w14:paraId="5C21ED34" w14:textId="77777777" w:rsidR="00E344F3" w:rsidRPr="00311206" w:rsidRDefault="00E344F3" w:rsidP="004B1AF4">
            <w:pPr>
              <w:keepNext/>
              <w:keepLines/>
              <w:autoSpaceDE w:val="0"/>
              <w:autoSpaceDN w:val="0"/>
              <w:adjustRightInd w:val="0"/>
              <w:jc w:val="center"/>
            </w:pPr>
          </w:p>
        </w:tc>
        <w:tc>
          <w:tcPr>
            <w:tcW w:w="612" w:type="pct"/>
            <w:tcBorders>
              <w:top w:val="nil"/>
              <w:left w:val="nil"/>
              <w:right w:val="nil"/>
            </w:tcBorders>
          </w:tcPr>
          <w:p w14:paraId="1C95D7E2" w14:textId="77777777" w:rsidR="00E344F3" w:rsidRPr="00311206" w:rsidRDefault="00E344F3" w:rsidP="004B1AF4">
            <w:pPr>
              <w:keepNext/>
              <w:keepLines/>
              <w:autoSpaceDE w:val="0"/>
              <w:autoSpaceDN w:val="0"/>
              <w:adjustRightInd w:val="0"/>
              <w:jc w:val="center"/>
            </w:pPr>
          </w:p>
        </w:tc>
        <w:tc>
          <w:tcPr>
            <w:tcW w:w="613" w:type="pct"/>
            <w:tcBorders>
              <w:top w:val="nil"/>
              <w:left w:val="nil"/>
              <w:right w:val="nil"/>
            </w:tcBorders>
          </w:tcPr>
          <w:p w14:paraId="3B87B379" w14:textId="77777777" w:rsidR="00E344F3" w:rsidRPr="00311206" w:rsidRDefault="00E344F3" w:rsidP="004B1AF4">
            <w:pPr>
              <w:keepNext/>
              <w:keepLines/>
              <w:autoSpaceDE w:val="0"/>
              <w:autoSpaceDN w:val="0"/>
              <w:adjustRightInd w:val="0"/>
              <w:jc w:val="center"/>
            </w:pPr>
          </w:p>
        </w:tc>
      </w:tr>
      <w:tr w:rsidR="00E344F3" w:rsidRPr="00311206" w14:paraId="0839B169" w14:textId="77777777" w:rsidTr="004B1AF4">
        <w:tc>
          <w:tcPr>
            <w:tcW w:w="1939" w:type="pct"/>
            <w:tcBorders>
              <w:top w:val="nil"/>
              <w:left w:val="nil"/>
              <w:right w:val="nil"/>
            </w:tcBorders>
          </w:tcPr>
          <w:p w14:paraId="057E5F06" w14:textId="77777777" w:rsidR="00E344F3" w:rsidRPr="00311206" w:rsidRDefault="00E344F3" w:rsidP="004B1AF4">
            <w:pPr>
              <w:keepNext/>
              <w:keepLines/>
              <w:autoSpaceDE w:val="0"/>
              <w:autoSpaceDN w:val="0"/>
              <w:adjustRightInd w:val="0"/>
            </w:pPr>
            <w:r w:rsidRPr="00311206">
              <w:t>Tone</w:t>
            </w:r>
            <w:r>
              <w:t xml:space="preserve"> of Economic News</w:t>
            </w:r>
          </w:p>
        </w:tc>
        <w:tc>
          <w:tcPr>
            <w:tcW w:w="612" w:type="pct"/>
            <w:tcBorders>
              <w:top w:val="nil"/>
              <w:left w:val="nil"/>
              <w:right w:val="nil"/>
            </w:tcBorders>
          </w:tcPr>
          <w:p w14:paraId="5C100D25" w14:textId="77777777" w:rsidR="00E344F3" w:rsidRPr="00311206" w:rsidRDefault="00E344F3" w:rsidP="004B1AF4">
            <w:pPr>
              <w:keepNext/>
              <w:keepLines/>
              <w:autoSpaceDE w:val="0"/>
              <w:autoSpaceDN w:val="0"/>
              <w:adjustRightInd w:val="0"/>
              <w:jc w:val="center"/>
            </w:pPr>
            <w:r>
              <w:t>420</w:t>
            </w:r>
          </w:p>
        </w:tc>
        <w:tc>
          <w:tcPr>
            <w:tcW w:w="612" w:type="pct"/>
            <w:tcBorders>
              <w:top w:val="nil"/>
              <w:left w:val="nil"/>
              <w:right w:val="nil"/>
            </w:tcBorders>
          </w:tcPr>
          <w:p w14:paraId="6ED52579" w14:textId="77777777" w:rsidR="00E344F3" w:rsidRPr="00311206" w:rsidRDefault="00E344F3" w:rsidP="004B1AF4">
            <w:pPr>
              <w:keepNext/>
              <w:keepLines/>
              <w:autoSpaceDE w:val="0"/>
              <w:autoSpaceDN w:val="0"/>
              <w:adjustRightInd w:val="0"/>
              <w:jc w:val="center"/>
            </w:pPr>
            <w:r>
              <w:t>25.74</w:t>
            </w:r>
          </w:p>
        </w:tc>
        <w:tc>
          <w:tcPr>
            <w:tcW w:w="612" w:type="pct"/>
            <w:tcBorders>
              <w:top w:val="nil"/>
              <w:left w:val="nil"/>
              <w:right w:val="nil"/>
            </w:tcBorders>
          </w:tcPr>
          <w:p w14:paraId="020B756B" w14:textId="77777777" w:rsidR="00E344F3" w:rsidRPr="00311206" w:rsidRDefault="00E344F3" w:rsidP="004B1AF4">
            <w:pPr>
              <w:keepNext/>
              <w:keepLines/>
              <w:autoSpaceDE w:val="0"/>
              <w:autoSpaceDN w:val="0"/>
              <w:adjustRightInd w:val="0"/>
              <w:jc w:val="center"/>
            </w:pPr>
            <w:r w:rsidRPr="00311206">
              <w:t>4.</w:t>
            </w:r>
            <w:r>
              <w:t>38</w:t>
            </w:r>
          </w:p>
        </w:tc>
        <w:tc>
          <w:tcPr>
            <w:tcW w:w="612" w:type="pct"/>
            <w:tcBorders>
              <w:top w:val="nil"/>
              <w:left w:val="nil"/>
              <w:right w:val="nil"/>
            </w:tcBorders>
          </w:tcPr>
          <w:p w14:paraId="0CA43110" w14:textId="77777777" w:rsidR="00E344F3" w:rsidRPr="00311206" w:rsidRDefault="00E344F3" w:rsidP="004B1AF4">
            <w:pPr>
              <w:keepNext/>
              <w:keepLines/>
              <w:autoSpaceDE w:val="0"/>
              <w:autoSpaceDN w:val="0"/>
              <w:adjustRightInd w:val="0"/>
              <w:jc w:val="center"/>
            </w:pPr>
            <w:r>
              <w:t>12.72</w:t>
            </w:r>
          </w:p>
        </w:tc>
        <w:tc>
          <w:tcPr>
            <w:tcW w:w="613" w:type="pct"/>
            <w:tcBorders>
              <w:top w:val="nil"/>
              <w:left w:val="nil"/>
              <w:right w:val="nil"/>
            </w:tcBorders>
          </w:tcPr>
          <w:p w14:paraId="11FAE638" w14:textId="77777777" w:rsidR="00E344F3" w:rsidRDefault="00E344F3" w:rsidP="004B1AF4">
            <w:pPr>
              <w:keepNext/>
              <w:keepLines/>
              <w:autoSpaceDE w:val="0"/>
              <w:autoSpaceDN w:val="0"/>
              <w:adjustRightInd w:val="0"/>
              <w:jc w:val="center"/>
            </w:pPr>
            <w:r>
              <w:t>36.94</w:t>
            </w:r>
          </w:p>
          <w:p w14:paraId="615EADAD" w14:textId="77777777" w:rsidR="00E344F3" w:rsidRPr="00311206" w:rsidRDefault="00E344F3" w:rsidP="004B1AF4">
            <w:pPr>
              <w:keepNext/>
              <w:keepLines/>
              <w:autoSpaceDE w:val="0"/>
              <w:autoSpaceDN w:val="0"/>
              <w:adjustRightInd w:val="0"/>
              <w:rPr>
                <w:noProof/>
              </w:rPr>
            </w:pPr>
          </w:p>
        </w:tc>
      </w:tr>
      <w:tr w:rsidR="00E344F3" w:rsidRPr="00311206" w14:paraId="2CCB770A" w14:textId="77777777" w:rsidTr="004B1AF4">
        <w:tc>
          <w:tcPr>
            <w:tcW w:w="1939" w:type="pct"/>
            <w:tcBorders>
              <w:top w:val="nil"/>
              <w:left w:val="nil"/>
              <w:right w:val="nil"/>
            </w:tcBorders>
          </w:tcPr>
          <w:p w14:paraId="2857C5FD" w14:textId="77777777" w:rsidR="00E344F3" w:rsidRDefault="00E344F3" w:rsidP="004B1AF4">
            <w:pPr>
              <w:keepNext/>
              <w:keepLines/>
              <w:autoSpaceDE w:val="0"/>
              <w:autoSpaceDN w:val="0"/>
              <w:adjustRightInd w:val="0"/>
            </w:pPr>
            <w:r>
              <w:t xml:space="preserve">“Extra-Economic” ICS </w:t>
            </w:r>
          </w:p>
          <w:p w14:paraId="4A534144" w14:textId="77777777" w:rsidR="00E344F3" w:rsidRPr="00311206" w:rsidRDefault="00E344F3" w:rsidP="004B1AF4">
            <w:pPr>
              <w:keepNext/>
              <w:keepLines/>
              <w:autoSpaceDE w:val="0"/>
              <w:autoSpaceDN w:val="0"/>
              <w:adjustRightInd w:val="0"/>
            </w:pPr>
          </w:p>
        </w:tc>
        <w:tc>
          <w:tcPr>
            <w:tcW w:w="612" w:type="pct"/>
            <w:tcBorders>
              <w:top w:val="nil"/>
              <w:left w:val="nil"/>
              <w:right w:val="nil"/>
            </w:tcBorders>
          </w:tcPr>
          <w:p w14:paraId="76FBBD0B" w14:textId="77777777" w:rsidR="00E344F3" w:rsidRDefault="00E344F3" w:rsidP="004B1AF4">
            <w:pPr>
              <w:keepNext/>
              <w:keepLines/>
              <w:autoSpaceDE w:val="0"/>
              <w:autoSpaceDN w:val="0"/>
              <w:adjustRightInd w:val="0"/>
              <w:jc w:val="center"/>
            </w:pPr>
            <w:r>
              <w:t>410</w:t>
            </w:r>
          </w:p>
        </w:tc>
        <w:tc>
          <w:tcPr>
            <w:tcW w:w="612" w:type="pct"/>
            <w:tcBorders>
              <w:top w:val="nil"/>
              <w:left w:val="nil"/>
              <w:right w:val="nil"/>
            </w:tcBorders>
          </w:tcPr>
          <w:p w14:paraId="32904C0D" w14:textId="77777777" w:rsidR="00E344F3" w:rsidRPr="00822469" w:rsidRDefault="00E344F3" w:rsidP="004B1AF4">
            <w:pPr>
              <w:keepNext/>
              <w:keepLines/>
              <w:autoSpaceDE w:val="0"/>
              <w:autoSpaceDN w:val="0"/>
              <w:adjustRightInd w:val="0"/>
              <w:jc w:val="center"/>
            </w:pPr>
            <w:r>
              <w:t>0.00</w:t>
            </w:r>
          </w:p>
        </w:tc>
        <w:tc>
          <w:tcPr>
            <w:tcW w:w="612" w:type="pct"/>
            <w:tcBorders>
              <w:top w:val="nil"/>
              <w:left w:val="nil"/>
              <w:right w:val="nil"/>
            </w:tcBorders>
          </w:tcPr>
          <w:p w14:paraId="64C26EB4" w14:textId="77777777" w:rsidR="00E344F3" w:rsidRPr="00311206" w:rsidRDefault="00E344F3" w:rsidP="004B1AF4">
            <w:pPr>
              <w:keepNext/>
              <w:keepLines/>
              <w:autoSpaceDE w:val="0"/>
              <w:autoSpaceDN w:val="0"/>
              <w:adjustRightInd w:val="0"/>
              <w:jc w:val="center"/>
            </w:pPr>
            <w:r>
              <w:t>5.03</w:t>
            </w:r>
          </w:p>
        </w:tc>
        <w:tc>
          <w:tcPr>
            <w:tcW w:w="612" w:type="pct"/>
            <w:tcBorders>
              <w:top w:val="nil"/>
              <w:left w:val="nil"/>
              <w:right w:val="nil"/>
            </w:tcBorders>
          </w:tcPr>
          <w:p w14:paraId="121DE362" w14:textId="77777777" w:rsidR="00E344F3" w:rsidRDefault="00E344F3" w:rsidP="004B1AF4">
            <w:pPr>
              <w:keepNext/>
              <w:keepLines/>
              <w:autoSpaceDE w:val="0"/>
              <w:autoSpaceDN w:val="0"/>
              <w:adjustRightInd w:val="0"/>
              <w:jc w:val="center"/>
            </w:pPr>
            <w:r>
              <w:t>-18.59</w:t>
            </w:r>
          </w:p>
        </w:tc>
        <w:tc>
          <w:tcPr>
            <w:tcW w:w="613" w:type="pct"/>
            <w:tcBorders>
              <w:top w:val="nil"/>
              <w:left w:val="nil"/>
              <w:right w:val="nil"/>
            </w:tcBorders>
          </w:tcPr>
          <w:p w14:paraId="1FA8E0F9" w14:textId="77777777" w:rsidR="00E344F3" w:rsidRDefault="00E344F3" w:rsidP="004B1AF4">
            <w:pPr>
              <w:keepNext/>
              <w:keepLines/>
              <w:autoSpaceDE w:val="0"/>
              <w:autoSpaceDN w:val="0"/>
              <w:adjustRightInd w:val="0"/>
              <w:jc w:val="center"/>
            </w:pPr>
            <w:r>
              <w:t>14.01</w:t>
            </w:r>
          </w:p>
        </w:tc>
      </w:tr>
      <w:tr w:rsidR="00E344F3" w:rsidRPr="00311206" w14:paraId="2A231422" w14:textId="77777777" w:rsidTr="004B1AF4">
        <w:tc>
          <w:tcPr>
            <w:tcW w:w="1939" w:type="pct"/>
            <w:tcBorders>
              <w:top w:val="nil"/>
              <w:left w:val="nil"/>
              <w:bottom w:val="single" w:sz="4" w:space="0" w:color="auto"/>
              <w:right w:val="nil"/>
            </w:tcBorders>
          </w:tcPr>
          <w:p w14:paraId="14A29885" w14:textId="77777777" w:rsidR="00E344F3" w:rsidRDefault="00E344F3" w:rsidP="004B1AF4">
            <w:pPr>
              <w:keepNext/>
              <w:keepLines/>
              <w:autoSpaceDE w:val="0"/>
              <w:autoSpaceDN w:val="0"/>
              <w:adjustRightInd w:val="0"/>
            </w:pPr>
            <w:r>
              <w:t>“Extra-Economic” Tone</w:t>
            </w:r>
          </w:p>
        </w:tc>
        <w:tc>
          <w:tcPr>
            <w:tcW w:w="612" w:type="pct"/>
            <w:tcBorders>
              <w:top w:val="nil"/>
              <w:left w:val="nil"/>
              <w:bottom w:val="single" w:sz="4" w:space="0" w:color="auto"/>
              <w:right w:val="nil"/>
            </w:tcBorders>
          </w:tcPr>
          <w:p w14:paraId="3CC1F0A5" w14:textId="77777777" w:rsidR="00E344F3" w:rsidRDefault="00E344F3" w:rsidP="004B1AF4">
            <w:pPr>
              <w:keepNext/>
              <w:keepLines/>
              <w:autoSpaceDE w:val="0"/>
              <w:autoSpaceDN w:val="0"/>
              <w:adjustRightInd w:val="0"/>
              <w:jc w:val="center"/>
            </w:pPr>
            <w:r>
              <w:t>410</w:t>
            </w:r>
          </w:p>
        </w:tc>
        <w:tc>
          <w:tcPr>
            <w:tcW w:w="612" w:type="pct"/>
            <w:tcBorders>
              <w:top w:val="nil"/>
              <w:left w:val="nil"/>
              <w:bottom w:val="single" w:sz="4" w:space="0" w:color="auto"/>
              <w:right w:val="nil"/>
            </w:tcBorders>
          </w:tcPr>
          <w:p w14:paraId="7739CAF8" w14:textId="77777777" w:rsidR="00E344F3" w:rsidRDefault="00E344F3" w:rsidP="004B1AF4">
            <w:pPr>
              <w:keepNext/>
              <w:keepLines/>
              <w:autoSpaceDE w:val="0"/>
              <w:autoSpaceDN w:val="0"/>
              <w:adjustRightInd w:val="0"/>
              <w:jc w:val="center"/>
            </w:pPr>
            <w:r>
              <w:t>0.00</w:t>
            </w:r>
          </w:p>
        </w:tc>
        <w:tc>
          <w:tcPr>
            <w:tcW w:w="612" w:type="pct"/>
            <w:tcBorders>
              <w:top w:val="nil"/>
              <w:left w:val="nil"/>
              <w:bottom w:val="single" w:sz="4" w:space="0" w:color="auto"/>
              <w:right w:val="nil"/>
            </w:tcBorders>
          </w:tcPr>
          <w:p w14:paraId="7F2C94E9" w14:textId="77777777" w:rsidR="00E344F3" w:rsidRPr="00311206" w:rsidRDefault="00E344F3" w:rsidP="004B1AF4">
            <w:pPr>
              <w:keepNext/>
              <w:keepLines/>
              <w:autoSpaceDE w:val="0"/>
              <w:autoSpaceDN w:val="0"/>
              <w:adjustRightInd w:val="0"/>
              <w:jc w:val="center"/>
            </w:pPr>
            <w:r>
              <w:t>2.48</w:t>
            </w:r>
          </w:p>
        </w:tc>
        <w:tc>
          <w:tcPr>
            <w:tcW w:w="612" w:type="pct"/>
            <w:tcBorders>
              <w:top w:val="nil"/>
              <w:left w:val="nil"/>
              <w:bottom w:val="single" w:sz="4" w:space="0" w:color="auto"/>
              <w:right w:val="nil"/>
            </w:tcBorders>
          </w:tcPr>
          <w:p w14:paraId="6C59A28E" w14:textId="77777777" w:rsidR="00E344F3" w:rsidRDefault="00E344F3" w:rsidP="004B1AF4">
            <w:pPr>
              <w:keepNext/>
              <w:keepLines/>
              <w:autoSpaceDE w:val="0"/>
              <w:autoSpaceDN w:val="0"/>
              <w:adjustRightInd w:val="0"/>
              <w:jc w:val="center"/>
            </w:pPr>
            <w:r>
              <w:t>-6.79</w:t>
            </w:r>
          </w:p>
        </w:tc>
        <w:tc>
          <w:tcPr>
            <w:tcW w:w="613" w:type="pct"/>
            <w:tcBorders>
              <w:top w:val="nil"/>
              <w:left w:val="nil"/>
              <w:bottom w:val="single" w:sz="4" w:space="0" w:color="auto"/>
              <w:right w:val="nil"/>
            </w:tcBorders>
          </w:tcPr>
          <w:p w14:paraId="45BE21CA" w14:textId="77777777" w:rsidR="00E344F3" w:rsidRDefault="00E344F3" w:rsidP="004B1AF4">
            <w:pPr>
              <w:keepNext/>
              <w:keepLines/>
              <w:autoSpaceDE w:val="0"/>
              <w:autoSpaceDN w:val="0"/>
              <w:adjustRightInd w:val="0"/>
              <w:jc w:val="center"/>
            </w:pPr>
            <w:r>
              <w:t>6.71</w:t>
            </w:r>
          </w:p>
        </w:tc>
      </w:tr>
      <w:tr w:rsidR="00E344F3" w:rsidRPr="00311206" w14:paraId="376A2163" w14:textId="77777777" w:rsidTr="004B1AF4">
        <w:tc>
          <w:tcPr>
            <w:tcW w:w="1939" w:type="pct"/>
            <w:tcBorders>
              <w:top w:val="single" w:sz="4" w:space="0" w:color="auto"/>
              <w:left w:val="nil"/>
              <w:bottom w:val="nil"/>
              <w:right w:val="nil"/>
            </w:tcBorders>
          </w:tcPr>
          <w:p w14:paraId="1EC81659" w14:textId="77777777" w:rsidR="00E344F3" w:rsidRPr="00311206" w:rsidRDefault="00E344F3" w:rsidP="004B1AF4">
            <w:pPr>
              <w:keepNext/>
              <w:keepLines/>
              <w:autoSpaceDE w:val="0"/>
              <w:autoSpaceDN w:val="0"/>
              <w:adjustRightInd w:val="0"/>
            </w:pPr>
          </w:p>
        </w:tc>
        <w:tc>
          <w:tcPr>
            <w:tcW w:w="612" w:type="pct"/>
            <w:tcBorders>
              <w:top w:val="single" w:sz="4" w:space="0" w:color="auto"/>
              <w:left w:val="nil"/>
              <w:bottom w:val="nil"/>
              <w:right w:val="nil"/>
            </w:tcBorders>
          </w:tcPr>
          <w:p w14:paraId="7D0E1E6F" w14:textId="77777777" w:rsidR="00E344F3" w:rsidRPr="00311206" w:rsidRDefault="00E344F3" w:rsidP="004B1AF4">
            <w:pPr>
              <w:keepNext/>
              <w:keepLines/>
              <w:autoSpaceDE w:val="0"/>
              <w:autoSpaceDN w:val="0"/>
              <w:adjustRightInd w:val="0"/>
              <w:jc w:val="center"/>
            </w:pPr>
          </w:p>
        </w:tc>
        <w:tc>
          <w:tcPr>
            <w:tcW w:w="612" w:type="pct"/>
            <w:tcBorders>
              <w:top w:val="single" w:sz="4" w:space="0" w:color="auto"/>
              <w:left w:val="nil"/>
              <w:bottom w:val="nil"/>
              <w:right w:val="nil"/>
            </w:tcBorders>
          </w:tcPr>
          <w:p w14:paraId="21B27AD1" w14:textId="77777777" w:rsidR="00E344F3" w:rsidRPr="00311206" w:rsidRDefault="00E344F3" w:rsidP="004B1AF4">
            <w:pPr>
              <w:keepNext/>
              <w:keepLines/>
              <w:autoSpaceDE w:val="0"/>
              <w:autoSpaceDN w:val="0"/>
              <w:adjustRightInd w:val="0"/>
              <w:jc w:val="center"/>
            </w:pPr>
          </w:p>
        </w:tc>
        <w:tc>
          <w:tcPr>
            <w:tcW w:w="612" w:type="pct"/>
            <w:tcBorders>
              <w:top w:val="single" w:sz="4" w:space="0" w:color="auto"/>
              <w:left w:val="nil"/>
              <w:bottom w:val="nil"/>
              <w:right w:val="nil"/>
            </w:tcBorders>
          </w:tcPr>
          <w:p w14:paraId="571E6C61" w14:textId="77777777" w:rsidR="00E344F3" w:rsidRPr="00311206" w:rsidRDefault="00E344F3" w:rsidP="004B1AF4">
            <w:pPr>
              <w:keepNext/>
              <w:keepLines/>
              <w:autoSpaceDE w:val="0"/>
              <w:autoSpaceDN w:val="0"/>
              <w:adjustRightInd w:val="0"/>
              <w:jc w:val="center"/>
            </w:pPr>
          </w:p>
        </w:tc>
        <w:tc>
          <w:tcPr>
            <w:tcW w:w="612" w:type="pct"/>
            <w:tcBorders>
              <w:top w:val="single" w:sz="4" w:space="0" w:color="auto"/>
              <w:left w:val="nil"/>
              <w:bottom w:val="nil"/>
              <w:right w:val="nil"/>
            </w:tcBorders>
          </w:tcPr>
          <w:p w14:paraId="4530B7E1" w14:textId="77777777" w:rsidR="00E344F3" w:rsidRPr="00311206" w:rsidRDefault="00E344F3" w:rsidP="004B1AF4">
            <w:pPr>
              <w:keepNext/>
              <w:keepLines/>
              <w:autoSpaceDE w:val="0"/>
              <w:autoSpaceDN w:val="0"/>
              <w:adjustRightInd w:val="0"/>
              <w:jc w:val="center"/>
            </w:pPr>
          </w:p>
        </w:tc>
        <w:tc>
          <w:tcPr>
            <w:tcW w:w="613" w:type="pct"/>
            <w:tcBorders>
              <w:top w:val="single" w:sz="4" w:space="0" w:color="auto"/>
              <w:left w:val="nil"/>
              <w:bottom w:val="nil"/>
              <w:right w:val="nil"/>
            </w:tcBorders>
          </w:tcPr>
          <w:p w14:paraId="790B0921" w14:textId="77777777" w:rsidR="00E344F3" w:rsidRPr="00311206" w:rsidRDefault="00E344F3" w:rsidP="004B1AF4">
            <w:pPr>
              <w:keepNext/>
              <w:keepLines/>
              <w:autoSpaceDE w:val="0"/>
              <w:autoSpaceDN w:val="0"/>
              <w:adjustRightInd w:val="0"/>
              <w:jc w:val="center"/>
            </w:pPr>
          </w:p>
        </w:tc>
      </w:tr>
    </w:tbl>
    <w:p w14:paraId="7D8FAA1A" w14:textId="77777777" w:rsidR="00E344F3" w:rsidRDefault="00E344F3" w:rsidP="00E344F3">
      <w:pPr>
        <w:rPr>
          <w:b/>
        </w:rPr>
      </w:pPr>
    </w:p>
    <w:p w14:paraId="0B7DB12B" w14:textId="77777777" w:rsidR="00E344F3" w:rsidRDefault="00E344F3" w:rsidP="00E344F3">
      <w:pPr>
        <w:spacing w:after="200" w:line="276" w:lineRule="auto"/>
        <w:rPr>
          <w:b/>
        </w:rPr>
      </w:pPr>
      <w:r>
        <w:rPr>
          <w:b/>
        </w:rPr>
        <w:br w:type="page"/>
      </w:r>
    </w:p>
    <w:p w14:paraId="70026CB3" w14:textId="77777777" w:rsidR="00E344F3" w:rsidRPr="00D17DBB" w:rsidRDefault="00E344F3" w:rsidP="00E344F3">
      <w:pPr>
        <w:keepNext/>
        <w:keepLines/>
        <w:autoSpaceDE w:val="0"/>
        <w:autoSpaceDN w:val="0"/>
        <w:adjustRightInd w:val="0"/>
        <w:rPr>
          <w:b/>
        </w:rPr>
      </w:pPr>
      <w:r>
        <w:rPr>
          <w:b/>
        </w:rPr>
        <w:lastRenderedPageBreak/>
        <w:t>Table A2</w:t>
      </w:r>
      <w:r w:rsidRPr="00D17DBB">
        <w:rPr>
          <w:b/>
        </w:rPr>
        <w:t>. Evaluating Different Lag Lengths Used in Block F-Tests (Table 1) and the Resulting Effect of “Extra-Economic” Media Tone on “Extra-Economic” ICS (Table 2, Column 1)</w:t>
      </w:r>
    </w:p>
    <w:p w14:paraId="28110411" w14:textId="77777777" w:rsidR="00E344F3" w:rsidRDefault="00E344F3" w:rsidP="00E344F3">
      <w:pPr>
        <w:rPr>
          <w:b/>
        </w:rPr>
      </w:pPr>
      <w:r>
        <w:rPr>
          <w:b/>
        </w:rPr>
        <w:t xml:space="preserve"> </w:t>
      </w:r>
    </w:p>
    <w:tbl>
      <w:tblPr>
        <w:tblW w:w="47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899"/>
        <w:gridCol w:w="901"/>
        <w:gridCol w:w="901"/>
        <w:gridCol w:w="901"/>
        <w:gridCol w:w="4226"/>
      </w:tblGrid>
      <w:tr w:rsidR="00E344F3" w:rsidRPr="004B55F4" w14:paraId="3B2D204E" w14:textId="77777777" w:rsidTr="004B1AF4">
        <w:tc>
          <w:tcPr>
            <w:tcW w:w="595" w:type="pct"/>
            <w:vMerge w:val="restart"/>
            <w:vAlign w:val="bottom"/>
          </w:tcPr>
          <w:p w14:paraId="2FD5CF87" w14:textId="77777777" w:rsidR="00E344F3" w:rsidRPr="004B55F4" w:rsidRDefault="00E344F3" w:rsidP="004B1AF4">
            <w:pPr>
              <w:keepNext/>
              <w:keepLines/>
              <w:autoSpaceDE w:val="0"/>
              <w:autoSpaceDN w:val="0"/>
              <w:adjustRightInd w:val="0"/>
            </w:pPr>
            <w:r w:rsidRPr="004B55F4">
              <w:t>Lags</w:t>
            </w:r>
          </w:p>
        </w:tc>
        <w:tc>
          <w:tcPr>
            <w:tcW w:w="1013" w:type="pct"/>
            <w:gridSpan w:val="2"/>
            <w:vAlign w:val="bottom"/>
          </w:tcPr>
          <w:p w14:paraId="38872F3B" w14:textId="77777777" w:rsidR="00E344F3" w:rsidRPr="004B55F4" w:rsidRDefault="00E344F3" w:rsidP="004B1AF4">
            <w:pPr>
              <w:jc w:val="center"/>
            </w:pPr>
            <w:r w:rsidRPr="004B55F4">
              <w:t>ICS</w:t>
            </w:r>
          </w:p>
        </w:tc>
        <w:tc>
          <w:tcPr>
            <w:tcW w:w="1014" w:type="pct"/>
            <w:gridSpan w:val="2"/>
            <w:vAlign w:val="bottom"/>
          </w:tcPr>
          <w:p w14:paraId="352BC553" w14:textId="77777777" w:rsidR="00E344F3" w:rsidRPr="004B55F4" w:rsidRDefault="00E344F3" w:rsidP="004B1AF4">
            <w:pPr>
              <w:jc w:val="center"/>
            </w:pPr>
            <w:r w:rsidRPr="004B55F4">
              <w:t>Tone</w:t>
            </w:r>
          </w:p>
        </w:tc>
        <w:tc>
          <w:tcPr>
            <w:tcW w:w="2378" w:type="pct"/>
            <w:vMerge w:val="restart"/>
            <w:vAlign w:val="bottom"/>
          </w:tcPr>
          <w:p w14:paraId="6B3DC14A" w14:textId="77777777" w:rsidR="00E344F3" w:rsidRPr="004B55F4" w:rsidRDefault="00E344F3" w:rsidP="004B1AF4">
            <w:pPr>
              <w:jc w:val="center"/>
            </w:pPr>
            <w:r w:rsidRPr="004B55F4">
              <w:t>Effect of “Extra-Economic” Media Tone on “Extra-Economic” ICS</w:t>
            </w:r>
          </w:p>
        </w:tc>
      </w:tr>
      <w:tr w:rsidR="00E344F3" w:rsidRPr="004B55F4" w14:paraId="4BA58989" w14:textId="77777777" w:rsidTr="004B1AF4">
        <w:tc>
          <w:tcPr>
            <w:tcW w:w="595" w:type="pct"/>
            <w:vMerge/>
            <w:vAlign w:val="center"/>
          </w:tcPr>
          <w:p w14:paraId="4D3D23E1" w14:textId="77777777" w:rsidR="00E344F3" w:rsidRPr="004B55F4" w:rsidRDefault="00E344F3" w:rsidP="004B1AF4">
            <w:pPr>
              <w:keepNext/>
              <w:keepLines/>
              <w:autoSpaceDE w:val="0"/>
              <w:autoSpaceDN w:val="0"/>
              <w:adjustRightInd w:val="0"/>
            </w:pPr>
          </w:p>
        </w:tc>
        <w:tc>
          <w:tcPr>
            <w:tcW w:w="506" w:type="pct"/>
          </w:tcPr>
          <w:p w14:paraId="3D965CE2" w14:textId="77777777" w:rsidR="00E344F3" w:rsidRPr="004B55F4" w:rsidRDefault="00E344F3" w:rsidP="004B1AF4">
            <w:pPr>
              <w:jc w:val="center"/>
            </w:pPr>
            <w:r w:rsidRPr="004B55F4">
              <w:t>AIC</w:t>
            </w:r>
          </w:p>
        </w:tc>
        <w:tc>
          <w:tcPr>
            <w:tcW w:w="507" w:type="pct"/>
          </w:tcPr>
          <w:p w14:paraId="4C762464" w14:textId="77777777" w:rsidR="00E344F3" w:rsidRPr="004B55F4" w:rsidRDefault="00E344F3" w:rsidP="004B1AF4">
            <w:pPr>
              <w:jc w:val="center"/>
            </w:pPr>
            <w:r w:rsidRPr="004B55F4">
              <w:t>BIC</w:t>
            </w:r>
          </w:p>
        </w:tc>
        <w:tc>
          <w:tcPr>
            <w:tcW w:w="507" w:type="pct"/>
          </w:tcPr>
          <w:p w14:paraId="6B5EE572" w14:textId="77777777" w:rsidR="00E344F3" w:rsidRPr="004B55F4" w:rsidRDefault="00E344F3" w:rsidP="004B1AF4">
            <w:pPr>
              <w:jc w:val="center"/>
            </w:pPr>
            <w:r w:rsidRPr="004B55F4">
              <w:t>AIC</w:t>
            </w:r>
          </w:p>
        </w:tc>
        <w:tc>
          <w:tcPr>
            <w:tcW w:w="507" w:type="pct"/>
          </w:tcPr>
          <w:p w14:paraId="32952D71" w14:textId="77777777" w:rsidR="00E344F3" w:rsidRPr="004B55F4" w:rsidRDefault="00E344F3" w:rsidP="004B1AF4">
            <w:pPr>
              <w:jc w:val="center"/>
            </w:pPr>
            <w:r w:rsidRPr="004B55F4">
              <w:t>BIC</w:t>
            </w:r>
          </w:p>
        </w:tc>
        <w:tc>
          <w:tcPr>
            <w:tcW w:w="2378" w:type="pct"/>
            <w:vMerge/>
          </w:tcPr>
          <w:p w14:paraId="1FFD189A" w14:textId="77777777" w:rsidR="00E344F3" w:rsidRPr="004B55F4" w:rsidRDefault="00E344F3" w:rsidP="004B1AF4">
            <w:pPr>
              <w:jc w:val="center"/>
            </w:pPr>
          </w:p>
        </w:tc>
      </w:tr>
      <w:tr w:rsidR="00E344F3" w:rsidRPr="004B55F4" w14:paraId="64C4D675" w14:textId="77777777" w:rsidTr="004B1AF4">
        <w:tc>
          <w:tcPr>
            <w:tcW w:w="595" w:type="pct"/>
            <w:vAlign w:val="center"/>
          </w:tcPr>
          <w:p w14:paraId="289A3273" w14:textId="77777777" w:rsidR="00E344F3" w:rsidRPr="004B55F4" w:rsidRDefault="00E344F3" w:rsidP="004B1AF4">
            <w:pPr>
              <w:keepNext/>
              <w:keepLines/>
              <w:autoSpaceDE w:val="0"/>
              <w:autoSpaceDN w:val="0"/>
              <w:adjustRightInd w:val="0"/>
            </w:pPr>
            <w:r w:rsidRPr="004B55F4">
              <w:t>0, 1</w:t>
            </w:r>
            <w:r>
              <w:t>, 2</w:t>
            </w:r>
          </w:p>
        </w:tc>
        <w:tc>
          <w:tcPr>
            <w:tcW w:w="506" w:type="pct"/>
            <w:vAlign w:val="center"/>
          </w:tcPr>
          <w:p w14:paraId="3E8E2BE9" w14:textId="77777777" w:rsidR="00E344F3" w:rsidRPr="004B55F4" w:rsidRDefault="00E344F3" w:rsidP="004B1AF4">
            <w:pPr>
              <w:jc w:val="center"/>
            </w:pPr>
            <w:r w:rsidRPr="004B55F4">
              <w:t>2606</w:t>
            </w:r>
          </w:p>
        </w:tc>
        <w:tc>
          <w:tcPr>
            <w:tcW w:w="507" w:type="pct"/>
            <w:vAlign w:val="center"/>
          </w:tcPr>
          <w:p w14:paraId="6F376415" w14:textId="77777777" w:rsidR="00E344F3" w:rsidRPr="004B55F4" w:rsidRDefault="00E344F3" w:rsidP="004B1AF4">
            <w:pPr>
              <w:jc w:val="center"/>
            </w:pPr>
            <w:r w:rsidRPr="004B55F4">
              <w:t>2843</w:t>
            </w:r>
          </w:p>
        </w:tc>
        <w:tc>
          <w:tcPr>
            <w:tcW w:w="507" w:type="pct"/>
            <w:vAlign w:val="center"/>
          </w:tcPr>
          <w:p w14:paraId="3B075CAF" w14:textId="77777777" w:rsidR="00E344F3" w:rsidRPr="004B55F4" w:rsidRDefault="00E344F3" w:rsidP="004B1AF4">
            <w:pPr>
              <w:jc w:val="center"/>
            </w:pPr>
            <w:r w:rsidRPr="004B55F4">
              <w:t>2025</w:t>
            </w:r>
            <w:r>
              <w:t>*</w:t>
            </w:r>
          </w:p>
        </w:tc>
        <w:tc>
          <w:tcPr>
            <w:tcW w:w="507" w:type="pct"/>
            <w:vAlign w:val="center"/>
          </w:tcPr>
          <w:p w14:paraId="247B8483" w14:textId="77777777" w:rsidR="00E344F3" w:rsidRPr="004B55F4" w:rsidRDefault="00E344F3" w:rsidP="004B1AF4">
            <w:pPr>
              <w:jc w:val="center"/>
            </w:pPr>
            <w:r w:rsidRPr="004B55F4">
              <w:t>2262</w:t>
            </w:r>
          </w:p>
        </w:tc>
        <w:tc>
          <w:tcPr>
            <w:tcW w:w="2378" w:type="pct"/>
            <w:vAlign w:val="center"/>
          </w:tcPr>
          <w:p w14:paraId="31974E63" w14:textId="77777777" w:rsidR="00E344F3" w:rsidRPr="004B55F4" w:rsidRDefault="00E344F3" w:rsidP="004B1AF4">
            <w:pPr>
              <w:jc w:val="center"/>
            </w:pPr>
            <w:r w:rsidRPr="004B55F4">
              <w:t>0.187**</w:t>
            </w:r>
          </w:p>
          <w:p w14:paraId="14A6F9AB" w14:textId="77777777" w:rsidR="00E344F3" w:rsidRPr="004B55F4" w:rsidRDefault="00E344F3" w:rsidP="004B1AF4">
            <w:pPr>
              <w:jc w:val="center"/>
            </w:pPr>
            <w:r w:rsidRPr="004B55F4">
              <w:t>(0.071)</w:t>
            </w:r>
          </w:p>
        </w:tc>
      </w:tr>
      <w:tr w:rsidR="00E344F3" w:rsidRPr="004B55F4" w14:paraId="4DC63B77" w14:textId="77777777" w:rsidTr="004B1AF4">
        <w:tc>
          <w:tcPr>
            <w:tcW w:w="595" w:type="pct"/>
            <w:vAlign w:val="center"/>
          </w:tcPr>
          <w:p w14:paraId="6E642F53" w14:textId="77777777" w:rsidR="00E344F3" w:rsidRPr="004B55F4" w:rsidRDefault="00E344F3" w:rsidP="004B1AF4">
            <w:pPr>
              <w:keepNext/>
              <w:keepLines/>
              <w:autoSpaceDE w:val="0"/>
              <w:autoSpaceDN w:val="0"/>
              <w:adjustRightInd w:val="0"/>
            </w:pPr>
            <w:r w:rsidRPr="004B55F4">
              <w:t>0, 1</w:t>
            </w:r>
          </w:p>
        </w:tc>
        <w:tc>
          <w:tcPr>
            <w:tcW w:w="506" w:type="pct"/>
            <w:vAlign w:val="center"/>
          </w:tcPr>
          <w:p w14:paraId="147887C7" w14:textId="77777777" w:rsidR="00E344F3" w:rsidRPr="004B55F4" w:rsidRDefault="00E344F3" w:rsidP="004B1AF4">
            <w:pPr>
              <w:jc w:val="center"/>
            </w:pPr>
            <w:r w:rsidRPr="004B55F4">
              <w:t>2625</w:t>
            </w:r>
          </w:p>
        </w:tc>
        <w:tc>
          <w:tcPr>
            <w:tcW w:w="507" w:type="pct"/>
            <w:vAlign w:val="center"/>
          </w:tcPr>
          <w:p w14:paraId="6EFDA43F" w14:textId="77777777" w:rsidR="00E344F3" w:rsidRPr="004B55F4" w:rsidRDefault="00E344F3" w:rsidP="004B1AF4">
            <w:pPr>
              <w:keepNext/>
              <w:keepLines/>
              <w:autoSpaceDE w:val="0"/>
              <w:autoSpaceDN w:val="0"/>
              <w:adjustRightInd w:val="0"/>
              <w:jc w:val="center"/>
            </w:pPr>
            <w:r w:rsidRPr="004B55F4">
              <w:t>2786</w:t>
            </w:r>
            <w:r>
              <w:t>*</w:t>
            </w:r>
          </w:p>
        </w:tc>
        <w:tc>
          <w:tcPr>
            <w:tcW w:w="507" w:type="pct"/>
            <w:vAlign w:val="center"/>
          </w:tcPr>
          <w:p w14:paraId="1393059E" w14:textId="77777777" w:rsidR="00E344F3" w:rsidRPr="004B55F4" w:rsidRDefault="00E344F3" w:rsidP="004B1AF4">
            <w:pPr>
              <w:keepNext/>
              <w:keepLines/>
              <w:autoSpaceDE w:val="0"/>
              <w:autoSpaceDN w:val="0"/>
              <w:adjustRightInd w:val="0"/>
              <w:jc w:val="center"/>
            </w:pPr>
            <w:r w:rsidRPr="004B55F4">
              <w:t>2039</w:t>
            </w:r>
          </w:p>
        </w:tc>
        <w:tc>
          <w:tcPr>
            <w:tcW w:w="507" w:type="pct"/>
            <w:vAlign w:val="center"/>
          </w:tcPr>
          <w:p w14:paraId="0A4B3447" w14:textId="77777777" w:rsidR="00E344F3" w:rsidRPr="004B55F4" w:rsidRDefault="00E344F3" w:rsidP="004B1AF4">
            <w:pPr>
              <w:keepNext/>
              <w:keepLines/>
              <w:autoSpaceDE w:val="0"/>
              <w:autoSpaceDN w:val="0"/>
              <w:adjustRightInd w:val="0"/>
              <w:jc w:val="center"/>
            </w:pPr>
            <w:r w:rsidRPr="004B55F4">
              <w:t>2200</w:t>
            </w:r>
            <w:r>
              <w:t>*</w:t>
            </w:r>
          </w:p>
        </w:tc>
        <w:tc>
          <w:tcPr>
            <w:tcW w:w="2378" w:type="pct"/>
            <w:vAlign w:val="center"/>
          </w:tcPr>
          <w:p w14:paraId="02212BEA" w14:textId="77777777" w:rsidR="00E344F3" w:rsidRPr="004B55F4" w:rsidRDefault="00E344F3" w:rsidP="004B1AF4">
            <w:pPr>
              <w:keepNext/>
              <w:keepLines/>
              <w:autoSpaceDE w:val="0"/>
              <w:autoSpaceDN w:val="0"/>
              <w:adjustRightInd w:val="0"/>
              <w:jc w:val="center"/>
            </w:pPr>
            <w:r w:rsidRPr="004B55F4">
              <w:t>0.248***</w:t>
            </w:r>
          </w:p>
          <w:p w14:paraId="4D9E5240" w14:textId="77777777" w:rsidR="00E344F3" w:rsidRPr="004B55F4" w:rsidRDefault="00E344F3" w:rsidP="004B1AF4">
            <w:pPr>
              <w:keepNext/>
              <w:keepLines/>
              <w:autoSpaceDE w:val="0"/>
              <w:autoSpaceDN w:val="0"/>
              <w:adjustRightInd w:val="0"/>
              <w:jc w:val="center"/>
            </w:pPr>
            <w:r w:rsidRPr="004B55F4">
              <w:t>(0.070)</w:t>
            </w:r>
          </w:p>
        </w:tc>
      </w:tr>
      <w:tr w:rsidR="00E344F3" w:rsidRPr="004B55F4" w14:paraId="6B2D3245" w14:textId="77777777" w:rsidTr="004B1AF4">
        <w:tc>
          <w:tcPr>
            <w:tcW w:w="595" w:type="pct"/>
            <w:vAlign w:val="center"/>
          </w:tcPr>
          <w:p w14:paraId="48E42962" w14:textId="77777777" w:rsidR="00E344F3" w:rsidRPr="004B55F4" w:rsidRDefault="00E344F3" w:rsidP="004B1AF4">
            <w:pPr>
              <w:keepNext/>
              <w:keepLines/>
              <w:autoSpaceDE w:val="0"/>
              <w:autoSpaceDN w:val="0"/>
              <w:adjustRightInd w:val="0"/>
            </w:pPr>
            <w:r w:rsidRPr="004B55F4">
              <w:t>0, 1, 2, 3</w:t>
            </w:r>
          </w:p>
        </w:tc>
        <w:tc>
          <w:tcPr>
            <w:tcW w:w="506" w:type="pct"/>
            <w:vAlign w:val="center"/>
          </w:tcPr>
          <w:p w14:paraId="741476AE" w14:textId="77777777" w:rsidR="00E344F3" w:rsidRPr="004B55F4" w:rsidRDefault="00E344F3" w:rsidP="004B1AF4">
            <w:pPr>
              <w:keepNext/>
              <w:keepLines/>
              <w:autoSpaceDE w:val="0"/>
              <w:autoSpaceDN w:val="0"/>
              <w:adjustRightInd w:val="0"/>
              <w:jc w:val="center"/>
            </w:pPr>
            <w:r w:rsidRPr="004B55F4">
              <w:t>2601</w:t>
            </w:r>
            <w:r>
              <w:t>*</w:t>
            </w:r>
          </w:p>
        </w:tc>
        <w:tc>
          <w:tcPr>
            <w:tcW w:w="507" w:type="pct"/>
            <w:vAlign w:val="center"/>
          </w:tcPr>
          <w:p w14:paraId="5019E87F" w14:textId="77777777" w:rsidR="00E344F3" w:rsidRPr="004B55F4" w:rsidRDefault="00E344F3" w:rsidP="004B1AF4">
            <w:pPr>
              <w:jc w:val="center"/>
            </w:pPr>
            <w:r w:rsidRPr="004B55F4">
              <w:t>2914</w:t>
            </w:r>
          </w:p>
        </w:tc>
        <w:tc>
          <w:tcPr>
            <w:tcW w:w="507" w:type="pct"/>
            <w:vAlign w:val="center"/>
          </w:tcPr>
          <w:p w14:paraId="0CF93093" w14:textId="77777777" w:rsidR="00E344F3" w:rsidRPr="004B55F4" w:rsidRDefault="00E344F3" w:rsidP="004B1AF4">
            <w:pPr>
              <w:jc w:val="center"/>
            </w:pPr>
            <w:r w:rsidRPr="004B55F4">
              <w:t>2050</w:t>
            </w:r>
          </w:p>
        </w:tc>
        <w:tc>
          <w:tcPr>
            <w:tcW w:w="507" w:type="pct"/>
            <w:vAlign w:val="center"/>
          </w:tcPr>
          <w:p w14:paraId="4EC9221C" w14:textId="77777777" w:rsidR="00E344F3" w:rsidRPr="004B55F4" w:rsidRDefault="00E344F3" w:rsidP="004B1AF4">
            <w:pPr>
              <w:jc w:val="center"/>
            </w:pPr>
            <w:r w:rsidRPr="004B55F4">
              <w:t>2363</w:t>
            </w:r>
          </w:p>
        </w:tc>
        <w:tc>
          <w:tcPr>
            <w:tcW w:w="2378" w:type="pct"/>
            <w:vAlign w:val="center"/>
          </w:tcPr>
          <w:p w14:paraId="152E7A8B" w14:textId="77777777" w:rsidR="00E344F3" w:rsidRPr="004B55F4" w:rsidRDefault="00E344F3" w:rsidP="004B1AF4">
            <w:pPr>
              <w:jc w:val="center"/>
            </w:pPr>
            <w:r w:rsidRPr="004B55F4">
              <w:t>0.200**</w:t>
            </w:r>
          </w:p>
          <w:p w14:paraId="331FEF54" w14:textId="77777777" w:rsidR="00E344F3" w:rsidRPr="004B55F4" w:rsidRDefault="00E344F3" w:rsidP="004B1AF4">
            <w:pPr>
              <w:jc w:val="center"/>
            </w:pPr>
            <w:r w:rsidRPr="004B55F4">
              <w:t>(0.070)</w:t>
            </w:r>
          </w:p>
        </w:tc>
      </w:tr>
      <w:tr w:rsidR="00E344F3" w:rsidRPr="004B55F4" w14:paraId="22BDF5E4" w14:textId="77777777" w:rsidTr="004B1AF4">
        <w:tc>
          <w:tcPr>
            <w:tcW w:w="2622" w:type="pct"/>
            <w:gridSpan w:val="5"/>
          </w:tcPr>
          <w:p w14:paraId="3FEE6938" w14:textId="77777777" w:rsidR="00E344F3" w:rsidRPr="004B55F4" w:rsidRDefault="00E344F3" w:rsidP="004B1AF4">
            <w:pPr>
              <w:jc w:val="center"/>
            </w:pPr>
          </w:p>
        </w:tc>
        <w:tc>
          <w:tcPr>
            <w:tcW w:w="2378" w:type="pct"/>
          </w:tcPr>
          <w:p w14:paraId="38474F67" w14:textId="77777777" w:rsidR="00E344F3" w:rsidRPr="004B55F4" w:rsidRDefault="00E344F3" w:rsidP="004B1AF4">
            <w:r w:rsidRPr="004B55F4">
              <w:t xml:space="preserve">Standard errors in parentheses + p&lt;0.10, * </w:t>
            </w:r>
            <w:r w:rsidRPr="004B55F4">
              <w:rPr>
                <w:i/>
                <w:iCs/>
              </w:rPr>
              <w:t>p</w:t>
            </w:r>
            <w:r w:rsidRPr="004B55F4">
              <w:t xml:space="preserve"> &lt; 0.05, ** </w:t>
            </w:r>
            <w:r w:rsidRPr="004B55F4">
              <w:rPr>
                <w:i/>
                <w:iCs/>
              </w:rPr>
              <w:t>p</w:t>
            </w:r>
            <w:r w:rsidRPr="004B55F4">
              <w:t xml:space="preserve"> &lt; 0.01, *** </w:t>
            </w:r>
            <w:r w:rsidRPr="004B55F4">
              <w:rPr>
                <w:i/>
                <w:iCs/>
              </w:rPr>
              <w:t>p</w:t>
            </w:r>
            <w:r w:rsidRPr="004B55F4">
              <w:t xml:space="preserve"> &lt; 0.001</w:t>
            </w:r>
          </w:p>
        </w:tc>
      </w:tr>
    </w:tbl>
    <w:p w14:paraId="6C8EECA4" w14:textId="77777777" w:rsidR="00E344F3" w:rsidRPr="00DA2443" w:rsidRDefault="00E344F3" w:rsidP="00E344F3">
      <w:pPr>
        <w:rPr>
          <w:b/>
        </w:rPr>
      </w:pPr>
    </w:p>
    <w:p w14:paraId="42192DFD" w14:textId="77777777" w:rsidR="00E344F3" w:rsidRDefault="00E344F3" w:rsidP="00E344F3">
      <w:pPr>
        <w:rPr>
          <w:b/>
        </w:rPr>
      </w:pPr>
      <w:r>
        <w:rPr>
          <w:b/>
        </w:rPr>
        <w:br w:type="page"/>
      </w:r>
      <w:r>
        <w:rPr>
          <w:b/>
        </w:rPr>
        <w:lastRenderedPageBreak/>
        <w:t>Table A3</w:t>
      </w:r>
      <w:r w:rsidRPr="00315838">
        <w:rPr>
          <w:b/>
        </w:rPr>
        <w:t xml:space="preserve">. </w:t>
      </w:r>
      <w:r>
        <w:rPr>
          <w:b/>
        </w:rPr>
        <w:t>Modeling</w:t>
      </w:r>
      <w:r w:rsidRPr="00315838">
        <w:rPr>
          <w:b/>
        </w:rPr>
        <w:t xml:space="preserve"> </w:t>
      </w:r>
      <w:r>
        <w:rPr>
          <w:b/>
        </w:rPr>
        <w:t xml:space="preserve">the </w:t>
      </w:r>
      <w:r w:rsidRPr="00315838">
        <w:rPr>
          <w:b/>
        </w:rPr>
        <w:t>Index of Consumer Sentiment</w:t>
      </w:r>
      <w:r>
        <w:rPr>
          <w:b/>
        </w:rPr>
        <w:t xml:space="preserve"> (ICS) in Saturated Form, January 1980-April 2014, as a Function of Saturated Media Tone, Controlling for Events</w:t>
      </w:r>
    </w:p>
    <w:p w14:paraId="5B0617A7" w14:textId="77777777" w:rsidR="00E344F3" w:rsidRPr="00A46F6A" w:rsidRDefault="00E344F3" w:rsidP="00E344F3">
      <w:pPr>
        <w:keepNext/>
        <w:keepLines/>
        <w:autoSpaceDE w:val="0"/>
        <w:autoSpaceDN w:val="0"/>
        <w:adjustRightInd w:val="0"/>
      </w:pPr>
    </w:p>
    <w:tbl>
      <w:tblPr>
        <w:tblW w:w="2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807"/>
      </w:tblGrid>
      <w:tr w:rsidR="00E344F3" w:rsidRPr="00A46F6A" w14:paraId="35BC7D90" w14:textId="77777777" w:rsidTr="004B1AF4">
        <w:trPr>
          <w:trHeight w:val="305"/>
        </w:trPr>
        <w:tc>
          <w:tcPr>
            <w:tcW w:w="3387" w:type="pct"/>
          </w:tcPr>
          <w:p w14:paraId="13C64C38" w14:textId="77777777" w:rsidR="00E344F3" w:rsidRPr="00A46F6A" w:rsidRDefault="00E344F3" w:rsidP="004B1AF4">
            <w:pPr>
              <w:keepNext/>
              <w:keepLines/>
              <w:autoSpaceDE w:val="0"/>
              <w:autoSpaceDN w:val="0"/>
              <w:adjustRightInd w:val="0"/>
            </w:pPr>
          </w:p>
        </w:tc>
        <w:tc>
          <w:tcPr>
            <w:tcW w:w="1613" w:type="pct"/>
          </w:tcPr>
          <w:p w14:paraId="3966BF0F" w14:textId="77777777" w:rsidR="00E344F3" w:rsidRPr="00A46F6A" w:rsidRDefault="00E344F3" w:rsidP="004B1AF4">
            <w:pPr>
              <w:keepNext/>
              <w:keepLines/>
              <w:autoSpaceDE w:val="0"/>
              <w:autoSpaceDN w:val="0"/>
              <w:adjustRightInd w:val="0"/>
              <w:jc w:val="center"/>
            </w:pPr>
            <w:r>
              <w:t>“Extra-Economic” ICS</w:t>
            </w:r>
          </w:p>
        </w:tc>
      </w:tr>
      <w:tr w:rsidR="00E344F3" w:rsidRPr="00EB38C4" w14:paraId="6425DA62" w14:textId="77777777" w:rsidTr="004B1AF4">
        <w:tc>
          <w:tcPr>
            <w:tcW w:w="3387" w:type="pct"/>
          </w:tcPr>
          <w:p w14:paraId="1B29D25C" w14:textId="77777777" w:rsidR="00E344F3" w:rsidRPr="00EB38C4" w:rsidRDefault="00E344F3" w:rsidP="004B1AF4">
            <w:pPr>
              <w:keepNext/>
              <w:keepLines/>
              <w:autoSpaceDE w:val="0"/>
              <w:autoSpaceDN w:val="0"/>
              <w:adjustRightInd w:val="0"/>
            </w:pPr>
            <w:r w:rsidRPr="00EB38C4">
              <w:t>ICS (t-1)</w:t>
            </w:r>
          </w:p>
        </w:tc>
        <w:tc>
          <w:tcPr>
            <w:tcW w:w="1613" w:type="pct"/>
          </w:tcPr>
          <w:p w14:paraId="2E77CD1E" w14:textId="77777777" w:rsidR="00E344F3" w:rsidRDefault="00E344F3" w:rsidP="004B1AF4">
            <w:pPr>
              <w:keepNext/>
              <w:keepLines/>
              <w:autoSpaceDE w:val="0"/>
              <w:autoSpaceDN w:val="0"/>
              <w:adjustRightInd w:val="0"/>
              <w:jc w:val="center"/>
            </w:pPr>
            <w:r>
              <w:t>0.649</w:t>
            </w:r>
            <w:r w:rsidRPr="00EB38C4">
              <w:t>***</w:t>
            </w:r>
          </w:p>
          <w:p w14:paraId="4504CC7E" w14:textId="77777777" w:rsidR="00E344F3" w:rsidRPr="00EB38C4" w:rsidRDefault="00E344F3" w:rsidP="004B1AF4">
            <w:pPr>
              <w:keepNext/>
              <w:keepLines/>
              <w:autoSpaceDE w:val="0"/>
              <w:autoSpaceDN w:val="0"/>
              <w:adjustRightInd w:val="0"/>
              <w:jc w:val="center"/>
            </w:pPr>
            <w:r>
              <w:t>(0.038</w:t>
            </w:r>
            <w:r w:rsidRPr="00EB38C4">
              <w:t>)</w:t>
            </w:r>
          </w:p>
        </w:tc>
      </w:tr>
      <w:tr w:rsidR="00E344F3" w:rsidRPr="00EB38C4" w14:paraId="0C58A188" w14:textId="77777777" w:rsidTr="004B1AF4">
        <w:tc>
          <w:tcPr>
            <w:tcW w:w="3387" w:type="pct"/>
          </w:tcPr>
          <w:p w14:paraId="1B37CEED" w14:textId="77777777" w:rsidR="00E344F3" w:rsidRPr="00EB38C4" w:rsidRDefault="00E344F3" w:rsidP="004B1AF4">
            <w:pPr>
              <w:keepNext/>
              <w:keepLines/>
              <w:autoSpaceDE w:val="0"/>
              <w:autoSpaceDN w:val="0"/>
              <w:adjustRightInd w:val="0"/>
            </w:pPr>
            <w:r>
              <w:t>ICS (t-6</w:t>
            </w:r>
            <w:r w:rsidRPr="00EB38C4">
              <w:t>)</w:t>
            </w:r>
          </w:p>
        </w:tc>
        <w:tc>
          <w:tcPr>
            <w:tcW w:w="1613" w:type="pct"/>
          </w:tcPr>
          <w:p w14:paraId="470A0E19" w14:textId="77777777" w:rsidR="00E344F3" w:rsidRPr="00EB38C4" w:rsidRDefault="00E344F3" w:rsidP="004B1AF4">
            <w:pPr>
              <w:keepNext/>
              <w:keepLines/>
              <w:autoSpaceDE w:val="0"/>
              <w:autoSpaceDN w:val="0"/>
              <w:adjustRightInd w:val="0"/>
              <w:jc w:val="center"/>
            </w:pPr>
            <w:r>
              <w:t>0.137***</w:t>
            </w:r>
          </w:p>
          <w:p w14:paraId="67CBB12B" w14:textId="77777777" w:rsidR="00E344F3" w:rsidRPr="00EB38C4" w:rsidRDefault="00E344F3" w:rsidP="004B1AF4">
            <w:pPr>
              <w:keepNext/>
              <w:keepLines/>
              <w:autoSpaceDE w:val="0"/>
              <w:autoSpaceDN w:val="0"/>
              <w:adjustRightInd w:val="0"/>
              <w:jc w:val="center"/>
            </w:pPr>
            <w:r>
              <w:t>(0.039</w:t>
            </w:r>
            <w:r w:rsidRPr="00EB38C4">
              <w:t>)</w:t>
            </w:r>
          </w:p>
        </w:tc>
      </w:tr>
      <w:tr w:rsidR="00E344F3" w:rsidRPr="00EB38C4" w14:paraId="55C60CAE" w14:textId="77777777" w:rsidTr="004B1AF4">
        <w:tc>
          <w:tcPr>
            <w:tcW w:w="3387" w:type="pct"/>
          </w:tcPr>
          <w:p w14:paraId="3F3988E4" w14:textId="77777777" w:rsidR="00E344F3" w:rsidRPr="00EB38C4" w:rsidRDefault="00E344F3" w:rsidP="004B1AF4">
            <w:pPr>
              <w:keepNext/>
              <w:keepLines/>
              <w:autoSpaceDE w:val="0"/>
              <w:autoSpaceDN w:val="0"/>
              <w:adjustRightInd w:val="0"/>
            </w:pPr>
            <w:r>
              <w:t xml:space="preserve">“Extra-Economic” </w:t>
            </w:r>
            <w:r w:rsidRPr="00EB38C4">
              <w:t>Media Tone (t)</w:t>
            </w:r>
          </w:p>
        </w:tc>
        <w:tc>
          <w:tcPr>
            <w:tcW w:w="1613" w:type="pct"/>
          </w:tcPr>
          <w:p w14:paraId="1D456C4C" w14:textId="77777777" w:rsidR="00E344F3" w:rsidRDefault="00E344F3" w:rsidP="004B1AF4">
            <w:pPr>
              <w:keepNext/>
              <w:keepLines/>
              <w:autoSpaceDE w:val="0"/>
              <w:autoSpaceDN w:val="0"/>
              <w:adjustRightInd w:val="0"/>
              <w:jc w:val="center"/>
            </w:pPr>
            <w:r>
              <w:t>0.176</w:t>
            </w:r>
            <w:r w:rsidRPr="00EB38C4">
              <w:t>**</w:t>
            </w:r>
          </w:p>
          <w:p w14:paraId="0B584E71" w14:textId="77777777" w:rsidR="00E344F3" w:rsidRPr="00EB38C4" w:rsidRDefault="00E344F3" w:rsidP="004B1AF4">
            <w:pPr>
              <w:keepNext/>
              <w:keepLines/>
              <w:autoSpaceDE w:val="0"/>
              <w:autoSpaceDN w:val="0"/>
              <w:adjustRightInd w:val="0"/>
              <w:jc w:val="center"/>
            </w:pPr>
            <w:r>
              <w:t>(0.074</w:t>
            </w:r>
            <w:r w:rsidRPr="00EB38C4">
              <w:t>)</w:t>
            </w:r>
          </w:p>
        </w:tc>
      </w:tr>
      <w:tr w:rsidR="00E344F3" w:rsidRPr="00EB38C4" w14:paraId="4154D42C" w14:textId="77777777" w:rsidTr="004B1AF4">
        <w:tc>
          <w:tcPr>
            <w:tcW w:w="3387" w:type="pct"/>
          </w:tcPr>
          <w:p w14:paraId="29E161EE" w14:textId="77777777" w:rsidR="00E344F3" w:rsidRPr="00EB38C4" w:rsidRDefault="00E344F3" w:rsidP="004B1AF4">
            <w:pPr>
              <w:keepNext/>
              <w:keepLines/>
              <w:autoSpaceDE w:val="0"/>
              <w:autoSpaceDN w:val="0"/>
              <w:adjustRightInd w:val="0"/>
            </w:pPr>
            <w:r>
              <w:t>Events</w:t>
            </w:r>
          </w:p>
        </w:tc>
        <w:tc>
          <w:tcPr>
            <w:tcW w:w="1613" w:type="pct"/>
          </w:tcPr>
          <w:p w14:paraId="46769E75" w14:textId="77777777" w:rsidR="00E344F3" w:rsidRDefault="00E344F3" w:rsidP="004B1AF4">
            <w:pPr>
              <w:keepNext/>
              <w:keepLines/>
              <w:autoSpaceDE w:val="0"/>
              <w:autoSpaceDN w:val="0"/>
              <w:adjustRightInd w:val="0"/>
              <w:jc w:val="center"/>
            </w:pPr>
            <w:r>
              <w:t>1.557+</w:t>
            </w:r>
          </w:p>
          <w:p w14:paraId="4FA9D4C8" w14:textId="77777777" w:rsidR="00E344F3" w:rsidRDefault="00E344F3" w:rsidP="004B1AF4">
            <w:pPr>
              <w:keepNext/>
              <w:keepLines/>
              <w:autoSpaceDE w:val="0"/>
              <w:autoSpaceDN w:val="0"/>
              <w:adjustRightInd w:val="0"/>
              <w:jc w:val="center"/>
            </w:pPr>
            <w:r>
              <w:t>(0.819)</w:t>
            </w:r>
          </w:p>
        </w:tc>
      </w:tr>
      <w:tr w:rsidR="00E344F3" w:rsidRPr="00EB38C4" w14:paraId="42D030C2" w14:textId="77777777" w:rsidTr="004B1AF4">
        <w:trPr>
          <w:trHeight w:val="78"/>
        </w:trPr>
        <w:tc>
          <w:tcPr>
            <w:tcW w:w="3387" w:type="pct"/>
          </w:tcPr>
          <w:p w14:paraId="6E5C7BD1" w14:textId="77777777" w:rsidR="00E344F3" w:rsidRPr="00EB38C4" w:rsidRDefault="00E344F3" w:rsidP="004B1AF4">
            <w:pPr>
              <w:keepNext/>
              <w:keepLines/>
              <w:autoSpaceDE w:val="0"/>
              <w:autoSpaceDN w:val="0"/>
              <w:adjustRightInd w:val="0"/>
              <w:rPr>
                <w:lang w:val="nl-BE"/>
              </w:rPr>
            </w:pPr>
            <w:r>
              <w:rPr>
                <w:lang w:val="nl-BE"/>
              </w:rPr>
              <w:t>Election</w:t>
            </w:r>
          </w:p>
        </w:tc>
        <w:tc>
          <w:tcPr>
            <w:tcW w:w="1613" w:type="pct"/>
          </w:tcPr>
          <w:p w14:paraId="6D06E6FA" w14:textId="77777777" w:rsidR="00E344F3" w:rsidRDefault="00E344F3" w:rsidP="004B1AF4">
            <w:pPr>
              <w:keepNext/>
              <w:keepLines/>
              <w:autoSpaceDE w:val="0"/>
              <w:autoSpaceDN w:val="0"/>
              <w:adjustRightInd w:val="0"/>
              <w:jc w:val="center"/>
            </w:pPr>
            <w:r>
              <w:t>0.117</w:t>
            </w:r>
          </w:p>
          <w:p w14:paraId="3CD7EDF2" w14:textId="77777777" w:rsidR="00E344F3" w:rsidRDefault="00E344F3" w:rsidP="004B1AF4">
            <w:pPr>
              <w:keepNext/>
              <w:keepLines/>
              <w:autoSpaceDE w:val="0"/>
              <w:autoSpaceDN w:val="0"/>
              <w:adjustRightInd w:val="0"/>
              <w:jc w:val="center"/>
            </w:pPr>
            <w:r>
              <w:t>(0.072)</w:t>
            </w:r>
          </w:p>
        </w:tc>
      </w:tr>
      <w:tr w:rsidR="00E344F3" w:rsidRPr="00EB38C4" w14:paraId="30B55BBF" w14:textId="77777777" w:rsidTr="004B1AF4">
        <w:trPr>
          <w:trHeight w:val="78"/>
        </w:trPr>
        <w:tc>
          <w:tcPr>
            <w:tcW w:w="3387" w:type="pct"/>
          </w:tcPr>
          <w:p w14:paraId="47EB6622" w14:textId="77777777" w:rsidR="00E344F3" w:rsidRPr="00EB38C4" w:rsidRDefault="00E344F3" w:rsidP="004B1AF4">
            <w:pPr>
              <w:keepNext/>
              <w:keepLines/>
              <w:autoSpaceDE w:val="0"/>
              <w:autoSpaceDN w:val="0"/>
              <w:adjustRightInd w:val="0"/>
              <w:rPr>
                <w:lang w:val="nl-BE"/>
              </w:rPr>
            </w:pPr>
            <w:r>
              <w:rPr>
                <w:lang w:val="nl-BE"/>
              </w:rPr>
              <w:t>Election Quarter</w:t>
            </w:r>
          </w:p>
        </w:tc>
        <w:tc>
          <w:tcPr>
            <w:tcW w:w="1613" w:type="pct"/>
          </w:tcPr>
          <w:p w14:paraId="2CB9F028" w14:textId="77777777" w:rsidR="00E344F3" w:rsidRDefault="00E344F3" w:rsidP="004B1AF4">
            <w:pPr>
              <w:keepNext/>
              <w:keepLines/>
              <w:autoSpaceDE w:val="0"/>
              <w:autoSpaceDN w:val="0"/>
              <w:adjustRightInd w:val="0"/>
              <w:jc w:val="center"/>
            </w:pPr>
            <w:r>
              <w:t>-1.348</w:t>
            </w:r>
          </w:p>
          <w:p w14:paraId="743F0525" w14:textId="77777777" w:rsidR="00E344F3" w:rsidRDefault="00E344F3" w:rsidP="004B1AF4">
            <w:pPr>
              <w:keepNext/>
              <w:keepLines/>
              <w:autoSpaceDE w:val="0"/>
              <w:autoSpaceDN w:val="0"/>
              <w:adjustRightInd w:val="0"/>
              <w:jc w:val="center"/>
            </w:pPr>
            <w:r>
              <w:t>(0.912)</w:t>
            </w:r>
          </w:p>
        </w:tc>
      </w:tr>
      <w:tr w:rsidR="00E344F3" w:rsidRPr="00EB38C4" w14:paraId="6F8D8C2D" w14:textId="77777777" w:rsidTr="004B1AF4">
        <w:trPr>
          <w:trHeight w:val="78"/>
        </w:trPr>
        <w:tc>
          <w:tcPr>
            <w:tcW w:w="3387" w:type="pct"/>
          </w:tcPr>
          <w:p w14:paraId="388D793E" w14:textId="77777777" w:rsidR="00E344F3" w:rsidRPr="00EB38C4" w:rsidRDefault="00E344F3" w:rsidP="004B1AF4">
            <w:pPr>
              <w:keepNext/>
              <w:keepLines/>
              <w:autoSpaceDE w:val="0"/>
              <w:autoSpaceDN w:val="0"/>
              <w:adjustRightInd w:val="0"/>
              <w:rPr>
                <w:lang w:val="nl-BE"/>
              </w:rPr>
            </w:pPr>
            <w:r>
              <w:rPr>
                <w:lang w:val="nl-BE"/>
              </w:rPr>
              <w:t>Democrat President</w:t>
            </w:r>
          </w:p>
        </w:tc>
        <w:tc>
          <w:tcPr>
            <w:tcW w:w="1613" w:type="pct"/>
          </w:tcPr>
          <w:p w14:paraId="2671049C" w14:textId="77777777" w:rsidR="00E344F3" w:rsidRDefault="00E344F3" w:rsidP="004B1AF4">
            <w:pPr>
              <w:keepNext/>
              <w:keepLines/>
              <w:autoSpaceDE w:val="0"/>
              <w:autoSpaceDN w:val="0"/>
              <w:adjustRightInd w:val="0"/>
              <w:jc w:val="center"/>
            </w:pPr>
            <w:r>
              <w:t>-0.138</w:t>
            </w:r>
          </w:p>
          <w:p w14:paraId="58CA9A47" w14:textId="77777777" w:rsidR="00E344F3" w:rsidRDefault="00E344F3" w:rsidP="004B1AF4">
            <w:pPr>
              <w:keepNext/>
              <w:keepLines/>
              <w:autoSpaceDE w:val="0"/>
              <w:autoSpaceDN w:val="0"/>
              <w:adjustRightInd w:val="0"/>
              <w:jc w:val="center"/>
            </w:pPr>
            <w:r>
              <w:t>(0.372)</w:t>
            </w:r>
          </w:p>
        </w:tc>
      </w:tr>
      <w:tr w:rsidR="00E344F3" w:rsidRPr="00EB38C4" w14:paraId="5B9D916F" w14:textId="77777777" w:rsidTr="004B1AF4">
        <w:trPr>
          <w:trHeight w:val="78"/>
        </w:trPr>
        <w:tc>
          <w:tcPr>
            <w:tcW w:w="3387" w:type="pct"/>
          </w:tcPr>
          <w:p w14:paraId="24479A41" w14:textId="77777777" w:rsidR="00E344F3" w:rsidRPr="00EB38C4" w:rsidRDefault="00E344F3" w:rsidP="004B1AF4">
            <w:pPr>
              <w:keepNext/>
              <w:keepLines/>
              <w:autoSpaceDE w:val="0"/>
              <w:autoSpaceDN w:val="0"/>
              <w:adjustRightInd w:val="0"/>
              <w:rPr>
                <w:lang w:val="nl-BE"/>
              </w:rPr>
            </w:pPr>
            <w:r w:rsidRPr="00EB38C4">
              <w:rPr>
                <w:lang w:val="nl-BE"/>
              </w:rPr>
              <w:t>Constant</w:t>
            </w:r>
          </w:p>
        </w:tc>
        <w:tc>
          <w:tcPr>
            <w:tcW w:w="1613" w:type="pct"/>
          </w:tcPr>
          <w:p w14:paraId="69F5657C" w14:textId="77777777" w:rsidR="00E344F3" w:rsidRDefault="00E344F3" w:rsidP="004B1AF4">
            <w:pPr>
              <w:keepNext/>
              <w:keepLines/>
              <w:autoSpaceDE w:val="0"/>
              <w:autoSpaceDN w:val="0"/>
              <w:adjustRightInd w:val="0"/>
              <w:jc w:val="center"/>
            </w:pPr>
            <w:r>
              <w:t>-0.111</w:t>
            </w:r>
          </w:p>
          <w:p w14:paraId="064336E5" w14:textId="77777777" w:rsidR="00E344F3" w:rsidRPr="00EB38C4" w:rsidRDefault="00E344F3" w:rsidP="004B1AF4">
            <w:pPr>
              <w:keepNext/>
              <w:keepLines/>
              <w:autoSpaceDE w:val="0"/>
              <w:autoSpaceDN w:val="0"/>
              <w:adjustRightInd w:val="0"/>
              <w:jc w:val="center"/>
            </w:pPr>
            <w:r>
              <w:t>(0.267</w:t>
            </w:r>
            <w:r w:rsidRPr="00EB38C4">
              <w:t>)</w:t>
            </w:r>
          </w:p>
        </w:tc>
      </w:tr>
      <w:tr w:rsidR="00E344F3" w:rsidRPr="00EB38C4" w14:paraId="611B04D5" w14:textId="77777777" w:rsidTr="004B1AF4">
        <w:tc>
          <w:tcPr>
            <w:tcW w:w="3387" w:type="pct"/>
          </w:tcPr>
          <w:p w14:paraId="46E1298A" w14:textId="77777777" w:rsidR="00E344F3" w:rsidRPr="00EB38C4" w:rsidRDefault="00E344F3" w:rsidP="004B1AF4">
            <w:pPr>
              <w:keepNext/>
              <w:keepLines/>
              <w:autoSpaceDE w:val="0"/>
              <w:autoSpaceDN w:val="0"/>
              <w:adjustRightInd w:val="0"/>
            </w:pPr>
            <w:r w:rsidRPr="00EB38C4">
              <w:t>Observations</w:t>
            </w:r>
          </w:p>
          <w:p w14:paraId="47036148" w14:textId="77777777" w:rsidR="00E344F3" w:rsidRPr="00EB38C4" w:rsidRDefault="00E344F3" w:rsidP="004B1AF4">
            <w:pPr>
              <w:keepNext/>
              <w:keepLines/>
              <w:autoSpaceDE w:val="0"/>
              <w:autoSpaceDN w:val="0"/>
              <w:adjustRightInd w:val="0"/>
            </w:pPr>
            <w:r w:rsidRPr="00EB38C4">
              <w:t>Cumby-Huizinga (12 Lags)</w:t>
            </w:r>
            <w:r>
              <w:t>, p-value</w:t>
            </w:r>
          </w:p>
        </w:tc>
        <w:tc>
          <w:tcPr>
            <w:tcW w:w="1613" w:type="pct"/>
          </w:tcPr>
          <w:p w14:paraId="67B7F24D" w14:textId="77777777" w:rsidR="00E344F3" w:rsidRPr="00EB38C4" w:rsidRDefault="00E344F3" w:rsidP="004B1AF4">
            <w:pPr>
              <w:keepNext/>
              <w:keepLines/>
              <w:autoSpaceDE w:val="0"/>
              <w:autoSpaceDN w:val="0"/>
              <w:adjustRightInd w:val="0"/>
              <w:jc w:val="center"/>
            </w:pPr>
            <w:r>
              <w:t>404</w:t>
            </w:r>
          </w:p>
          <w:p w14:paraId="16D76A70" w14:textId="77777777" w:rsidR="00E344F3" w:rsidRPr="00EB38C4" w:rsidRDefault="00E344F3" w:rsidP="004B1AF4">
            <w:pPr>
              <w:keepNext/>
              <w:keepLines/>
              <w:autoSpaceDE w:val="0"/>
              <w:autoSpaceDN w:val="0"/>
              <w:adjustRightInd w:val="0"/>
              <w:jc w:val="center"/>
            </w:pPr>
            <w:r>
              <w:t>0.366</w:t>
            </w:r>
          </w:p>
        </w:tc>
      </w:tr>
      <w:tr w:rsidR="00E344F3" w:rsidRPr="00EB38C4" w14:paraId="2C195C90" w14:textId="77777777" w:rsidTr="004B1AF4">
        <w:tc>
          <w:tcPr>
            <w:tcW w:w="3387" w:type="pct"/>
          </w:tcPr>
          <w:p w14:paraId="6495376B" w14:textId="77777777" w:rsidR="00E344F3" w:rsidRPr="00EB38C4" w:rsidRDefault="00E344F3" w:rsidP="004B1AF4">
            <w:pPr>
              <w:keepNext/>
              <w:keepLines/>
              <w:autoSpaceDE w:val="0"/>
              <w:autoSpaceDN w:val="0"/>
              <w:adjustRightInd w:val="0"/>
              <w:rPr>
                <w:vertAlign w:val="superscript"/>
              </w:rPr>
            </w:pPr>
            <w:r w:rsidRPr="00EB38C4">
              <w:rPr>
                <w:i/>
                <w:iCs/>
              </w:rPr>
              <w:t>R</w:t>
            </w:r>
            <w:r w:rsidRPr="00EB38C4">
              <w:rPr>
                <w:vertAlign w:val="superscript"/>
              </w:rPr>
              <w:t>2 Adjusted</w:t>
            </w:r>
          </w:p>
          <w:p w14:paraId="4B7BEE1E" w14:textId="77777777" w:rsidR="00E344F3" w:rsidRPr="00EB38C4" w:rsidRDefault="00E344F3" w:rsidP="004B1AF4">
            <w:pPr>
              <w:keepNext/>
              <w:keepLines/>
              <w:autoSpaceDE w:val="0"/>
              <w:autoSpaceDN w:val="0"/>
              <w:adjustRightInd w:val="0"/>
            </w:pPr>
            <w:r w:rsidRPr="00EB38C4">
              <w:rPr>
                <w:iCs/>
              </w:rPr>
              <w:t>RMSE</w:t>
            </w:r>
          </w:p>
        </w:tc>
        <w:tc>
          <w:tcPr>
            <w:tcW w:w="1613" w:type="pct"/>
          </w:tcPr>
          <w:p w14:paraId="6C6AE477" w14:textId="77777777" w:rsidR="00E344F3" w:rsidRPr="00EB38C4" w:rsidRDefault="00E344F3" w:rsidP="004B1AF4">
            <w:pPr>
              <w:keepNext/>
              <w:keepLines/>
              <w:autoSpaceDE w:val="0"/>
              <w:autoSpaceDN w:val="0"/>
              <w:adjustRightInd w:val="0"/>
              <w:jc w:val="center"/>
            </w:pPr>
            <w:r>
              <w:t>0.506</w:t>
            </w:r>
          </w:p>
          <w:p w14:paraId="5BCB94D3" w14:textId="77777777" w:rsidR="00E344F3" w:rsidRPr="00EB38C4" w:rsidRDefault="00E344F3" w:rsidP="004B1AF4">
            <w:pPr>
              <w:keepNext/>
              <w:keepLines/>
              <w:autoSpaceDE w:val="0"/>
              <w:autoSpaceDN w:val="0"/>
              <w:adjustRightInd w:val="0"/>
              <w:jc w:val="center"/>
            </w:pPr>
            <w:r>
              <w:t>3.549</w:t>
            </w:r>
          </w:p>
        </w:tc>
      </w:tr>
    </w:tbl>
    <w:p w14:paraId="6400C818" w14:textId="77777777" w:rsidR="00E344F3" w:rsidRPr="00A46F6A" w:rsidRDefault="00E344F3" w:rsidP="00E344F3">
      <w:pPr>
        <w:keepNext/>
        <w:keepLines/>
        <w:autoSpaceDE w:val="0"/>
        <w:autoSpaceDN w:val="0"/>
        <w:adjustRightInd w:val="0"/>
      </w:pPr>
    </w:p>
    <w:p w14:paraId="0D091B03" w14:textId="77777777" w:rsidR="00E344F3" w:rsidRDefault="00E344F3" w:rsidP="00E344F3">
      <w:r>
        <w:rPr>
          <w:b/>
        </w:rPr>
        <w:t xml:space="preserve">Note: </w:t>
      </w:r>
      <w:r>
        <w:t xml:space="preserve">The dependent variable is the residual series from the regression reported in Table 1, which purged the ICS series of its economic influences. </w:t>
      </w:r>
      <w:r w:rsidRPr="00A46F6A">
        <w:t xml:space="preserve">Standard errors in parentheses + p&lt;0.10, * </w:t>
      </w:r>
      <w:r w:rsidRPr="00A46F6A">
        <w:rPr>
          <w:i/>
          <w:iCs/>
        </w:rPr>
        <w:t>p</w:t>
      </w:r>
      <w:r w:rsidRPr="00A46F6A">
        <w:t xml:space="preserve"> &lt; 0.05, ** </w:t>
      </w:r>
      <w:r w:rsidRPr="00A46F6A">
        <w:rPr>
          <w:i/>
          <w:iCs/>
        </w:rPr>
        <w:t>p</w:t>
      </w:r>
      <w:r w:rsidRPr="00A46F6A">
        <w:t xml:space="preserve"> &lt; 0.01, *** </w:t>
      </w:r>
      <w:r w:rsidRPr="00A46F6A">
        <w:rPr>
          <w:i/>
          <w:iCs/>
        </w:rPr>
        <w:t>p</w:t>
      </w:r>
      <w:r w:rsidRPr="00A46F6A">
        <w:t xml:space="preserve"> &lt; 0.001.</w:t>
      </w:r>
    </w:p>
    <w:p w14:paraId="315DF0D9" w14:textId="77777777" w:rsidR="00E344F3" w:rsidRDefault="00E344F3" w:rsidP="00E344F3"/>
    <w:p w14:paraId="7BED757E" w14:textId="77777777" w:rsidR="00E344F3" w:rsidRDefault="00E344F3" w:rsidP="00E344F3">
      <w:pPr>
        <w:rPr>
          <w:b/>
        </w:rPr>
      </w:pPr>
      <w:r>
        <w:rPr>
          <w:b/>
        </w:rPr>
        <w:br w:type="page"/>
      </w:r>
    </w:p>
    <w:p w14:paraId="5FC1599C" w14:textId="77777777" w:rsidR="00E344F3" w:rsidRDefault="00E344F3" w:rsidP="00E344F3">
      <w:pPr>
        <w:rPr>
          <w:b/>
        </w:rPr>
      </w:pPr>
      <w:r>
        <w:rPr>
          <w:b/>
        </w:rPr>
        <w:lastRenderedPageBreak/>
        <w:t>Figure A1. The Observed Tone of Economic Media Coverage, and Tone as Predicted by Economic Performance Measures, 1980-2014.</w:t>
      </w:r>
    </w:p>
    <w:p w14:paraId="179792CF" w14:textId="77777777" w:rsidR="00E344F3" w:rsidRDefault="00E344F3" w:rsidP="00E344F3">
      <w:pPr>
        <w:rPr>
          <w:b/>
        </w:rPr>
      </w:pPr>
    </w:p>
    <w:p w14:paraId="2CE7E093" w14:textId="77777777" w:rsidR="00E344F3" w:rsidRDefault="00E344F3" w:rsidP="00E344F3">
      <w:pPr>
        <w:rPr>
          <w:b/>
        </w:rPr>
      </w:pPr>
      <w:r>
        <w:rPr>
          <w:b/>
        </w:rPr>
        <w:t xml:space="preserve">. </w:t>
      </w:r>
      <w:r w:rsidRPr="00A371FE">
        <w:rPr>
          <w:b/>
          <w:noProof/>
        </w:rPr>
        <w:drawing>
          <wp:inline distT="0" distB="0" distL="0" distR="0" wp14:anchorId="320AFB41" wp14:editId="6A55C33A">
            <wp:extent cx="5029200" cy="3657600"/>
            <wp:effectExtent l="0" t="0" r="0" b="0"/>
            <wp:docPr id="1" name="Picture 1" descr="Macintosh HD:Users:boydstun:Dropbox:Economy and Media:Runs:Saturated:Graphs:Graph_Tone_ToneHAT_An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ydstun:Dropbox:Economy and Media:Runs:Saturated:Graphs:Graph_Tone_ToneHAT_Annual.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69F24EB" w14:textId="77777777" w:rsidR="00E344F3" w:rsidRDefault="00E344F3" w:rsidP="00E344F3">
      <w:pPr>
        <w:rPr>
          <w:b/>
        </w:rPr>
      </w:pPr>
    </w:p>
    <w:p w14:paraId="32582A15" w14:textId="77777777" w:rsidR="00E344F3" w:rsidRDefault="00E344F3" w:rsidP="00E344F3">
      <w:pPr>
        <w:spacing w:after="200" w:line="276" w:lineRule="auto"/>
        <w:rPr>
          <w:b/>
        </w:rPr>
      </w:pPr>
      <w:r>
        <w:rPr>
          <w:b/>
        </w:rPr>
        <w:br w:type="page"/>
      </w:r>
    </w:p>
    <w:p w14:paraId="7B5331E1" w14:textId="77777777" w:rsidR="00E344F3" w:rsidRPr="00CB7F01" w:rsidRDefault="00E344F3" w:rsidP="00E344F3">
      <w:pPr>
        <w:rPr>
          <w:b/>
        </w:rPr>
      </w:pPr>
      <w:r>
        <w:rPr>
          <w:b/>
        </w:rPr>
        <w:lastRenderedPageBreak/>
        <w:t>Figure A2. Observed Index of Consumer Sentiment (ICS), and ICS as Predicted by Economic Performance Measures, 1980-2014.</w:t>
      </w:r>
    </w:p>
    <w:p w14:paraId="41AD852A" w14:textId="77777777" w:rsidR="00E344F3" w:rsidRPr="00CB7F01" w:rsidRDefault="00E344F3" w:rsidP="00E344F3">
      <w:pPr>
        <w:rPr>
          <w:b/>
        </w:rPr>
      </w:pPr>
    </w:p>
    <w:p w14:paraId="38DA82FC" w14:textId="77777777" w:rsidR="00E344F3" w:rsidRDefault="00E344F3" w:rsidP="00E344F3">
      <w:pPr>
        <w:rPr>
          <w:b/>
        </w:rPr>
      </w:pPr>
      <w:r w:rsidRPr="00A371FE">
        <w:rPr>
          <w:b/>
          <w:noProof/>
        </w:rPr>
        <w:drawing>
          <wp:inline distT="0" distB="0" distL="0" distR="0" wp14:anchorId="772F875F" wp14:editId="756938A7">
            <wp:extent cx="5029200" cy="3657600"/>
            <wp:effectExtent l="0" t="0" r="0" b="0"/>
            <wp:docPr id="3" name="Picture 3" descr="Macintosh HD:Users:boydstun:Dropbox:Economy and Media:Runs:Saturated:Graphs:Graph_ICS_ICSHAT_An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oydstun:Dropbox:Economy and Media:Runs:Saturated:Graphs:Graph_ICS_ICSHAT_Annual.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1DFD883" w14:textId="77777777" w:rsidR="00E344F3" w:rsidRDefault="00E344F3" w:rsidP="00E344F3">
      <w:pPr>
        <w:rPr>
          <w:b/>
        </w:rPr>
      </w:pPr>
    </w:p>
    <w:p w14:paraId="7381E0B2" w14:textId="77777777" w:rsidR="00E344F3" w:rsidRDefault="00E344F3" w:rsidP="00E344F3">
      <w:pPr>
        <w:spacing w:after="200" w:line="276" w:lineRule="auto"/>
        <w:rPr>
          <w:b/>
        </w:rPr>
      </w:pPr>
      <w:r>
        <w:rPr>
          <w:b/>
        </w:rPr>
        <w:br w:type="page"/>
      </w:r>
    </w:p>
    <w:p w14:paraId="5895F4F7" w14:textId="77777777" w:rsidR="00E344F3" w:rsidRDefault="00E344F3" w:rsidP="00E344F3">
      <w:pPr>
        <w:rPr>
          <w:b/>
        </w:rPr>
      </w:pPr>
      <w:r>
        <w:rPr>
          <w:b/>
        </w:rPr>
        <w:lastRenderedPageBreak/>
        <w:t xml:space="preserve">Figure A3. Impulse Response Function Results from Vector </w:t>
      </w:r>
      <w:proofErr w:type="spellStart"/>
      <w:r>
        <w:rPr>
          <w:b/>
        </w:rPr>
        <w:t>Autoregression</w:t>
      </w:r>
      <w:proofErr w:type="spellEnd"/>
      <w:r>
        <w:rPr>
          <w:b/>
        </w:rPr>
        <w:t xml:space="preserve"> Models.</w:t>
      </w:r>
    </w:p>
    <w:p w14:paraId="0BE37B94" w14:textId="77777777" w:rsidR="00E344F3" w:rsidRDefault="00E344F3" w:rsidP="00E344F3">
      <w:pPr>
        <w:rPr>
          <w:b/>
        </w:rPr>
      </w:pPr>
    </w:p>
    <w:p w14:paraId="31089A0F" w14:textId="77777777" w:rsidR="00E344F3" w:rsidRPr="00CB7F01" w:rsidRDefault="00E344F3" w:rsidP="00E344F3">
      <w:pPr>
        <w:rPr>
          <w:b/>
        </w:rPr>
      </w:pPr>
      <w:r>
        <w:rPr>
          <w:b/>
          <w:noProof/>
        </w:rPr>
        <w:drawing>
          <wp:inline distT="0" distB="0" distL="0" distR="0" wp14:anchorId="60AF434C" wp14:editId="3EB5925A">
            <wp:extent cx="6337301" cy="4224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S_ALL.pdf"/>
                    <pic:cNvPicPr/>
                  </pic:nvPicPr>
                  <pic:blipFill>
                    <a:blip r:embed="rId6"/>
                    <a:stretch>
                      <a:fillRect/>
                    </a:stretch>
                  </pic:blipFill>
                  <pic:spPr>
                    <a:xfrm>
                      <a:off x="0" y="0"/>
                      <a:ext cx="6354781" cy="4236521"/>
                    </a:xfrm>
                    <a:prstGeom prst="rect">
                      <a:avLst/>
                    </a:prstGeom>
                  </pic:spPr>
                </pic:pic>
              </a:graphicData>
            </a:graphic>
          </wp:inline>
        </w:drawing>
      </w:r>
    </w:p>
    <w:p w14:paraId="12B263E1" w14:textId="77777777" w:rsidR="00151A3D" w:rsidRDefault="00527158"/>
    <w:sectPr w:rsidR="00151A3D" w:rsidSect="003C2EE5">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5512" w14:textId="77777777" w:rsidR="000E290C" w:rsidRDefault="00527158">
    <w:pPr>
      <w:pStyle w:val="Footer"/>
      <w:jc w:val="center"/>
    </w:pPr>
  </w:p>
  <w:p w14:paraId="12186D3B" w14:textId="77777777" w:rsidR="000E290C" w:rsidRDefault="00527158">
    <w:pPr>
      <w:pStyle w:val="Footer"/>
      <w:jc w:val="center"/>
    </w:pPr>
    <w:sdt>
      <w:sdtPr>
        <w:id w:val="-961823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23342B" w14:textId="77777777" w:rsidR="000E290C" w:rsidRDefault="00527158" w:rsidP="00FB103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59"/>
    <w:rsid w:val="00527158"/>
    <w:rsid w:val="005621B0"/>
    <w:rsid w:val="009926DC"/>
    <w:rsid w:val="00AD1C59"/>
    <w:rsid w:val="00E3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A9971"/>
  <w14:defaultImageDpi w14:val="32767"/>
  <w15:chartTrackingRefBased/>
  <w15:docId w15:val="{5E054DC8-A225-8148-8689-1A4733A1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4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44F3"/>
    <w:pPr>
      <w:tabs>
        <w:tab w:val="center" w:pos="4320"/>
        <w:tab w:val="right" w:pos="8640"/>
      </w:tabs>
    </w:pPr>
    <w:rPr>
      <w:rFonts w:eastAsiaTheme="minorHAnsi" w:cstheme="minorBidi"/>
      <w:szCs w:val="22"/>
    </w:rPr>
  </w:style>
  <w:style w:type="character" w:customStyle="1" w:styleId="FooterChar">
    <w:name w:val="Footer Char"/>
    <w:basedOn w:val="DefaultParagraphFont"/>
    <w:link w:val="Footer"/>
    <w:uiPriority w:val="99"/>
    <w:rsid w:val="00E344F3"/>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null)"/><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Boydstun</dc:creator>
  <cp:keywords/>
  <dc:description/>
  <cp:lastModifiedBy>Amber Boydstun</cp:lastModifiedBy>
  <cp:revision>3</cp:revision>
  <dcterms:created xsi:type="dcterms:W3CDTF">2018-03-29T16:20:00Z</dcterms:created>
  <dcterms:modified xsi:type="dcterms:W3CDTF">2018-03-29T16:27:00Z</dcterms:modified>
</cp:coreProperties>
</file>